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93C" w14:textId="04EDDCB0" w:rsidR="00714457" w:rsidRDefault="000933BF">
      <w:r w:rsidRPr="00526A3C">
        <w:rPr>
          <w:b/>
          <w:bCs/>
        </w:rPr>
        <w:t>Appendix 1</w:t>
      </w:r>
      <w:r>
        <w:rPr>
          <w:b/>
          <w:bCs/>
        </w:rPr>
        <w:t>-</w:t>
      </w:r>
      <w:r w:rsidR="00714457">
        <w:rPr>
          <w:b/>
          <w:bCs/>
        </w:rPr>
        <w:t>1</w:t>
      </w:r>
      <w:r w:rsidRPr="00526A3C">
        <w:rPr>
          <w:b/>
          <w:bCs/>
        </w:rPr>
        <w:t xml:space="preserve">. </w:t>
      </w:r>
      <w:r>
        <w:t>E</w:t>
      </w:r>
      <w:r w:rsidR="00B52AD6">
        <w:t>quations for estimating productivity costs of parents, teachers, and</w:t>
      </w:r>
      <w:r w:rsidR="00763793">
        <w:t xml:space="preserve"> non-teaching</w:t>
      </w:r>
      <w:r w:rsidR="00B52AD6">
        <w:t xml:space="preserve"> school staff</w:t>
      </w:r>
    </w:p>
    <w:p w14:paraId="5371DF8B" w14:textId="77777777" w:rsidR="00714457" w:rsidRPr="00DE40D7" w:rsidRDefault="00714457" w:rsidP="00714457">
      <w:pPr>
        <w:spacing w:line="360" w:lineRule="auto"/>
        <w:ind w:left="270"/>
        <w:rPr>
          <w:rFonts w:ascii="Times New Roman" w:hAnsi="Times New Roman" w:cs="Times New Roman"/>
          <w:bCs/>
          <w:sz w:val="20"/>
          <w:szCs w:val="20"/>
        </w:rPr>
      </w:pPr>
      <m:oMathPara>
        <m:oMathParaPr>
          <m:jc m:val="left"/>
        </m:oMathParaPr>
        <m:oMath>
          <m:r>
            <w:rPr>
              <w:rFonts w:ascii="Cambria Math" w:hAnsi="Cambria Math" w:cs="Times New Roman"/>
              <w:sz w:val="20"/>
              <w:szCs w:val="20"/>
            </w:rPr>
            <m:t>Productivity Cost of Parents=</m:t>
          </m:r>
          <m:d>
            <m:dPr>
              <m:begChr m:val="["/>
              <m:endChr m:val="]"/>
              <m:ctrlPr>
                <w:rPr>
                  <w:rFonts w:ascii="Cambria Math" w:hAnsi="Cambria Math" w:cs="Times New Roman"/>
                  <w:bCs/>
                  <w:i/>
                  <w:sz w:val="20"/>
                  <w:szCs w:val="20"/>
                </w:rPr>
              </m:ctrlPr>
            </m:dPr>
            <m:e>
              <m:d>
                <m:dPr>
                  <m:ctrlPr>
                    <w:rPr>
                      <w:rFonts w:ascii="Cambria Math" w:hAnsi="Cambria Math" w:cs="Times New Roman"/>
                      <w:bCs/>
                      <w:i/>
                      <w:sz w:val="20"/>
                      <w:szCs w:val="20"/>
                    </w:rPr>
                  </m:ctrlPr>
                </m:dPr>
                <m:e>
                  <m:r>
                    <w:rPr>
                      <w:rFonts w:ascii="Cambria Math" w:hAnsi="Cambria Math" w:cs="Times New Roman"/>
                      <w:sz w:val="20"/>
                      <w:szCs w:val="20"/>
                    </w:rPr>
                    <m:t>number of students÷average number of children per household</m:t>
                  </m:r>
                </m:e>
              </m:d>
            </m:e>
          </m:d>
          <m:r>
            <w:rPr>
              <w:rFonts w:ascii="Cambria Math" w:hAnsi="Cambria Math" w:cs="Times New Roman"/>
              <w:sz w:val="20"/>
              <w:szCs w:val="20"/>
            </w:rPr>
            <m:t xml:space="preserve"> ×fraction of households with children whose parents missed work ×average hourly wages of parents by state and year×8 </m:t>
          </m:r>
          <m:r>
            <w:rPr>
              <w:rFonts w:ascii="Cambria Math" w:hAnsi="Cambria Math" w:cs="Times New Roman"/>
              <w:sz w:val="20"/>
              <w:szCs w:val="20"/>
            </w:rPr>
            <m:t>hours×</m:t>
          </m:r>
          <m:d>
            <m:dPr>
              <m:ctrlPr>
                <w:rPr>
                  <w:rFonts w:ascii="Cambria Math" w:hAnsi="Cambria Math" w:cs="Times New Roman"/>
                  <w:bCs/>
                  <w:i/>
                  <w:sz w:val="20"/>
                  <w:szCs w:val="20"/>
                </w:rPr>
              </m:ctrlPr>
            </m:dPr>
            <m:e>
              <m:r>
                <w:rPr>
                  <w:rFonts w:ascii="Cambria Math" w:hAnsi="Cambria Math" w:cs="Times New Roman"/>
                  <w:sz w:val="20"/>
                  <w:szCs w:val="20"/>
                </w:rPr>
                <m:t>1+ nonwage benefits rate</m:t>
              </m:r>
            </m:e>
          </m:d>
          <m:r>
            <w:rPr>
              <w:rFonts w:ascii="Cambria Math" w:hAnsi="Cambria Math" w:cs="Times New Roman"/>
              <w:sz w:val="20"/>
              <w:szCs w:val="20"/>
            </w:rPr>
            <m:t>×number of days of unplanned school closure</m:t>
          </m:r>
        </m:oMath>
      </m:oMathPara>
    </w:p>
    <w:p w14:paraId="5299C963" w14:textId="77777777" w:rsidR="00714457" w:rsidRPr="00DE40D7" w:rsidRDefault="00714457" w:rsidP="00714457">
      <w:pPr>
        <w:spacing w:line="360" w:lineRule="auto"/>
        <w:ind w:left="270"/>
        <w:rPr>
          <w:rFonts w:ascii="Times New Roman" w:hAnsi="Times New Roman" w:cs="Times New Roman"/>
          <w:bCs/>
          <w:sz w:val="20"/>
          <w:szCs w:val="20"/>
        </w:rPr>
      </w:pPr>
      <m:oMathPara>
        <m:oMathParaPr>
          <m:jc m:val="left"/>
        </m:oMathParaPr>
        <m:oMath>
          <m:r>
            <w:rPr>
              <w:rFonts w:ascii="Cambria Math" w:hAnsi="Cambria Math" w:cs="Times New Roman"/>
              <w:sz w:val="20"/>
              <w:szCs w:val="20"/>
            </w:rPr>
            <m:t>Productivity Cost of Teachers =number of teachers ×average daily wages of teachers by school grade, state, and year ×</m:t>
          </m:r>
          <m:d>
            <m:dPr>
              <m:ctrlPr>
                <w:rPr>
                  <w:rFonts w:ascii="Cambria Math" w:hAnsi="Cambria Math" w:cs="Times New Roman"/>
                  <w:bCs/>
                  <w:i/>
                  <w:sz w:val="20"/>
                  <w:szCs w:val="20"/>
                </w:rPr>
              </m:ctrlPr>
            </m:dPr>
            <m:e>
              <m:r>
                <w:rPr>
                  <w:rFonts w:ascii="Cambria Math" w:hAnsi="Cambria Math" w:cs="Times New Roman"/>
                  <w:sz w:val="20"/>
                  <w:szCs w:val="20"/>
                </w:rPr>
                <m:t>1+nonwage benefits rate</m:t>
              </m:r>
            </m:e>
          </m:d>
          <m:r>
            <w:rPr>
              <w:rFonts w:ascii="Cambria Math" w:hAnsi="Cambria Math" w:cs="Times New Roman"/>
              <w:sz w:val="20"/>
              <w:szCs w:val="20"/>
            </w:rPr>
            <m:t>×number of days of school closure</m:t>
          </m:r>
        </m:oMath>
      </m:oMathPara>
    </w:p>
    <w:p w14:paraId="70CFB866" w14:textId="47CF5143" w:rsidR="00714457" w:rsidRPr="003F4775" w:rsidRDefault="00714457" w:rsidP="00714457">
      <w:pPr>
        <w:spacing w:line="360" w:lineRule="auto"/>
        <w:ind w:left="270"/>
        <w:rPr>
          <w:rFonts w:ascii="Times New Roman" w:hAnsi="Times New Roman" w:cs="Times New Roman"/>
          <w:bCs/>
          <w:i/>
        </w:rPr>
      </w:pPr>
      <m:oMathPara>
        <m:oMathParaPr>
          <m:jc m:val="left"/>
        </m:oMathParaPr>
        <m:oMath>
          <m:r>
            <w:rPr>
              <w:rFonts w:ascii="Cambria Math" w:hAnsi="Cambria Math" w:cs="Times New Roman"/>
              <w:sz w:val="20"/>
              <w:szCs w:val="20"/>
            </w:rPr>
            <m:t>Productivity Cost of Non-teaching School Staff =number of students÷ratio of students to school staff by state and year ×average daily wages of school staff by school grade, state, and year ×</m:t>
          </m:r>
          <m:d>
            <m:dPr>
              <m:ctrlPr>
                <w:rPr>
                  <w:rFonts w:ascii="Cambria Math" w:hAnsi="Cambria Math" w:cs="Times New Roman"/>
                  <w:bCs/>
                  <w:i/>
                  <w:sz w:val="20"/>
                  <w:szCs w:val="20"/>
                </w:rPr>
              </m:ctrlPr>
            </m:dPr>
            <m:e>
              <m:r>
                <w:rPr>
                  <w:rFonts w:ascii="Cambria Math" w:hAnsi="Cambria Math" w:cs="Times New Roman"/>
                  <w:sz w:val="20"/>
                  <w:szCs w:val="20"/>
                </w:rPr>
                <m:t>1+nonwage benefits rate</m:t>
              </m:r>
            </m:e>
          </m:d>
          <m:r>
            <w:rPr>
              <w:rFonts w:ascii="Cambria Math" w:hAnsi="Cambria Math" w:cs="Times New Roman"/>
              <w:sz w:val="20"/>
              <w:szCs w:val="20"/>
            </w:rPr>
            <m:t>×number of days of school closure</m:t>
          </m:r>
        </m:oMath>
      </m:oMathPara>
    </w:p>
    <w:p w14:paraId="7A5514EC" w14:textId="115D5537" w:rsidR="000933BF" w:rsidRDefault="000933BF">
      <w:pPr>
        <w:rPr>
          <w:b/>
          <w:bCs/>
        </w:rPr>
      </w:pPr>
      <w:r>
        <w:rPr>
          <w:b/>
          <w:bCs/>
        </w:rPr>
        <w:br w:type="page"/>
      </w:r>
    </w:p>
    <w:p w14:paraId="5088E0DD" w14:textId="6499C630" w:rsidR="00955FAE" w:rsidRDefault="00455E8A">
      <w:pPr>
        <w:rPr>
          <w:b/>
          <w:bCs/>
        </w:rPr>
      </w:pPr>
      <w:r w:rsidRPr="00526A3C">
        <w:rPr>
          <w:b/>
          <w:bCs/>
        </w:rPr>
        <w:lastRenderedPageBreak/>
        <w:t>Appendix 1</w:t>
      </w:r>
      <w:r w:rsidR="000933BF">
        <w:rPr>
          <w:b/>
          <w:bCs/>
        </w:rPr>
        <w:t>-2</w:t>
      </w:r>
      <w:r w:rsidRPr="00526A3C">
        <w:rPr>
          <w:b/>
          <w:bCs/>
        </w:rPr>
        <w:t xml:space="preserve">. </w:t>
      </w:r>
      <w:r w:rsidR="007D6DB4">
        <w:t>Parameters values and assumptions</w:t>
      </w:r>
      <w:r w:rsidRPr="00526A3C">
        <w:t xml:space="preserve"> </w:t>
      </w:r>
      <w:r w:rsidR="00C47D4D">
        <w:t xml:space="preserve">for </w:t>
      </w:r>
      <w:r w:rsidR="00825335">
        <w:t>productivity cost</w:t>
      </w:r>
      <w:r w:rsidR="00A11379">
        <w:t>s</w:t>
      </w:r>
      <w:r w:rsidR="00825335">
        <w:t xml:space="preserve"> estimation</w:t>
      </w:r>
    </w:p>
    <w:tbl>
      <w:tblPr>
        <w:tblStyle w:val="TableGrid"/>
        <w:tblW w:w="4956" w:type="pct"/>
        <w:tblLook w:val="04A0" w:firstRow="1" w:lastRow="0" w:firstColumn="1" w:lastColumn="0" w:noHBand="0" w:noVBand="1"/>
      </w:tblPr>
      <w:tblGrid>
        <w:gridCol w:w="4136"/>
        <w:gridCol w:w="2702"/>
        <w:gridCol w:w="1260"/>
        <w:gridCol w:w="1170"/>
      </w:tblGrid>
      <w:tr w:rsidR="00955FAE" w:rsidRPr="007E0F0B" w14:paraId="3EDB5A66" w14:textId="77777777" w:rsidTr="7067623D">
        <w:tc>
          <w:tcPr>
            <w:tcW w:w="2231" w:type="pct"/>
            <w:vAlign w:val="center"/>
          </w:tcPr>
          <w:p w14:paraId="2E27653D" w14:textId="77777777" w:rsidR="00955FAE" w:rsidRPr="0097486A" w:rsidRDefault="00955FAE" w:rsidP="0097486A">
            <w:pPr>
              <w:jc w:val="center"/>
              <w:rPr>
                <w:rFonts w:cstheme="minorHAnsi"/>
                <w:b/>
                <w:bCs/>
                <w:sz w:val="22"/>
                <w:szCs w:val="22"/>
              </w:rPr>
            </w:pPr>
            <w:r w:rsidRPr="0097486A">
              <w:rPr>
                <w:rFonts w:cstheme="minorHAnsi"/>
                <w:b/>
                <w:bCs/>
                <w:sz w:val="22"/>
                <w:szCs w:val="22"/>
              </w:rPr>
              <w:t>Parameter Description</w:t>
            </w:r>
          </w:p>
        </w:tc>
        <w:tc>
          <w:tcPr>
            <w:tcW w:w="1457" w:type="pct"/>
            <w:vAlign w:val="center"/>
          </w:tcPr>
          <w:p w14:paraId="38639EAA" w14:textId="77777777" w:rsidR="00955FAE" w:rsidRPr="0097486A" w:rsidRDefault="00955FAE" w:rsidP="0097486A">
            <w:pPr>
              <w:jc w:val="center"/>
              <w:rPr>
                <w:rFonts w:cstheme="minorHAnsi"/>
                <w:b/>
                <w:bCs/>
                <w:sz w:val="22"/>
                <w:szCs w:val="22"/>
              </w:rPr>
            </w:pPr>
            <w:r w:rsidRPr="0097486A">
              <w:rPr>
                <w:rFonts w:cstheme="minorHAnsi"/>
                <w:b/>
                <w:bCs/>
                <w:sz w:val="22"/>
                <w:szCs w:val="22"/>
              </w:rPr>
              <w:t>Base Value</w:t>
            </w:r>
          </w:p>
        </w:tc>
        <w:tc>
          <w:tcPr>
            <w:tcW w:w="680" w:type="pct"/>
            <w:vAlign w:val="center"/>
          </w:tcPr>
          <w:p w14:paraId="60CAC0DD" w14:textId="77777777" w:rsidR="00955FAE" w:rsidRPr="0097486A" w:rsidRDefault="00955FAE" w:rsidP="0097486A">
            <w:pPr>
              <w:jc w:val="center"/>
              <w:rPr>
                <w:rFonts w:cstheme="minorHAnsi"/>
                <w:b/>
                <w:bCs/>
                <w:sz w:val="22"/>
                <w:szCs w:val="22"/>
              </w:rPr>
            </w:pPr>
            <w:r w:rsidRPr="0097486A">
              <w:rPr>
                <w:rFonts w:cstheme="minorHAnsi"/>
                <w:b/>
                <w:bCs/>
                <w:sz w:val="22"/>
                <w:szCs w:val="22"/>
              </w:rPr>
              <w:t>Range</w:t>
            </w:r>
          </w:p>
        </w:tc>
        <w:tc>
          <w:tcPr>
            <w:tcW w:w="631" w:type="pct"/>
            <w:vAlign w:val="center"/>
          </w:tcPr>
          <w:p w14:paraId="5D55C7B5" w14:textId="77777777" w:rsidR="00955FAE" w:rsidRPr="0097486A" w:rsidRDefault="00955FAE" w:rsidP="0097486A">
            <w:pPr>
              <w:jc w:val="center"/>
              <w:rPr>
                <w:rFonts w:cstheme="minorHAnsi"/>
                <w:b/>
                <w:bCs/>
                <w:sz w:val="22"/>
                <w:szCs w:val="22"/>
              </w:rPr>
            </w:pPr>
            <w:r w:rsidRPr="0097486A">
              <w:rPr>
                <w:rFonts w:cstheme="minorHAnsi"/>
                <w:b/>
                <w:bCs/>
                <w:sz w:val="22"/>
                <w:szCs w:val="22"/>
              </w:rPr>
              <w:t>Source</w:t>
            </w:r>
          </w:p>
        </w:tc>
      </w:tr>
      <w:tr w:rsidR="001A7BCD" w:rsidRPr="007E0F0B" w14:paraId="514E14EE" w14:textId="77777777" w:rsidTr="7067623D">
        <w:tc>
          <w:tcPr>
            <w:tcW w:w="2231" w:type="pct"/>
            <w:vAlign w:val="center"/>
          </w:tcPr>
          <w:p w14:paraId="0027C743" w14:textId="610153BA" w:rsidR="00955FAE" w:rsidRDefault="005C5F17" w:rsidP="00300934">
            <w:pPr>
              <w:rPr>
                <w:rFonts w:cstheme="minorHAnsi"/>
                <w:sz w:val="22"/>
                <w:szCs w:val="22"/>
              </w:rPr>
            </w:pPr>
            <w:r>
              <w:rPr>
                <w:rFonts w:cstheme="minorHAnsi"/>
                <w:sz w:val="22"/>
                <w:szCs w:val="22"/>
              </w:rPr>
              <w:t>S</w:t>
            </w:r>
            <w:r w:rsidR="00955FAE" w:rsidRPr="007E0F0B">
              <w:rPr>
                <w:rFonts w:cstheme="minorHAnsi"/>
                <w:sz w:val="22"/>
                <w:szCs w:val="22"/>
              </w:rPr>
              <w:t>tate-</w:t>
            </w:r>
            <w:r>
              <w:rPr>
                <w:rFonts w:cstheme="minorHAnsi"/>
                <w:sz w:val="22"/>
                <w:szCs w:val="22"/>
              </w:rPr>
              <w:t xml:space="preserve"> and year-</w:t>
            </w:r>
            <w:r w:rsidR="00955FAE" w:rsidRPr="007E0F0B">
              <w:rPr>
                <w:rFonts w:cstheme="minorHAnsi"/>
                <w:sz w:val="22"/>
                <w:szCs w:val="22"/>
              </w:rPr>
              <w:t xml:space="preserve">specific average hourly wages for parents </w:t>
            </w:r>
          </w:p>
          <w:p w14:paraId="1113FE67" w14:textId="3013237B" w:rsidR="00955FAE" w:rsidRPr="007E0F0B" w:rsidRDefault="00955FAE" w:rsidP="7067623D">
            <w:pPr>
              <w:rPr>
                <w:sz w:val="22"/>
                <w:szCs w:val="22"/>
              </w:rPr>
            </w:pPr>
            <w:r w:rsidRPr="7067623D">
              <w:rPr>
                <w:sz w:val="22"/>
                <w:szCs w:val="22"/>
              </w:rPr>
              <w:t>(2019 USD; BLS code 00-0000)</w:t>
            </w:r>
          </w:p>
        </w:tc>
        <w:tc>
          <w:tcPr>
            <w:tcW w:w="1457" w:type="pct"/>
            <w:vAlign w:val="center"/>
          </w:tcPr>
          <w:p w14:paraId="47137D93" w14:textId="77777777" w:rsidR="00955FAE" w:rsidRPr="007E0F0B" w:rsidRDefault="00955FAE" w:rsidP="00955FAE">
            <w:pPr>
              <w:pStyle w:val="ListParagraph"/>
              <w:numPr>
                <w:ilvl w:val="0"/>
                <w:numId w:val="6"/>
              </w:numPr>
              <w:rPr>
                <w:rFonts w:cstheme="minorHAnsi"/>
                <w:sz w:val="22"/>
                <w:szCs w:val="22"/>
              </w:rPr>
            </w:pPr>
            <w:r w:rsidRPr="007E0F0B">
              <w:rPr>
                <w:rFonts w:cstheme="minorHAnsi"/>
                <w:sz w:val="22"/>
                <w:szCs w:val="22"/>
              </w:rPr>
              <w:t xml:space="preserve">2012: $18.9‒$40.7 </w:t>
            </w:r>
          </w:p>
          <w:p w14:paraId="51C55589" w14:textId="77777777" w:rsidR="00955FAE" w:rsidRDefault="00955FAE" w:rsidP="00955FAE">
            <w:pPr>
              <w:pStyle w:val="ListParagraph"/>
              <w:numPr>
                <w:ilvl w:val="0"/>
                <w:numId w:val="6"/>
              </w:numPr>
              <w:rPr>
                <w:rFonts w:cstheme="minorHAnsi"/>
                <w:sz w:val="22"/>
                <w:szCs w:val="22"/>
              </w:rPr>
            </w:pPr>
            <w:r w:rsidRPr="007E0F0B">
              <w:rPr>
                <w:rFonts w:cstheme="minorHAnsi"/>
                <w:sz w:val="22"/>
                <w:szCs w:val="22"/>
              </w:rPr>
              <w:t>2013: $19.0‒$40.6</w:t>
            </w:r>
          </w:p>
          <w:p w14:paraId="1A6F52B9" w14:textId="77777777" w:rsidR="00955FAE" w:rsidRPr="007E0F0B" w:rsidRDefault="00955FAE" w:rsidP="00955FAE">
            <w:pPr>
              <w:pStyle w:val="ListParagraph"/>
              <w:numPr>
                <w:ilvl w:val="0"/>
                <w:numId w:val="6"/>
              </w:numPr>
              <w:rPr>
                <w:rFonts w:cstheme="minorHAnsi"/>
                <w:sz w:val="22"/>
                <w:szCs w:val="22"/>
              </w:rPr>
            </w:pPr>
            <w:r w:rsidRPr="007E0F0B">
              <w:rPr>
                <w:rFonts w:cstheme="minorHAnsi"/>
                <w:sz w:val="22"/>
                <w:szCs w:val="22"/>
              </w:rPr>
              <w:t>201</w:t>
            </w:r>
            <w:r>
              <w:rPr>
                <w:rFonts w:cstheme="minorHAnsi"/>
                <w:sz w:val="22"/>
                <w:szCs w:val="22"/>
              </w:rPr>
              <w:t>4</w:t>
            </w:r>
            <w:r w:rsidRPr="007E0F0B">
              <w:rPr>
                <w:rFonts w:cstheme="minorHAnsi"/>
                <w:sz w:val="22"/>
                <w:szCs w:val="22"/>
              </w:rPr>
              <w:t>: $19.</w:t>
            </w:r>
            <w:r>
              <w:rPr>
                <w:rFonts w:cstheme="minorHAnsi"/>
                <w:sz w:val="22"/>
                <w:szCs w:val="22"/>
              </w:rPr>
              <w:t>2</w:t>
            </w:r>
            <w:r w:rsidRPr="007E0F0B">
              <w:rPr>
                <w:rFonts w:cstheme="minorHAnsi"/>
                <w:sz w:val="22"/>
                <w:szCs w:val="22"/>
              </w:rPr>
              <w:t>‒$40.</w:t>
            </w:r>
            <w:r>
              <w:rPr>
                <w:rFonts w:cstheme="minorHAnsi"/>
                <w:sz w:val="22"/>
                <w:szCs w:val="22"/>
              </w:rPr>
              <w:t>8</w:t>
            </w:r>
          </w:p>
          <w:p w14:paraId="3BC5308A" w14:textId="77777777" w:rsidR="00955FAE" w:rsidRDefault="00955FAE" w:rsidP="00955FAE">
            <w:pPr>
              <w:pStyle w:val="ListParagraph"/>
              <w:numPr>
                <w:ilvl w:val="0"/>
                <w:numId w:val="6"/>
              </w:numPr>
              <w:rPr>
                <w:rFonts w:cstheme="minorHAnsi"/>
                <w:sz w:val="22"/>
                <w:szCs w:val="22"/>
              </w:rPr>
            </w:pPr>
            <w:r>
              <w:rPr>
                <w:rFonts w:cstheme="minorHAnsi"/>
                <w:sz w:val="22"/>
                <w:szCs w:val="22"/>
              </w:rPr>
              <w:t>2015: $19.5</w:t>
            </w:r>
            <w:r w:rsidRPr="007E0F0B">
              <w:rPr>
                <w:rFonts w:cstheme="minorHAnsi"/>
                <w:sz w:val="22"/>
                <w:szCs w:val="22"/>
              </w:rPr>
              <w:t>‒</w:t>
            </w:r>
            <w:r>
              <w:rPr>
                <w:rFonts w:cstheme="minorHAnsi"/>
                <w:sz w:val="22"/>
                <w:szCs w:val="22"/>
              </w:rPr>
              <w:t>$41.6</w:t>
            </w:r>
          </w:p>
          <w:p w14:paraId="16E3F3DB" w14:textId="77777777" w:rsidR="00955FAE" w:rsidRDefault="00955FAE" w:rsidP="00955FAE">
            <w:pPr>
              <w:pStyle w:val="ListParagraph"/>
              <w:numPr>
                <w:ilvl w:val="0"/>
                <w:numId w:val="6"/>
              </w:numPr>
              <w:rPr>
                <w:rFonts w:cstheme="minorHAnsi"/>
                <w:sz w:val="22"/>
                <w:szCs w:val="22"/>
              </w:rPr>
            </w:pPr>
            <w:r>
              <w:rPr>
                <w:rFonts w:cstheme="minorHAnsi"/>
                <w:sz w:val="22"/>
                <w:szCs w:val="22"/>
              </w:rPr>
              <w:t>2016: $19.6</w:t>
            </w:r>
            <w:r w:rsidRPr="007E0F0B">
              <w:rPr>
                <w:rFonts w:cstheme="minorHAnsi"/>
                <w:sz w:val="22"/>
                <w:szCs w:val="22"/>
              </w:rPr>
              <w:t>‒</w:t>
            </w:r>
            <w:r>
              <w:rPr>
                <w:rFonts w:cstheme="minorHAnsi"/>
                <w:sz w:val="22"/>
                <w:szCs w:val="22"/>
              </w:rPr>
              <w:t>$42.5</w:t>
            </w:r>
          </w:p>
          <w:p w14:paraId="420EC43E" w14:textId="77777777" w:rsidR="00955FAE" w:rsidRDefault="00955FAE" w:rsidP="00955FAE">
            <w:pPr>
              <w:pStyle w:val="ListParagraph"/>
              <w:numPr>
                <w:ilvl w:val="0"/>
                <w:numId w:val="6"/>
              </w:numPr>
              <w:rPr>
                <w:rFonts w:cstheme="minorHAnsi"/>
                <w:sz w:val="22"/>
                <w:szCs w:val="22"/>
              </w:rPr>
            </w:pPr>
            <w:r>
              <w:rPr>
                <w:rFonts w:cstheme="minorHAnsi"/>
                <w:sz w:val="22"/>
                <w:szCs w:val="22"/>
              </w:rPr>
              <w:t>2017: $19.5</w:t>
            </w:r>
            <w:r w:rsidRPr="007E0F0B">
              <w:rPr>
                <w:rFonts w:cstheme="minorHAnsi"/>
                <w:sz w:val="22"/>
                <w:szCs w:val="22"/>
              </w:rPr>
              <w:t>‒</w:t>
            </w:r>
            <w:r>
              <w:rPr>
                <w:rFonts w:cstheme="minorHAnsi"/>
                <w:sz w:val="22"/>
                <w:szCs w:val="22"/>
              </w:rPr>
              <w:t>$43.0</w:t>
            </w:r>
          </w:p>
          <w:p w14:paraId="4B8B5464" w14:textId="77777777" w:rsidR="00955FAE" w:rsidRDefault="00955FAE" w:rsidP="00955FAE">
            <w:pPr>
              <w:pStyle w:val="ListParagraph"/>
              <w:numPr>
                <w:ilvl w:val="0"/>
                <w:numId w:val="6"/>
              </w:numPr>
              <w:rPr>
                <w:rFonts w:cstheme="minorHAnsi"/>
                <w:sz w:val="22"/>
                <w:szCs w:val="22"/>
              </w:rPr>
            </w:pPr>
            <w:r>
              <w:rPr>
                <w:rFonts w:cstheme="minorHAnsi"/>
                <w:sz w:val="22"/>
                <w:szCs w:val="22"/>
              </w:rPr>
              <w:t>2018: $19.3</w:t>
            </w:r>
            <w:r w:rsidRPr="007E0F0B">
              <w:rPr>
                <w:rFonts w:cstheme="minorHAnsi"/>
                <w:sz w:val="22"/>
                <w:szCs w:val="22"/>
              </w:rPr>
              <w:t>‒</w:t>
            </w:r>
            <w:r>
              <w:rPr>
                <w:rFonts w:cstheme="minorHAnsi"/>
                <w:sz w:val="22"/>
                <w:szCs w:val="22"/>
              </w:rPr>
              <w:t>$43.0</w:t>
            </w:r>
          </w:p>
          <w:p w14:paraId="3B316050" w14:textId="77777777" w:rsidR="00955FAE" w:rsidRPr="003B23D1" w:rsidRDefault="00955FAE" w:rsidP="00955FAE">
            <w:pPr>
              <w:pStyle w:val="ListParagraph"/>
              <w:numPr>
                <w:ilvl w:val="0"/>
                <w:numId w:val="6"/>
              </w:numPr>
              <w:rPr>
                <w:rFonts w:cstheme="minorHAnsi"/>
                <w:sz w:val="22"/>
                <w:szCs w:val="22"/>
              </w:rPr>
            </w:pPr>
            <w:r>
              <w:rPr>
                <w:rFonts w:cstheme="minorHAnsi"/>
                <w:sz w:val="22"/>
                <w:szCs w:val="22"/>
              </w:rPr>
              <w:t>2019</w:t>
            </w:r>
            <w:r w:rsidRPr="003B23D1">
              <w:rPr>
                <w:rFonts w:cstheme="minorHAnsi"/>
                <w:sz w:val="22"/>
                <w:szCs w:val="22"/>
              </w:rPr>
              <w:t xml:space="preserve">: $19.3‒$43.2 </w:t>
            </w:r>
          </w:p>
          <w:p w14:paraId="7048AAB0" w14:textId="0D0EE81F" w:rsidR="00955FAE" w:rsidRPr="0095078B" w:rsidRDefault="00955FAE" w:rsidP="00300934">
            <w:pPr>
              <w:rPr>
                <w:rFonts w:cstheme="minorHAnsi"/>
              </w:rPr>
            </w:pPr>
            <w:r w:rsidRPr="003B23D1">
              <w:rPr>
                <w:rFonts w:cstheme="minorHAnsi"/>
                <w:sz w:val="22"/>
                <w:szCs w:val="22"/>
              </w:rPr>
              <w:t>(varie</w:t>
            </w:r>
            <w:r w:rsidR="009F4065">
              <w:rPr>
                <w:rFonts w:cstheme="minorHAnsi"/>
                <w:sz w:val="22"/>
                <w:szCs w:val="22"/>
              </w:rPr>
              <w:t>s</w:t>
            </w:r>
            <w:r w:rsidRPr="003B23D1">
              <w:rPr>
                <w:rFonts w:cstheme="minorHAnsi"/>
                <w:sz w:val="22"/>
                <w:szCs w:val="22"/>
              </w:rPr>
              <w:t xml:space="preserve"> by state)</w:t>
            </w:r>
          </w:p>
        </w:tc>
        <w:tc>
          <w:tcPr>
            <w:tcW w:w="680" w:type="pct"/>
            <w:vAlign w:val="center"/>
          </w:tcPr>
          <w:p w14:paraId="2EC902AC" w14:textId="77777777" w:rsidR="00955FAE" w:rsidRPr="007E0F0B" w:rsidRDefault="00955FAE" w:rsidP="00300934">
            <w:pPr>
              <w:jc w:val="center"/>
              <w:rPr>
                <w:rFonts w:cstheme="minorHAnsi"/>
                <w:sz w:val="22"/>
                <w:szCs w:val="22"/>
              </w:rPr>
            </w:pPr>
            <w:r w:rsidRPr="007E0F0B">
              <w:rPr>
                <w:rFonts w:cstheme="minorHAnsi"/>
                <w:sz w:val="22"/>
                <w:szCs w:val="22"/>
              </w:rPr>
              <w:t>NA</w:t>
            </w:r>
          </w:p>
        </w:tc>
        <w:tc>
          <w:tcPr>
            <w:tcW w:w="631" w:type="pct"/>
            <w:vAlign w:val="center"/>
          </w:tcPr>
          <w:p w14:paraId="70784724" w14:textId="434E7927" w:rsidR="00955FAE" w:rsidRPr="007E0F0B" w:rsidRDefault="00E52AFE" w:rsidP="00300934">
            <w:pPr>
              <w:jc w:val="center"/>
              <w:rPr>
                <w:rFonts w:cstheme="minorHAnsi"/>
                <w:sz w:val="22"/>
                <w:szCs w:val="22"/>
              </w:rPr>
            </w:pPr>
            <w:r>
              <w:rPr>
                <w:rFonts w:cstheme="minorHAnsi"/>
              </w:rPr>
              <w:fldChar w:fldCharType="begin"/>
            </w:r>
            <w:r>
              <w:rPr>
                <w:rFonts w:cstheme="minorHAnsi"/>
                <w:sz w:val="22"/>
                <w:szCs w:val="22"/>
              </w:rPr>
              <w:instrText xml:space="preserve"> ADDIN EN.CITE &lt;EndNote&gt;&lt;Cite&gt;&lt;Year&gt;2022&lt;/Year&gt;&lt;RecNum&gt;103&lt;/RecNum&gt;&lt;DisplayText&gt;[1]&lt;/DisplayText&gt;&lt;record&gt;&lt;rec-number&gt;103&lt;/rec-number&gt;&lt;foreign-keys&gt;&lt;key app="EN" db-id="rrvxx5xepft2a4edp9dvrv5ltvwzxz5xtape" timestamp="1660072953"&gt;103&lt;/key&gt;&lt;/foreign-keys&gt;&lt;ref-type name="Web Page"&gt;12&lt;/ref-type&gt;&lt;contributors&gt;&lt;/contributors&gt;&lt;titles&gt;&lt;title&gt;Occupational Employment and Wage Statistics.&lt;/title&gt;&lt;/titles&gt;&lt;volume&gt;2022&lt;/volume&gt;&lt;number&gt;March 15&lt;/number&gt;&lt;dates&gt;&lt;year&gt;2022&lt;/year&gt;&lt;/dates&gt;&lt;pub-location&gt;Washington, DC&lt;/pub-location&gt;&lt;publisher&gt;U.S. Bureau of Labor Statistics&lt;/publisher&gt;&lt;urls&gt;&lt;related-urls&gt;&lt;url&gt;https://www.bls.gov/oes/current/oessrcst.htm&lt;/url&gt;&lt;/related-urls&gt;&lt;/urls&gt;&lt;/record&gt;&lt;/Cite&gt;&lt;/EndNote&gt;</w:instrText>
            </w:r>
            <w:r>
              <w:rPr>
                <w:rFonts w:cstheme="minorHAnsi"/>
              </w:rPr>
              <w:fldChar w:fldCharType="separate"/>
            </w:r>
            <w:r>
              <w:rPr>
                <w:rFonts w:cstheme="minorHAnsi"/>
                <w:noProof/>
                <w:sz w:val="22"/>
                <w:szCs w:val="22"/>
              </w:rPr>
              <w:t>[1]</w:t>
            </w:r>
            <w:r>
              <w:rPr>
                <w:rFonts w:cstheme="minorHAnsi"/>
              </w:rPr>
              <w:fldChar w:fldCharType="end"/>
            </w:r>
          </w:p>
        </w:tc>
      </w:tr>
      <w:tr w:rsidR="00955FAE" w:rsidRPr="007E0F0B" w14:paraId="43D3E6BC" w14:textId="77777777" w:rsidTr="7067623D">
        <w:tc>
          <w:tcPr>
            <w:tcW w:w="2231" w:type="pct"/>
            <w:vAlign w:val="center"/>
          </w:tcPr>
          <w:p w14:paraId="3B85DB2F" w14:textId="48BDB004" w:rsidR="00955FAE" w:rsidRPr="007E0F0B" w:rsidRDefault="00955FAE" w:rsidP="00300934">
            <w:pPr>
              <w:rPr>
                <w:rFonts w:cstheme="minorHAnsi"/>
                <w:sz w:val="22"/>
                <w:szCs w:val="22"/>
              </w:rPr>
            </w:pPr>
            <w:r w:rsidRPr="007E0F0B">
              <w:rPr>
                <w:rFonts w:cstheme="minorHAnsi"/>
                <w:sz w:val="22"/>
                <w:szCs w:val="22"/>
              </w:rPr>
              <w:t>State-</w:t>
            </w:r>
            <w:r w:rsidR="005C5F17">
              <w:rPr>
                <w:rFonts w:cstheme="minorHAnsi"/>
                <w:sz w:val="22"/>
                <w:szCs w:val="22"/>
              </w:rPr>
              <w:t xml:space="preserve"> and year-</w:t>
            </w:r>
            <w:r w:rsidRPr="007E0F0B">
              <w:rPr>
                <w:rFonts w:cstheme="minorHAnsi"/>
                <w:sz w:val="22"/>
                <w:szCs w:val="22"/>
              </w:rPr>
              <w:t xml:space="preserve">specific average </w:t>
            </w:r>
            <w:r>
              <w:rPr>
                <w:rFonts w:cstheme="minorHAnsi"/>
                <w:sz w:val="22"/>
                <w:szCs w:val="22"/>
              </w:rPr>
              <w:t>annual</w:t>
            </w:r>
            <w:r w:rsidRPr="007E0F0B">
              <w:rPr>
                <w:rFonts w:cstheme="minorHAnsi"/>
                <w:sz w:val="22"/>
                <w:szCs w:val="22"/>
              </w:rPr>
              <w:t xml:space="preserve"> wages for </w:t>
            </w:r>
            <w:r>
              <w:rPr>
                <w:rFonts w:cstheme="minorHAnsi"/>
                <w:sz w:val="22"/>
                <w:szCs w:val="22"/>
              </w:rPr>
              <w:t>elementary and middle school teachers (2019 USD; BLS code 25-2021)</w:t>
            </w:r>
          </w:p>
        </w:tc>
        <w:tc>
          <w:tcPr>
            <w:tcW w:w="1457" w:type="pct"/>
            <w:vAlign w:val="center"/>
          </w:tcPr>
          <w:p w14:paraId="1936630F" w14:textId="77777777" w:rsidR="00955FAE" w:rsidRPr="007E0F0B" w:rsidRDefault="00955FAE" w:rsidP="00955FAE">
            <w:pPr>
              <w:pStyle w:val="ListParagraph"/>
              <w:numPr>
                <w:ilvl w:val="0"/>
                <w:numId w:val="6"/>
              </w:numPr>
              <w:rPr>
                <w:rFonts w:cstheme="minorHAnsi"/>
                <w:sz w:val="22"/>
                <w:szCs w:val="22"/>
              </w:rPr>
            </w:pPr>
            <w:r w:rsidRPr="007E0F0B">
              <w:rPr>
                <w:rFonts w:cstheme="minorHAnsi"/>
                <w:sz w:val="22"/>
                <w:szCs w:val="22"/>
              </w:rPr>
              <w:t>2012: $</w:t>
            </w:r>
            <w:r>
              <w:rPr>
                <w:rFonts w:cstheme="minorHAnsi"/>
                <w:sz w:val="22"/>
                <w:szCs w:val="22"/>
              </w:rPr>
              <w:t>44,429</w:t>
            </w:r>
            <w:r w:rsidRPr="007E0F0B">
              <w:rPr>
                <w:rFonts w:cstheme="minorHAnsi"/>
                <w:sz w:val="22"/>
                <w:szCs w:val="22"/>
              </w:rPr>
              <w:t>‒$</w:t>
            </w:r>
            <w:r>
              <w:rPr>
                <w:rFonts w:cstheme="minorHAnsi"/>
                <w:sz w:val="22"/>
                <w:szCs w:val="22"/>
              </w:rPr>
              <w:t>82,744</w:t>
            </w:r>
            <w:r w:rsidRPr="007E0F0B">
              <w:rPr>
                <w:rFonts w:cstheme="minorHAnsi"/>
                <w:sz w:val="22"/>
                <w:szCs w:val="22"/>
              </w:rPr>
              <w:t xml:space="preserve"> </w:t>
            </w:r>
          </w:p>
          <w:p w14:paraId="5682E6C7" w14:textId="77777777" w:rsidR="00955FAE" w:rsidRDefault="00955FAE" w:rsidP="00955FAE">
            <w:pPr>
              <w:pStyle w:val="ListParagraph"/>
              <w:numPr>
                <w:ilvl w:val="0"/>
                <w:numId w:val="6"/>
              </w:numPr>
              <w:rPr>
                <w:rFonts w:cstheme="minorHAnsi"/>
                <w:sz w:val="22"/>
                <w:szCs w:val="22"/>
              </w:rPr>
            </w:pPr>
            <w:r w:rsidRPr="007E0F0B">
              <w:rPr>
                <w:rFonts w:cstheme="minorHAnsi"/>
                <w:sz w:val="22"/>
                <w:szCs w:val="22"/>
              </w:rPr>
              <w:t>2013: $</w:t>
            </w:r>
            <w:r>
              <w:rPr>
                <w:rFonts w:cstheme="minorHAnsi"/>
                <w:sz w:val="22"/>
                <w:szCs w:val="22"/>
              </w:rPr>
              <w:t>44,335</w:t>
            </w:r>
            <w:r w:rsidRPr="007E0F0B">
              <w:rPr>
                <w:rFonts w:cstheme="minorHAnsi"/>
                <w:sz w:val="22"/>
                <w:szCs w:val="22"/>
              </w:rPr>
              <w:t>‒$</w:t>
            </w:r>
            <w:r>
              <w:rPr>
                <w:rFonts w:cstheme="minorHAnsi"/>
                <w:sz w:val="22"/>
                <w:szCs w:val="22"/>
              </w:rPr>
              <w:t>80,154</w:t>
            </w:r>
          </w:p>
          <w:p w14:paraId="76DC4033" w14:textId="77777777" w:rsidR="00955FAE" w:rsidRPr="007E0F0B" w:rsidRDefault="00955FAE" w:rsidP="00955FAE">
            <w:pPr>
              <w:pStyle w:val="ListParagraph"/>
              <w:numPr>
                <w:ilvl w:val="0"/>
                <w:numId w:val="6"/>
              </w:numPr>
              <w:rPr>
                <w:rFonts w:cstheme="minorHAnsi"/>
                <w:sz w:val="22"/>
                <w:szCs w:val="22"/>
              </w:rPr>
            </w:pPr>
            <w:r w:rsidRPr="007E0F0B">
              <w:rPr>
                <w:rFonts w:cstheme="minorHAnsi"/>
                <w:sz w:val="22"/>
                <w:szCs w:val="22"/>
              </w:rPr>
              <w:t>201</w:t>
            </w:r>
            <w:r>
              <w:rPr>
                <w:rFonts w:cstheme="minorHAnsi"/>
                <w:sz w:val="22"/>
                <w:szCs w:val="22"/>
              </w:rPr>
              <w:t>4</w:t>
            </w:r>
            <w:r w:rsidRPr="007E0F0B">
              <w:rPr>
                <w:rFonts w:cstheme="minorHAnsi"/>
                <w:sz w:val="22"/>
                <w:szCs w:val="22"/>
              </w:rPr>
              <w:t>: $</w:t>
            </w:r>
            <w:r>
              <w:rPr>
                <w:rFonts w:cstheme="minorHAnsi"/>
                <w:sz w:val="22"/>
                <w:szCs w:val="22"/>
              </w:rPr>
              <w:t>44,287</w:t>
            </w:r>
            <w:r w:rsidRPr="007E0F0B">
              <w:rPr>
                <w:rFonts w:cstheme="minorHAnsi"/>
                <w:sz w:val="22"/>
                <w:szCs w:val="22"/>
              </w:rPr>
              <w:t>‒$</w:t>
            </w:r>
            <w:r>
              <w:rPr>
                <w:rFonts w:cstheme="minorHAnsi"/>
                <w:sz w:val="22"/>
                <w:szCs w:val="22"/>
              </w:rPr>
              <w:t>80,809</w:t>
            </w:r>
          </w:p>
          <w:p w14:paraId="7A97D18B" w14:textId="77777777" w:rsidR="00955FAE" w:rsidRDefault="00955FAE" w:rsidP="00955FAE">
            <w:pPr>
              <w:pStyle w:val="ListParagraph"/>
              <w:numPr>
                <w:ilvl w:val="0"/>
                <w:numId w:val="6"/>
              </w:numPr>
              <w:rPr>
                <w:rFonts w:cstheme="minorHAnsi"/>
                <w:sz w:val="22"/>
                <w:szCs w:val="22"/>
              </w:rPr>
            </w:pPr>
            <w:r>
              <w:rPr>
                <w:rFonts w:cstheme="minorHAnsi"/>
                <w:sz w:val="22"/>
                <w:szCs w:val="22"/>
              </w:rPr>
              <w:t>2015: $45,042</w:t>
            </w:r>
            <w:r w:rsidRPr="007E0F0B">
              <w:rPr>
                <w:rFonts w:cstheme="minorHAnsi"/>
                <w:sz w:val="22"/>
                <w:szCs w:val="22"/>
              </w:rPr>
              <w:t>‒</w:t>
            </w:r>
            <w:r>
              <w:rPr>
                <w:rFonts w:cstheme="minorHAnsi"/>
                <w:sz w:val="22"/>
                <w:szCs w:val="22"/>
              </w:rPr>
              <w:t>$81,650</w:t>
            </w:r>
          </w:p>
          <w:p w14:paraId="2D4ECCCA" w14:textId="77777777" w:rsidR="00955FAE" w:rsidRDefault="00955FAE" w:rsidP="00955FAE">
            <w:pPr>
              <w:pStyle w:val="ListParagraph"/>
              <w:numPr>
                <w:ilvl w:val="0"/>
                <w:numId w:val="6"/>
              </w:numPr>
              <w:rPr>
                <w:rFonts w:cstheme="minorHAnsi"/>
                <w:sz w:val="22"/>
                <w:szCs w:val="22"/>
              </w:rPr>
            </w:pPr>
            <w:r>
              <w:rPr>
                <w:rFonts w:cstheme="minorHAnsi"/>
                <w:sz w:val="22"/>
                <w:szCs w:val="22"/>
              </w:rPr>
              <w:t>2016: $43,833</w:t>
            </w:r>
            <w:r w:rsidRPr="007E0F0B">
              <w:rPr>
                <w:rFonts w:cstheme="minorHAnsi"/>
                <w:sz w:val="22"/>
                <w:szCs w:val="22"/>
              </w:rPr>
              <w:t>‒</w:t>
            </w:r>
            <w:r>
              <w:rPr>
                <w:rFonts w:cstheme="minorHAnsi"/>
                <w:sz w:val="22"/>
                <w:szCs w:val="22"/>
              </w:rPr>
              <w:t>$82,372</w:t>
            </w:r>
          </w:p>
          <w:p w14:paraId="43132EA2" w14:textId="77777777" w:rsidR="00955FAE" w:rsidRDefault="00955FAE" w:rsidP="00955FAE">
            <w:pPr>
              <w:pStyle w:val="ListParagraph"/>
              <w:numPr>
                <w:ilvl w:val="0"/>
                <w:numId w:val="6"/>
              </w:numPr>
              <w:rPr>
                <w:rFonts w:cstheme="minorHAnsi"/>
                <w:sz w:val="22"/>
                <w:szCs w:val="22"/>
              </w:rPr>
            </w:pPr>
            <w:r>
              <w:rPr>
                <w:rFonts w:cstheme="minorHAnsi"/>
                <w:sz w:val="22"/>
                <w:szCs w:val="22"/>
              </w:rPr>
              <w:t>2017: $42,273</w:t>
            </w:r>
            <w:r w:rsidRPr="007E0F0B">
              <w:rPr>
                <w:rFonts w:cstheme="minorHAnsi"/>
                <w:sz w:val="22"/>
                <w:szCs w:val="22"/>
              </w:rPr>
              <w:t>‒</w:t>
            </w:r>
            <w:r>
              <w:rPr>
                <w:rFonts w:cstheme="minorHAnsi"/>
                <w:sz w:val="22"/>
                <w:szCs w:val="22"/>
              </w:rPr>
              <w:t>$84,003</w:t>
            </w:r>
          </w:p>
          <w:p w14:paraId="51F0E11B" w14:textId="77777777" w:rsidR="00955FAE" w:rsidRDefault="00955FAE" w:rsidP="00955FAE">
            <w:pPr>
              <w:pStyle w:val="ListParagraph"/>
              <w:numPr>
                <w:ilvl w:val="0"/>
                <w:numId w:val="6"/>
              </w:numPr>
              <w:rPr>
                <w:rFonts w:cstheme="minorHAnsi"/>
                <w:sz w:val="22"/>
                <w:szCs w:val="22"/>
              </w:rPr>
            </w:pPr>
            <w:r>
              <w:rPr>
                <w:rFonts w:cstheme="minorHAnsi"/>
                <w:sz w:val="22"/>
                <w:szCs w:val="22"/>
              </w:rPr>
              <w:t>2018: $41,182</w:t>
            </w:r>
            <w:r w:rsidRPr="007E0F0B">
              <w:rPr>
                <w:rFonts w:cstheme="minorHAnsi"/>
                <w:sz w:val="22"/>
                <w:szCs w:val="22"/>
              </w:rPr>
              <w:t>‒</w:t>
            </w:r>
            <w:r>
              <w:rPr>
                <w:rFonts w:cstheme="minorHAnsi"/>
                <w:sz w:val="22"/>
                <w:szCs w:val="22"/>
              </w:rPr>
              <w:t>$84,512</w:t>
            </w:r>
          </w:p>
          <w:p w14:paraId="20F8A400" w14:textId="77777777" w:rsidR="00955FAE" w:rsidRPr="003B23D1" w:rsidRDefault="00955FAE" w:rsidP="00955FAE">
            <w:pPr>
              <w:pStyle w:val="ListParagraph"/>
              <w:numPr>
                <w:ilvl w:val="0"/>
                <w:numId w:val="6"/>
              </w:numPr>
              <w:rPr>
                <w:rFonts w:cstheme="minorHAnsi"/>
                <w:sz w:val="22"/>
                <w:szCs w:val="22"/>
              </w:rPr>
            </w:pPr>
            <w:r>
              <w:rPr>
                <w:rFonts w:cstheme="minorHAnsi"/>
                <w:sz w:val="22"/>
                <w:szCs w:val="22"/>
              </w:rPr>
              <w:t>2019</w:t>
            </w:r>
            <w:r w:rsidRPr="003B23D1">
              <w:rPr>
                <w:rFonts w:cstheme="minorHAnsi"/>
                <w:sz w:val="22"/>
                <w:szCs w:val="22"/>
              </w:rPr>
              <w:t>: $44,060‒$82,830</w:t>
            </w:r>
          </w:p>
          <w:p w14:paraId="7DB849A5" w14:textId="0FEBADEE" w:rsidR="00955FAE" w:rsidRPr="007E0F0B" w:rsidRDefault="00955FAE" w:rsidP="00300934">
            <w:pPr>
              <w:rPr>
                <w:rFonts w:cstheme="minorHAnsi"/>
                <w:sz w:val="22"/>
                <w:szCs w:val="22"/>
              </w:rPr>
            </w:pPr>
            <w:r w:rsidRPr="003B23D1">
              <w:rPr>
                <w:rFonts w:cstheme="minorHAnsi"/>
                <w:sz w:val="22"/>
                <w:szCs w:val="22"/>
              </w:rPr>
              <w:t>(varie</w:t>
            </w:r>
            <w:r w:rsidR="009F4065">
              <w:rPr>
                <w:rFonts w:cstheme="minorHAnsi"/>
                <w:sz w:val="22"/>
                <w:szCs w:val="22"/>
              </w:rPr>
              <w:t>s</w:t>
            </w:r>
            <w:r w:rsidRPr="003B23D1">
              <w:rPr>
                <w:rFonts w:cstheme="minorHAnsi"/>
                <w:sz w:val="22"/>
                <w:szCs w:val="22"/>
              </w:rPr>
              <w:t xml:space="preserve"> by state)</w:t>
            </w:r>
          </w:p>
        </w:tc>
        <w:tc>
          <w:tcPr>
            <w:tcW w:w="680" w:type="pct"/>
            <w:vAlign w:val="center"/>
          </w:tcPr>
          <w:p w14:paraId="21EE413E" w14:textId="77777777" w:rsidR="00955FAE" w:rsidRPr="007E0F0B" w:rsidRDefault="00955FAE" w:rsidP="00300934">
            <w:pPr>
              <w:jc w:val="center"/>
              <w:rPr>
                <w:rFonts w:cstheme="minorHAnsi"/>
                <w:sz w:val="22"/>
                <w:szCs w:val="22"/>
              </w:rPr>
            </w:pPr>
            <w:r w:rsidRPr="007E0F0B">
              <w:rPr>
                <w:rFonts w:cstheme="minorHAnsi"/>
                <w:sz w:val="22"/>
                <w:szCs w:val="22"/>
              </w:rPr>
              <w:t>NA</w:t>
            </w:r>
          </w:p>
        </w:tc>
        <w:tc>
          <w:tcPr>
            <w:tcW w:w="631" w:type="pct"/>
            <w:vAlign w:val="center"/>
          </w:tcPr>
          <w:p w14:paraId="4C49BC91" w14:textId="77777777" w:rsidR="00955FAE" w:rsidRPr="007E0F0B" w:rsidRDefault="00955FAE" w:rsidP="00300934">
            <w:pPr>
              <w:jc w:val="center"/>
              <w:rPr>
                <w:rFonts w:cstheme="minorHAnsi"/>
                <w:sz w:val="22"/>
                <w:szCs w:val="22"/>
              </w:rPr>
            </w:pPr>
            <w:r>
              <w:rPr>
                <w:rFonts w:cstheme="minorHAnsi"/>
              </w:rPr>
              <w:fldChar w:fldCharType="begin"/>
            </w:r>
            <w:r>
              <w:rPr>
                <w:rFonts w:cstheme="minorHAnsi"/>
                <w:sz w:val="22"/>
                <w:szCs w:val="22"/>
              </w:rPr>
              <w:instrText xml:space="preserve"> ADDIN EN.CITE &lt;EndNote&gt;&lt;Cite&gt;&lt;Year&gt;2022&lt;/Year&gt;&lt;RecNum&gt;103&lt;/RecNum&gt;&lt;DisplayText&gt;[1]&lt;/DisplayText&gt;&lt;record&gt;&lt;rec-number&gt;103&lt;/rec-number&gt;&lt;foreign-keys&gt;&lt;key app="EN" db-id="rrvxx5xepft2a4edp9dvrv5ltvwzxz5xtape" timestamp="1660072953"&gt;103&lt;/key&gt;&lt;/foreign-keys&gt;&lt;ref-type name="Web Page"&gt;12&lt;/ref-type&gt;&lt;contributors&gt;&lt;/contributors&gt;&lt;titles&gt;&lt;title&gt;Occupational Employment and Wage Statistics.&lt;/title&gt;&lt;/titles&gt;&lt;volume&gt;2022&lt;/volume&gt;&lt;number&gt;March 15&lt;/number&gt;&lt;dates&gt;&lt;year&gt;2022&lt;/year&gt;&lt;/dates&gt;&lt;pub-location&gt;Washington, DC&lt;/pub-location&gt;&lt;publisher&gt;U.S. Bureau of Labor Statistics&lt;/publisher&gt;&lt;urls&gt;&lt;related-urls&gt;&lt;url&gt;https://www.bls.gov/oes/current/oessrcst.htm&lt;/url&gt;&lt;/related-urls&gt;&lt;/urls&gt;&lt;/record&gt;&lt;/Cite&gt;&lt;/EndNote&gt;</w:instrText>
            </w:r>
            <w:r>
              <w:rPr>
                <w:rFonts w:cstheme="minorHAnsi"/>
              </w:rPr>
              <w:fldChar w:fldCharType="separate"/>
            </w:r>
            <w:r>
              <w:rPr>
                <w:rFonts w:cstheme="minorHAnsi"/>
                <w:noProof/>
                <w:sz w:val="22"/>
                <w:szCs w:val="22"/>
              </w:rPr>
              <w:t>[1]</w:t>
            </w:r>
            <w:r>
              <w:rPr>
                <w:rFonts w:cstheme="minorHAnsi"/>
              </w:rPr>
              <w:fldChar w:fldCharType="end"/>
            </w:r>
          </w:p>
        </w:tc>
      </w:tr>
      <w:tr w:rsidR="00955FAE" w:rsidRPr="007E0F0B" w14:paraId="3E6BFB67" w14:textId="77777777" w:rsidTr="7067623D">
        <w:tc>
          <w:tcPr>
            <w:tcW w:w="2231" w:type="pct"/>
            <w:vAlign w:val="center"/>
          </w:tcPr>
          <w:p w14:paraId="33478EE4" w14:textId="294C4EF3" w:rsidR="00955FAE" w:rsidRPr="007E0F0B" w:rsidRDefault="00955FAE" w:rsidP="00300934">
            <w:pPr>
              <w:rPr>
                <w:rFonts w:cstheme="minorHAnsi"/>
                <w:sz w:val="22"/>
                <w:szCs w:val="22"/>
              </w:rPr>
            </w:pPr>
            <w:r w:rsidRPr="007E0F0B">
              <w:rPr>
                <w:rFonts w:cstheme="minorHAnsi"/>
                <w:sz w:val="22"/>
                <w:szCs w:val="22"/>
              </w:rPr>
              <w:t>State-</w:t>
            </w:r>
            <w:r w:rsidR="00F25984">
              <w:rPr>
                <w:rFonts w:cstheme="minorHAnsi"/>
                <w:sz w:val="22"/>
                <w:szCs w:val="22"/>
              </w:rPr>
              <w:t xml:space="preserve"> and year-</w:t>
            </w:r>
            <w:r w:rsidRPr="007E0F0B">
              <w:rPr>
                <w:rFonts w:cstheme="minorHAnsi"/>
                <w:sz w:val="22"/>
                <w:szCs w:val="22"/>
              </w:rPr>
              <w:t xml:space="preserve">specific average </w:t>
            </w:r>
            <w:r>
              <w:rPr>
                <w:rFonts w:cstheme="minorHAnsi"/>
                <w:sz w:val="22"/>
                <w:szCs w:val="22"/>
              </w:rPr>
              <w:t>annual</w:t>
            </w:r>
            <w:r w:rsidRPr="007E0F0B">
              <w:rPr>
                <w:rFonts w:cstheme="minorHAnsi"/>
                <w:sz w:val="22"/>
                <w:szCs w:val="22"/>
              </w:rPr>
              <w:t xml:space="preserve"> wages for </w:t>
            </w:r>
            <w:r>
              <w:rPr>
                <w:rFonts w:cstheme="minorHAnsi"/>
                <w:sz w:val="22"/>
                <w:szCs w:val="22"/>
              </w:rPr>
              <w:t>high school teachers (2019 USD; BLS code 25-2031)</w:t>
            </w:r>
          </w:p>
        </w:tc>
        <w:tc>
          <w:tcPr>
            <w:tcW w:w="1457" w:type="pct"/>
            <w:vAlign w:val="center"/>
          </w:tcPr>
          <w:p w14:paraId="5B419D70"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 xml:space="preserve">2012: $44,618‒$82,544 </w:t>
            </w:r>
          </w:p>
          <w:p w14:paraId="7F41BF01"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2013: $44,478‒$82,579</w:t>
            </w:r>
          </w:p>
          <w:p w14:paraId="18498A18"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2014: $45,853‒$82,807</w:t>
            </w:r>
          </w:p>
          <w:p w14:paraId="58437097"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2015: $46,337‒$86,881</w:t>
            </w:r>
          </w:p>
          <w:p w14:paraId="2E4341B3"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2016: $45,228‒$87,368</w:t>
            </w:r>
          </w:p>
          <w:p w14:paraId="653C38A2"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2017: $43,681‒$89,093</w:t>
            </w:r>
          </w:p>
          <w:p w14:paraId="52557910"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2018: $43,310‒$86,844</w:t>
            </w:r>
          </w:p>
          <w:p w14:paraId="34124F54" w14:textId="77777777" w:rsidR="00955FAE" w:rsidRPr="003B23D1" w:rsidRDefault="00955FAE" w:rsidP="00955FAE">
            <w:pPr>
              <w:pStyle w:val="ListParagraph"/>
              <w:numPr>
                <w:ilvl w:val="0"/>
                <w:numId w:val="6"/>
              </w:numPr>
              <w:rPr>
                <w:rFonts w:cstheme="minorHAnsi"/>
                <w:sz w:val="22"/>
                <w:szCs w:val="22"/>
              </w:rPr>
            </w:pPr>
            <w:r w:rsidRPr="003B23D1">
              <w:rPr>
                <w:rFonts w:cstheme="minorHAnsi"/>
                <w:sz w:val="22"/>
                <w:szCs w:val="22"/>
              </w:rPr>
              <w:t>2019: $44,610‒$87,240</w:t>
            </w:r>
          </w:p>
          <w:p w14:paraId="3D7A0E4D" w14:textId="5F7C2D92" w:rsidR="00955FAE" w:rsidRPr="003B23D1" w:rsidRDefault="00955FAE" w:rsidP="00300934">
            <w:pPr>
              <w:rPr>
                <w:rFonts w:cstheme="minorHAnsi"/>
                <w:sz w:val="22"/>
                <w:szCs w:val="22"/>
              </w:rPr>
            </w:pPr>
            <w:r w:rsidRPr="003B23D1">
              <w:rPr>
                <w:rFonts w:cstheme="minorHAnsi"/>
                <w:sz w:val="22"/>
                <w:szCs w:val="22"/>
              </w:rPr>
              <w:t>(varie</w:t>
            </w:r>
            <w:r w:rsidR="009F4065">
              <w:rPr>
                <w:rFonts w:cstheme="minorHAnsi"/>
                <w:sz w:val="22"/>
                <w:szCs w:val="22"/>
              </w:rPr>
              <w:t>s</w:t>
            </w:r>
            <w:r w:rsidRPr="003B23D1">
              <w:rPr>
                <w:rFonts w:cstheme="minorHAnsi"/>
                <w:sz w:val="22"/>
                <w:szCs w:val="22"/>
              </w:rPr>
              <w:t xml:space="preserve"> by state)</w:t>
            </w:r>
          </w:p>
        </w:tc>
        <w:tc>
          <w:tcPr>
            <w:tcW w:w="680" w:type="pct"/>
            <w:vAlign w:val="center"/>
          </w:tcPr>
          <w:p w14:paraId="0E837013" w14:textId="77777777" w:rsidR="00955FAE" w:rsidRPr="007E0F0B" w:rsidRDefault="00955FAE" w:rsidP="00300934">
            <w:pPr>
              <w:jc w:val="center"/>
              <w:rPr>
                <w:rFonts w:cstheme="minorHAnsi"/>
                <w:sz w:val="22"/>
                <w:szCs w:val="22"/>
              </w:rPr>
            </w:pPr>
            <w:r w:rsidRPr="007E0F0B">
              <w:rPr>
                <w:rFonts w:cstheme="minorHAnsi"/>
                <w:sz w:val="22"/>
                <w:szCs w:val="22"/>
              </w:rPr>
              <w:t>NA</w:t>
            </w:r>
          </w:p>
        </w:tc>
        <w:tc>
          <w:tcPr>
            <w:tcW w:w="631" w:type="pct"/>
            <w:vAlign w:val="center"/>
          </w:tcPr>
          <w:p w14:paraId="636F430B" w14:textId="77777777" w:rsidR="00955FAE" w:rsidRPr="007E0F0B" w:rsidRDefault="00955FAE" w:rsidP="00300934">
            <w:pPr>
              <w:jc w:val="center"/>
              <w:rPr>
                <w:rFonts w:cstheme="minorHAnsi"/>
                <w:sz w:val="22"/>
                <w:szCs w:val="22"/>
              </w:rPr>
            </w:pPr>
            <w:r>
              <w:rPr>
                <w:rFonts w:cstheme="minorHAnsi"/>
              </w:rPr>
              <w:fldChar w:fldCharType="begin"/>
            </w:r>
            <w:r>
              <w:rPr>
                <w:rFonts w:cstheme="minorHAnsi"/>
                <w:sz w:val="22"/>
                <w:szCs w:val="22"/>
              </w:rPr>
              <w:instrText xml:space="preserve"> ADDIN EN.CITE &lt;EndNote&gt;&lt;Cite&gt;&lt;Year&gt;2022&lt;/Year&gt;&lt;RecNum&gt;103&lt;/RecNum&gt;&lt;DisplayText&gt;[1]&lt;/DisplayText&gt;&lt;record&gt;&lt;rec-number&gt;103&lt;/rec-number&gt;&lt;foreign-keys&gt;&lt;key app="EN" db-id="rrvxx5xepft2a4edp9dvrv5ltvwzxz5xtape" timestamp="1660072953"&gt;103&lt;/key&gt;&lt;/foreign-keys&gt;&lt;ref-type name="Web Page"&gt;12&lt;/ref-type&gt;&lt;contributors&gt;&lt;/contributors&gt;&lt;titles&gt;&lt;title&gt;Occupational Employment and Wage Statistics.&lt;/title&gt;&lt;/titles&gt;&lt;volume&gt;2022&lt;/volume&gt;&lt;number&gt;March 15&lt;/number&gt;&lt;dates&gt;&lt;year&gt;2022&lt;/year&gt;&lt;/dates&gt;&lt;pub-location&gt;Washington, DC&lt;/pub-location&gt;&lt;publisher&gt;U.S. Bureau of Labor Statistics&lt;/publisher&gt;&lt;urls&gt;&lt;related-urls&gt;&lt;url&gt;https://www.bls.gov/oes/current/oessrcst.htm&lt;/url&gt;&lt;/related-urls&gt;&lt;/urls&gt;&lt;/record&gt;&lt;/Cite&gt;&lt;/EndNote&gt;</w:instrText>
            </w:r>
            <w:r>
              <w:rPr>
                <w:rFonts w:cstheme="minorHAnsi"/>
              </w:rPr>
              <w:fldChar w:fldCharType="separate"/>
            </w:r>
            <w:r>
              <w:rPr>
                <w:rFonts w:cstheme="minorHAnsi"/>
                <w:noProof/>
                <w:sz w:val="22"/>
                <w:szCs w:val="22"/>
              </w:rPr>
              <w:t>[1]</w:t>
            </w:r>
            <w:r>
              <w:rPr>
                <w:rFonts w:cstheme="minorHAnsi"/>
              </w:rPr>
              <w:fldChar w:fldCharType="end"/>
            </w:r>
          </w:p>
        </w:tc>
      </w:tr>
      <w:tr w:rsidR="00955FAE" w:rsidRPr="007E0F0B" w14:paraId="375A8B77" w14:textId="77777777" w:rsidTr="7067623D">
        <w:tc>
          <w:tcPr>
            <w:tcW w:w="2231" w:type="pct"/>
            <w:vAlign w:val="center"/>
          </w:tcPr>
          <w:p w14:paraId="4F98624D" w14:textId="39ED1707" w:rsidR="00955FAE" w:rsidRPr="007E0F0B" w:rsidRDefault="00040956" w:rsidP="00300934">
            <w:pPr>
              <w:rPr>
                <w:rFonts w:cstheme="minorHAnsi"/>
                <w:sz w:val="22"/>
                <w:szCs w:val="22"/>
              </w:rPr>
            </w:pPr>
            <w:r>
              <w:rPr>
                <w:rFonts w:cstheme="minorHAnsi"/>
                <w:sz w:val="22"/>
                <w:szCs w:val="22"/>
              </w:rPr>
              <w:t>W</w:t>
            </w:r>
            <w:r w:rsidR="00955FAE">
              <w:rPr>
                <w:rFonts w:cstheme="minorHAnsi"/>
                <w:sz w:val="22"/>
                <w:szCs w:val="22"/>
              </w:rPr>
              <w:t>eighted average of national daily wage for non-teaching school staff (2019 USD</w:t>
            </w:r>
            <w:r w:rsidR="00163D4A">
              <w:rPr>
                <w:rFonts w:cstheme="minorHAnsi"/>
                <w:sz w:val="22"/>
                <w:szCs w:val="22"/>
              </w:rPr>
              <w:t>, varies by year</w:t>
            </w:r>
            <w:r w:rsidR="00955FAE">
              <w:rPr>
                <w:rFonts w:cstheme="minorHAnsi"/>
                <w:sz w:val="22"/>
                <w:szCs w:val="22"/>
              </w:rPr>
              <w:t>)</w:t>
            </w:r>
          </w:p>
        </w:tc>
        <w:tc>
          <w:tcPr>
            <w:tcW w:w="1457" w:type="pct"/>
            <w:vAlign w:val="center"/>
          </w:tcPr>
          <w:p w14:paraId="2400138B" w14:textId="456D4FB5" w:rsidR="00955FAE" w:rsidRPr="003B23D1" w:rsidRDefault="00955FAE" w:rsidP="00625932">
            <w:pPr>
              <w:jc w:val="center"/>
              <w:rPr>
                <w:rFonts w:cstheme="minorHAnsi"/>
                <w:sz w:val="22"/>
                <w:szCs w:val="22"/>
              </w:rPr>
            </w:pPr>
            <w:r w:rsidRPr="003B23D1">
              <w:rPr>
                <w:rFonts w:cstheme="minorHAnsi"/>
                <w:sz w:val="22"/>
                <w:szCs w:val="22"/>
              </w:rPr>
              <w:t>$56,646</w:t>
            </w:r>
            <w:r w:rsidR="00E47209" w:rsidRPr="003B23D1">
              <w:rPr>
                <w:rFonts w:cstheme="minorHAnsi"/>
                <w:sz w:val="22"/>
                <w:szCs w:val="22"/>
              </w:rPr>
              <w:t>‒</w:t>
            </w:r>
            <w:r w:rsidRPr="003B23D1">
              <w:rPr>
                <w:rFonts w:cstheme="minorHAnsi"/>
                <w:sz w:val="22"/>
                <w:szCs w:val="22"/>
              </w:rPr>
              <w:t>$59,495</w:t>
            </w:r>
          </w:p>
        </w:tc>
        <w:tc>
          <w:tcPr>
            <w:tcW w:w="680" w:type="pct"/>
            <w:vAlign w:val="center"/>
          </w:tcPr>
          <w:p w14:paraId="31FA80BB" w14:textId="77777777" w:rsidR="00955FAE" w:rsidRPr="007E0F0B" w:rsidRDefault="00955FAE" w:rsidP="00300934">
            <w:pPr>
              <w:jc w:val="center"/>
              <w:rPr>
                <w:rFonts w:cstheme="minorHAnsi"/>
                <w:sz w:val="22"/>
                <w:szCs w:val="22"/>
              </w:rPr>
            </w:pPr>
            <w:r w:rsidRPr="007E0F0B">
              <w:rPr>
                <w:rFonts w:cstheme="minorHAnsi"/>
                <w:sz w:val="22"/>
                <w:szCs w:val="22"/>
              </w:rPr>
              <w:t>NA</w:t>
            </w:r>
          </w:p>
        </w:tc>
        <w:tc>
          <w:tcPr>
            <w:tcW w:w="631" w:type="pct"/>
            <w:vAlign w:val="center"/>
          </w:tcPr>
          <w:p w14:paraId="7229597A" w14:textId="77777777" w:rsidR="00955FAE" w:rsidRPr="007E0F0B" w:rsidRDefault="00955FAE" w:rsidP="00300934">
            <w:pPr>
              <w:jc w:val="center"/>
              <w:rPr>
                <w:rFonts w:cstheme="minorHAnsi"/>
                <w:sz w:val="22"/>
                <w:szCs w:val="22"/>
              </w:rPr>
            </w:pPr>
            <w:r>
              <w:rPr>
                <w:rFonts w:cstheme="minorHAnsi"/>
              </w:rPr>
              <w:fldChar w:fldCharType="begin">
                <w:fldData xml:space="preserve">PEVuZE5vdGU+PENpdGU+PFllYXI+MjAyMjwvWWVhcj48UmVjTnVtPjEwMzwvUmVjTnVtPjxEaXNw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=
</w:fldData>
              </w:fldChar>
            </w:r>
            <w:r>
              <w:rPr>
                <w:rFonts w:cstheme="minorHAnsi"/>
                <w:sz w:val="22"/>
                <w:szCs w:val="22"/>
              </w:rPr>
              <w:instrText xml:space="preserve"> ADDIN EN.CITE </w:instrText>
            </w:r>
            <w:r>
              <w:rPr>
                <w:rFonts w:cstheme="minorHAnsi"/>
              </w:rPr>
              <w:fldChar w:fldCharType="begin">
                <w:fldData xml:space="preserve">PEVuZE5vdGU+PENpdGU+PFllYXI+MjAyMjwvWWVhcj48UmVjTnVtPjEwMzwvUmVjTnVtPjxEaXNw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=
</w:fldData>
              </w:fldChar>
            </w:r>
            <w:r>
              <w:rPr>
                <w:rFonts w:cstheme="minorHAnsi"/>
                <w:sz w:val="22"/>
                <w:szCs w:val="22"/>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sz w:val="22"/>
                <w:szCs w:val="22"/>
              </w:rPr>
              <w:t>[1-3]</w:t>
            </w:r>
            <w:r>
              <w:rPr>
                <w:rFonts w:cstheme="minorHAnsi"/>
              </w:rPr>
              <w:fldChar w:fldCharType="end"/>
            </w:r>
          </w:p>
        </w:tc>
      </w:tr>
      <w:tr w:rsidR="000660C4" w:rsidRPr="007E0F0B" w14:paraId="23FEE459" w14:textId="77777777" w:rsidTr="7067623D">
        <w:tc>
          <w:tcPr>
            <w:tcW w:w="2231" w:type="pct"/>
          </w:tcPr>
          <w:p w14:paraId="27A52EAC" w14:textId="643A385D" w:rsidR="000660C4" w:rsidRPr="007E0F0B" w:rsidRDefault="000660C4" w:rsidP="000660C4">
            <w:pPr>
              <w:rPr>
                <w:rFonts w:cstheme="minorHAnsi"/>
                <w:sz w:val="22"/>
                <w:szCs w:val="22"/>
              </w:rPr>
            </w:pPr>
            <w:r w:rsidRPr="007E0F0B">
              <w:rPr>
                <w:rFonts w:cstheme="minorHAnsi"/>
                <w:sz w:val="22"/>
                <w:szCs w:val="22"/>
              </w:rPr>
              <w:t xml:space="preserve">Staff-student ratio </w:t>
            </w:r>
          </w:p>
        </w:tc>
        <w:tc>
          <w:tcPr>
            <w:tcW w:w="1457" w:type="pct"/>
            <w:vAlign w:val="center"/>
          </w:tcPr>
          <w:p w14:paraId="06FC392E" w14:textId="0900D056" w:rsidR="000660C4" w:rsidRPr="007E0F0B" w:rsidRDefault="000660C4" w:rsidP="000660C4">
            <w:pPr>
              <w:jc w:val="center"/>
              <w:rPr>
                <w:rFonts w:cstheme="minorHAnsi"/>
                <w:sz w:val="22"/>
                <w:szCs w:val="22"/>
              </w:rPr>
            </w:pPr>
            <w:r w:rsidRPr="007E0F0B">
              <w:rPr>
                <w:rFonts w:cstheme="minorHAnsi"/>
                <w:sz w:val="22"/>
                <w:szCs w:val="22"/>
              </w:rPr>
              <w:t>1:</w:t>
            </w:r>
            <w:r w:rsidR="002D1640">
              <w:rPr>
                <w:rFonts w:cstheme="minorHAnsi"/>
                <w:sz w:val="22"/>
                <w:szCs w:val="22"/>
              </w:rPr>
              <w:t>8</w:t>
            </w:r>
          </w:p>
        </w:tc>
        <w:tc>
          <w:tcPr>
            <w:tcW w:w="680" w:type="pct"/>
            <w:vAlign w:val="center"/>
          </w:tcPr>
          <w:p w14:paraId="152A5223" w14:textId="656A2A46" w:rsidR="000660C4" w:rsidRPr="007E0F0B" w:rsidRDefault="000660C4" w:rsidP="000660C4">
            <w:pPr>
              <w:jc w:val="center"/>
              <w:rPr>
                <w:rFonts w:cstheme="minorHAnsi"/>
                <w:sz w:val="22"/>
                <w:szCs w:val="22"/>
              </w:rPr>
            </w:pPr>
            <w:r w:rsidRPr="007E0F0B">
              <w:rPr>
                <w:rFonts w:cstheme="minorHAnsi"/>
                <w:sz w:val="22"/>
                <w:szCs w:val="22"/>
              </w:rPr>
              <w:t>NA</w:t>
            </w:r>
          </w:p>
        </w:tc>
        <w:tc>
          <w:tcPr>
            <w:tcW w:w="631" w:type="pct"/>
            <w:vAlign w:val="center"/>
          </w:tcPr>
          <w:p w14:paraId="139DB394" w14:textId="32F17512" w:rsidR="000660C4" w:rsidRPr="007E0F0B" w:rsidRDefault="009227A8" w:rsidP="000660C4">
            <w:pPr>
              <w:jc w:val="center"/>
              <w:rPr>
                <w:rFonts w:cstheme="minorHAnsi"/>
                <w:sz w:val="22"/>
                <w:szCs w:val="22"/>
              </w:rPr>
            </w:pPr>
            <w:r>
              <w:rPr>
                <w:rFonts w:cstheme="minorHAnsi"/>
              </w:rPr>
              <w:fldChar w:fldCharType="begin"/>
            </w:r>
            <w:r>
              <w:rPr>
                <w:rFonts w:cstheme="minorHAnsi"/>
                <w:sz w:val="22"/>
                <w:szCs w:val="22"/>
              </w:rPr>
              <w:instrText xml:space="preserve"> ADDIN EN.CITE &lt;EndNote&gt;&lt;Cite&gt;&lt;Year&gt;2022&lt;/Year&gt;&lt;RecNum&gt;106&lt;/RecNum&gt;&lt;DisplayText&gt;[4]&lt;/DisplayText&gt;&lt;record&gt;&lt;rec-number&gt;106&lt;/rec-number&gt;&lt;foreign-keys&gt;&lt;key app="EN" db-id="rrvxx5xepft2a4edp9dvrv5ltvwzxz5xtape" timestamp="1660159145"&gt;106&lt;/key&gt;&lt;/foreign-keys&gt;&lt;ref-type name="Web Page"&gt;12&lt;/ref-type&gt;&lt;contributors&gt;&lt;/contributors&gt;&lt;titles&gt;&lt;title&gt;Digest of Education Statistics 2021. Table 213.50. Staff, enrollment, and pupil/staff ratios in public elementary and secondary school systems, by state or jurisdiction: Selected years, fall 2000 through fall 2019&lt;/title&gt;&lt;/titles&gt;&lt;volume&gt;2022&lt;/volume&gt;&lt;number&gt;May 6&lt;/number&gt;&lt;dates&gt;&lt;year&gt;2022&lt;/year&gt;&lt;/dates&gt;&lt;pub-location&gt;Washington, DC&lt;/pub-location&gt;&lt;publisher&gt;National Center for Education Statistics, Institute of Education Sciences, U.S. Department of Education &lt;/publisher&gt;&lt;urls&gt;&lt;related-urls&gt;&lt;url&gt;https://nces.ed.gov/programs/digest/d21/tables/dt21_213.50.asp?current=yes&lt;/url&gt;&lt;/related-urls&gt;&lt;/urls&gt;&lt;/record&gt;&lt;/Cite&gt;&lt;/EndNote&gt;</w:instrText>
            </w:r>
            <w:r>
              <w:rPr>
                <w:rFonts w:cstheme="minorHAnsi"/>
              </w:rPr>
              <w:fldChar w:fldCharType="separate"/>
            </w:r>
            <w:r>
              <w:rPr>
                <w:rFonts w:cstheme="minorHAnsi"/>
                <w:noProof/>
                <w:sz w:val="22"/>
                <w:szCs w:val="22"/>
              </w:rPr>
              <w:t>[4]</w:t>
            </w:r>
            <w:r>
              <w:rPr>
                <w:rFonts w:cstheme="minorHAnsi"/>
              </w:rPr>
              <w:fldChar w:fldCharType="end"/>
            </w:r>
          </w:p>
        </w:tc>
      </w:tr>
      <w:tr w:rsidR="001A7BCD" w:rsidRPr="007E0F0B" w14:paraId="186E29BD" w14:textId="77777777" w:rsidTr="7067623D">
        <w:tc>
          <w:tcPr>
            <w:tcW w:w="2231" w:type="pct"/>
          </w:tcPr>
          <w:p w14:paraId="044CDB35" w14:textId="77777777" w:rsidR="000660C4" w:rsidRPr="007E0F0B" w:rsidRDefault="000660C4" w:rsidP="000660C4">
            <w:pPr>
              <w:rPr>
                <w:rFonts w:cstheme="minorHAnsi"/>
                <w:sz w:val="22"/>
                <w:szCs w:val="22"/>
              </w:rPr>
            </w:pPr>
            <w:r w:rsidRPr="007E0F0B">
              <w:rPr>
                <w:rFonts w:cstheme="minorHAnsi"/>
                <w:sz w:val="22"/>
                <w:szCs w:val="22"/>
              </w:rPr>
              <w:t>Average children per household</w:t>
            </w:r>
          </w:p>
        </w:tc>
        <w:tc>
          <w:tcPr>
            <w:tcW w:w="1457" w:type="pct"/>
            <w:vAlign w:val="center"/>
          </w:tcPr>
          <w:p w14:paraId="138240D8" w14:textId="77777777" w:rsidR="000660C4" w:rsidRPr="007E0F0B" w:rsidRDefault="000660C4" w:rsidP="000660C4">
            <w:pPr>
              <w:jc w:val="center"/>
              <w:rPr>
                <w:rFonts w:cstheme="minorHAnsi"/>
                <w:sz w:val="22"/>
                <w:szCs w:val="22"/>
              </w:rPr>
            </w:pPr>
            <w:r w:rsidRPr="007E0F0B">
              <w:rPr>
                <w:rFonts w:cstheme="minorHAnsi"/>
                <w:sz w:val="22"/>
                <w:szCs w:val="22"/>
              </w:rPr>
              <w:t>1.75</w:t>
            </w:r>
          </w:p>
        </w:tc>
        <w:tc>
          <w:tcPr>
            <w:tcW w:w="680" w:type="pct"/>
            <w:vAlign w:val="center"/>
          </w:tcPr>
          <w:p w14:paraId="06FE67FA" w14:textId="77777777" w:rsidR="000660C4" w:rsidRPr="007E0F0B" w:rsidRDefault="000660C4" w:rsidP="000660C4">
            <w:pPr>
              <w:jc w:val="center"/>
              <w:rPr>
                <w:rFonts w:cstheme="minorHAnsi"/>
                <w:sz w:val="22"/>
                <w:szCs w:val="22"/>
              </w:rPr>
            </w:pPr>
            <w:r w:rsidRPr="007E0F0B">
              <w:rPr>
                <w:rFonts w:cstheme="minorHAnsi"/>
                <w:sz w:val="22"/>
                <w:szCs w:val="22"/>
              </w:rPr>
              <w:t>NA</w:t>
            </w:r>
          </w:p>
        </w:tc>
        <w:tc>
          <w:tcPr>
            <w:tcW w:w="631" w:type="pct"/>
            <w:vAlign w:val="center"/>
          </w:tcPr>
          <w:p w14:paraId="68E79C90" w14:textId="247DCF5C" w:rsidR="000660C4" w:rsidRPr="007E0F0B" w:rsidRDefault="00920B8B" w:rsidP="000660C4">
            <w:pPr>
              <w:jc w:val="center"/>
              <w:rPr>
                <w:rFonts w:cstheme="minorHAnsi"/>
                <w:sz w:val="22"/>
                <w:szCs w:val="22"/>
              </w:rPr>
            </w:pPr>
            <w:r>
              <w:rPr>
                <w:rFonts w:cstheme="minorHAnsi"/>
              </w:rPr>
              <w:fldChar w:fldCharType="begin">
                <w:fldData xml:space="preserve">PEVuZE5vdGU+PENpdGU+PEF1dGhvcj5HZXJtYW5uPC9BdXRob3I+PFllYXI+MjAxOTwvWWVhcj48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</w:fldData>
              </w:fldChar>
            </w:r>
            <w:r>
              <w:rPr>
                <w:rFonts w:cstheme="minorHAnsi"/>
                <w:sz w:val="22"/>
                <w:szCs w:val="22"/>
              </w:rPr>
              <w:instrText xml:space="preserve"> ADDIN EN.CITE </w:instrText>
            </w:r>
            <w:r>
              <w:rPr>
                <w:rFonts w:cstheme="minorHAnsi"/>
              </w:rPr>
              <w:fldChar w:fldCharType="begin">
                <w:fldData xml:space="preserve">PEVuZE5vdGU+PENpdGU+PEF1dGhvcj5HZXJtYW5uPC9BdXRob3I+PFllYXI+MjAxOTwvWWVhcj48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</w:fldData>
              </w:fldChar>
            </w:r>
            <w:r>
              <w:rPr>
                <w:rFonts w:cstheme="minorHAnsi"/>
                <w:sz w:val="22"/>
                <w:szCs w:val="22"/>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sz w:val="22"/>
                <w:szCs w:val="22"/>
              </w:rPr>
              <w:t>[5]</w:t>
            </w:r>
            <w:r>
              <w:rPr>
                <w:rFonts w:cstheme="minorHAnsi"/>
              </w:rPr>
              <w:fldChar w:fldCharType="end"/>
            </w:r>
          </w:p>
        </w:tc>
      </w:tr>
      <w:tr w:rsidR="001A7BCD" w:rsidRPr="007E0F0B" w14:paraId="3A64385B" w14:textId="77777777" w:rsidTr="7067623D">
        <w:tc>
          <w:tcPr>
            <w:tcW w:w="2231" w:type="pct"/>
          </w:tcPr>
          <w:p w14:paraId="7ED721FA" w14:textId="0D979CA3" w:rsidR="000660C4" w:rsidRPr="007E0F0B" w:rsidRDefault="000660C4" w:rsidP="000660C4">
            <w:pPr>
              <w:rPr>
                <w:rFonts w:cstheme="minorHAnsi"/>
                <w:sz w:val="22"/>
                <w:szCs w:val="22"/>
              </w:rPr>
            </w:pPr>
            <w:r w:rsidRPr="007E0F0B">
              <w:rPr>
                <w:rFonts w:cstheme="minorHAnsi"/>
                <w:sz w:val="22"/>
                <w:szCs w:val="22"/>
              </w:rPr>
              <w:t>Fraction of households with children who missed work during unplanned school closures</w:t>
            </w:r>
          </w:p>
        </w:tc>
        <w:tc>
          <w:tcPr>
            <w:tcW w:w="1457" w:type="pct"/>
            <w:vAlign w:val="center"/>
          </w:tcPr>
          <w:p w14:paraId="1E3F67BD" w14:textId="1E0ABED5" w:rsidR="000660C4" w:rsidRPr="007E0F0B" w:rsidRDefault="000660C4" w:rsidP="000660C4">
            <w:pPr>
              <w:jc w:val="center"/>
              <w:rPr>
                <w:rFonts w:cstheme="minorHAnsi"/>
                <w:sz w:val="22"/>
                <w:szCs w:val="22"/>
              </w:rPr>
            </w:pPr>
            <w:r w:rsidRPr="007E0F0B">
              <w:rPr>
                <w:rFonts w:cstheme="minorHAnsi"/>
                <w:sz w:val="22"/>
                <w:szCs w:val="22"/>
              </w:rPr>
              <w:t>20%</w:t>
            </w:r>
            <w:r w:rsidR="00D31473">
              <w:rPr>
                <w:rFonts w:cstheme="minorHAnsi"/>
                <w:sz w:val="22"/>
                <w:szCs w:val="22"/>
              </w:rPr>
              <w:t xml:space="preserve"> </w:t>
            </w:r>
            <w:r w:rsidR="00AF513D">
              <w:rPr>
                <w:rFonts w:cstheme="minorHAnsi"/>
              </w:rPr>
              <w:fldChar w:fldCharType="begin"/>
            </w:r>
            <w:r w:rsidR="00AF513D">
              <w:rPr>
                <w:rFonts w:cstheme="minorHAnsi"/>
                <w:sz w:val="22"/>
                <w:szCs w:val="22"/>
              </w:rPr>
              <w:instrText xml:space="preserve"> ADDIN EN.CITE &lt;EndNote&gt;&lt;Cite&gt;&lt;Author&gt;Steelfisher&lt;/Author&gt;&lt;Year&gt;2010&lt;/Year&gt;&lt;RecNum&gt;110&lt;/RecNum&gt;&lt;DisplayText&gt;[6]&lt;/DisplayText&gt;&lt;record&gt;&lt;rec-number&gt;110&lt;/rec-number&gt;&lt;foreign-keys&gt;&lt;key app="EN" db-id="rrvxx5xepft2a4edp9dvrv5ltvwzxz5xtape" timestamp="1660229173"&gt;110&lt;/key&gt;&lt;/foreign-keys&gt;&lt;ref-type name="Journal Article"&gt;17&lt;/ref-type&gt;&lt;contributors&gt;&lt;authors&gt;&lt;author&gt;Steelfisher, G.K. &lt;/author&gt;&lt;author&gt;Blendon, R.J. &lt;/author&gt;&lt;author&gt;Bekheit, M.M.&lt;/author&gt;&lt;author&gt;Liddon, N. &lt;/author&gt;&lt;author&gt;Kahn, E. &lt;/author&gt;&lt;author&gt;Schieber, R. &lt;/author&gt;&lt;author&gt;Lubell, K.&lt;/author&gt;&lt;/authors&gt;&lt;/contributors&gt;&lt;titles&gt;&lt;title&gt;Parental attitudes and experiences during school dismissals related to 2009 influenza A (H1N1) --- United States, 2009&lt;/title&gt;&lt;secondary-title&gt;MMWR Morb Mortal Wkly Rep&lt;/secondary-title&gt;&lt;/titles&gt;&lt;periodical&gt;&lt;full-title&gt;MMWR Morb Mortal Wkly Rep&lt;/full-title&gt;&lt;/periodical&gt;&lt;pages&gt;1131-4&lt;/pages&gt;&lt;volume&gt;59&lt;/volume&gt;&lt;number&gt;35&lt;/number&gt;&lt;keywords&gt;&lt;keyword&gt;Adolescent&lt;/keyword&gt;&lt;keyword&gt;Adult&lt;/keyword&gt;&lt;keyword&gt;Attitude&lt;/keyword&gt;&lt;keyword&gt;Child&lt;/keyword&gt;&lt;keyword&gt;Child Day Care Centers&lt;/keyword&gt;&lt;keyword&gt;Data Collection&lt;/keyword&gt;&lt;keyword&gt;Decision Making&lt;/keyword&gt;&lt;keyword&gt;Disease Outbreaks&lt;/keyword&gt;&lt;keyword&gt;Humans&lt;/keyword&gt;&lt;keyword&gt;*Influenza A Virus, H1N1 Subtype&lt;/keyword&gt;&lt;keyword&gt;Influenza, Human/*epidemiology/prevention &amp;amp; control/transmission&lt;/keyword&gt;&lt;keyword&gt;Parents/*psychology&lt;/keyword&gt;&lt;keyword&gt;*Public Opinion&lt;/keyword&gt;&lt;keyword&gt;Public Policy&lt;/keyword&gt;&lt;keyword&gt;Schools/*organization &amp;amp; administration&lt;/keyword&gt;&lt;/keywords&gt;&lt;dates&gt;&lt;year&gt;2010&lt;/year&gt;&lt;pub-dates&gt;&lt;date&gt;Sep 10&lt;/date&gt;&lt;/pub-dates&gt;&lt;/dates&gt;&lt;isbn&gt;0149-2195&lt;/isbn&gt;&lt;accession-num&gt;20829746&lt;/accession-num&gt;&lt;urls&gt;&lt;/urls&gt;&lt;remote-database-provider&gt;NLM&lt;/remote-database-provider&gt;&lt;language&gt;eng&lt;/language&gt;&lt;/record&gt;&lt;/Cite&gt;&lt;/EndNote&gt;</w:instrText>
            </w:r>
            <w:r w:rsidR="00AF513D">
              <w:rPr>
                <w:rFonts w:cstheme="minorHAnsi"/>
              </w:rPr>
              <w:fldChar w:fldCharType="separate"/>
            </w:r>
            <w:r w:rsidR="00AF513D">
              <w:rPr>
                <w:rFonts w:cstheme="minorHAnsi"/>
                <w:noProof/>
                <w:sz w:val="22"/>
                <w:szCs w:val="22"/>
              </w:rPr>
              <w:t>[6]</w:t>
            </w:r>
            <w:r w:rsidR="00AF513D">
              <w:rPr>
                <w:rFonts w:cstheme="minorHAnsi"/>
              </w:rPr>
              <w:fldChar w:fldCharType="end"/>
            </w:r>
          </w:p>
        </w:tc>
        <w:tc>
          <w:tcPr>
            <w:tcW w:w="680" w:type="pct"/>
            <w:vAlign w:val="center"/>
          </w:tcPr>
          <w:p w14:paraId="017B7124" w14:textId="6DDB482B" w:rsidR="000660C4" w:rsidRPr="007E0F0B" w:rsidRDefault="000660C4" w:rsidP="000660C4">
            <w:pPr>
              <w:jc w:val="center"/>
              <w:rPr>
                <w:rFonts w:cstheme="minorHAnsi"/>
                <w:sz w:val="22"/>
                <w:szCs w:val="22"/>
              </w:rPr>
            </w:pPr>
            <w:r w:rsidRPr="007E0F0B">
              <w:rPr>
                <w:rFonts w:cstheme="minorHAnsi"/>
                <w:sz w:val="22"/>
                <w:szCs w:val="22"/>
              </w:rPr>
              <w:t>10%–45%</w:t>
            </w:r>
          </w:p>
        </w:tc>
        <w:tc>
          <w:tcPr>
            <w:tcW w:w="631" w:type="pct"/>
            <w:vAlign w:val="center"/>
          </w:tcPr>
          <w:p w14:paraId="77B01D62" w14:textId="6DDCF252" w:rsidR="000660C4" w:rsidRPr="007E0F0B" w:rsidRDefault="007F2BAE" w:rsidP="000660C4">
            <w:pPr>
              <w:jc w:val="center"/>
              <w:rPr>
                <w:rFonts w:cstheme="minorHAnsi"/>
                <w:sz w:val="22"/>
                <w:szCs w:val="22"/>
              </w:rPr>
            </w:pPr>
            <w:r>
              <w:fldChar w:fldCharType="begin">
                <w:fldData xml:space="preserve">PEVuZE5vdGU+PENpdGU+PEF1dGhvcj5TdGVlbGZpc2hlcjwvQXV0aG9yPjxZZWFyPjIwMTA8L1ll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</w:fldData>
              </w:fldChar>
            </w:r>
            <w:r>
              <w:instrText xml:space="preserve"> ADDIN EN.CITE </w:instrText>
            </w:r>
            <w:r>
              <w:fldChar w:fldCharType="begin">
                <w:fldData xml:space="preserve">PEVuZE5vdGU+PENpdGU+PEF1dGhvcj5TdGVlbGZpc2hlcjwvQXV0aG9yPjxZZWFyPjIwMTA8L1ll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</w:fldData>
              </w:fldChar>
            </w:r>
            <w:r>
              <w:instrText xml:space="preserve"> ADDIN EN.CITE.DATA </w:instrText>
            </w:r>
            <w:r>
              <w:fldChar w:fldCharType="end"/>
            </w:r>
            <w:r>
              <w:fldChar w:fldCharType="separate"/>
            </w:r>
            <w:r>
              <w:rPr>
                <w:noProof/>
              </w:rPr>
              <w:t>[6-11]</w:t>
            </w:r>
            <w:r>
              <w:fldChar w:fldCharType="end"/>
            </w:r>
          </w:p>
        </w:tc>
      </w:tr>
      <w:tr w:rsidR="001A7BCD" w:rsidRPr="007E0F0B" w14:paraId="73D650C7" w14:textId="77777777" w:rsidTr="7067623D">
        <w:tc>
          <w:tcPr>
            <w:tcW w:w="2231" w:type="pct"/>
          </w:tcPr>
          <w:p w14:paraId="6E5FDD1A" w14:textId="0C60D071" w:rsidR="000660C4" w:rsidRPr="007E0F0B" w:rsidRDefault="00CE6D7F" w:rsidP="000660C4">
            <w:pPr>
              <w:rPr>
                <w:rFonts w:cstheme="minorHAnsi"/>
                <w:sz w:val="22"/>
                <w:szCs w:val="22"/>
              </w:rPr>
            </w:pPr>
            <w:r>
              <w:rPr>
                <w:rFonts w:cstheme="minorHAnsi"/>
                <w:sz w:val="22"/>
                <w:szCs w:val="22"/>
              </w:rPr>
              <w:t>N</w:t>
            </w:r>
            <w:r w:rsidR="000660C4" w:rsidRPr="007E0F0B">
              <w:rPr>
                <w:rFonts w:cstheme="minorHAnsi"/>
                <w:sz w:val="22"/>
                <w:szCs w:val="22"/>
              </w:rPr>
              <w:t>onwage benefits as a fraction of total wage + nonwage pay for employees</w:t>
            </w:r>
            <w:r>
              <w:rPr>
                <w:rFonts w:cstheme="minorHAnsi"/>
                <w:sz w:val="22"/>
                <w:szCs w:val="22"/>
              </w:rPr>
              <w:t xml:space="preserve"> (varies by year)</w:t>
            </w:r>
          </w:p>
        </w:tc>
        <w:tc>
          <w:tcPr>
            <w:tcW w:w="1457" w:type="pct"/>
            <w:vAlign w:val="center"/>
          </w:tcPr>
          <w:p w14:paraId="6EB21DB6" w14:textId="78E5AD87" w:rsidR="000660C4" w:rsidRPr="007E0F0B" w:rsidRDefault="005262AA" w:rsidP="000660C4">
            <w:pPr>
              <w:jc w:val="center"/>
              <w:rPr>
                <w:rFonts w:cstheme="minorHAnsi"/>
                <w:sz w:val="22"/>
                <w:szCs w:val="22"/>
              </w:rPr>
            </w:pPr>
            <w:r>
              <w:rPr>
                <w:rFonts w:cstheme="minorHAnsi"/>
                <w:sz w:val="22"/>
                <w:szCs w:val="22"/>
              </w:rPr>
              <w:t>44.5%</w:t>
            </w:r>
            <w:r>
              <w:rPr>
                <w:rFonts w:ascii="Calibri" w:hAnsi="Calibri" w:cs="Calibri"/>
                <w:sz w:val="22"/>
                <w:szCs w:val="22"/>
              </w:rPr>
              <w:t>‒</w:t>
            </w:r>
            <w:r w:rsidR="000660C4" w:rsidRPr="007E0F0B">
              <w:rPr>
                <w:rFonts w:cstheme="minorHAnsi"/>
                <w:sz w:val="22"/>
                <w:szCs w:val="22"/>
              </w:rPr>
              <w:t>46</w:t>
            </w:r>
            <w:r w:rsidR="00522F4A">
              <w:rPr>
                <w:rFonts w:cstheme="minorHAnsi"/>
                <w:sz w:val="22"/>
                <w:szCs w:val="22"/>
              </w:rPr>
              <w:t>.4</w:t>
            </w:r>
            <w:r w:rsidR="000660C4" w:rsidRPr="007E0F0B">
              <w:rPr>
                <w:rFonts w:cstheme="minorHAnsi"/>
                <w:sz w:val="22"/>
                <w:szCs w:val="22"/>
              </w:rPr>
              <w:t>%</w:t>
            </w:r>
            <w:r w:rsidR="0042626D">
              <w:rPr>
                <w:rFonts w:cstheme="minorHAnsi"/>
                <w:sz w:val="22"/>
                <w:szCs w:val="22"/>
              </w:rPr>
              <w:t xml:space="preserve"> </w:t>
            </w:r>
          </w:p>
        </w:tc>
        <w:tc>
          <w:tcPr>
            <w:tcW w:w="680" w:type="pct"/>
            <w:vAlign w:val="center"/>
          </w:tcPr>
          <w:p w14:paraId="422AC548" w14:textId="5CAF25FB" w:rsidR="000660C4" w:rsidRPr="007E0F0B" w:rsidRDefault="00E41748" w:rsidP="000660C4">
            <w:pPr>
              <w:jc w:val="center"/>
              <w:rPr>
                <w:rFonts w:cstheme="minorHAnsi"/>
                <w:sz w:val="22"/>
                <w:szCs w:val="22"/>
              </w:rPr>
            </w:pPr>
            <w:r>
              <w:rPr>
                <w:rFonts w:cstheme="minorHAnsi"/>
                <w:sz w:val="22"/>
                <w:szCs w:val="22"/>
              </w:rPr>
              <w:t>NA</w:t>
            </w:r>
          </w:p>
        </w:tc>
        <w:tc>
          <w:tcPr>
            <w:tcW w:w="631" w:type="pct"/>
            <w:vAlign w:val="center"/>
          </w:tcPr>
          <w:p w14:paraId="7DDF1FDD" w14:textId="28BB44F3" w:rsidR="000660C4" w:rsidRPr="007E0F0B" w:rsidRDefault="00E41748" w:rsidP="000660C4">
            <w:pPr>
              <w:jc w:val="center"/>
              <w:rPr>
                <w:rFonts w:cstheme="minorHAnsi"/>
                <w:sz w:val="22"/>
                <w:szCs w:val="22"/>
              </w:rPr>
            </w:pPr>
            <w:r>
              <w:rPr>
                <w:rFonts w:cstheme="minorHAnsi"/>
              </w:rPr>
              <w:fldChar w:fldCharType="begin"/>
            </w:r>
            <w:r>
              <w:rPr>
                <w:rFonts w:cstheme="minorHAnsi"/>
                <w:sz w:val="22"/>
                <w:szCs w:val="22"/>
              </w:rPr>
              <w:instrText xml:space="preserve"> ADDIN EN.CITE &lt;EndNote&gt;&lt;Cite&gt;&lt;Year&gt;2022&lt;/Year&gt;&lt;RecNum&gt;105&lt;/RecNum&gt;&lt;DisplayText&gt;[12]&lt;/DisplayText&gt;&lt;record&gt;&lt;rec-number&gt;105&lt;/rec-number&gt;&lt;foreign-keys&gt;&lt;key app="EN" db-id="rrvxx5xepft2a4edp9dvrv5ltvwzxz5xtape" timestamp="1660141931"&gt;105&lt;/key&gt;&lt;/foreign-keys&gt;&lt;ref-type name="Web Page"&gt;12&lt;/ref-type&gt;&lt;contributors&gt;&lt;/contributors&gt;&lt;titles&gt;&lt;title&gt;Employer Costs for Employee Compensation.&lt;/title&gt;&lt;secondary-title&gt;Employer Costs for Employee Compensation Archived News Releases&lt;/secondary-title&gt;&lt;/titles&gt;&lt;volume&gt;2022&lt;/volume&gt;&lt;number&gt;March 31&lt;/number&gt;&lt;dates&gt;&lt;year&gt;2022&lt;/year&gt;&lt;pub-dates&gt;&lt;date&gt;June 17&lt;/date&gt;&lt;/pub-dates&gt;&lt;/dates&gt;&lt;pub-location&gt;Washington, DC&lt;/pub-location&gt;&lt;publisher&gt;U.S. Bureau of Labor Statistics&lt;/publisher&gt;&lt;urls&gt;&lt;related-urls&gt;&lt;url&gt;https://www.bls.gov/bls/news-release/ecec.htm#2011&lt;/url&gt;&lt;/related-urls&gt;&lt;/urls&gt;&lt;/record&gt;&lt;/Cite&gt;&lt;/EndNote&gt;</w:instrText>
            </w:r>
            <w:r>
              <w:rPr>
                <w:rFonts w:cstheme="minorHAnsi"/>
              </w:rPr>
              <w:fldChar w:fldCharType="separate"/>
            </w:r>
            <w:r>
              <w:rPr>
                <w:rFonts w:cstheme="minorHAnsi"/>
                <w:noProof/>
                <w:sz w:val="22"/>
                <w:szCs w:val="22"/>
              </w:rPr>
              <w:t>[12]</w:t>
            </w:r>
            <w:r>
              <w:rPr>
                <w:rFonts w:cstheme="minorHAnsi"/>
              </w:rPr>
              <w:fldChar w:fldCharType="end"/>
            </w:r>
          </w:p>
        </w:tc>
      </w:tr>
    </w:tbl>
    <w:p w14:paraId="33A2EA51" w14:textId="650649CA" w:rsidR="00455E8A" w:rsidRDefault="00025B2A">
      <w:pPr>
        <w:rPr>
          <w:b/>
          <w:bCs/>
        </w:rPr>
      </w:pPr>
      <w:r>
        <w:t xml:space="preserve">USD: US dollars, BLS: </w:t>
      </w:r>
      <w:r w:rsidR="00867ED0">
        <w:t>U.S. Bur</w:t>
      </w:r>
      <w:r w:rsidR="009109C9">
        <w:t xml:space="preserve">eau of Labor Statistics, </w:t>
      </w:r>
      <w:r>
        <w:t>NA: Not applicable</w:t>
      </w:r>
      <w:r w:rsidR="00455E8A">
        <w:rPr>
          <w:b/>
          <w:bCs/>
        </w:rPr>
        <w:br w:type="page"/>
      </w:r>
    </w:p>
    <w:p w14:paraId="3110FFDA" w14:textId="48FFC651" w:rsidR="00526A3C" w:rsidRDefault="00526A3C" w:rsidP="00E547A4">
      <w:pPr>
        <w:spacing w:line="240" w:lineRule="auto"/>
      </w:pPr>
      <w:r w:rsidRPr="00526A3C">
        <w:rPr>
          <w:b/>
          <w:bCs/>
        </w:rPr>
        <w:lastRenderedPageBreak/>
        <w:t xml:space="preserve">Appendix </w:t>
      </w:r>
      <w:r w:rsidR="003C5F2D">
        <w:rPr>
          <w:b/>
          <w:bCs/>
        </w:rPr>
        <w:t>2</w:t>
      </w:r>
      <w:r w:rsidRPr="00526A3C">
        <w:rPr>
          <w:b/>
          <w:bCs/>
        </w:rPr>
        <w:t xml:space="preserve">. </w:t>
      </w:r>
      <w:r w:rsidR="00A77788">
        <w:t xml:space="preserve">Mean annual </w:t>
      </w:r>
      <w:r w:rsidRPr="00526A3C">
        <w:t>number of ILI-related</w:t>
      </w:r>
      <w:r w:rsidR="008D464E">
        <w:t xml:space="preserve"> reactive</w:t>
      </w:r>
      <w:r w:rsidRPr="00526A3C">
        <w:t xml:space="preserve"> school closures and </w:t>
      </w:r>
      <w:r w:rsidR="005625B8">
        <w:t xml:space="preserve">mean annual </w:t>
      </w:r>
      <w:r w:rsidRPr="00526A3C">
        <w:t>productivity cost</w:t>
      </w:r>
      <w:r w:rsidR="005625B8">
        <w:t>s</w:t>
      </w:r>
      <w:r w:rsidRPr="00526A3C">
        <w:t>, by</w:t>
      </w:r>
      <w:r w:rsidR="006A5C74">
        <w:t xml:space="preserve"> study</w:t>
      </w:r>
      <w:r w:rsidRPr="00526A3C">
        <w:t xml:space="preserve"> period</w:t>
      </w:r>
    </w:p>
    <w:tbl>
      <w:tblPr>
        <w:tblW w:w="9805" w:type="dxa"/>
        <w:tblLook w:val="04A0" w:firstRow="1" w:lastRow="0" w:firstColumn="1" w:lastColumn="0" w:noHBand="0" w:noVBand="1"/>
      </w:tblPr>
      <w:tblGrid>
        <w:gridCol w:w="4135"/>
        <w:gridCol w:w="1890"/>
        <w:gridCol w:w="1890"/>
        <w:gridCol w:w="1890"/>
      </w:tblGrid>
      <w:tr w:rsidR="002666F8" w:rsidRPr="00F7733F" w14:paraId="3744260E" w14:textId="77777777" w:rsidTr="00DC3841">
        <w:trPr>
          <w:trHeight w:val="300"/>
        </w:trPr>
        <w:tc>
          <w:tcPr>
            <w:tcW w:w="4135" w:type="dxa"/>
            <w:tcBorders>
              <w:top w:val="single" w:sz="4" w:space="0" w:color="auto"/>
              <w:left w:val="single" w:sz="4" w:space="0" w:color="auto"/>
              <w:bottom w:val="single" w:sz="4" w:space="0" w:color="auto"/>
              <w:right w:val="nil"/>
            </w:tcBorders>
            <w:shd w:val="clear" w:color="auto" w:fill="auto"/>
            <w:noWrap/>
            <w:vAlign w:val="center"/>
            <w:hideMark/>
          </w:tcPr>
          <w:p w14:paraId="710DD1A8" w14:textId="77777777" w:rsidR="00F7733F" w:rsidRPr="00F7733F" w:rsidRDefault="00F7733F" w:rsidP="00F7733F">
            <w:pPr>
              <w:spacing w:after="0" w:line="240" w:lineRule="auto"/>
              <w:rPr>
                <w:rFonts w:ascii="Calibri" w:eastAsia="Times New Roman" w:hAnsi="Calibri" w:cs="Calibri"/>
                <w:color w:val="000000"/>
              </w:rPr>
            </w:pPr>
            <w:r w:rsidRPr="00F7733F">
              <w:rPr>
                <w:rFonts w:ascii="Calibri" w:eastAsia="Times New Roman" w:hAnsi="Calibri" w:cs="Calibri"/>
                <w:color w:val="00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1703" w14:textId="237173E8" w:rsidR="00F7733F" w:rsidRPr="00F7733F" w:rsidRDefault="00F7733F" w:rsidP="00F7733F">
            <w:pPr>
              <w:spacing w:after="0" w:line="240" w:lineRule="auto"/>
              <w:jc w:val="center"/>
              <w:rPr>
                <w:rFonts w:ascii="Calibri" w:eastAsia="Times New Roman" w:hAnsi="Calibri" w:cs="Calibri"/>
                <w:b/>
                <w:bCs/>
                <w:color w:val="000000"/>
              </w:rPr>
            </w:pPr>
            <w:r w:rsidRPr="008C59E6">
              <w:rPr>
                <w:rFonts w:ascii="Calibri" w:eastAsia="Times New Roman" w:hAnsi="Calibri" w:cs="Calibri"/>
                <w:b/>
                <w:bCs/>
                <w:color w:val="000000"/>
              </w:rPr>
              <w:t>2011</w:t>
            </w:r>
            <w:r w:rsidR="00892071">
              <w:rPr>
                <w:rFonts w:ascii="Calibri" w:eastAsia="Times New Roman" w:hAnsi="Calibri" w:cs="Calibri"/>
                <w:b/>
                <w:bCs/>
                <w:color w:val="000000"/>
              </w:rPr>
              <w:t>/</w:t>
            </w:r>
            <w:r w:rsidRPr="008C59E6">
              <w:rPr>
                <w:rFonts w:ascii="Calibri" w:eastAsia="Times New Roman" w:hAnsi="Calibri" w:cs="Calibri"/>
                <w:b/>
                <w:bCs/>
                <w:color w:val="000000"/>
              </w:rPr>
              <w:t>12</w:t>
            </w:r>
            <w:r w:rsidR="00892071" w:rsidRPr="008C59E6">
              <w:rPr>
                <w:rFonts w:cstheme="minorHAnsi"/>
                <w:b/>
                <w:bCs/>
              </w:rPr>
              <w:t>‒</w:t>
            </w:r>
            <w:r w:rsidRPr="008C59E6">
              <w:rPr>
                <w:rFonts w:ascii="Calibri" w:eastAsia="Times New Roman" w:hAnsi="Calibri" w:cs="Calibri"/>
                <w:b/>
                <w:bCs/>
                <w:color w:val="000000"/>
              </w:rPr>
              <w:t>2015</w:t>
            </w:r>
            <w:r w:rsidR="00892071">
              <w:rPr>
                <w:rFonts w:ascii="Calibri" w:eastAsia="Times New Roman" w:hAnsi="Calibri" w:cs="Calibri"/>
                <w:b/>
                <w:bCs/>
                <w:color w:val="000000"/>
              </w:rPr>
              <w:t>/</w:t>
            </w:r>
            <w:r w:rsidRPr="008C59E6">
              <w:rPr>
                <w:rFonts w:ascii="Calibri" w:eastAsia="Times New Roman" w:hAnsi="Calibri" w:cs="Calibri"/>
                <w:b/>
                <w:bCs/>
                <w:color w:val="000000"/>
              </w:rPr>
              <w:t>16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A709" w14:textId="0E35F234" w:rsidR="00F7733F" w:rsidRPr="00F7733F" w:rsidRDefault="00F7733F" w:rsidP="00F7733F">
            <w:pPr>
              <w:spacing w:after="0" w:line="240" w:lineRule="auto"/>
              <w:jc w:val="center"/>
              <w:rPr>
                <w:rFonts w:ascii="Calibri" w:eastAsia="Times New Roman" w:hAnsi="Calibri" w:cs="Calibri"/>
                <w:b/>
                <w:bCs/>
                <w:color w:val="000000"/>
              </w:rPr>
            </w:pPr>
            <w:r w:rsidRPr="008C59E6">
              <w:rPr>
                <w:rFonts w:ascii="Calibri" w:eastAsia="Times New Roman" w:hAnsi="Calibri" w:cs="Calibri"/>
                <w:b/>
                <w:bCs/>
                <w:color w:val="000000"/>
              </w:rPr>
              <w:t>2016</w:t>
            </w:r>
            <w:r w:rsidR="00DC3841">
              <w:rPr>
                <w:rFonts w:ascii="Calibri" w:eastAsia="Times New Roman" w:hAnsi="Calibri" w:cs="Calibri"/>
                <w:b/>
                <w:bCs/>
                <w:color w:val="000000"/>
              </w:rPr>
              <w:t>/</w:t>
            </w:r>
            <w:r w:rsidRPr="008C59E6">
              <w:rPr>
                <w:rFonts w:ascii="Calibri" w:eastAsia="Times New Roman" w:hAnsi="Calibri" w:cs="Calibri"/>
                <w:b/>
                <w:bCs/>
                <w:color w:val="000000"/>
              </w:rPr>
              <w:t>17</w:t>
            </w:r>
            <w:r w:rsidR="00DC3841" w:rsidRPr="008C59E6">
              <w:rPr>
                <w:rFonts w:cstheme="minorHAnsi"/>
                <w:b/>
                <w:bCs/>
              </w:rPr>
              <w:t>‒</w:t>
            </w:r>
            <w:r w:rsidRPr="008C59E6">
              <w:rPr>
                <w:rFonts w:ascii="Calibri" w:eastAsia="Times New Roman" w:hAnsi="Calibri" w:cs="Calibri"/>
                <w:b/>
                <w:bCs/>
                <w:color w:val="000000"/>
              </w:rPr>
              <w:t>2018</w:t>
            </w:r>
            <w:r w:rsidR="00DC3841">
              <w:rPr>
                <w:rFonts w:ascii="Calibri" w:eastAsia="Times New Roman" w:hAnsi="Calibri" w:cs="Calibri"/>
                <w:b/>
                <w:bCs/>
                <w:color w:val="000000"/>
              </w:rPr>
              <w:t>/</w:t>
            </w:r>
            <w:r w:rsidRPr="008C59E6">
              <w:rPr>
                <w:rFonts w:ascii="Calibri" w:eastAsia="Times New Roman" w:hAnsi="Calibri" w:cs="Calibri"/>
                <w:b/>
                <w:bCs/>
                <w:color w:val="000000"/>
              </w:rPr>
              <w:t>19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A8AE" w14:textId="5C4D0E1A" w:rsidR="00F7733F" w:rsidRPr="00F7733F" w:rsidRDefault="00F7733F" w:rsidP="00F7733F">
            <w:pPr>
              <w:spacing w:after="0" w:line="240" w:lineRule="auto"/>
              <w:rPr>
                <w:rFonts w:ascii="Calibri" w:eastAsia="Times New Roman" w:hAnsi="Calibri" w:cs="Calibri"/>
                <w:b/>
                <w:bCs/>
                <w:color w:val="000000"/>
              </w:rPr>
            </w:pPr>
            <w:r w:rsidRPr="008C59E6">
              <w:rPr>
                <w:rFonts w:ascii="Calibri" w:hAnsi="Calibri" w:cs="Calibri"/>
                <w:b/>
                <w:bCs/>
                <w:color w:val="000000"/>
              </w:rPr>
              <w:t>2011</w:t>
            </w:r>
            <w:r w:rsidR="00DC3841">
              <w:rPr>
                <w:rFonts w:ascii="Calibri" w:hAnsi="Calibri" w:cs="Calibri"/>
                <w:b/>
                <w:bCs/>
                <w:color w:val="000000"/>
              </w:rPr>
              <w:t>/</w:t>
            </w:r>
            <w:r w:rsidR="00DC74D3">
              <w:rPr>
                <w:rFonts w:cstheme="minorHAnsi"/>
                <w:b/>
                <w:bCs/>
              </w:rPr>
              <w:t>1</w:t>
            </w:r>
            <w:r w:rsidRPr="008C59E6">
              <w:rPr>
                <w:rFonts w:ascii="Calibri" w:hAnsi="Calibri" w:cs="Calibri"/>
                <w:b/>
                <w:bCs/>
                <w:color w:val="000000"/>
              </w:rPr>
              <w:t>2</w:t>
            </w:r>
            <w:r w:rsidR="00DC3841" w:rsidRPr="008C59E6">
              <w:rPr>
                <w:rFonts w:cstheme="minorHAnsi"/>
                <w:b/>
                <w:bCs/>
              </w:rPr>
              <w:t>‒</w:t>
            </w:r>
            <w:r w:rsidRPr="008C59E6">
              <w:rPr>
                <w:rFonts w:ascii="Calibri" w:hAnsi="Calibri" w:cs="Calibri"/>
                <w:b/>
                <w:bCs/>
                <w:color w:val="000000"/>
              </w:rPr>
              <w:t>2018</w:t>
            </w:r>
            <w:r w:rsidR="00DC3841">
              <w:rPr>
                <w:rFonts w:ascii="Calibri" w:hAnsi="Calibri" w:cs="Calibri"/>
                <w:b/>
                <w:bCs/>
                <w:color w:val="000000"/>
              </w:rPr>
              <w:t>/</w:t>
            </w:r>
            <w:r w:rsidRPr="008C59E6">
              <w:rPr>
                <w:rFonts w:ascii="Calibri" w:hAnsi="Calibri" w:cs="Calibri"/>
                <w:b/>
                <w:bCs/>
                <w:color w:val="000000"/>
              </w:rPr>
              <w:t>19</w:t>
            </w:r>
          </w:p>
        </w:tc>
      </w:tr>
      <w:tr w:rsidR="002666F8" w:rsidRPr="00F7733F" w14:paraId="2DABD87A" w14:textId="77777777" w:rsidTr="00DC3841">
        <w:trPr>
          <w:trHeight w:val="300"/>
        </w:trPr>
        <w:tc>
          <w:tcPr>
            <w:tcW w:w="4135" w:type="dxa"/>
            <w:tcBorders>
              <w:top w:val="single" w:sz="4" w:space="0" w:color="auto"/>
              <w:left w:val="single" w:sz="4" w:space="0" w:color="auto"/>
              <w:bottom w:val="single" w:sz="4" w:space="0" w:color="auto"/>
              <w:right w:val="nil"/>
            </w:tcBorders>
            <w:shd w:val="clear" w:color="auto" w:fill="auto"/>
            <w:noWrap/>
            <w:vAlign w:val="center"/>
            <w:hideMark/>
          </w:tcPr>
          <w:p w14:paraId="2BC06E2E" w14:textId="091DFCDA" w:rsidR="00F7733F" w:rsidRPr="00F7733F" w:rsidRDefault="005625B8" w:rsidP="00F7733F">
            <w:pPr>
              <w:spacing w:after="0" w:line="240" w:lineRule="auto"/>
              <w:rPr>
                <w:rFonts w:ascii="Calibri" w:eastAsia="Times New Roman" w:hAnsi="Calibri" w:cs="Calibri"/>
                <w:b/>
                <w:bCs/>
                <w:color w:val="000000"/>
              </w:rPr>
            </w:pPr>
            <w:r>
              <w:rPr>
                <w:rFonts w:ascii="Calibri" w:eastAsia="Times New Roman" w:hAnsi="Calibri" w:cs="Calibri"/>
                <w:b/>
                <w:bCs/>
                <w:color w:val="000000"/>
              </w:rPr>
              <w:t>Mean annual</w:t>
            </w:r>
            <w:r w:rsidR="00F7733F" w:rsidRPr="00F7733F">
              <w:rPr>
                <w:rFonts w:ascii="Calibri" w:eastAsia="Times New Roman" w:hAnsi="Calibri" w:cs="Calibri"/>
                <w:b/>
                <w:bCs/>
                <w:color w:val="000000"/>
              </w:rPr>
              <w:t xml:space="preserve"> number of school closure</w:t>
            </w:r>
            <w:r w:rsidR="00F7733F" w:rsidRPr="002666F8">
              <w:rPr>
                <w:rFonts w:ascii="Calibri" w:eastAsia="Times New Roman" w:hAnsi="Calibri" w:cs="Calibri"/>
                <w:b/>
                <w:bCs/>
                <w:color w:val="000000"/>
              </w:rPr>
              <w:t xml:space="preserve"> </w:t>
            </w:r>
            <w:r w:rsidR="00E437FB">
              <w:rPr>
                <w:rFonts w:ascii="Calibri" w:eastAsia="Times New Roman" w:hAnsi="Calibri" w:cs="Calibri"/>
                <w:b/>
                <w:bCs/>
                <w:color w:val="000000"/>
              </w:rPr>
              <w:t>(n)</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A21F"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165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B36B5"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1,711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EA779"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745</w:t>
            </w:r>
          </w:p>
        </w:tc>
      </w:tr>
      <w:tr w:rsidR="002666F8" w:rsidRPr="00F7733F" w14:paraId="6C870571" w14:textId="77777777" w:rsidTr="00DC3841">
        <w:trPr>
          <w:trHeight w:val="300"/>
        </w:trPr>
        <w:tc>
          <w:tcPr>
            <w:tcW w:w="4135" w:type="dxa"/>
            <w:tcBorders>
              <w:top w:val="single" w:sz="4" w:space="0" w:color="auto"/>
              <w:left w:val="single" w:sz="4" w:space="0" w:color="auto"/>
              <w:bottom w:val="nil"/>
              <w:right w:val="nil"/>
            </w:tcBorders>
            <w:shd w:val="clear" w:color="auto" w:fill="auto"/>
            <w:noWrap/>
            <w:vAlign w:val="center"/>
            <w:hideMark/>
          </w:tcPr>
          <w:p w14:paraId="349C7C30" w14:textId="077CEB07" w:rsidR="00F7733F" w:rsidRPr="00F7733F" w:rsidRDefault="005625B8" w:rsidP="00F7733F">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Mean annual </w:t>
            </w:r>
            <w:r w:rsidR="00F7733F" w:rsidRPr="00F7733F">
              <w:rPr>
                <w:rFonts w:ascii="Calibri" w:eastAsia="Times New Roman" w:hAnsi="Calibri" w:cs="Calibri"/>
                <w:b/>
                <w:bCs/>
                <w:color w:val="000000"/>
              </w:rPr>
              <w:t>productivity cost</w:t>
            </w:r>
            <w:r w:rsidR="00E437FB">
              <w:rPr>
                <w:rFonts w:ascii="Calibri" w:eastAsia="Times New Roman" w:hAnsi="Calibri" w:cs="Calibri"/>
                <w:b/>
                <w:bCs/>
                <w:color w:val="000000"/>
              </w:rPr>
              <w:t xml:space="preserve"> (2019 USD)</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14:paraId="72551C4B" w14:textId="77777777" w:rsidR="00F7733F" w:rsidRPr="00F7733F" w:rsidRDefault="00F7733F" w:rsidP="00F7733F">
            <w:pPr>
              <w:spacing w:after="0" w:line="240" w:lineRule="auto"/>
              <w:rPr>
                <w:rFonts w:ascii="Calibri" w:eastAsia="Times New Roman" w:hAnsi="Calibri" w:cs="Calibri"/>
                <w:color w:val="000000"/>
              </w:rPr>
            </w:pPr>
            <w:r w:rsidRPr="00F7733F">
              <w:rPr>
                <w:rFonts w:ascii="Calibri" w:eastAsia="Times New Roman" w:hAnsi="Calibri" w:cs="Calibri"/>
                <w:color w:val="000000"/>
              </w:rPr>
              <w:t> </w:t>
            </w: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14:paraId="462B67CD" w14:textId="77777777" w:rsidR="00F7733F" w:rsidRPr="00F7733F" w:rsidRDefault="00F7733F" w:rsidP="00F7733F">
            <w:pPr>
              <w:spacing w:after="0" w:line="240" w:lineRule="auto"/>
              <w:rPr>
                <w:rFonts w:ascii="Calibri" w:eastAsia="Times New Roman" w:hAnsi="Calibri" w:cs="Calibri"/>
                <w:color w:val="000000"/>
              </w:rPr>
            </w:pPr>
          </w:p>
        </w:tc>
        <w:tc>
          <w:tcPr>
            <w:tcW w:w="1890" w:type="dxa"/>
            <w:tcBorders>
              <w:top w:val="single" w:sz="4" w:space="0" w:color="auto"/>
              <w:left w:val="single" w:sz="4" w:space="0" w:color="auto"/>
              <w:bottom w:val="nil"/>
              <w:right w:val="single" w:sz="4" w:space="0" w:color="auto"/>
            </w:tcBorders>
            <w:shd w:val="clear" w:color="auto" w:fill="auto"/>
            <w:noWrap/>
            <w:vAlign w:val="center"/>
            <w:hideMark/>
          </w:tcPr>
          <w:p w14:paraId="0A39F55F" w14:textId="77777777" w:rsidR="00F7733F" w:rsidRPr="00F7733F" w:rsidRDefault="00F7733F" w:rsidP="00F7733F">
            <w:pPr>
              <w:spacing w:after="0" w:line="240" w:lineRule="auto"/>
              <w:rPr>
                <w:rFonts w:ascii="Calibri" w:eastAsia="Times New Roman" w:hAnsi="Calibri" w:cs="Calibri"/>
                <w:color w:val="000000"/>
              </w:rPr>
            </w:pPr>
            <w:r w:rsidRPr="00F7733F">
              <w:rPr>
                <w:rFonts w:ascii="Calibri" w:eastAsia="Times New Roman" w:hAnsi="Calibri" w:cs="Calibri"/>
                <w:color w:val="000000"/>
              </w:rPr>
              <w:t> </w:t>
            </w:r>
          </w:p>
        </w:tc>
      </w:tr>
      <w:tr w:rsidR="00931322" w:rsidRPr="00F7733F" w14:paraId="616452FF" w14:textId="77777777" w:rsidTr="00DC3841">
        <w:trPr>
          <w:trHeight w:val="300"/>
        </w:trPr>
        <w:tc>
          <w:tcPr>
            <w:tcW w:w="4135" w:type="dxa"/>
            <w:tcBorders>
              <w:top w:val="nil"/>
              <w:left w:val="single" w:sz="4" w:space="0" w:color="auto"/>
              <w:bottom w:val="nil"/>
              <w:right w:val="nil"/>
            </w:tcBorders>
            <w:shd w:val="clear" w:color="auto" w:fill="auto"/>
            <w:noWrap/>
            <w:vAlign w:val="center"/>
          </w:tcPr>
          <w:p w14:paraId="07E362F2" w14:textId="65075276" w:rsidR="00931322" w:rsidRPr="00F7733F" w:rsidRDefault="00931322" w:rsidP="00931322">
            <w:pPr>
              <w:spacing w:after="0" w:line="240" w:lineRule="auto"/>
              <w:ind w:firstLineChars="100" w:firstLine="220"/>
              <w:rPr>
                <w:rFonts w:ascii="Calibri" w:eastAsia="Times New Roman" w:hAnsi="Calibri" w:cs="Calibri"/>
                <w:color w:val="000000"/>
              </w:rPr>
            </w:pPr>
            <w:r>
              <w:rPr>
                <w:rFonts w:ascii="Calibri" w:hAnsi="Calibri" w:cs="Calibri"/>
                <w:color w:val="000000"/>
              </w:rPr>
              <w:t>Overall</w:t>
            </w:r>
          </w:p>
        </w:tc>
        <w:tc>
          <w:tcPr>
            <w:tcW w:w="1890" w:type="dxa"/>
            <w:tcBorders>
              <w:top w:val="nil"/>
              <w:left w:val="single" w:sz="4" w:space="0" w:color="auto"/>
              <w:bottom w:val="nil"/>
              <w:right w:val="single" w:sz="4" w:space="0" w:color="auto"/>
            </w:tcBorders>
            <w:shd w:val="clear" w:color="auto" w:fill="auto"/>
            <w:noWrap/>
            <w:vAlign w:val="center"/>
          </w:tcPr>
          <w:p w14:paraId="395785B4" w14:textId="2AB17698" w:rsidR="00931322" w:rsidRPr="00F7733F" w:rsidRDefault="00931322" w:rsidP="00931322">
            <w:pPr>
              <w:spacing w:after="0" w:line="240" w:lineRule="auto"/>
              <w:jc w:val="right"/>
              <w:rPr>
                <w:rFonts w:ascii="Calibri" w:eastAsia="Times New Roman" w:hAnsi="Calibri" w:cs="Calibri"/>
                <w:color w:val="000000"/>
              </w:rPr>
            </w:pPr>
            <w:r>
              <w:rPr>
                <w:rFonts w:ascii="Calibri" w:hAnsi="Calibri" w:cs="Calibri"/>
                <w:color w:val="000000"/>
              </w:rPr>
              <w:t>9,061,300</w:t>
            </w:r>
            <w:r w:rsidR="00F35F63">
              <w:rPr>
                <w:rFonts w:ascii="Calibri" w:hAnsi="Calibri" w:cs="Calibri"/>
                <w:color w:val="000000"/>
              </w:rPr>
              <w:t xml:space="preserve"> </w:t>
            </w:r>
          </w:p>
        </w:tc>
        <w:tc>
          <w:tcPr>
            <w:tcW w:w="1890" w:type="dxa"/>
            <w:tcBorders>
              <w:top w:val="nil"/>
              <w:left w:val="single" w:sz="4" w:space="0" w:color="auto"/>
              <w:bottom w:val="nil"/>
              <w:right w:val="single" w:sz="4" w:space="0" w:color="auto"/>
            </w:tcBorders>
            <w:shd w:val="clear" w:color="auto" w:fill="auto"/>
            <w:noWrap/>
            <w:vAlign w:val="center"/>
          </w:tcPr>
          <w:p w14:paraId="6DB10F2C" w14:textId="66CCAF02" w:rsidR="00931322" w:rsidRPr="00F7733F" w:rsidRDefault="00931322" w:rsidP="00931322">
            <w:pPr>
              <w:spacing w:after="0" w:line="240" w:lineRule="auto"/>
              <w:jc w:val="right"/>
              <w:rPr>
                <w:rFonts w:ascii="Calibri" w:eastAsia="Times New Roman" w:hAnsi="Calibri" w:cs="Calibri"/>
                <w:color w:val="000000"/>
              </w:rPr>
            </w:pPr>
            <w:r>
              <w:rPr>
                <w:rFonts w:ascii="Calibri" w:hAnsi="Calibri" w:cs="Calibri"/>
                <w:color w:val="000000"/>
              </w:rPr>
              <w:t>143,713,921</w:t>
            </w:r>
          </w:p>
        </w:tc>
        <w:tc>
          <w:tcPr>
            <w:tcW w:w="1890" w:type="dxa"/>
            <w:tcBorders>
              <w:top w:val="nil"/>
              <w:left w:val="single" w:sz="4" w:space="0" w:color="auto"/>
              <w:bottom w:val="nil"/>
              <w:right w:val="single" w:sz="4" w:space="0" w:color="auto"/>
            </w:tcBorders>
            <w:shd w:val="clear" w:color="auto" w:fill="auto"/>
            <w:noWrap/>
            <w:vAlign w:val="center"/>
          </w:tcPr>
          <w:p w14:paraId="3CA00172" w14:textId="5562D37D" w:rsidR="00931322" w:rsidRPr="00F7733F" w:rsidRDefault="00931322" w:rsidP="00931322">
            <w:pPr>
              <w:spacing w:after="0" w:line="240" w:lineRule="auto"/>
              <w:jc w:val="right"/>
              <w:rPr>
                <w:rFonts w:ascii="Calibri" w:eastAsia="Times New Roman" w:hAnsi="Calibri" w:cs="Calibri"/>
                <w:color w:val="000000"/>
              </w:rPr>
            </w:pPr>
            <w:r>
              <w:rPr>
                <w:rFonts w:ascii="Calibri" w:hAnsi="Calibri" w:cs="Calibri"/>
                <w:color w:val="000000"/>
              </w:rPr>
              <w:t>59,556,033</w:t>
            </w:r>
          </w:p>
        </w:tc>
      </w:tr>
      <w:tr w:rsidR="00F7733F" w:rsidRPr="00F7733F" w14:paraId="30929BE5" w14:textId="77777777" w:rsidTr="00DC3841">
        <w:trPr>
          <w:trHeight w:val="300"/>
        </w:trPr>
        <w:tc>
          <w:tcPr>
            <w:tcW w:w="4135" w:type="dxa"/>
            <w:tcBorders>
              <w:top w:val="nil"/>
              <w:left w:val="single" w:sz="4" w:space="0" w:color="auto"/>
              <w:bottom w:val="nil"/>
              <w:right w:val="nil"/>
            </w:tcBorders>
            <w:shd w:val="clear" w:color="auto" w:fill="auto"/>
            <w:noWrap/>
            <w:vAlign w:val="center"/>
            <w:hideMark/>
          </w:tcPr>
          <w:p w14:paraId="12E8A847" w14:textId="77777777" w:rsidR="00F7733F" w:rsidRPr="00F7733F" w:rsidRDefault="00F7733F" w:rsidP="00931322">
            <w:pPr>
              <w:spacing w:after="0" w:line="240" w:lineRule="auto"/>
              <w:ind w:firstLineChars="190" w:firstLine="418"/>
              <w:rPr>
                <w:rFonts w:ascii="Calibri" w:eastAsia="Times New Roman" w:hAnsi="Calibri" w:cs="Calibri"/>
                <w:color w:val="000000"/>
              </w:rPr>
            </w:pPr>
            <w:r w:rsidRPr="00F7733F">
              <w:rPr>
                <w:rFonts w:ascii="Calibri" w:eastAsia="Times New Roman" w:hAnsi="Calibri" w:cs="Calibri"/>
                <w:color w:val="000000"/>
              </w:rPr>
              <w:t>School staff</w:t>
            </w:r>
          </w:p>
        </w:tc>
        <w:tc>
          <w:tcPr>
            <w:tcW w:w="1890" w:type="dxa"/>
            <w:tcBorders>
              <w:top w:val="nil"/>
              <w:left w:val="single" w:sz="4" w:space="0" w:color="auto"/>
              <w:bottom w:val="nil"/>
              <w:right w:val="single" w:sz="4" w:space="0" w:color="auto"/>
            </w:tcBorders>
            <w:shd w:val="clear" w:color="auto" w:fill="auto"/>
            <w:noWrap/>
            <w:vAlign w:val="center"/>
            <w:hideMark/>
          </w:tcPr>
          <w:p w14:paraId="028C78C0" w14:textId="751F7E15"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3,267,293</w:t>
            </w:r>
          </w:p>
        </w:tc>
        <w:tc>
          <w:tcPr>
            <w:tcW w:w="1890" w:type="dxa"/>
            <w:tcBorders>
              <w:top w:val="nil"/>
              <w:left w:val="single" w:sz="4" w:space="0" w:color="auto"/>
              <w:bottom w:val="nil"/>
              <w:right w:val="single" w:sz="4" w:space="0" w:color="auto"/>
            </w:tcBorders>
            <w:shd w:val="clear" w:color="auto" w:fill="auto"/>
            <w:noWrap/>
            <w:vAlign w:val="center"/>
            <w:hideMark/>
          </w:tcPr>
          <w:p w14:paraId="6200FFC4"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52,551,742</w:t>
            </w:r>
          </w:p>
        </w:tc>
        <w:tc>
          <w:tcPr>
            <w:tcW w:w="1890" w:type="dxa"/>
            <w:tcBorders>
              <w:top w:val="nil"/>
              <w:left w:val="single" w:sz="4" w:space="0" w:color="auto"/>
              <w:bottom w:val="nil"/>
              <w:right w:val="single" w:sz="4" w:space="0" w:color="auto"/>
            </w:tcBorders>
            <w:shd w:val="clear" w:color="auto" w:fill="auto"/>
            <w:noWrap/>
            <w:vAlign w:val="center"/>
            <w:hideMark/>
          </w:tcPr>
          <w:p w14:paraId="5B60EDE0"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21,748,961</w:t>
            </w:r>
          </w:p>
        </w:tc>
      </w:tr>
      <w:tr w:rsidR="00F7733F" w:rsidRPr="00F7733F" w14:paraId="20B5565C" w14:textId="77777777" w:rsidTr="00DC3841">
        <w:trPr>
          <w:trHeight w:val="300"/>
        </w:trPr>
        <w:tc>
          <w:tcPr>
            <w:tcW w:w="4135" w:type="dxa"/>
            <w:tcBorders>
              <w:top w:val="nil"/>
              <w:left w:val="single" w:sz="4" w:space="0" w:color="auto"/>
              <w:bottom w:val="nil"/>
              <w:right w:val="nil"/>
            </w:tcBorders>
            <w:shd w:val="clear" w:color="auto" w:fill="auto"/>
            <w:noWrap/>
            <w:vAlign w:val="center"/>
            <w:hideMark/>
          </w:tcPr>
          <w:p w14:paraId="03735ACA" w14:textId="77777777" w:rsidR="00F7733F" w:rsidRPr="00F7733F" w:rsidRDefault="00F7733F" w:rsidP="00931322">
            <w:pPr>
              <w:spacing w:after="0" w:line="240" w:lineRule="auto"/>
              <w:ind w:firstLineChars="190" w:firstLine="418"/>
              <w:rPr>
                <w:rFonts w:ascii="Calibri" w:eastAsia="Times New Roman" w:hAnsi="Calibri" w:cs="Calibri"/>
                <w:color w:val="000000"/>
              </w:rPr>
            </w:pPr>
            <w:r w:rsidRPr="00F7733F">
              <w:rPr>
                <w:rFonts w:ascii="Calibri" w:eastAsia="Times New Roman" w:hAnsi="Calibri" w:cs="Calibri"/>
                <w:color w:val="000000"/>
              </w:rPr>
              <w:t>Teachers</w:t>
            </w:r>
          </w:p>
        </w:tc>
        <w:tc>
          <w:tcPr>
            <w:tcW w:w="1890" w:type="dxa"/>
            <w:tcBorders>
              <w:top w:val="nil"/>
              <w:left w:val="single" w:sz="4" w:space="0" w:color="auto"/>
              <w:bottom w:val="nil"/>
              <w:right w:val="single" w:sz="4" w:space="0" w:color="auto"/>
            </w:tcBorders>
            <w:shd w:val="clear" w:color="auto" w:fill="auto"/>
            <w:noWrap/>
            <w:vAlign w:val="center"/>
            <w:hideMark/>
          </w:tcPr>
          <w:p w14:paraId="7B6EAC81" w14:textId="708395F1"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2,907,257</w:t>
            </w:r>
          </w:p>
        </w:tc>
        <w:tc>
          <w:tcPr>
            <w:tcW w:w="1890" w:type="dxa"/>
            <w:tcBorders>
              <w:top w:val="nil"/>
              <w:left w:val="single" w:sz="4" w:space="0" w:color="auto"/>
              <w:bottom w:val="nil"/>
              <w:right w:val="single" w:sz="4" w:space="0" w:color="auto"/>
            </w:tcBorders>
            <w:shd w:val="clear" w:color="auto" w:fill="auto"/>
            <w:noWrap/>
            <w:vAlign w:val="center"/>
            <w:hideMark/>
          </w:tcPr>
          <w:p w14:paraId="5FDCC8BF"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44,788,458</w:t>
            </w:r>
          </w:p>
        </w:tc>
        <w:tc>
          <w:tcPr>
            <w:tcW w:w="1890" w:type="dxa"/>
            <w:tcBorders>
              <w:top w:val="nil"/>
              <w:left w:val="single" w:sz="4" w:space="0" w:color="auto"/>
              <w:bottom w:val="nil"/>
              <w:right w:val="single" w:sz="4" w:space="0" w:color="auto"/>
            </w:tcBorders>
            <w:shd w:val="clear" w:color="auto" w:fill="auto"/>
            <w:noWrap/>
            <w:vAlign w:val="center"/>
            <w:hideMark/>
          </w:tcPr>
          <w:p w14:paraId="340E3934"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18,612,707</w:t>
            </w:r>
          </w:p>
        </w:tc>
      </w:tr>
      <w:tr w:rsidR="00F7733F" w:rsidRPr="00F7733F" w14:paraId="11459857" w14:textId="77777777" w:rsidTr="00DC3841">
        <w:trPr>
          <w:trHeight w:val="300"/>
        </w:trPr>
        <w:tc>
          <w:tcPr>
            <w:tcW w:w="4135" w:type="dxa"/>
            <w:tcBorders>
              <w:top w:val="nil"/>
              <w:left w:val="single" w:sz="4" w:space="0" w:color="auto"/>
              <w:bottom w:val="single" w:sz="4" w:space="0" w:color="auto"/>
              <w:right w:val="nil"/>
            </w:tcBorders>
            <w:shd w:val="clear" w:color="auto" w:fill="auto"/>
            <w:noWrap/>
            <w:vAlign w:val="center"/>
            <w:hideMark/>
          </w:tcPr>
          <w:p w14:paraId="67BED26C" w14:textId="77777777" w:rsidR="00F7733F" w:rsidRPr="00F7733F" w:rsidRDefault="00F7733F" w:rsidP="00931322">
            <w:pPr>
              <w:spacing w:after="0" w:line="240" w:lineRule="auto"/>
              <w:ind w:firstLineChars="190" w:firstLine="418"/>
              <w:rPr>
                <w:rFonts w:ascii="Calibri" w:eastAsia="Times New Roman" w:hAnsi="Calibri" w:cs="Calibri"/>
                <w:color w:val="000000"/>
              </w:rPr>
            </w:pPr>
            <w:r w:rsidRPr="00F7733F">
              <w:rPr>
                <w:rFonts w:ascii="Calibri" w:eastAsia="Times New Roman" w:hAnsi="Calibri" w:cs="Calibri"/>
                <w:color w:val="000000"/>
              </w:rPr>
              <w:t>Parents</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E9B729F" w14:textId="031C1F96"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2,886,751</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C88FB21"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46,373,721</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E16F1C3" w14:textId="77777777" w:rsidR="00F7733F" w:rsidRPr="00F7733F" w:rsidRDefault="00F7733F" w:rsidP="00F7733F">
            <w:pPr>
              <w:spacing w:after="0" w:line="240" w:lineRule="auto"/>
              <w:jc w:val="right"/>
              <w:rPr>
                <w:rFonts w:ascii="Calibri" w:eastAsia="Times New Roman" w:hAnsi="Calibri" w:cs="Calibri"/>
                <w:color w:val="000000"/>
              </w:rPr>
            </w:pPr>
            <w:r w:rsidRPr="00F7733F">
              <w:rPr>
                <w:rFonts w:ascii="Calibri" w:eastAsia="Times New Roman" w:hAnsi="Calibri" w:cs="Calibri"/>
                <w:color w:val="000000"/>
              </w:rPr>
              <w:t>19,194,364</w:t>
            </w:r>
          </w:p>
        </w:tc>
      </w:tr>
    </w:tbl>
    <w:p w14:paraId="0373C7C1" w14:textId="3F310B91" w:rsidR="00B373A3" w:rsidRPr="00920110" w:rsidRDefault="00920110">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50306DD4" w14:textId="77777777" w:rsidR="00497931" w:rsidRDefault="00497931">
      <w:pPr>
        <w:rPr>
          <w:b/>
          <w:bCs/>
        </w:rPr>
      </w:pPr>
      <w:r>
        <w:rPr>
          <w:b/>
          <w:bCs/>
        </w:rPr>
        <w:br w:type="page"/>
      </w:r>
    </w:p>
    <w:p w14:paraId="57CD5FD9" w14:textId="746DEBA9" w:rsidR="00F478BF" w:rsidRPr="00C50E9E" w:rsidRDefault="00F478BF" w:rsidP="00F478BF">
      <w:r>
        <w:rPr>
          <w:b/>
          <w:bCs/>
        </w:rPr>
        <w:lastRenderedPageBreak/>
        <w:t xml:space="preserve">Appendix </w:t>
      </w:r>
      <w:r w:rsidR="003C5F2D">
        <w:rPr>
          <w:b/>
          <w:bCs/>
        </w:rPr>
        <w:t>3</w:t>
      </w:r>
      <w:r>
        <w:rPr>
          <w:b/>
          <w:bCs/>
        </w:rPr>
        <w:t xml:space="preserve">. </w:t>
      </w:r>
      <w:r>
        <w:t xml:space="preserve">Number of schools with multiple ILI-related </w:t>
      </w:r>
      <w:r w:rsidR="00C730F7">
        <w:t xml:space="preserve">reactive </w:t>
      </w:r>
      <w:r>
        <w:t>school closures</w:t>
      </w:r>
      <w:r w:rsidR="00086DAD">
        <w:t>, from 2011-</w:t>
      </w:r>
      <w:r w:rsidR="00CF3AA2">
        <w:t>20</w:t>
      </w:r>
      <w:r w:rsidR="00086DAD">
        <w:t>12 to 2018-</w:t>
      </w:r>
      <w:r w:rsidR="00CF3AA2">
        <w:t>20</w:t>
      </w:r>
      <w:r w:rsidR="00086DAD">
        <w:t>19</w:t>
      </w:r>
    </w:p>
    <w:tbl>
      <w:tblPr>
        <w:tblW w:w="6829" w:type="dxa"/>
        <w:tblLook w:val="04A0" w:firstRow="1" w:lastRow="0" w:firstColumn="1" w:lastColumn="0" w:noHBand="0" w:noVBand="1"/>
      </w:tblPr>
      <w:tblGrid>
        <w:gridCol w:w="3955"/>
        <w:gridCol w:w="1547"/>
        <w:gridCol w:w="1319"/>
        <w:gridCol w:w="8"/>
      </w:tblGrid>
      <w:tr w:rsidR="00F478BF" w:rsidRPr="005736EC" w14:paraId="3C70352D" w14:textId="77777777" w:rsidTr="00C80F4A">
        <w:trPr>
          <w:gridAfter w:val="1"/>
          <w:wAfter w:w="8" w:type="dxa"/>
          <w:trHeight w:val="300"/>
        </w:trPr>
        <w:tc>
          <w:tcPr>
            <w:tcW w:w="3955" w:type="dxa"/>
            <w:tcBorders>
              <w:top w:val="single" w:sz="4" w:space="0" w:color="auto"/>
              <w:left w:val="single" w:sz="4" w:space="0" w:color="auto"/>
              <w:bottom w:val="single" w:sz="4" w:space="0" w:color="auto"/>
              <w:right w:val="nil"/>
            </w:tcBorders>
            <w:shd w:val="clear" w:color="auto" w:fill="auto"/>
            <w:noWrap/>
            <w:vAlign w:val="center"/>
            <w:hideMark/>
          </w:tcPr>
          <w:p w14:paraId="7CE2F3F3" w14:textId="77777777" w:rsidR="00F478BF" w:rsidRPr="005736EC" w:rsidRDefault="00F478BF" w:rsidP="0056196E">
            <w:pPr>
              <w:spacing w:after="0" w:line="240" w:lineRule="auto"/>
              <w:rPr>
                <w:rFonts w:ascii="Calibri" w:eastAsia="Times New Roman" w:hAnsi="Calibri" w:cs="Calibri"/>
                <w:color w:val="000000"/>
              </w:rPr>
            </w:pPr>
            <w:r w:rsidRPr="005736EC">
              <w:rPr>
                <w:rFonts w:ascii="Calibri" w:eastAsia="Times New Roman" w:hAnsi="Calibri" w:cs="Calibri"/>
                <w:color w:val="000000"/>
              </w:rPr>
              <w:t> </w:t>
            </w:r>
          </w:p>
        </w:tc>
        <w:tc>
          <w:tcPr>
            <w:tcW w:w="1547" w:type="dxa"/>
            <w:tcBorders>
              <w:top w:val="single" w:sz="4" w:space="0" w:color="auto"/>
              <w:left w:val="single" w:sz="4" w:space="0" w:color="auto"/>
              <w:bottom w:val="single" w:sz="4" w:space="0" w:color="auto"/>
              <w:right w:val="nil"/>
            </w:tcBorders>
            <w:shd w:val="clear" w:color="auto" w:fill="auto"/>
            <w:noWrap/>
            <w:vAlign w:val="center"/>
            <w:hideMark/>
          </w:tcPr>
          <w:p w14:paraId="29B5B59A" w14:textId="77777777" w:rsidR="00F478BF" w:rsidRPr="005736EC" w:rsidRDefault="00F478BF" w:rsidP="0056196E">
            <w:pPr>
              <w:spacing w:after="0" w:line="240" w:lineRule="auto"/>
              <w:jc w:val="right"/>
              <w:rPr>
                <w:rFonts w:ascii="Calibri" w:eastAsia="Times New Roman" w:hAnsi="Calibri" w:cs="Calibri"/>
                <w:color w:val="000000"/>
              </w:rPr>
            </w:pPr>
            <w:r w:rsidRPr="005736EC">
              <w:rPr>
                <w:rFonts w:ascii="Calibri" w:eastAsia="Times New Roman" w:hAnsi="Calibri" w:cs="Calibri"/>
                <w:color w:val="000000"/>
              </w:rPr>
              <w:t>n</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14:paraId="3B04A665" w14:textId="77777777" w:rsidR="00F478BF" w:rsidRPr="005736EC" w:rsidRDefault="00F478BF" w:rsidP="0056196E">
            <w:pPr>
              <w:spacing w:after="0" w:line="240" w:lineRule="auto"/>
              <w:jc w:val="right"/>
              <w:rPr>
                <w:rFonts w:ascii="Calibri" w:eastAsia="Times New Roman" w:hAnsi="Calibri" w:cs="Calibri"/>
                <w:color w:val="000000"/>
              </w:rPr>
            </w:pPr>
            <w:r w:rsidRPr="005736EC">
              <w:rPr>
                <w:rFonts w:ascii="Calibri" w:eastAsia="Times New Roman" w:hAnsi="Calibri" w:cs="Calibri"/>
                <w:color w:val="000000"/>
              </w:rPr>
              <w:t>%</w:t>
            </w:r>
          </w:p>
        </w:tc>
      </w:tr>
      <w:tr w:rsidR="00F478BF" w:rsidRPr="005736EC" w14:paraId="301996D1" w14:textId="77777777" w:rsidTr="00C80F4A">
        <w:trPr>
          <w:trHeight w:val="300"/>
        </w:trPr>
        <w:tc>
          <w:tcPr>
            <w:tcW w:w="6829" w:type="dxa"/>
            <w:gridSpan w:val="4"/>
            <w:tcBorders>
              <w:top w:val="single" w:sz="4" w:space="0" w:color="auto"/>
              <w:left w:val="single" w:sz="4" w:space="0" w:color="auto"/>
              <w:bottom w:val="nil"/>
              <w:right w:val="single" w:sz="4" w:space="0" w:color="auto"/>
            </w:tcBorders>
            <w:shd w:val="clear" w:color="auto" w:fill="EDEDED" w:themeFill="accent3" w:themeFillTint="33"/>
            <w:noWrap/>
            <w:vAlign w:val="center"/>
            <w:hideMark/>
          </w:tcPr>
          <w:p w14:paraId="37B4D9F0" w14:textId="45D7C205" w:rsidR="00F478BF" w:rsidRPr="005736EC" w:rsidRDefault="00F478BF" w:rsidP="0056196E">
            <w:pPr>
              <w:spacing w:after="0" w:line="240" w:lineRule="auto"/>
              <w:rPr>
                <w:rFonts w:ascii="Calibri" w:eastAsia="Times New Roman" w:hAnsi="Calibri" w:cs="Calibri"/>
                <w:color w:val="000000"/>
              </w:rPr>
            </w:pPr>
            <w:r w:rsidRPr="005736EC">
              <w:rPr>
                <w:rFonts w:ascii="Calibri" w:eastAsia="Times New Roman" w:hAnsi="Calibri" w:cs="Calibri"/>
                <w:color w:val="000000"/>
              </w:rPr>
              <w:t xml:space="preserve">Number of </w:t>
            </w:r>
            <w:r w:rsidR="00851749">
              <w:rPr>
                <w:rFonts w:ascii="Calibri" w:eastAsia="Times New Roman" w:hAnsi="Calibri" w:cs="Calibri"/>
                <w:color w:val="000000"/>
              </w:rPr>
              <w:t xml:space="preserve">school </w:t>
            </w:r>
            <w:r w:rsidRPr="005736EC">
              <w:rPr>
                <w:rFonts w:ascii="Calibri" w:eastAsia="Times New Roman" w:hAnsi="Calibri" w:cs="Calibri"/>
                <w:color w:val="000000"/>
              </w:rPr>
              <w:t xml:space="preserve">closures </w:t>
            </w:r>
            <w:r w:rsidR="00617BF2">
              <w:rPr>
                <w:rFonts w:ascii="Calibri" w:eastAsia="Times New Roman" w:hAnsi="Calibri" w:cs="Calibri"/>
                <w:color w:val="000000"/>
              </w:rPr>
              <w:t xml:space="preserve">in a </w:t>
            </w:r>
            <w:r w:rsidRPr="005736EC">
              <w:rPr>
                <w:rFonts w:ascii="Calibri" w:eastAsia="Times New Roman" w:hAnsi="Calibri" w:cs="Calibri"/>
                <w:color w:val="000000"/>
              </w:rPr>
              <w:t xml:space="preserve">given </w:t>
            </w:r>
            <w:r w:rsidR="00BB70E5">
              <w:rPr>
                <w:rFonts w:ascii="Calibri" w:eastAsia="Times New Roman" w:hAnsi="Calibri" w:cs="Calibri"/>
                <w:color w:val="000000"/>
              </w:rPr>
              <w:t xml:space="preserve">school </w:t>
            </w:r>
            <w:r w:rsidRPr="005736EC">
              <w:rPr>
                <w:rFonts w:ascii="Calibri" w:eastAsia="Times New Roman" w:hAnsi="Calibri" w:cs="Calibri"/>
                <w:color w:val="000000"/>
              </w:rPr>
              <w:t>year</w:t>
            </w:r>
          </w:p>
        </w:tc>
      </w:tr>
      <w:tr w:rsidR="00C57931" w:rsidRPr="005736EC" w14:paraId="61E6E381"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60BBA677" w14:textId="77777777" w:rsidR="00C57931" w:rsidRPr="005736EC" w:rsidRDefault="00C57931" w:rsidP="00C57931">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1</w:t>
            </w:r>
          </w:p>
        </w:tc>
        <w:tc>
          <w:tcPr>
            <w:tcW w:w="1547" w:type="dxa"/>
            <w:tcBorders>
              <w:top w:val="nil"/>
              <w:left w:val="single" w:sz="4" w:space="0" w:color="auto"/>
              <w:bottom w:val="nil"/>
              <w:right w:val="nil"/>
            </w:tcBorders>
            <w:shd w:val="clear" w:color="auto" w:fill="auto"/>
            <w:noWrap/>
            <w:vAlign w:val="bottom"/>
            <w:hideMark/>
          </w:tcPr>
          <w:p w14:paraId="19EE1B91" w14:textId="242E42DE"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3,038</w:t>
            </w:r>
          </w:p>
        </w:tc>
        <w:tc>
          <w:tcPr>
            <w:tcW w:w="1319" w:type="dxa"/>
            <w:tcBorders>
              <w:top w:val="nil"/>
              <w:left w:val="nil"/>
              <w:bottom w:val="nil"/>
              <w:right w:val="single" w:sz="4" w:space="0" w:color="auto"/>
            </w:tcBorders>
            <w:shd w:val="clear" w:color="auto" w:fill="auto"/>
            <w:noWrap/>
            <w:vAlign w:val="bottom"/>
            <w:hideMark/>
          </w:tcPr>
          <w:p w14:paraId="5EA45893" w14:textId="1C5E1341"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86.8</w:t>
            </w:r>
          </w:p>
        </w:tc>
      </w:tr>
      <w:tr w:rsidR="00C57931" w:rsidRPr="005736EC" w14:paraId="120C9DB0"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71B2BF7A" w14:textId="77777777" w:rsidR="00C57931" w:rsidRPr="005736EC" w:rsidRDefault="00C57931" w:rsidP="00C57931">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2</w:t>
            </w:r>
          </w:p>
        </w:tc>
        <w:tc>
          <w:tcPr>
            <w:tcW w:w="1547" w:type="dxa"/>
            <w:tcBorders>
              <w:top w:val="nil"/>
              <w:left w:val="single" w:sz="4" w:space="0" w:color="auto"/>
              <w:bottom w:val="nil"/>
              <w:right w:val="nil"/>
            </w:tcBorders>
            <w:shd w:val="clear" w:color="auto" w:fill="auto"/>
            <w:noWrap/>
            <w:vAlign w:val="bottom"/>
            <w:hideMark/>
          </w:tcPr>
          <w:p w14:paraId="71688F92" w14:textId="4E6FE296"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448</w:t>
            </w:r>
            <w:r w:rsidR="00214BFD" w:rsidRPr="001828ED">
              <w:rPr>
                <w:rFonts w:ascii="Calibri" w:hAnsi="Calibri" w:cs="Calibri"/>
                <w:color w:val="000000"/>
                <w:vertAlign w:val="superscript"/>
              </w:rPr>
              <w:t>a</w:t>
            </w:r>
          </w:p>
        </w:tc>
        <w:tc>
          <w:tcPr>
            <w:tcW w:w="1319" w:type="dxa"/>
            <w:tcBorders>
              <w:top w:val="nil"/>
              <w:left w:val="nil"/>
              <w:bottom w:val="nil"/>
              <w:right w:val="single" w:sz="4" w:space="0" w:color="auto"/>
            </w:tcBorders>
            <w:shd w:val="clear" w:color="auto" w:fill="auto"/>
            <w:noWrap/>
            <w:vAlign w:val="bottom"/>
            <w:hideMark/>
          </w:tcPr>
          <w:p w14:paraId="5358D5BD" w14:textId="4CF11F21"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12.8</w:t>
            </w:r>
          </w:p>
        </w:tc>
      </w:tr>
      <w:tr w:rsidR="00C57931" w:rsidRPr="005736EC" w14:paraId="71380BE6" w14:textId="77777777" w:rsidTr="00C80F4A">
        <w:trPr>
          <w:gridAfter w:val="1"/>
          <w:wAfter w:w="8" w:type="dxa"/>
          <w:trHeight w:val="300"/>
        </w:trPr>
        <w:tc>
          <w:tcPr>
            <w:tcW w:w="3955" w:type="dxa"/>
            <w:tcBorders>
              <w:top w:val="nil"/>
              <w:left w:val="single" w:sz="4" w:space="0" w:color="auto"/>
              <w:bottom w:val="single" w:sz="4" w:space="0" w:color="auto"/>
              <w:right w:val="nil"/>
            </w:tcBorders>
            <w:shd w:val="clear" w:color="auto" w:fill="auto"/>
            <w:noWrap/>
            <w:vAlign w:val="center"/>
            <w:hideMark/>
          </w:tcPr>
          <w:p w14:paraId="090A1D3E" w14:textId="77777777" w:rsidR="00C57931" w:rsidRPr="005736EC" w:rsidRDefault="00C57931" w:rsidP="00C57931">
            <w:pPr>
              <w:spacing w:after="0" w:line="240" w:lineRule="auto"/>
              <w:ind w:right="-304" w:firstLineChars="100" w:firstLine="220"/>
              <w:rPr>
                <w:rFonts w:ascii="Calibri" w:eastAsia="Times New Roman" w:hAnsi="Calibri" w:cs="Calibri"/>
                <w:color w:val="000000"/>
              </w:rPr>
            </w:pPr>
            <w:r w:rsidRPr="005736EC">
              <w:rPr>
                <w:rFonts w:ascii="Calibri" w:eastAsia="Times New Roman" w:hAnsi="Calibri" w:cs="Calibri"/>
                <w:color w:val="000000"/>
              </w:rPr>
              <w:t>3</w:t>
            </w:r>
          </w:p>
        </w:tc>
        <w:tc>
          <w:tcPr>
            <w:tcW w:w="1547" w:type="dxa"/>
            <w:tcBorders>
              <w:top w:val="nil"/>
              <w:left w:val="single" w:sz="4" w:space="0" w:color="auto"/>
              <w:bottom w:val="single" w:sz="4" w:space="0" w:color="auto"/>
              <w:right w:val="nil"/>
            </w:tcBorders>
            <w:shd w:val="clear" w:color="auto" w:fill="auto"/>
            <w:noWrap/>
            <w:vAlign w:val="bottom"/>
            <w:hideMark/>
          </w:tcPr>
          <w:p w14:paraId="64107EC1" w14:textId="0155AA38"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15</w:t>
            </w:r>
            <w:r w:rsidR="00214BFD">
              <w:rPr>
                <w:rFonts w:ascii="Calibri" w:hAnsi="Calibri" w:cs="Calibri"/>
                <w:color w:val="000000"/>
                <w:vertAlign w:val="superscript"/>
              </w:rPr>
              <w:t>b</w:t>
            </w:r>
          </w:p>
        </w:tc>
        <w:tc>
          <w:tcPr>
            <w:tcW w:w="1319" w:type="dxa"/>
            <w:tcBorders>
              <w:top w:val="nil"/>
              <w:left w:val="nil"/>
              <w:bottom w:val="single" w:sz="4" w:space="0" w:color="auto"/>
              <w:right w:val="single" w:sz="4" w:space="0" w:color="auto"/>
            </w:tcBorders>
            <w:shd w:val="clear" w:color="auto" w:fill="auto"/>
            <w:noWrap/>
            <w:vAlign w:val="bottom"/>
            <w:hideMark/>
          </w:tcPr>
          <w:p w14:paraId="67DBAAE5" w14:textId="45F75BFD"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0.4</w:t>
            </w:r>
          </w:p>
        </w:tc>
      </w:tr>
      <w:tr w:rsidR="00C57931" w:rsidRPr="005736EC" w14:paraId="7BC27A2F" w14:textId="77777777" w:rsidTr="00C80F4A">
        <w:trPr>
          <w:gridAfter w:val="1"/>
          <w:wAfter w:w="8" w:type="dxa"/>
          <w:trHeight w:val="300"/>
        </w:trPr>
        <w:tc>
          <w:tcPr>
            <w:tcW w:w="3955" w:type="dxa"/>
            <w:tcBorders>
              <w:top w:val="single" w:sz="4" w:space="0" w:color="auto"/>
              <w:left w:val="single" w:sz="4" w:space="0" w:color="auto"/>
              <w:bottom w:val="single" w:sz="4" w:space="0" w:color="auto"/>
              <w:right w:val="nil"/>
            </w:tcBorders>
            <w:shd w:val="clear" w:color="auto" w:fill="auto"/>
            <w:noWrap/>
            <w:vAlign w:val="center"/>
            <w:hideMark/>
          </w:tcPr>
          <w:p w14:paraId="0E2D684D" w14:textId="77777777" w:rsidR="00C57931" w:rsidRPr="005736EC" w:rsidRDefault="00C57931" w:rsidP="00C80F4A">
            <w:pPr>
              <w:spacing w:after="0" w:line="240" w:lineRule="auto"/>
              <w:rPr>
                <w:rFonts w:ascii="Calibri" w:eastAsia="Times New Roman" w:hAnsi="Calibri" w:cs="Calibri"/>
                <w:color w:val="000000"/>
              </w:rPr>
            </w:pPr>
            <w:r w:rsidRPr="005736EC">
              <w:rPr>
                <w:rFonts w:ascii="Calibri" w:eastAsia="Times New Roman" w:hAnsi="Calibri" w:cs="Calibri"/>
                <w:color w:val="000000"/>
              </w:rPr>
              <w:t>Total</w:t>
            </w:r>
          </w:p>
        </w:tc>
        <w:tc>
          <w:tcPr>
            <w:tcW w:w="1547" w:type="dxa"/>
            <w:tcBorders>
              <w:top w:val="single" w:sz="4" w:space="0" w:color="auto"/>
              <w:left w:val="single" w:sz="4" w:space="0" w:color="auto"/>
              <w:bottom w:val="single" w:sz="4" w:space="0" w:color="auto"/>
              <w:right w:val="nil"/>
            </w:tcBorders>
            <w:shd w:val="clear" w:color="auto" w:fill="auto"/>
            <w:noWrap/>
            <w:vAlign w:val="bottom"/>
            <w:hideMark/>
          </w:tcPr>
          <w:p w14:paraId="7F06FB41" w14:textId="799E2E26"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3,501</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49E1F00A" w14:textId="4E5207B6" w:rsidR="00C57931" w:rsidRPr="005736EC" w:rsidRDefault="00C57931" w:rsidP="00C57931">
            <w:pPr>
              <w:spacing w:after="0" w:line="240" w:lineRule="auto"/>
              <w:jc w:val="right"/>
              <w:rPr>
                <w:rFonts w:ascii="Calibri" w:eastAsia="Times New Roman" w:hAnsi="Calibri" w:cs="Calibri"/>
                <w:color w:val="000000"/>
              </w:rPr>
            </w:pPr>
            <w:r>
              <w:rPr>
                <w:rFonts w:ascii="Calibri" w:hAnsi="Calibri" w:cs="Calibri"/>
                <w:color w:val="000000"/>
              </w:rPr>
              <w:t>100</w:t>
            </w:r>
          </w:p>
        </w:tc>
      </w:tr>
      <w:tr w:rsidR="00F478BF" w:rsidRPr="005736EC" w14:paraId="2F3B7055" w14:textId="77777777" w:rsidTr="00C80F4A">
        <w:trPr>
          <w:trHeight w:val="300"/>
        </w:trPr>
        <w:tc>
          <w:tcPr>
            <w:tcW w:w="6829" w:type="dxa"/>
            <w:gridSpan w:val="4"/>
            <w:tcBorders>
              <w:top w:val="single" w:sz="4" w:space="0" w:color="auto"/>
              <w:left w:val="single" w:sz="4" w:space="0" w:color="auto"/>
              <w:bottom w:val="nil"/>
              <w:right w:val="single" w:sz="4" w:space="0" w:color="auto"/>
            </w:tcBorders>
            <w:shd w:val="clear" w:color="auto" w:fill="EDEDED" w:themeFill="accent3" w:themeFillTint="33"/>
            <w:noWrap/>
            <w:vAlign w:val="center"/>
            <w:hideMark/>
          </w:tcPr>
          <w:p w14:paraId="6ED65302" w14:textId="27AF49D9" w:rsidR="00F478BF" w:rsidRPr="005736EC" w:rsidRDefault="00F478BF" w:rsidP="0056196E">
            <w:pPr>
              <w:spacing w:after="0" w:line="240" w:lineRule="auto"/>
              <w:rPr>
                <w:rFonts w:ascii="Calibri" w:eastAsia="Times New Roman" w:hAnsi="Calibri" w:cs="Calibri"/>
                <w:color w:val="000000"/>
              </w:rPr>
            </w:pPr>
            <w:r w:rsidRPr="005736EC">
              <w:rPr>
                <w:rFonts w:ascii="Calibri" w:eastAsia="Times New Roman" w:hAnsi="Calibri" w:cs="Calibri"/>
                <w:color w:val="000000"/>
              </w:rPr>
              <w:t xml:space="preserve">Number of </w:t>
            </w:r>
            <w:r w:rsidR="00851749">
              <w:rPr>
                <w:rFonts w:ascii="Calibri" w:eastAsia="Times New Roman" w:hAnsi="Calibri" w:cs="Calibri"/>
                <w:color w:val="000000"/>
              </w:rPr>
              <w:t xml:space="preserve">school </w:t>
            </w:r>
            <w:r w:rsidRPr="005736EC">
              <w:rPr>
                <w:rFonts w:ascii="Calibri" w:eastAsia="Times New Roman" w:hAnsi="Calibri" w:cs="Calibri"/>
                <w:color w:val="000000"/>
              </w:rPr>
              <w:t>closures from 2011-12 to 2018-19 </w:t>
            </w:r>
          </w:p>
        </w:tc>
      </w:tr>
      <w:tr w:rsidR="00086DAD" w:rsidRPr="005736EC" w14:paraId="2566A47F"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1651496B"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1</w:t>
            </w:r>
          </w:p>
        </w:tc>
        <w:tc>
          <w:tcPr>
            <w:tcW w:w="1547" w:type="dxa"/>
            <w:tcBorders>
              <w:top w:val="nil"/>
              <w:left w:val="single" w:sz="4" w:space="0" w:color="auto"/>
              <w:bottom w:val="nil"/>
              <w:right w:val="nil"/>
            </w:tcBorders>
            <w:shd w:val="clear" w:color="auto" w:fill="auto"/>
            <w:noWrap/>
            <w:vAlign w:val="bottom"/>
            <w:hideMark/>
          </w:tcPr>
          <w:p w14:paraId="477A4DDC" w14:textId="4AB65B18"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2,184</w:t>
            </w:r>
          </w:p>
        </w:tc>
        <w:tc>
          <w:tcPr>
            <w:tcW w:w="1319" w:type="dxa"/>
            <w:tcBorders>
              <w:top w:val="nil"/>
              <w:left w:val="nil"/>
              <w:bottom w:val="nil"/>
              <w:right w:val="single" w:sz="4" w:space="0" w:color="auto"/>
            </w:tcBorders>
            <w:shd w:val="clear" w:color="auto" w:fill="auto"/>
            <w:noWrap/>
            <w:vAlign w:val="bottom"/>
            <w:hideMark/>
          </w:tcPr>
          <w:p w14:paraId="3A09CF68" w14:textId="0E3C3574"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62.4</w:t>
            </w:r>
          </w:p>
        </w:tc>
      </w:tr>
      <w:tr w:rsidR="00086DAD" w:rsidRPr="005736EC" w14:paraId="25A7D379"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6DC15C33"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2</w:t>
            </w:r>
          </w:p>
        </w:tc>
        <w:tc>
          <w:tcPr>
            <w:tcW w:w="1547" w:type="dxa"/>
            <w:tcBorders>
              <w:top w:val="nil"/>
              <w:left w:val="single" w:sz="4" w:space="0" w:color="auto"/>
              <w:bottom w:val="nil"/>
              <w:right w:val="nil"/>
            </w:tcBorders>
            <w:shd w:val="clear" w:color="auto" w:fill="auto"/>
            <w:noWrap/>
            <w:vAlign w:val="bottom"/>
            <w:hideMark/>
          </w:tcPr>
          <w:p w14:paraId="2DFAF5FB" w14:textId="1CAF5FC0"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689</w:t>
            </w:r>
            <w:r w:rsidR="0029108F">
              <w:rPr>
                <w:rFonts w:ascii="Calibri" w:hAnsi="Calibri" w:cs="Calibri"/>
                <w:color w:val="000000"/>
                <w:vertAlign w:val="superscript"/>
              </w:rPr>
              <w:t>c</w:t>
            </w:r>
          </w:p>
        </w:tc>
        <w:tc>
          <w:tcPr>
            <w:tcW w:w="1319" w:type="dxa"/>
            <w:tcBorders>
              <w:top w:val="nil"/>
              <w:left w:val="nil"/>
              <w:bottom w:val="nil"/>
              <w:right w:val="single" w:sz="4" w:space="0" w:color="auto"/>
            </w:tcBorders>
            <w:shd w:val="clear" w:color="auto" w:fill="auto"/>
            <w:noWrap/>
            <w:vAlign w:val="bottom"/>
            <w:hideMark/>
          </w:tcPr>
          <w:p w14:paraId="0FBB75EE" w14:textId="1BF5BC5B"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19.7</w:t>
            </w:r>
          </w:p>
        </w:tc>
      </w:tr>
      <w:tr w:rsidR="00086DAD" w:rsidRPr="005736EC" w14:paraId="48F32941"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3268A2A6"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3</w:t>
            </w:r>
          </w:p>
        </w:tc>
        <w:tc>
          <w:tcPr>
            <w:tcW w:w="1547" w:type="dxa"/>
            <w:tcBorders>
              <w:top w:val="nil"/>
              <w:left w:val="single" w:sz="4" w:space="0" w:color="auto"/>
              <w:bottom w:val="nil"/>
              <w:right w:val="nil"/>
            </w:tcBorders>
            <w:shd w:val="clear" w:color="auto" w:fill="auto"/>
            <w:noWrap/>
            <w:vAlign w:val="bottom"/>
            <w:hideMark/>
          </w:tcPr>
          <w:p w14:paraId="73347E09" w14:textId="5EDFB56C"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357</w:t>
            </w:r>
            <w:r w:rsidR="0029108F">
              <w:rPr>
                <w:rFonts w:ascii="Calibri" w:hAnsi="Calibri" w:cs="Calibri"/>
                <w:color w:val="000000"/>
                <w:vertAlign w:val="superscript"/>
              </w:rPr>
              <w:t>d</w:t>
            </w:r>
          </w:p>
        </w:tc>
        <w:tc>
          <w:tcPr>
            <w:tcW w:w="1319" w:type="dxa"/>
            <w:tcBorders>
              <w:top w:val="nil"/>
              <w:left w:val="nil"/>
              <w:bottom w:val="nil"/>
              <w:right w:val="single" w:sz="4" w:space="0" w:color="auto"/>
            </w:tcBorders>
            <w:shd w:val="clear" w:color="auto" w:fill="auto"/>
            <w:noWrap/>
            <w:vAlign w:val="bottom"/>
            <w:hideMark/>
          </w:tcPr>
          <w:p w14:paraId="3FD42744" w14:textId="37E32439"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10.2</w:t>
            </w:r>
          </w:p>
        </w:tc>
      </w:tr>
      <w:tr w:rsidR="00086DAD" w:rsidRPr="005736EC" w14:paraId="4943F9AA"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33827C61"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4</w:t>
            </w:r>
          </w:p>
        </w:tc>
        <w:tc>
          <w:tcPr>
            <w:tcW w:w="1547" w:type="dxa"/>
            <w:tcBorders>
              <w:top w:val="nil"/>
              <w:left w:val="single" w:sz="4" w:space="0" w:color="auto"/>
              <w:bottom w:val="nil"/>
              <w:right w:val="nil"/>
            </w:tcBorders>
            <w:shd w:val="clear" w:color="auto" w:fill="auto"/>
            <w:noWrap/>
            <w:vAlign w:val="bottom"/>
            <w:hideMark/>
          </w:tcPr>
          <w:p w14:paraId="2FEA5FF1" w14:textId="0EF8FEDA"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94</w:t>
            </w:r>
            <w:r w:rsidR="0029108F">
              <w:rPr>
                <w:rFonts w:ascii="Calibri" w:hAnsi="Calibri" w:cs="Calibri"/>
                <w:color w:val="000000"/>
                <w:vertAlign w:val="superscript"/>
              </w:rPr>
              <w:t>e</w:t>
            </w:r>
          </w:p>
        </w:tc>
        <w:tc>
          <w:tcPr>
            <w:tcW w:w="1319" w:type="dxa"/>
            <w:tcBorders>
              <w:top w:val="nil"/>
              <w:left w:val="nil"/>
              <w:bottom w:val="nil"/>
              <w:right w:val="single" w:sz="4" w:space="0" w:color="auto"/>
            </w:tcBorders>
            <w:shd w:val="clear" w:color="auto" w:fill="auto"/>
            <w:noWrap/>
            <w:vAlign w:val="bottom"/>
            <w:hideMark/>
          </w:tcPr>
          <w:p w14:paraId="4D6F7E10" w14:textId="14D26FD0"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2.7</w:t>
            </w:r>
          </w:p>
        </w:tc>
      </w:tr>
      <w:tr w:rsidR="00086DAD" w:rsidRPr="005736EC" w14:paraId="5AFC81FF"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4FCDBE08"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5</w:t>
            </w:r>
          </w:p>
        </w:tc>
        <w:tc>
          <w:tcPr>
            <w:tcW w:w="1547" w:type="dxa"/>
            <w:tcBorders>
              <w:top w:val="nil"/>
              <w:left w:val="single" w:sz="4" w:space="0" w:color="auto"/>
              <w:bottom w:val="nil"/>
              <w:right w:val="nil"/>
            </w:tcBorders>
            <w:shd w:val="clear" w:color="auto" w:fill="auto"/>
            <w:noWrap/>
            <w:vAlign w:val="bottom"/>
            <w:hideMark/>
          </w:tcPr>
          <w:p w14:paraId="2300197E" w14:textId="66BFE630"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155</w:t>
            </w:r>
            <w:r w:rsidR="00414468">
              <w:rPr>
                <w:rFonts w:ascii="Calibri" w:hAnsi="Calibri" w:cs="Calibri"/>
                <w:color w:val="000000"/>
                <w:vertAlign w:val="superscript"/>
              </w:rPr>
              <w:t>f</w:t>
            </w:r>
          </w:p>
        </w:tc>
        <w:tc>
          <w:tcPr>
            <w:tcW w:w="1319" w:type="dxa"/>
            <w:tcBorders>
              <w:top w:val="nil"/>
              <w:left w:val="nil"/>
              <w:bottom w:val="nil"/>
              <w:right w:val="single" w:sz="4" w:space="0" w:color="auto"/>
            </w:tcBorders>
            <w:shd w:val="clear" w:color="auto" w:fill="auto"/>
            <w:noWrap/>
            <w:vAlign w:val="bottom"/>
            <w:hideMark/>
          </w:tcPr>
          <w:p w14:paraId="55DEAF6B" w14:textId="794FED7F"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4.4</w:t>
            </w:r>
          </w:p>
        </w:tc>
      </w:tr>
      <w:tr w:rsidR="00086DAD" w:rsidRPr="005736EC" w14:paraId="5C969ACC"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24140395"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7</w:t>
            </w:r>
          </w:p>
        </w:tc>
        <w:tc>
          <w:tcPr>
            <w:tcW w:w="1547" w:type="dxa"/>
            <w:tcBorders>
              <w:top w:val="nil"/>
              <w:left w:val="single" w:sz="4" w:space="0" w:color="auto"/>
              <w:bottom w:val="nil"/>
              <w:right w:val="nil"/>
            </w:tcBorders>
            <w:shd w:val="clear" w:color="auto" w:fill="auto"/>
            <w:noWrap/>
            <w:vAlign w:val="bottom"/>
            <w:hideMark/>
          </w:tcPr>
          <w:p w14:paraId="2EDA2CD8" w14:textId="2DBF746F"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3</w:t>
            </w:r>
            <w:r w:rsidR="00214BFD">
              <w:rPr>
                <w:rFonts w:ascii="Calibri" w:hAnsi="Calibri" w:cs="Calibri"/>
                <w:color w:val="000000"/>
                <w:vertAlign w:val="superscript"/>
              </w:rPr>
              <w:t>f</w:t>
            </w:r>
            <w:r w:rsidR="001828ED">
              <w:rPr>
                <w:rFonts w:ascii="Calibri" w:hAnsi="Calibri" w:cs="Calibri"/>
                <w:color w:val="000000"/>
              </w:rPr>
              <w:t xml:space="preserve"> </w:t>
            </w:r>
          </w:p>
        </w:tc>
        <w:tc>
          <w:tcPr>
            <w:tcW w:w="1319" w:type="dxa"/>
            <w:tcBorders>
              <w:top w:val="nil"/>
              <w:left w:val="nil"/>
              <w:bottom w:val="nil"/>
              <w:right w:val="single" w:sz="4" w:space="0" w:color="auto"/>
            </w:tcBorders>
            <w:shd w:val="clear" w:color="auto" w:fill="auto"/>
            <w:noWrap/>
            <w:vAlign w:val="bottom"/>
            <w:hideMark/>
          </w:tcPr>
          <w:p w14:paraId="02F7196A" w14:textId="0CF77333"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0.1</w:t>
            </w:r>
          </w:p>
        </w:tc>
      </w:tr>
      <w:tr w:rsidR="00086DAD" w:rsidRPr="005736EC" w14:paraId="7A5C8F29" w14:textId="77777777" w:rsidTr="00C80F4A">
        <w:trPr>
          <w:gridAfter w:val="1"/>
          <w:wAfter w:w="8" w:type="dxa"/>
          <w:trHeight w:val="300"/>
        </w:trPr>
        <w:tc>
          <w:tcPr>
            <w:tcW w:w="3955" w:type="dxa"/>
            <w:tcBorders>
              <w:top w:val="nil"/>
              <w:left w:val="single" w:sz="4" w:space="0" w:color="auto"/>
              <w:bottom w:val="nil"/>
              <w:right w:val="nil"/>
            </w:tcBorders>
            <w:shd w:val="clear" w:color="auto" w:fill="auto"/>
            <w:noWrap/>
            <w:vAlign w:val="center"/>
            <w:hideMark/>
          </w:tcPr>
          <w:p w14:paraId="18BD7328"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8</w:t>
            </w:r>
          </w:p>
        </w:tc>
        <w:tc>
          <w:tcPr>
            <w:tcW w:w="1547" w:type="dxa"/>
            <w:tcBorders>
              <w:top w:val="nil"/>
              <w:left w:val="single" w:sz="4" w:space="0" w:color="auto"/>
              <w:bottom w:val="nil"/>
              <w:right w:val="nil"/>
            </w:tcBorders>
            <w:shd w:val="clear" w:color="auto" w:fill="auto"/>
            <w:noWrap/>
            <w:vAlign w:val="bottom"/>
            <w:hideMark/>
          </w:tcPr>
          <w:p w14:paraId="36F7975B" w14:textId="76C798C5"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17</w:t>
            </w:r>
            <w:r w:rsidR="008B0344">
              <w:rPr>
                <w:rFonts w:ascii="Calibri" w:hAnsi="Calibri" w:cs="Calibri"/>
                <w:color w:val="000000"/>
                <w:vertAlign w:val="superscript"/>
              </w:rPr>
              <w:t>f</w:t>
            </w:r>
            <w:r w:rsidR="001828ED">
              <w:rPr>
                <w:rFonts w:ascii="Calibri" w:hAnsi="Calibri" w:cs="Calibri"/>
                <w:color w:val="000000"/>
                <w:vertAlign w:val="superscript"/>
              </w:rPr>
              <w:t xml:space="preserve"> </w:t>
            </w:r>
          </w:p>
        </w:tc>
        <w:tc>
          <w:tcPr>
            <w:tcW w:w="1319" w:type="dxa"/>
            <w:tcBorders>
              <w:top w:val="nil"/>
              <w:left w:val="nil"/>
              <w:bottom w:val="nil"/>
              <w:right w:val="single" w:sz="4" w:space="0" w:color="auto"/>
            </w:tcBorders>
            <w:shd w:val="clear" w:color="auto" w:fill="auto"/>
            <w:noWrap/>
            <w:vAlign w:val="bottom"/>
            <w:hideMark/>
          </w:tcPr>
          <w:p w14:paraId="53763F05" w14:textId="5E7C7F01"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0.5</w:t>
            </w:r>
          </w:p>
        </w:tc>
      </w:tr>
      <w:tr w:rsidR="00086DAD" w:rsidRPr="005736EC" w14:paraId="3873E1E3" w14:textId="77777777" w:rsidTr="00C80F4A">
        <w:trPr>
          <w:gridAfter w:val="1"/>
          <w:wAfter w:w="8" w:type="dxa"/>
          <w:trHeight w:val="300"/>
        </w:trPr>
        <w:tc>
          <w:tcPr>
            <w:tcW w:w="3955" w:type="dxa"/>
            <w:tcBorders>
              <w:top w:val="nil"/>
              <w:left w:val="single" w:sz="4" w:space="0" w:color="auto"/>
              <w:bottom w:val="single" w:sz="4" w:space="0" w:color="auto"/>
              <w:right w:val="nil"/>
            </w:tcBorders>
            <w:shd w:val="clear" w:color="auto" w:fill="auto"/>
            <w:noWrap/>
            <w:vAlign w:val="center"/>
            <w:hideMark/>
          </w:tcPr>
          <w:p w14:paraId="4BED0AC2" w14:textId="77777777" w:rsidR="00086DAD" w:rsidRPr="005736EC" w:rsidRDefault="00086DAD" w:rsidP="00086DAD">
            <w:pPr>
              <w:spacing w:after="0" w:line="240" w:lineRule="auto"/>
              <w:ind w:firstLineChars="100" w:firstLine="220"/>
              <w:rPr>
                <w:rFonts w:ascii="Calibri" w:eastAsia="Times New Roman" w:hAnsi="Calibri" w:cs="Calibri"/>
                <w:color w:val="000000"/>
              </w:rPr>
            </w:pPr>
            <w:r w:rsidRPr="005736EC">
              <w:rPr>
                <w:rFonts w:ascii="Calibri" w:eastAsia="Times New Roman" w:hAnsi="Calibri" w:cs="Calibri"/>
                <w:color w:val="000000"/>
              </w:rPr>
              <w:t>9</w:t>
            </w:r>
          </w:p>
        </w:tc>
        <w:tc>
          <w:tcPr>
            <w:tcW w:w="1547" w:type="dxa"/>
            <w:tcBorders>
              <w:top w:val="nil"/>
              <w:left w:val="single" w:sz="4" w:space="0" w:color="auto"/>
              <w:bottom w:val="single" w:sz="4" w:space="0" w:color="auto"/>
              <w:right w:val="nil"/>
            </w:tcBorders>
            <w:shd w:val="clear" w:color="auto" w:fill="auto"/>
            <w:noWrap/>
            <w:vAlign w:val="bottom"/>
            <w:hideMark/>
          </w:tcPr>
          <w:p w14:paraId="5FC29FD9" w14:textId="0825C891"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2</w:t>
            </w:r>
            <w:r w:rsidR="008B0344">
              <w:rPr>
                <w:rFonts w:ascii="Calibri" w:hAnsi="Calibri" w:cs="Calibri"/>
                <w:color w:val="000000"/>
                <w:vertAlign w:val="superscript"/>
              </w:rPr>
              <w:t>f</w:t>
            </w:r>
          </w:p>
        </w:tc>
        <w:tc>
          <w:tcPr>
            <w:tcW w:w="1319" w:type="dxa"/>
            <w:tcBorders>
              <w:top w:val="nil"/>
              <w:left w:val="nil"/>
              <w:bottom w:val="single" w:sz="4" w:space="0" w:color="auto"/>
              <w:right w:val="single" w:sz="4" w:space="0" w:color="auto"/>
            </w:tcBorders>
            <w:shd w:val="clear" w:color="auto" w:fill="auto"/>
            <w:noWrap/>
            <w:vAlign w:val="bottom"/>
            <w:hideMark/>
          </w:tcPr>
          <w:p w14:paraId="487B2CD6" w14:textId="5E80549C"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0.1</w:t>
            </w:r>
          </w:p>
        </w:tc>
      </w:tr>
      <w:tr w:rsidR="00086DAD" w:rsidRPr="005736EC" w14:paraId="1681624D" w14:textId="77777777" w:rsidTr="00C80F4A">
        <w:trPr>
          <w:gridAfter w:val="1"/>
          <w:wAfter w:w="8" w:type="dxa"/>
          <w:trHeight w:val="300"/>
        </w:trPr>
        <w:tc>
          <w:tcPr>
            <w:tcW w:w="3955" w:type="dxa"/>
            <w:tcBorders>
              <w:top w:val="single" w:sz="4" w:space="0" w:color="auto"/>
              <w:left w:val="single" w:sz="4" w:space="0" w:color="auto"/>
              <w:bottom w:val="single" w:sz="4" w:space="0" w:color="auto"/>
              <w:right w:val="nil"/>
            </w:tcBorders>
            <w:shd w:val="clear" w:color="auto" w:fill="auto"/>
            <w:noWrap/>
            <w:vAlign w:val="center"/>
            <w:hideMark/>
          </w:tcPr>
          <w:p w14:paraId="50AD9AA1" w14:textId="77777777" w:rsidR="00086DAD" w:rsidRPr="005736EC" w:rsidRDefault="00086DAD" w:rsidP="00C80F4A">
            <w:pPr>
              <w:spacing w:after="0" w:line="240" w:lineRule="auto"/>
              <w:rPr>
                <w:rFonts w:ascii="Calibri" w:eastAsia="Times New Roman" w:hAnsi="Calibri" w:cs="Calibri"/>
                <w:color w:val="000000"/>
              </w:rPr>
            </w:pPr>
            <w:r w:rsidRPr="005736EC">
              <w:rPr>
                <w:rFonts w:ascii="Calibri" w:eastAsia="Times New Roman" w:hAnsi="Calibri" w:cs="Calibri"/>
                <w:color w:val="000000"/>
              </w:rPr>
              <w:t>Total</w:t>
            </w:r>
          </w:p>
        </w:tc>
        <w:tc>
          <w:tcPr>
            <w:tcW w:w="1547" w:type="dxa"/>
            <w:tcBorders>
              <w:top w:val="single" w:sz="4" w:space="0" w:color="auto"/>
              <w:left w:val="single" w:sz="4" w:space="0" w:color="auto"/>
              <w:bottom w:val="single" w:sz="4" w:space="0" w:color="auto"/>
              <w:right w:val="nil"/>
            </w:tcBorders>
            <w:shd w:val="clear" w:color="auto" w:fill="auto"/>
            <w:noWrap/>
            <w:vAlign w:val="bottom"/>
            <w:hideMark/>
          </w:tcPr>
          <w:p w14:paraId="2F11F22C" w14:textId="7809D276"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3,501</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5E845A19" w14:textId="2F9608CE" w:rsidR="00086DAD" w:rsidRPr="005736EC" w:rsidRDefault="00086DAD" w:rsidP="00086DAD">
            <w:pPr>
              <w:spacing w:after="0" w:line="240" w:lineRule="auto"/>
              <w:jc w:val="right"/>
              <w:rPr>
                <w:rFonts w:ascii="Calibri" w:eastAsia="Times New Roman" w:hAnsi="Calibri" w:cs="Calibri"/>
                <w:color w:val="000000"/>
              </w:rPr>
            </w:pPr>
            <w:r>
              <w:rPr>
                <w:rFonts w:ascii="Calibri" w:hAnsi="Calibri" w:cs="Calibri"/>
                <w:color w:val="000000"/>
              </w:rPr>
              <w:t>100</w:t>
            </w:r>
          </w:p>
        </w:tc>
      </w:tr>
    </w:tbl>
    <w:p w14:paraId="735CEF15" w14:textId="699BEAEA" w:rsidR="00214BFD" w:rsidRPr="008D464E" w:rsidRDefault="00214BFD" w:rsidP="001828ED">
      <w:pPr>
        <w:spacing w:after="0"/>
        <w:rPr>
          <w:sz w:val="20"/>
          <w:szCs w:val="20"/>
        </w:rPr>
      </w:pPr>
      <w:r w:rsidRPr="008D464E">
        <w:rPr>
          <w:rFonts w:ascii="Calibri" w:hAnsi="Calibri" w:cs="Calibri"/>
          <w:color w:val="000000"/>
          <w:sz w:val="20"/>
          <w:szCs w:val="20"/>
          <w:vertAlign w:val="superscript"/>
        </w:rPr>
        <w:t>a</w:t>
      </w:r>
      <w:r w:rsidRPr="008D464E">
        <w:rPr>
          <w:sz w:val="20"/>
          <w:szCs w:val="20"/>
        </w:rPr>
        <w:t xml:space="preserve"> Among 448 schools, 274 schools (</w:t>
      </w:r>
      <w:r w:rsidR="00A5001D" w:rsidRPr="008D464E">
        <w:rPr>
          <w:sz w:val="20"/>
          <w:szCs w:val="20"/>
        </w:rPr>
        <w:t>61</w:t>
      </w:r>
      <w:r w:rsidRPr="008D464E">
        <w:rPr>
          <w:sz w:val="20"/>
          <w:szCs w:val="20"/>
        </w:rPr>
        <w:t xml:space="preserve">%) were located in Tennessee, </w:t>
      </w:r>
      <w:r w:rsidR="00AC757C" w:rsidRPr="008D464E">
        <w:rPr>
          <w:sz w:val="20"/>
          <w:szCs w:val="20"/>
        </w:rPr>
        <w:t>83</w:t>
      </w:r>
      <w:r w:rsidRPr="008D464E">
        <w:rPr>
          <w:sz w:val="20"/>
          <w:szCs w:val="20"/>
        </w:rPr>
        <w:t xml:space="preserve"> schools (1</w:t>
      </w:r>
      <w:r w:rsidR="00A5001D" w:rsidRPr="008D464E">
        <w:rPr>
          <w:sz w:val="20"/>
          <w:szCs w:val="20"/>
        </w:rPr>
        <w:t>9</w:t>
      </w:r>
      <w:r w:rsidRPr="008D464E">
        <w:rPr>
          <w:sz w:val="20"/>
          <w:szCs w:val="20"/>
        </w:rPr>
        <w:t xml:space="preserve">%) were in Kentucky, </w:t>
      </w:r>
      <w:r w:rsidR="00AC757C" w:rsidRPr="008D464E">
        <w:rPr>
          <w:sz w:val="20"/>
          <w:szCs w:val="20"/>
        </w:rPr>
        <w:t>19</w:t>
      </w:r>
      <w:r w:rsidRPr="008D464E">
        <w:rPr>
          <w:sz w:val="20"/>
          <w:szCs w:val="20"/>
        </w:rPr>
        <w:t xml:space="preserve"> schools (</w:t>
      </w:r>
      <w:r w:rsidR="00A5001D" w:rsidRPr="008D464E">
        <w:rPr>
          <w:sz w:val="20"/>
          <w:szCs w:val="20"/>
        </w:rPr>
        <w:t>4</w:t>
      </w:r>
      <w:r w:rsidRPr="008D464E">
        <w:rPr>
          <w:sz w:val="20"/>
          <w:szCs w:val="20"/>
        </w:rPr>
        <w:t xml:space="preserve">%) in Texas, </w:t>
      </w:r>
      <w:r w:rsidR="006F6ED5" w:rsidRPr="008D464E">
        <w:rPr>
          <w:sz w:val="20"/>
          <w:szCs w:val="20"/>
        </w:rPr>
        <w:t>18</w:t>
      </w:r>
      <w:r w:rsidRPr="008D464E">
        <w:rPr>
          <w:sz w:val="20"/>
          <w:szCs w:val="20"/>
        </w:rPr>
        <w:t xml:space="preserve"> schools (</w:t>
      </w:r>
      <w:r w:rsidR="00805C70" w:rsidRPr="008D464E">
        <w:rPr>
          <w:sz w:val="20"/>
          <w:szCs w:val="20"/>
        </w:rPr>
        <w:t>4</w:t>
      </w:r>
      <w:r w:rsidRPr="008D464E">
        <w:rPr>
          <w:sz w:val="20"/>
          <w:szCs w:val="20"/>
        </w:rPr>
        <w:t xml:space="preserve">%) in Michigan, and </w:t>
      </w:r>
      <w:r w:rsidR="006F6ED5" w:rsidRPr="008D464E">
        <w:rPr>
          <w:sz w:val="20"/>
          <w:szCs w:val="20"/>
        </w:rPr>
        <w:t>13</w:t>
      </w:r>
      <w:r w:rsidRPr="008D464E">
        <w:rPr>
          <w:sz w:val="20"/>
          <w:szCs w:val="20"/>
        </w:rPr>
        <w:t xml:space="preserve"> schools (</w:t>
      </w:r>
      <w:r w:rsidR="00805C70" w:rsidRPr="008D464E">
        <w:rPr>
          <w:sz w:val="20"/>
          <w:szCs w:val="20"/>
        </w:rPr>
        <w:t>3</w:t>
      </w:r>
      <w:r w:rsidRPr="008D464E">
        <w:rPr>
          <w:sz w:val="20"/>
          <w:szCs w:val="20"/>
        </w:rPr>
        <w:t xml:space="preserve">%) were in </w:t>
      </w:r>
      <w:r w:rsidR="006F6ED5" w:rsidRPr="008D464E">
        <w:rPr>
          <w:sz w:val="20"/>
          <w:szCs w:val="20"/>
        </w:rPr>
        <w:t>Alabama</w:t>
      </w:r>
      <w:r w:rsidRPr="008D464E">
        <w:rPr>
          <w:sz w:val="20"/>
          <w:szCs w:val="20"/>
        </w:rPr>
        <w:t>.</w:t>
      </w:r>
    </w:p>
    <w:p w14:paraId="03CD656D" w14:textId="63DF0D7E" w:rsidR="00214BFD" w:rsidRPr="008D464E" w:rsidRDefault="00214BFD" w:rsidP="001828ED">
      <w:pPr>
        <w:spacing w:after="0"/>
        <w:rPr>
          <w:rFonts w:ascii="Calibri" w:hAnsi="Calibri" w:cs="Calibri"/>
          <w:color w:val="000000"/>
          <w:sz w:val="20"/>
          <w:szCs w:val="20"/>
          <w:vertAlign w:val="superscript"/>
        </w:rPr>
      </w:pPr>
      <w:r w:rsidRPr="008D464E">
        <w:rPr>
          <w:rFonts w:ascii="Calibri" w:hAnsi="Calibri" w:cs="Calibri"/>
          <w:color w:val="000000"/>
          <w:sz w:val="20"/>
          <w:szCs w:val="20"/>
          <w:vertAlign w:val="superscript"/>
        </w:rPr>
        <w:t>b</w:t>
      </w:r>
      <w:r w:rsidRPr="008D464E">
        <w:rPr>
          <w:sz w:val="20"/>
          <w:szCs w:val="20"/>
        </w:rPr>
        <w:t xml:space="preserve"> Among </w:t>
      </w:r>
      <w:r w:rsidR="009F39B7" w:rsidRPr="008D464E">
        <w:rPr>
          <w:sz w:val="20"/>
          <w:szCs w:val="20"/>
        </w:rPr>
        <w:t>15</w:t>
      </w:r>
      <w:r w:rsidRPr="008D464E">
        <w:rPr>
          <w:sz w:val="20"/>
          <w:szCs w:val="20"/>
        </w:rPr>
        <w:t xml:space="preserve"> schools, </w:t>
      </w:r>
      <w:r w:rsidR="009F39B7" w:rsidRPr="008D464E">
        <w:rPr>
          <w:sz w:val="20"/>
          <w:szCs w:val="20"/>
        </w:rPr>
        <w:t>10</w:t>
      </w:r>
      <w:r w:rsidRPr="008D464E">
        <w:rPr>
          <w:sz w:val="20"/>
          <w:szCs w:val="20"/>
        </w:rPr>
        <w:t xml:space="preserve"> schools (</w:t>
      </w:r>
      <w:r w:rsidR="00805C70" w:rsidRPr="008D464E">
        <w:rPr>
          <w:sz w:val="20"/>
          <w:szCs w:val="20"/>
        </w:rPr>
        <w:t>67</w:t>
      </w:r>
      <w:r w:rsidRPr="008D464E">
        <w:rPr>
          <w:sz w:val="20"/>
          <w:szCs w:val="20"/>
        </w:rPr>
        <w:t xml:space="preserve">%) were located in </w:t>
      </w:r>
      <w:r w:rsidR="009F39B7" w:rsidRPr="008D464E">
        <w:rPr>
          <w:sz w:val="20"/>
          <w:szCs w:val="20"/>
        </w:rPr>
        <w:t>Kentucky</w:t>
      </w:r>
      <w:r w:rsidRPr="008D464E">
        <w:rPr>
          <w:sz w:val="20"/>
          <w:szCs w:val="20"/>
        </w:rPr>
        <w:t xml:space="preserve">, </w:t>
      </w:r>
      <w:r w:rsidR="009F39B7" w:rsidRPr="008D464E">
        <w:rPr>
          <w:sz w:val="20"/>
          <w:szCs w:val="20"/>
        </w:rPr>
        <w:t>5</w:t>
      </w:r>
      <w:r w:rsidRPr="008D464E">
        <w:rPr>
          <w:sz w:val="20"/>
          <w:szCs w:val="20"/>
        </w:rPr>
        <w:t xml:space="preserve"> schools (</w:t>
      </w:r>
      <w:r w:rsidR="00075D05" w:rsidRPr="008D464E">
        <w:rPr>
          <w:sz w:val="20"/>
          <w:szCs w:val="20"/>
        </w:rPr>
        <w:t>33</w:t>
      </w:r>
      <w:r w:rsidRPr="008D464E">
        <w:rPr>
          <w:sz w:val="20"/>
          <w:szCs w:val="20"/>
        </w:rPr>
        <w:t>%) were in</w:t>
      </w:r>
      <w:r w:rsidR="009F39B7" w:rsidRPr="008D464E">
        <w:rPr>
          <w:sz w:val="20"/>
          <w:szCs w:val="20"/>
        </w:rPr>
        <w:t xml:space="preserve"> Tennessee</w:t>
      </w:r>
      <w:r w:rsidRPr="008D464E">
        <w:rPr>
          <w:sz w:val="20"/>
          <w:szCs w:val="20"/>
        </w:rPr>
        <w:t>.</w:t>
      </w:r>
    </w:p>
    <w:p w14:paraId="6386F818" w14:textId="2C8E8A50" w:rsidR="00F0383E" w:rsidRPr="008D464E" w:rsidRDefault="00214BFD" w:rsidP="001828ED">
      <w:pPr>
        <w:spacing w:after="0"/>
        <w:rPr>
          <w:sz w:val="20"/>
          <w:szCs w:val="20"/>
        </w:rPr>
      </w:pPr>
      <w:r w:rsidRPr="008D464E">
        <w:rPr>
          <w:rFonts w:ascii="Calibri" w:hAnsi="Calibri" w:cs="Calibri"/>
          <w:color w:val="000000"/>
          <w:sz w:val="20"/>
          <w:szCs w:val="20"/>
          <w:vertAlign w:val="superscript"/>
        </w:rPr>
        <w:t>c</w:t>
      </w:r>
      <w:r w:rsidR="00F0383E" w:rsidRPr="008D464E">
        <w:rPr>
          <w:sz w:val="20"/>
          <w:szCs w:val="20"/>
        </w:rPr>
        <w:t xml:space="preserve"> Among 689 schools, </w:t>
      </w:r>
      <w:r w:rsidR="009473EB" w:rsidRPr="008D464E">
        <w:rPr>
          <w:sz w:val="20"/>
          <w:szCs w:val="20"/>
        </w:rPr>
        <w:t>381</w:t>
      </w:r>
      <w:r w:rsidR="00F0383E" w:rsidRPr="008D464E">
        <w:rPr>
          <w:sz w:val="20"/>
          <w:szCs w:val="20"/>
        </w:rPr>
        <w:t xml:space="preserve"> schools (5</w:t>
      </w:r>
      <w:r w:rsidR="009473EB" w:rsidRPr="008D464E">
        <w:rPr>
          <w:sz w:val="20"/>
          <w:szCs w:val="20"/>
        </w:rPr>
        <w:t>5</w:t>
      </w:r>
      <w:r w:rsidR="00F0383E" w:rsidRPr="008D464E">
        <w:rPr>
          <w:sz w:val="20"/>
          <w:szCs w:val="20"/>
        </w:rPr>
        <w:t>%) were located in Tennessee</w:t>
      </w:r>
      <w:r w:rsidR="00C610F2" w:rsidRPr="008D464E">
        <w:rPr>
          <w:sz w:val="20"/>
          <w:szCs w:val="20"/>
        </w:rPr>
        <w:t>,</w:t>
      </w:r>
      <w:r w:rsidR="00F0383E" w:rsidRPr="008D464E">
        <w:rPr>
          <w:sz w:val="20"/>
          <w:szCs w:val="20"/>
        </w:rPr>
        <w:t xml:space="preserve"> 11</w:t>
      </w:r>
      <w:r w:rsidR="009473EB" w:rsidRPr="008D464E">
        <w:rPr>
          <w:sz w:val="20"/>
          <w:szCs w:val="20"/>
        </w:rPr>
        <w:t>9</w:t>
      </w:r>
      <w:r w:rsidR="00F0383E" w:rsidRPr="008D464E">
        <w:rPr>
          <w:sz w:val="20"/>
          <w:szCs w:val="20"/>
        </w:rPr>
        <w:t xml:space="preserve"> schools (</w:t>
      </w:r>
      <w:r w:rsidR="009473EB" w:rsidRPr="008D464E">
        <w:rPr>
          <w:sz w:val="20"/>
          <w:szCs w:val="20"/>
        </w:rPr>
        <w:t>17</w:t>
      </w:r>
      <w:r w:rsidR="00F0383E" w:rsidRPr="008D464E">
        <w:rPr>
          <w:sz w:val="20"/>
          <w:szCs w:val="20"/>
        </w:rPr>
        <w:t>%) were in Kentucky</w:t>
      </w:r>
      <w:r w:rsidR="00C610F2" w:rsidRPr="008D464E">
        <w:rPr>
          <w:sz w:val="20"/>
          <w:szCs w:val="20"/>
        </w:rPr>
        <w:t>, 38 schools</w:t>
      </w:r>
      <w:r w:rsidR="00EA108E" w:rsidRPr="008D464E">
        <w:rPr>
          <w:sz w:val="20"/>
          <w:szCs w:val="20"/>
        </w:rPr>
        <w:t xml:space="preserve"> (6%)</w:t>
      </w:r>
      <w:r w:rsidR="00C610F2" w:rsidRPr="008D464E">
        <w:rPr>
          <w:sz w:val="20"/>
          <w:szCs w:val="20"/>
        </w:rPr>
        <w:t xml:space="preserve"> in </w:t>
      </w:r>
      <w:r w:rsidR="00287188" w:rsidRPr="008D464E">
        <w:rPr>
          <w:sz w:val="20"/>
          <w:szCs w:val="20"/>
        </w:rPr>
        <w:t>Texas, 37 schools</w:t>
      </w:r>
      <w:r w:rsidR="00EA108E" w:rsidRPr="008D464E">
        <w:rPr>
          <w:sz w:val="20"/>
          <w:szCs w:val="20"/>
        </w:rPr>
        <w:t xml:space="preserve"> (5%)</w:t>
      </w:r>
      <w:r w:rsidR="00287188" w:rsidRPr="008D464E">
        <w:rPr>
          <w:sz w:val="20"/>
          <w:szCs w:val="20"/>
        </w:rPr>
        <w:t xml:space="preserve"> in Michigan, and 30 schools</w:t>
      </w:r>
      <w:r w:rsidR="00EA108E" w:rsidRPr="008D464E">
        <w:rPr>
          <w:sz w:val="20"/>
          <w:szCs w:val="20"/>
        </w:rPr>
        <w:t xml:space="preserve"> (4%)</w:t>
      </w:r>
      <w:r w:rsidR="00287188" w:rsidRPr="008D464E">
        <w:rPr>
          <w:sz w:val="20"/>
          <w:szCs w:val="20"/>
        </w:rPr>
        <w:t xml:space="preserve"> </w:t>
      </w:r>
      <w:r w:rsidR="004239D8" w:rsidRPr="008D464E">
        <w:rPr>
          <w:sz w:val="20"/>
          <w:szCs w:val="20"/>
        </w:rPr>
        <w:t>were in Oklahoma</w:t>
      </w:r>
      <w:r w:rsidR="00F0383E" w:rsidRPr="008D464E">
        <w:rPr>
          <w:sz w:val="20"/>
          <w:szCs w:val="20"/>
        </w:rPr>
        <w:t xml:space="preserve">. </w:t>
      </w:r>
    </w:p>
    <w:p w14:paraId="3F074464" w14:textId="7B07A5ED" w:rsidR="001828ED" w:rsidRPr="008D464E" w:rsidRDefault="00214BFD" w:rsidP="001828ED">
      <w:pPr>
        <w:spacing w:after="0"/>
        <w:rPr>
          <w:sz w:val="20"/>
          <w:szCs w:val="20"/>
        </w:rPr>
      </w:pPr>
      <w:r w:rsidRPr="008D464E">
        <w:rPr>
          <w:rFonts w:ascii="Calibri" w:hAnsi="Calibri" w:cs="Calibri"/>
          <w:color w:val="000000"/>
          <w:sz w:val="20"/>
          <w:szCs w:val="20"/>
          <w:vertAlign w:val="superscript"/>
        </w:rPr>
        <w:t>d</w:t>
      </w:r>
      <w:r w:rsidR="001828ED" w:rsidRPr="008D464E">
        <w:rPr>
          <w:sz w:val="20"/>
          <w:szCs w:val="20"/>
        </w:rPr>
        <w:t xml:space="preserve"> </w:t>
      </w:r>
      <w:r w:rsidR="003919A1" w:rsidRPr="008D464E">
        <w:rPr>
          <w:sz w:val="20"/>
          <w:szCs w:val="20"/>
        </w:rPr>
        <w:t>Among 357 schools, 2</w:t>
      </w:r>
      <w:r w:rsidR="00F54F8F" w:rsidRPr="008D464E">
        <w:rPr>
          <w:sz w:val="20"/>
          <w:szCs w:val="20"/>
        </w:rPr>
        <w:t>02 schools</w:t>
      </w:r>
      <w:r w:rsidR="002F70BA" w:rsidRPr="008D464E">
        <w:rPr>
          <w:sz w:val="20"/>
          <w:szCs w:val="20"/>
        </w:rPr>
        <w:t xml:space="preserve"> (57%)</w:t>
      </w:r>
      <w:r w:rsidR="003919A1" w:rsidRPr="008D464E">
        <w:rPr>
          <w:sz w:val="20"/>
          <w:szCs w:val="20"/>
        </w:rPr>
        <w:t xml:space="preserve"> </w:t>
      </w:r>
      <w:r w:rsidR="00C06EE5" w:rsidRPr="008D464E">
        <w:rPr>
          <w:sz w:val="20"/>
          <w:szCs w:val="20"/>
        </w:rPr>
        <w:t xml:space="preserve">were located in </w:t>
      </w:r>
      <w:r w:rsidR="001828ED" w:rsidRPr="008D464E">
        <w:rPr>
          <w:sz w:val="20"/>
          <w:szCs w:val="20"/>
        </w:rPr>
        <w:t>Tennessee</w:t>
      </w:r>
      <w:r w:rsidR="003919A1" w:rsidRPr="008D464E">
        <w:rPr>
          <w:sz w:val="20"/>
          <w:szCs w:val="20"/>
        </w:rPr>
        <w:t xml:space="preserve"> and 114 schools</w:t>
      </w:r>
      <w:r w:rsidR="002F70BA" w:rsidRPr="008D464E">
        <w:rPr>
          <w:sz w:val="20"/>
          <w:szCs w:val="20"/>
        </w:rPr>
        <w:t xml:space="preserve"> (32%)</w:t>
      </w:r>
      <w:r w:rsidR="003919A1" w:rsidRPr="008D464E">
        <w:rPr>
          <w:sz w:val="20"/>
          <w:szCs w:val="20"/>
        </w:rPr>
        <w:t xml:space="preserve"> </w:t>
      </w:r>
      <w:r w:rsidR="00C06EE5" w:rsidRPr="008D464E">
        <w:rPr>
          <w:sz w:val="20"/>
          <w:szCs w:val="20"/>
        </w:rPr>
        <w:t xml:space="preserve">were in </w:t>
      </w:r>
      <w:r w:rsidR="003919A1" w:rsidRPr="008D464E">
        <w:rPr>
          <w:sz w:val="20"/>
          <w:szCs w:val="20"/>
        </w:rPr>
        <w:t>Kentucky</w:t>
      </w:r>
      <w:r w:rsidR="001828ED" w:rsidRPr="008D464E">
        <w:rPr>
          <w:sz w:val="20"/>
          <w:szCs w:val="20"/>
        </w:rPr>
        <w:t xml:space="preserve">. </w:t>
      </w:r>
    </w:p>
    <w:p w14:paraId="14D7927D" w14:textId="060B34C7" w:rsidR="001828ED" w:rsidRPr="008D464E" w:rsidRDefault="00214BFD" w:rsidP="001828ED">
      <w:pPr>
        <w:spacing w:after="0"/>
        <w:rPr>
          <w:sz w:val="20"/>
          <w:szCs w:val="20"/>
        </w:rPr>
      </w:pPr>
      <w:r w:rsidRPr="008D464E">
        <w:rPr>
          <w:rFonts w:ascii="Calibri" w:hAnsi="Calibri" w:cs="Calibri"/>
          <w:color w:val="000000"/>
          <w:sz w:val="20"/>
          <w:szCs w:val="20"/>
          <w:vertAlign w:val="superscript"/>
        </w:rPr>
        <w:t>e</w:t>
      </w:r>
      <w:r w:rsidR="001828ED" w:rsidRPr="008D464E">
        <w:rPr>
          <w:sz w:val="20"/>
          <w:szCs w:val="20"/>
        </w:rPr>
        <w:t xml:space="preserve"> </w:t>
      </w:r>
      <w:r w:rsidR="004B184A" w:rsidRPr="008D464E">
        <w:rPr>
          <w:sz w:val="20"/>
          <w:szCs w:val="20"/>
        </w:rPr>
        <w:t xml:space="preserve">Among 94 schools, </w:t>
      </w:r>
      <w:r w:rsidR="00CA4B79" w:rsidRPr="008D464E">
        <w:rPr>
          <w:sz w:val="20"/>
          <w:szCs w:val="20"/>
        </w:rPr>
        <w:t xml:space="preserve">44 schools </w:t>
      </w:r>
      <w:r w:rsidR="00B111B5" w:rsidRPr="008D464E">
        <w:rPr>
          <w:sz w:val="20"/>
          <w:szCs w:val="20"/>
        </w:rPr>
        <w:t xml:space="preserve">(47%) </w:t>
      </w:r>
      <w:r w:rsidR="00CA4B79" w:rsidRPr="008D464E">
        <w:rPr>
          <w:sz w:val="20"/>
          <w:szCs w:val="20"/>
        </w:rPr>
        <w:t xml:space="preserve">were </w:t>
      </w:r>
      <w:r w:rsidR="00C06EE5" w:rsidRPr="008D464E">
        <w:rPr>
          <w:sz w:val="20"/>
          <w:szCs w:val="20"/>
        </w:rPr>
        <w:t xml:space="preserve">located in </w:t>
      </w:r>
      <w:r w:rsidR="00CA4B79" w:rsidRPr="008D464E">
        <w:rPr>
          <w:sz w:val="20"/>
          <w:szCs w:val="20"/>
        </w:rPr>
        <w:t xml:space="preserve">Kentucky and 43 schools </w:t>
      </w:r>
      <w:r w:rsidR="00B111B5" w:rsidRPr="008D464E">
        <w:rPr>
          <w:sz w:val="20"/>
          <w:szCs w:val="20"/>
        </w:rPr>
        <w:t xml:space="preserve">(46%) </w:t>
      </w:r>
      <w:r w:rsidR="00CA4B79" w:rsidRPr="008D464E">
        <w:rPr>
          <w:sz w:val="20"/>
          <w:szCs w:val="20"/>
        </w:rPr>
        <w:t xml:space="preserve">were </w:t>
      </w:r>
      <w:r w:rsidR="00C06EE5" w:rsidRPr="008D464E">
        <w:rPr>
          <w:sz w:val="20"/>
          <w:szCs w:val="20"/>
        </w:rPr>
        <w:t xml:space="preserve">in </w:t>
      </w:r>
      <w:r w:rsidR="00CA4B79" w:rsidRPr="008D464E">
        <w:rPr>
          <w:sz w:val="20"/>
          <w:szCs w:val="20"/>
        </w:rPr>
        <w:t>Tennessee</w:t>
      </w:r>
      <w:r w:rsidR="001828ED" w:rsidRPr="008D464E">
        <w:rPr>
          <w:sz w:val="20"/>
          <w:szCs w:val="20"/>
        </w:rPr>
        <w:t xml:space="preserve">. </w:t>
      </w:r>
    </w:p>
    <w:p w14:paraId="7CA4E90E" w14:textId="1A6AB227" w:rsidR="00F478BF" w:rsidRDefault="00214BFD" w:rsidP="001828ED">
      <w:pPr>
        <w:spacing w:after="0"/>
        <w:rPr>
          <w:sz w:val="20"/>
          <w:szCs w:val="20"/>
        </w:rPr>
      </w:pPr>
      <w:r w:rsidRPr="008D464E">
        <w:rPr>
          <w:rFonts w:ascii="Calibri" w:hAnsi="Calibri" w:cs="Calibri"/>
          <w:color w:val="000000"/>
          <w:sz w:val="20"/>
          <w:szCs w:val="20"/>
          <w:vertAlign w:val="superscript"/>
        </w:rPr>
        <w:t>f</w:t>
      </w:r>
      <w:r w:rsidR="001828ED" w:rsidRPr="008D464E">
        <w:rPr>
          <w:sz w:val="20"/>
          <w:szCs w:val="20"/>
        </w:rPr>
        <w:t xml:space="preserve"> </w:t>
      </w:r>
      <w:r w:rsidR="001B2D90" w:rsidRPr="008D464E">
        <w:rPr>
          <w:sz w:val="20"/>
          <w:szCs w:val="20"/>
        </w:rPr>
        <w:t>All schools</w:t>
      </w:r>
      <w:r w:rsidR="00B111B5" w:rsidRPr="008D464E">
        <w:rPr>
          <w:sz w:val="20"/>
          <w:szCs w:val="20"/>
        </w:rPr>
        <w:t xml:space="preserve"> (100%)</w:t>
      </w:r>
      <w:r w:rsidR="001B2D90" w:rsidRPr="008D464E">
        <w:rPr>
          <w:sz w:val="20"/>
          <w:szCs w:val="20"/>
        </w:rPr>
        <w:t xml:space="preserve"> </w:t>
      </w:r>
      <w:r w:rsidR="00B824B3" w:rsidRPr="008D464E">
        <w:rPr>
          <w:sz w:val="20"/>
          <w:szCs w:val="20"/>
        </w:rPr>
        <w:t xml:space="preserve">are located in Tennessee. </w:t>
      </w:r>
    </w:p>
    <w:p w14:paraId="0AB8E970" w14:textId="77777777" w:rsidR="00C730F7" w:rsidRPr="00920110" w:rsidRDefault="00C730F7" w:rsidP="00C730F7">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3B6AC94A" w14:textId="77777777" w:rsidR="00C730F7" w:rsidRPr="008D464E" w:rsidRDefault="00C730F7" w:rsidP="001828ED">
      <w:pPr>
        <w:spacing w:after="0"/>
        <w:rPr>
          <w:sz w:val="20"/>
          <w:szCs w:val="20"/>
        </w:rPr>
      </w:pPr>
    </w:p>
    <w:p w14:paraId="57BFF149" w14:textId="77777777" w:rsidR="001B2D90" w:rsidRDefault="001B2D90">
      <w:pPr>
        <w:rPr>
          <w:b/>
          <w:bCs/>
        </w:rPr>
      </w:pPr>
      <w:r>
        <w:rPr>
          <w:b/>
          <w:bCs/>
        </w:rPr>
        <w:br w:type="page"/>
      </w:r>
    </w:p>
    <w:p w14:paraId="4EBA1F85" w14:textId="224A874B" w:rsidR="00B373A3" w:rsidRPr="00B373A3" w:rsidRDefault="00B373A3">
      <w:r>
        <w:rPr>
          <w:b/>
          <w:bCs/>
        </w:rPr>
        <w:lastRenderedPageBreak/>
        <w:t xml:space="preserve">Appendix </w:t>
      </w:r>
      <w:r w:rsidR="003C5F2D">
        <w:rPr>
          <w:b/>
          <w:bCs/>
        </w:rPr>
        <w:t>4</w:t>
      </w:r>
      <w:r>
        <w:rPr>
          <w:b/>
          <w:bCs/>
        </w:rPr>
        <w:t xml:space="preserve">. </w:t>
      </w:r>
      <w:r w:rsidR="005644BD">
        <w:t xml:space="preserve">Number of </w:t>
      </w:r>
      <w:r w:rsidR="0086383F">
        <w:t xml:space="preserve">ILI-related reactive </w:t>
      </w:r>
      <w:r w:rsidR="005644BD">
        <w:t xml:space="preserve">school closures by length of closures and </w:t>
      </w:r>
      <w:r w:rsidR="00AE07FC">
        <w:t>academic year</w:t>
      </w:r>
    </w:p>
    <w:tbl>
      <w:tblPr>
        <w:tblW w:w="9895" w:type="dxa"/>
        <w:tblLook w:val="04A0" w:firstRow="1" w:lastRow="0" w:firstColumn="1" w:lastColumn="0" w:noHBand="0" w:noVBand="1"/>
      </w:tblPr>
      <w:tblGrid>
        <w:gridCol w:w="1255"/>
        <w:gridCol w:w="932"/>
        <w:gridCol w:w="1080"/>
        <w:gridCol w:w="900"/>
        <w:gridCol w:w="990"/>
        <w:gridCol w:w="1084"/>
        <w:gridCol w:w="908"/>
        <w:gridCol w:w="1002"/>
        <w:gridCol w:w="844"/>
        <w:gridCol w:w="900"/>
      </w:tblGrid>
      <w:tr w:rsidR="00453CB2" w:rsidRPr="00B373A3" w14:paraId="24ED8E05" w14:textId="77777777" w:rsidTr="001F5F6E">
        <w:trPr>
          <w:trHeight w:val="20"/>
        </w:trPr>
        <w:tc>
          <w:tcPr>
            <w:tcW w:w="1255" w:type="dxa"/>
            <w:vMerge w:val="restart"/>
            <w:tcBorders>
              <w:top w:val="single" w:sz="4" w:space="0" w:color="auto"/>
              <w:left w:val="single" w:sz="4" w:space="0" w:color="auto"/>
              <w:right w:val="nil"/>
            </w:tcBorders>
            <w:shd w:val="clear" w:color="auto" w:fill="auto"/>
            <w:vAlign w:val="center"/>
            <w:hideMark/>
          </w:tcPr>
          <w:p w14:paraId="51B8E6B3" w14:textId="2BE9080A" w:rsidR="00453CB2" w:rsidRPr="00B373A3" w:rsidRDefault="00453CB2" w:rsidP="00453CB2">
            <w:pPr>
              <w:spacing w:after="0" w:line="240" w:lineRule="auto"/>
              <w:jc w:val="center"/>
              <w:rPr>
                <w:rFonts w:ascii="Calibri" w:eastAsia="Times New Roman" w:hAnsi="Calibri" w:cs="Calibri"/>
                <w:color w:val="000000"/>
              </w:rPr>
            </w:pPr>
            <w:r>
              <w:rPr>
                <w:rFonts w:ascii="Calibri" w:eastAsia="Times New Roman" w:hAnsi="Calibri" w:cs="Calibri"/>
                <w:color w:val="000000"/>
              </w:rPr>
              <w:t>Academic Y</w:t>
            </w:r>
            <w:r w:rsidRPr="00B373A3">
              <w:rPr>
                <w:rFonts w:ascii="Calibri" w:eastAsia="Times New Roman" w:hAnsi="Calibri" w:cs="Calibri"/>
                <w:color w:val="000000"/>
              </w:rPr>
              <w:t>ear</w:t>
            </w:r>
          </w:p>
        </w:tc>
        <w:tc>
          <w:tcPr>
            <w:tcW w:w="932" w:type="dxa"/>
            <w:tcBorders>
              <w:top w:val="single" w:sz="4" w:space="0" w:color="auto"/>
              <w:left w:val="nil"/>
              <w:bottom w:val="nil"/>
              <w:right w:val="single" w:sz="4" w:space="0" w:color="auto"/>
            </w:tcBorders>
            <w:shd w:val="clear" w:color="auto" w:fill="auto"/>
            <w:vAlign w:val="center"/>
            <w:hideMark/>
          </w:tcPr>
          <w:p w14:paraId="3D775039" w14:textId="77777777" w:rsidR="00453CB2" w:rsidRPr="00B373A3" w:rsidRDefault="00453CB2" w:rsidP="00B373A3">
            <w:pPr>
              <w:spacing w:after="0" w:line="240" w:lineRule="auto"/>
              <w:rPr>
                <w:rFonts w:ascii="Calibri" w:eastAsia="Times New Roman" w:hAnsi="Calibri" w:cs="Calibri"/>
                <w:color w:val="000000"/>
              </w:rPr>
            </w:pPr>
            <w:r w:rsidRPr="00B373A3">
              <w:rPr>
                <w:rFonts w:ascii="Calibri" w:eastAsia="Times New Roman" w:hAnsi="Calibri" w:cs="Calibri"/>
                <w:color w:val="000000"/>
              </w:rPr>
              <w:t> </w:t>
            </w:r>
          </w:p>
        </w:tc>
        <w:tc>
          <w:tcPr>
            <w:tcW w:w="7708" w:type="dxa"/>
            <w:gridSpan w:val="8"/>
            <w:tcBorders>
              <w:top w:val="single" w:sz="4" w:space="0" w:color="auto"/>
              <w:left w:val="nil"/>
              <w:bottom w:val="single" w:sz="4" w:space="0" w:color="auto"/>
              <w:right w:val="single" w:sz="4" w:space="0" w:color="auto"/>
            </w:tcBorders>
            <w:shd w:val="clear" w:color="auto" w:fill="auto"/>
            <w:vAlign w:val="center"/>
            <w:hideMark/>
          </w:tcPr>
          <w:p w14:paraId="254D6377" w14:textId="6D433FBA" w:rsidR="00453CB2" w:rsidRPr="00B373A3" w:rsidRDefault="00453CB2" w:rsidP="00B373A3">
            <w:pPr>
              <w:spacing w:after="0" w:line="240" w:lineRule="auto"/>
              <w:jc w:val="center"/>
              <w:rPr>
                <w:rFonts w:ascii="Calibri" w:eastAsia="Times New Roman" w:hAnsi="Calibri" w:cs="Calibri"/>
                <w:color w:val="000000"/>
              </w:rPr>
            </w:pPr>
            <w:r>
              <w:rPr>
                <w:rFonts w:ascii="Calibri" w:eastAsia="Times New Roman" w:hAnsi="Calibri" w:cs="Calibri"/>
                <w:color w:val="000000"/>
              </w:rPr>
              <w:t>Length</w:t>
            </w:r>
            <w:r w:rsidRPr="00B373A3">
              <w:rPr>
                <w:rFonts w:ascii="Calibri" w:eastAsia="Times New Roman" w:hAnsi="Calibri" w:cs="Calibri"/>
                <w:color w:val="000000"/>
              </w:rPr>
              <w:t xml:space="preserve"> of </w:t>
            </w:r>
            <w:r>
              <w:rPr>
                <w:rFonts w:ascii="Calibri" w:eastAsia="Times New Roman" w:hAnsi="Calibri" w:cs="Calibri"/>
                <w:color w:val="000000"/>
              </w:rPr>
              <w:t xml:space="preserve">school </w:t>
            </w:r>
            <w:r w:rsidRPr="00B373A3">
              <w:rPr>
                <w:rFonts w:ascii="Calibri" w:eastAsia="Times New Roman" w:hAnsi="Calibri" w:cs="Calibri"/>
                <w:color w:val="000000"/>
              </w:rPr>
              <w:t>closure</w:t>
            </w:r>
            <w:r>
              <w:rPr>
                <w:rFonts w:ascii="Calibri" w:eastAsia="Times New Roman" w:hAnsi="Calibri" w:cs="Calibri"/>
                <w:color w:val="000000"/>
              </w:rPr>
              <w:t>s</w:t>
            </w:r>
            <w:r w:rsidR="00A34DA9">
              <w:rPr>
                <w:rFonts w:ascii="Calibri" w:eastAsia="Times New Roman" w:hAnsi="Calibri" w:cs="Calibri"/>
                <w:color w:val="000000"/>
              </w:rPr>
              <w:t xml:space="preserve"> (per closure)</w:t>
            </w:r>
            <w:r w:rsidR="005A13D6">
              <w:rPr>
                <w:rFonts w:ascii="Calibri" w:eastAsia="Times New Roman" w:hAnsi="Calibri" w:cs="Calibri"/>
                <w:color w:val="000000"/>
              </w:rPr>
              <w:t xml:space="preserve"> </w:t>
            </w:r>
            <w:r w:rsidR="005A13D6" w:rsidRPr="005A13D6">
              <w:rPr>
                <w:rFonts w:ascii="Calibri" w:eastAsia="Times New Roman" w:hAnsi="Calibri" w:cs="Calibri"/>
                <w:color w:val="000000"/>
                <w:vertAlign w:val="superscript"/>
              </w:rPr>
              <w:t>a</w:t>
            </w:r>
            <w:r w:rsidRPr="00B373A3">
              <w:rPr>
                <w:rFonts w:ascii="Calibri" w:eastAsia="Times New Roman" w:hAnsi="Calibri" w:cs="Calibri"/>
                <w:color w:val="000000"/>
              </w:rPr>
              <w:t xml:space="preserve"> </w:t>
            </w:r>
          </w:p>
        </w:tc>
      </w:tr>
      <w:tr w:rsidR="00453CB2" w:rsidRPr="00B373A3" w14:paraId="5176D31C" w14:textId="77777777" w:rsidTr="001F5F6E">
        <w:trPr>
          <w:trHeight w:val="20"/>
        </w:trPr>
        <w:tc>
          <w:tcPr>
            <w:tcW w:w="1255" w:type="dxa"/>
            <w:vMerge/>
            <w:tcBorders>
              <w:left w:val="single" w:sz="4" w:space="0" w:color="auto"/>
              <w:bottom w:val="single" w:sz="4" w:space="0" w:color="auto"/>
              <w:right w:val="nil"/>
            </w:tcBorders>
            <w:shd w:val="clear" w:color="auto" w:fill="auto"/>
            <w:vAlign w:val="center"/>
            <w:hideMark/>
          </w:tcPr>
          <w:p w14:paraId="486E1BB9" w14:textId="3C2A3F29" w:rsidR="00453CB2" w:rsidRPr="00B373A3" w:rsidRDefault="00453CB2" w:rsidP="004010B7">
            <w:pPr>
              <w:spacing w:after="0" w:line="240" w:lineRule="auto"/>
              <w:jc w:val="center"/>
              <w:rPr>
                <w:rFonts w:ascii="Calibri" w:eastAsia="Times New Roman" w:hAnsi="Calibri" w:cs="Calibri"/>
                <w:color w:val="000000"/>
              </w:rPr>
            </w:pPr>
          </w:p>
        </w:tc>
        <w:tc>
          <w:tcPr>
            <w:tcW w:w="932" w:type="dxa"/>
            <w:tcBorders>
              <w:top w:val="nil"/>
              <w:left w:val="nil"/>
              <w:bottom w:val="single" w:sz="4" w:space="0" w:color="auto"/>
              <w:right w:val="single" w:sz="4" w:space="0" w:color="auto"/>
            </w:tcBorders>
            <w:shd w:val="clear" w:color="auto" w:fill="auto"/>
            <w:vAlign w:val="center"/>
            <w:hideMark/>
          </w:tcPr>
          <w:p w14:paraId="432A741B" w14:textId="5DB502DA" w:rsidR="00453CB2" w:rsidRPr="00B373A3" w:rsidRDefault="00453CB2" w:rsidP="004010B7">
            <w:pPr>
              <w:spacing w:after="0" w:line="240" w:lineRule="auto"/>
              <w:jc w:val="center"/>
              <w:rPr>
                <w:rFonts w:ascii="Calibri" w:eastAsia="Times New Roman" w:hAnsi="Calibri" w:cs="Calibri"/>
                <w:color w:val="000000"/>
              </w:rPr>
            </w:pPr>
            <w:r>
              <w:rPr>
                <w:rFonts w:ascii="Calibri" w:eastAsia="Times New Roman" w:hAnsi="Calibri" w:cs="Calibri"/>
                <w:color w:val="000000"/>
              </w:rPr>
              <w:t>n or %</w:t>
            </w:r>
          </w:p>
        </w:tc>
        <w:tc>
          <w:tcPr>
            <w:tcW w:w="1080" w:type="dxa"/>
            <w:tcBorders>
              <w:top w:val="nil"/>
              <w:left w:val="nil"/>
              <w:bottom w:val="single" w:sz="4" w:space="0" w:color="auto"/>
              <w:right w:val="nil"/>
            </w:tcBorders>
            <w:shd w:val="clear" w:color="auto" w:fill="auto"/>
            <w:hideMark/>
          </w:tcPr>
          <w:p w14:paraId="4EB4F8DD" w14:textId="524FE184"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w:t>
            </w:r>
            <w:r>
              <w:rPr>
                <w:rFonts w:ascii="Calibri" w:eastAsia="Times New Roman" w:hAnsi="Calibri" w:cs="Calibri"/>
                <w:color w:val="000000"/>
              </w:rPr>
              <w:t>-day</w:t>
            </w:r>
          </w:p>
        </w:tc>
        <w:tc>
          <w:tcPr>
            <w:tcW w:w="900" w:type="dxa"/>
            <w:tcBorders>
              <w:top w:val="nil"/>
              <w:left w:val="nil"/>
              <w:bottom w:val="single" w:sz="4" w:space="0" w:color="auto"/>
              <w:right w:val="nil"/>
            </w:tcBorders>
            <w:shd w:val="clear" w:color="auto" w:fill="auto"/>
            <w:vAlign w:val="center"/>
            <w:hideMark/>
          </w:tcPr>
          <w:p w14:paraId="0FBC13F3" w14:textId="4D88D6E9"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w:t>
            </w:r>
            <w:r>
              <w:rPr>
                <w:rFonts w:ascii="Calibri" w:eastAsia="Times New Roman" w:hAnsi="Calibri" w:cs="Calibri"/>
                <w:color w:val="000000"/>
              </w:rPr>
              <w:t>-day</w:t>
            </w:r>
          </w:p>
        </w:tc>
        <w:tc>
          <w:tcPr>
            <w:tcW w:w="990" w:type="dxa"/>
            <w:tcBorders>
              <w:top w:val="nil"/>
              <w:left w:val="nil"/>
              <w:bottom w:val="single" w:sz="4" w:space="0" w:color="auto"/>
              <w:right w:val="nil"/>
            </w:tcBorders>
            <w:shd w:val="clear" w:color="auto" w:fill="auto"/>
            <w:vAlign w:val="center"/>
            <w:hideMark/>
          </w:tcPr>
          <w:p w14:paraId="3D5606B4" w14:textId="17C70873"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w:t>
            </w:r>
            <w:r>
              <w:rPr>
                <w:rFonts w:ascii="Calibri" w:eastAsia="Times New Roman" w:hAnsi="Calibri" w:cs="Calibri"/>
                <w:color w:val="000000"/>
              </w:rPr>
              <w:t>-day</w:t>
            </w:r>
          </w:p>
        </w:tc>
        <w:tc>
          <w:tcPr>
            <w:tcW w:w="1084" w:type="dxa"/>
            <w:tcBorders>
              <w:top w:val="nil"/>
              <w:left w:val="nil"/>
              <w:bottom w:val="single" w:sz="4" w:space="0" w:color="auto"/>
              <w:right w:val="nil"/>
            </w:tcBorders>
            <w:shd w:val="clear" w:color="auto" w:fill="auto"/>
            <w:vAlign w:val="center"/>
            <w:hideMark/>
          </w:tcPr>
          <w:p w14:paraId="284BEE6D" w14:textId="4A11DC80"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w:t>
            </w:r>
            <w:r>
              <w:rPr>
                <w:rFonts w:ascii="Calibri" w:eastAsia="Times New Roman" w:hAnsi="Calibri" w:cs="Calibri"/>
                <w:color w:val="000000"/>
              </w:rPr>
              <w:t>-day</w:t>
            </w:r>
          </w:p>
        </w:tc>
        <w:tc>
          <w:tcPr>
            <w:tcW w:w="908" w:type="dxa"/>
            <w:tcBorders>
              <w:top w:val="nil"/>
              <w:left w:val="nil"/>
              <w:bottom w:val="single" w:sz="4" w:space="0" w:color="auto"/>
              <w:right w:val="nil"/>
            </w:tcBorders>
            <w:shd w:val="clear" w:color="auto" w:fill="auto"/>
            <w:vAlign w:val="center"/>
            <w:hideMark/>
          </w:tcPr>
          <w:p w14:paraId="04068692" w14:textId="2F16CCB6"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w:t>
            </w:r>
            <w:r>
              <w:rPr>
                <w:rFonts w:ascii="Calibri" w:eastAsia="Times New Roman" w:hAnsi="Calibri" w:cs="Calibri"/>
                <w:color w:val="000000"/>
              </w:rPr>
              <w:t>-day</w:t>
            </w:r>
          </w:p>
        </w:tc>
        <w:tc>
          <w:tcPr>
            <w:tcW w:w="1002" w:type="dxa"/>
            <w:tcBorders>
              <w:top w:val="nil"/>
              <w:left w:val="nil"/>
              <w:bottom w:val="single" w:sz="4" w:space="0" w:color="auto"/>
              <w:right w:val="nil"/>
            </w:tcBorders>
            <w:shd w:val="clear" w:color="auto" w:fill="auto"/>
            <w:vAlign w:val="center"/>
            <w:hideMark/>
          </w:tcPr>
          <w:p w14:paraId="096540A5" w14:textId="5BDCD362"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6</w:t>
            </w:r>
            <w:r>
              <w:rPr>
                <w:rFonts w:ascii="Calibri" w:eastAsia="Times New Roman" w:hAnsi="Calibri" w:cs="Calibri"/>
                <w:color w:val="000000"/>
              </w:rPr>
              <w:t>-day</w:t>
            </w:r>
          </w:p>
        </w:tc>
        <w:tc>
          <w:tcPr>
            <w:tcW w:w="844" w:type="dxa"/>
            <w:tcBorders>
              <w:top w:val="nil"/>
              <w:left w:val="nil"/>
              <w:bottom w:val="single" w:sz="4" w:space="0" w:color="auto"/>
              <w:right w:val="nil"/>
            </w:tcBorders>
            <w:shd w:val="clear" w:color="auto" w:fill="auto"/>
            <w:vAlign w:val="center"/>
            <w:hideMark/>
          </w:tcPr>
          <w:p w14:paraId="0C6DB6DD" w14:textId="52C41F30"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7</w:t>
            </w:r>
            <w:r>
              <w:rPr>
                <w:rFonts w:ascii="Calibri" w:eastAsia="Times New Roman" w:hAnsi="Calibri" w:cs="Calibri"/>
                <w:color w:val="000000"/>
              </w:rPr>
              <w:t>-day</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80CE33F" w14:textId="77777777" w:rsidR="00453CB2" w:rsidRPr="00B373A3" w:rsidRDefault="00453CB2"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Total</w:t>
            </w:r>
          </w:p>
        </w:tc>
      </w:tr>
      <w:tr w:rsidR="00453CB2" w:rsidRPr="00B373A3" w14:paraId="2D96752B"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568DB03D" w14:textId="2FB726A9"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2011-</w:t>
            </w:r>
            <w:r w:rsidR="000C273B">
              <w:rPr>
                <w:rFonts w:ascii="Calibri" w:eastAsia="Times New Roman" w:hAnsi="Calibri" w:cs="Calibri"/>
                <w:color w:val="000000"/>
              </w:rPr>
              <w:t>20</w:t>
            </w:r>
            <w:r w:rsidRPr="00B373A3">
              <w:rPr>
                <w:rFonts w:ascii="Calibri" w:eastAsia="Times New Roman" w:hAnsi="Calibri" w:cs="Calibri"/>
                <w:color w:val="000000"/>
              </w:rPr>
              <w:t>12</w:t>
            </w:r>
          </w:p>
        </w:tc>
        <w:tc>
          <w:tcPr>
            <w:tcW w:w="932" w:type="dxa"/>
            <w:tcBorders>
              <w:top w:val="nil"/>
              <w:left w:val="nil"/>
              <w:bottom w:val="nil"/>
              <w:right w:val="single" w:sz="4" w:space="0" w:color="auto"/>
            </w:tcBorders>
            <w:shd w:val="clear" w:color="000000" w:fill="EDEDED"/>
            <w:vAlign w:val="center"/>
            <w:hideMark/>
          </w:tcPr>
          <w:p w14:paraId="14AEF08D"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164F034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81</w:t>
            </w:r>
          </w:p>
        </w:tc>
        <w:tc>
          <w:tcPr>
            <w:tcW w:w="900" w:type="dxa"/>
            <w:tcBorders>
              <w:top w:val="nil"/>
              <w:left w:val="nil"/>
              <w:bottom w:val="nil"/>
              <w:right w:val="nil"/>
            </w:tcBorders>
            <w:shd w:val="clear" w:color="000000" w:fill="EDEDED"/>
            <w:vAlign w:val="center"/>
            <w:hideMark/>
          </w:tcPr>
          <w:p w14:paraId="703D7B2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23</w:t>
            </w:r>
          </w:p>
        </w:tc>
        <w:tc>
          <w:tcPr>
            <w:tcW w:w="990" w:type="dxa"/>
            <w:tcBorders>
              <w:top w:val="nil"/>
              <w:left w:val="nil"/>
              <w:bottom w:val="nil"/>
              <w:right w:val="nil"/>
            </w:tcBorders>
            <w:shd w:val="clear" w:color="000000" w:fill="EDEDED"/>
            <w:vAlign w:val="center"/>
            <w:hideMark/>
          </w:tcPr>
          <w:p w14:paraId="01AA888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84" w:type="dxa"/>
            <w:tcBorders>
              <w:top w:val="nil"/>
              <w:left w:val="nil"/>
              <w:bottom w:val="nil"/>
              <w:right w:val="nil"/>
            </w:tcBorders>
            <w:shd w:val="clear" w:color="000000" w:fill="EDEDED"/>
            <w:vAlign w:val="center"/>
            <w:hideMark/>
          </w:tcPr>
          <w:p w14:paraId="0643376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8" w:type="dxa"/>
            <w:tcBorders>
              <w:top w:val="nil"/>
              <w:left w:val="nil"/>
              <w:bottom w:val="nil"/>
              <w:right w:val="nil"/>
            </w:tcBorders>
            <w:shd w:val="clear" w:color="000000" w:fill="EDEDED"/>
            <w:vAlign w:val="center"/>
            <w:hideMark/>
          </w:tcPr>
          <w:p w14:paraId="5BB0ED9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02" w:type="dxa"/>
            <w:tcBorders>
              <w:top w:val="nil"/>
              <w:left w:val="nil"/>
              <w:bottom w:val="nil"/>
              <w:right w:val="nil"/>
            </w:tcBorders>
            <w:shd w:val="clear" w:color="000000" w:fill="EDEDED"/>
            <w:vAlign w:val="center"/>
            <w:hideMark/>
          </w:tcPr>
          <w:p w14:paraId="2D96B64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844" w:type="dxa"/>
            <w:tcBorders>
              <w:top w:val="nil"/>
              <w:left w:val="nil"/>
              <w:bottom w:val="nil"/>
              <w:right w:val="nil"/>
            </w:tcBorders>
            <w:shd w:val="clear" w:color="000000" w:fill="EDEDED"/>
            <w:vAlign w:val="center"/>
            <w:hideMark/>
          </w:tcPr>
          <w:p w14:paraId="09DB677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411DC18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104</w:t>
            </w:r>
          </w:p>
        </w:tc>
      </w:tr>
      <w:tr w:rsidR="004010B7" w:rsidRPr="00B373A3" w14:paraId="4865B7C6"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0019C8A5"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78330322"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580C1B1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77.9</w:t>
            </w:r>
          </w:p>
        </w:tc>
        <w:tc>
          <w:tcPr>
            <w:tcW w:w="900" w:type="dxa"/>
            <w:tcBorders>
              <w:top w:val="nil"/>
              <w:left w:val="nil"/>
              <w:bottom w:val="nil"/>
              <w:right w:val="nil"/>
            </w:tcBorders>
            <w:shd w:val="clear" w:color="auto" w:fill="auto"/>
            <w:vAlign w:val="center"/>
            <w:hideMark/>
          </w:tcPr>
          <w:p w14:paraId="63787D5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22.1</w:t>
            </w:r>
          </w:p>
        </w:tc>
        <w:tc>
          <w:tcPr>
            <w:tcW w:w="990" w:type="dxa"/>
            <w:tcBorders>
              <w:top w:val="nil"/>
              <w:left w:val="nil"/>
              <w:bottom w:val="nil"/>
              <w:right w:val="nil"/>
            </w:tcBorders>
            <w:shd w:val="clear" w:color="auto" w:fill="auto"/>
            <w:vAlign w:val="center"/>
            <w:hideMark/>
          </w:tcPr>
          <w:p w14:paraId="206DB56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84" w:type="dxa"/>
            <w:tcBorders>
              <w:top w:val="nil"/>
              <w:left w:val="nil"/>
              <w:bottom w:val="nil"/>
              <w:right w:val="nil"/>
            </w:tcBorders>
            <w:shd w:val="clear" w:color="auto" w:fill="auto"/>
            <w:vAlign w:val="center"/>
            <w:hideMark/>
          </w:tcPr>
          <w:p w14:paraId="2BD5ADE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8" w:type="dxa"/>
            <w:tcBorders>
              <w:top w:val="nil"/>
              <w:left w:val="nil"/>
              <w:bottom w:val="nil"/>
              <w:right w:val="nil"/>
            </w:tcBorders>
            <w:shd w:val="clear" w:color="auto" w:fill="auto"/>
            <w:vAlign w:val="center"/>
            <w:hideMark/>
          </w:tcPr>
          <w:p w14:paraId="3F7D3D3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02" w:type="dxa"/>
            <w:tcBorders>
              <w:top w:val="nil"/>
              <w:left w:val="nil"/>
              <w:bottom w:val="nil"/>
              <w:right w:val="nil"/>
            </w:tcBorders>
            <w:shd w:val="clear" w:color="auto" w:fill="auto"/>
            <w:vAlign w:val="center"/>
            <w:hideMark/>
          </w:tcPr>
          <w:p w14:paraId="42A1B5E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844" w:type="dxa"/>
            <w:tcBorders>
              <w:top w:val="nil"/>
              <w:left w:val="nil"/>
              <w:bottom w:val="nil"/>
              <w:right w:val="nil"/>
            </w:tcBorders>
            <w:shd w:val="clear" w:color="auto" w:fill="auto"/>
            <w:vAlign w:val="center"/>
            <w:hideMark/>
          </w:tcPr>
          <w:p w14:paraId="50CC39B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45CF9A7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182FA952"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0147FA08" w14:textId="7BF28FF5"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2012-</w:t>
            </w:r>
            <w:r w:rsidR="000C273B">
              <w:rPr>
                <w:rFonts w:ascii="Calibri" w:eastAsia="Times New Roman" w:hAnsi="Calibri" w:cs="Calibri"/>
                <w:color w:val="000000"/>
              </w:rPr>
              <w:t>20</w:t>
            </w:r>
            <w:r w:rsidRPr="00B373A3">
              <w:rPr>
                <w:rFonts w:ascii="Calibri" w:eastAsia="Times New Roman" w:hAnsi="Calibri" w:cs="Calibri"/>
                <w:color w:val="000000"/>
              </w:rPr>
              <w:t>13</w:t>
            </w:r>
          </w:p>
        </w:tc>
        <w:tc>
          <w:tcPr>
            <w:tcW w:w="932" w:type="dxa"/>
            <w:tcBorders>
              <w:top w:val="nil"/>
              <w:left w:val="nil"/>
              <w:bottom w:val="nil"/>
              <w:right w:val="single" w:sz="4" w:space="0" w:color="auto"/>
            </w:tcBorders>
            <w:shd w:val="clear" w:color="000000" w:fill="EDEDED"/>
            <w:vAlign w:val="center"/>
            <w:hideMark/>
          </w:tcPr>
          <w:p w14:paraId="414FA2E1"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27285E6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218</w:t>
            </w:r>
          </w:p>
        </w:tc>
        <w:tc>
          <w:tcPr>
            <w:tcW w:w="900" w:type="dxa"/>
            <w:tcBorders>
              <w:top w:val="nil"/>
              <w:left w:val="nil"/>
              <w:bottom w:val="nil"/>
              <w:right w:val="nil"/>
            </w:tcBorders>
            <w:shd w:val="clear" w:color="000000" w:fill="EDEDED"/>
            <w:vAlign w:val="center"/>
            <w:hideMark/>
          </w:tcPr>
          <w:p w14:paraId="52BA00A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104</w:t>
            </w:r>
          </w:p>
        </w:tc>
        <w:tc>
          <w:tcPr>
            <w:tcW w:w="990" w:type="dxa"/>
            <w:tcBorders>
              <w:top w:val="nil"/>
              <w:left w:val="nil"/>
              <w:bottom w:val="nil"/>
              <w:right w:val="nil"/>
            </w:tcBorders>
            <w:shd w:val="clear" w:color="000000" w:fill="EDEDED"/>
            <w:vAlign w:val="center"/>
            <w:hideMark/>
          </w:tcPr>
          <w:p w14:paraId="44B8478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33</w:t>
            </w:r>
          </w:p>
        </w:tc>
        <w:tc>
          <w:tcPr>
            <w:tcW w:w="1084" w:type="dxa"/>
            <w:tcBorders>
              <w:top w:val="nil"/>
              <w:left w:val="nil"/>
              <w:bottom w:val="nil"/>
              <w:right w:val="nil"/>
            </w:tcBorders>
            <w:shd w:val="clear" w:color="000000" w:fill="EDEDED"/>
            <w:vAlign w:val="center"/>
            <w:hideMark/>
          </w:tcPr>
          <w:p w14:paraId="6C9D1B1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20</w:t>
            </w:r>
          </w:p>
        </w:tc>
        <w:tc>
          <w:tcPr>
            <w:tcW w:w="908" w:type="dxa"/>
            <w:tcBorders>
              <w:top w:val="nil"/>
              <w:left w:val="nil"/>
              <w:bottom w:val="nil"/>
              <w:right w:val="nil"/>
            </w:tcBorders>
            <w:shd w:val="clear" w:color="000000" w:fill="EDEDED"/>
            <w:vAlign w:val="center"/>
            <w:hideMark/>
          </w:tcPr>
          <w:p w14:paraId="62248C9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02" w:type="dxa"/>
            <w:tcBorders>
              <w:top w:val="nil"/>
              <w:left w:val="nil"/>
              <w:bottom w:val="nil"/>
              <w:right w:val="nil"/>
            </w:tcBorders>
            <w:shd w:val="clear" w:color="000000" w:fill="EDEDED"/>
            <w:vAlign w:val="center"/>
            <w:hideMark/>
          </w:tcPr>
          <w:p w14:paraId="2F32F4F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844" w:type="dxa"/>
            <w:tcBorders>
              <w:top w:val="nil"/>
              <w:left w:val="nil"/>
              <w:bottom w:val="nil"/>
              <w:right w:val="nil"/>
            </w:tcBorders>
            <w:shd w:val="clear" w:color="000000" w:fill="EDEDED"/>
            <w:vAlign w:val="center"/>
            <w:hideMark/>
          </w:tcPr>
          <w:p w14:paraId="50EBAB3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7E6E6"/>
            <w:vAlign w:val="center"/>
            <w:hideMark/>
          </w:tcPr>
          <w:p w14:paraId="7C13A1B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375</w:t>
            </w:r>
          </w:p>
        </w:tc>
      </w:tr>
      <w:tr w:rsidR="004010B7" w:rsidRPr="00B373A3" w14:paraId="1F3A43C9"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777F7F55"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7144EA32"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7BD965F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58.1</w:t>
            </w:r>
          </w:p>
        </w:tc>
        <w:tc>
          <w:tcPr>
            <w:tcW w:w="900" w:type="dxa"/>
            <w:tcBorders>
              <w:top w:val="nil"/>
              <w:left w:val="nil"/>
              <w:bottom w:val="nil"/>
              <w:right w:val="nil"/>
            </w:tcBorders>
            <w:shd w:val="clear" w:color="auto" w:fill="auto"/>
            <w:vAlign w:val="center"/>
            <w:hideMark/>
          </w:tcPr>
          <w:p w14:paraId="5E2A956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27.7</w:t>
            </w:r>
          </w:p>
        </w:tc>
        <w:tc>
          <w:tcPr>
            <w:tcW w:w="990" w:type="dxa"/>
            <w:tcBorders>
              <w:top w:val="nil"/>
              <w:left w:val="nil"/>
              <w:bottom w:val="nil"/>
              <w:right w:val="nil"/>
            </w:tcBorders>
            <w:shd w:val="clear" w:color="auto" w:fill="auto"/>
            <w:vAlign w:val="center"/>
            <w:hideMark/>
          </w:tcPr>
          <w:p w14:paraId="22B3031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8.8</w:t>
            </w:r>
          </w:p>
        </w:tc>
        <w:tc>
          <w:tcPr>
            <w:tcW w:w="1084" w:type="dxa"/>
            <w:tcBorders>
              <w:top w:val="nil"/>
              <w:left w:val="nil"/>
              <w:bottom w:val="nil"/>
              <w:right w:val="nil"/>
            </w:tcBorders>
            <w:shd w:val="clear" w:color="auto" w:fill="auto"/>
            <w:vAlign w:val="center"/>
            <w:hideMark/>
          </w:tcPr>
          <w:p w14:paraId="488B2FD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5.3</w:t>
            </w:r>
          </w:p>
        </w:tc>
        <w:tc>
          <w:tcPr>
            <w:tcW w:w="908" w:type="dxa"/>
            <w:tcBorders>
              <w:top w:val="nil"/>
              <w:left w:val="nil"/>
              <w:bottom w:val="nil"/>
              <w:right w:val="nil"/>
            </w:tcBorders>
            <w:shd w:val="clear" w:color="auto" w:fill="auto"/>
            <w:vAlign w:val="center"/>
            <w:hideMark/>
          </w:tcPr>
          <w:p w14:paraId="1EB685A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02" w:type="dxa"/>
            <w:tcBorders>
              <w:top w:val="nil"/>
              <w:left w:val="nil"/>
              <w:bottom w:val="nil"/>
              <w:right w:val="nil"/>
            </w:tcBorders>
            <w:shd w:val="clear" w:color="auto" w:fill="auto"/>
            <w:vAlign w:val="center"/>
            <w:hideMark/>
          </w:tcPr>
          <w:p w14:paraId="5B31FC8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844" w:type="dxa"/>
            <w:tcBorders>
              <w:top w:val="nil"/>
              <w:left w:val="nil"/>
              <w:bottom w:val="nil"/>
              <w:right w:val="nil"/>
            </w:tcBorders>
            <w:shd w:val="clear" w:color="auto" w:fill="auto"/>
            <w:vAlign w:val="center"/>
            <w:hideMark/>
          </w:tcPr>
          <w:p w14:paraId="27B1D55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6C51F53E"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1A26DAB5"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19473E07" w14:textId="6FE3EC92"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2013-</w:t>
            </w:r>
            <w:r w:rsidR="000C273B">
              <w:rPr>
                <w:rFonts w:ascii="Calibri" w:eastAsia="Times New Roman" w:hAnsi="Calibri" w:cs="Calibri"/>
                <w:color w:val="000000"/>
              </w:rPr>
              <w:t>20</w:t>
            </w:r>
            <w:r w:rsidRPr="00B373A3">
              <w:rPr>
                <w:rFonts w:ascii="Calibri" w:eastAsia="Times New Roman" w:hAnsi="Calibri" w:cs="Calibri"/>
                <w:color w:val="000000"/>
              </w:rPr>
              <w:t>14</w:t>
            </w:r>
          </w:p>
        </w:tc>
        <w:tc>
          <w:tcPr>
            <w:tcW w:w="932" w:type="dxa"/>
            <w:tcBorders>
              <w:top w:val="nil"/>
              <w:left w:val="nil"/>
              <w:bottom w:val="nil"/>
              <w:right w:val="single" w:sz="4" w:space="0" w:color="auto"/>
            </w:tcBorders>
            <w:shd w:val="clear" w:color="000000" w:fill="EDEDED"/>
            <w:vAlign w:val="center"/>
            <w:hideMark/>
          </w:tcPr>
          <w:p w14:paraId="5D235B5F"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30753AA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11</w:t>
            </w:r>
          </w:p>
        </w:tc>
        <w:tc>
          <w:tcPr>
            <w:tcW w:w="900" w:type="dxa"/>
            <w:tcBorders>
              <w:top w:val="nil"/>
              <w:left w:val="nil"/>
              <w:bottom w:val="nil"/>
              <w:right w:val="nil"/>
            </w:tcBorders>
            <w:shd w:val="clear" w:color="000000" w:fill="EDEDED"/>
            <w:vAlign w:val="center"/>
            <w:hideMark/>
          </w:tcPr>
          <w:p w14:paraId="1C571AA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90" w:type="dxa"/>
            <w:tcBorders>
              <w:top w:val="nil"/>
              <w:left w:val="nil"/>
              <w:bottom w:val="nil"/>
              <w:right w:val="nil"/>
            </w:tcBorders>
            <w:shd w:val="clear" w:color="000000" w:fill="EDEDED"/>
            <w:vAlign w:val="center"/>
            <w:hideMark/>
          </w:tcPr>
          <w:p w14:paraId="54A5CB7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84" w:type="dxa"/>
            <w:tcBorders>
              <w:top w:val="nil"/>
              <w:left w:val="nil"/>
              <w:bottom w:val="nil"/>
              <w:right w:val="nil"/>
            </w:tcBorders>
            <w:shd w:val="clear" w:color="000000" w:fill="EDEDED"/>
            <w:vAlign w:val="center"/>
            <w:hideMark/>
          </w:tcPr>
          <w:p w14:paraId="777C3FF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8" w:type="dxa"/>
            <w:tcBorders>
              <w:top w:val="nil"/>
              <w:left w:val="nil"/>
              <w:bottom w:val="nil"/>
              <w:right w:val="nil"/>
            </w:tcBorders>
            <w:shd w:val="clear" w:color="000000" w:fill="EDEDED"/>
            <w:vAlign w:val="center"/>
            <w:hideMark/>
          </w:tcPr>
          <w:p w14:paraId="74ADEFF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02" w:type="dxa"/>
            <w:tcBorders>
              <w:top w:val="nil"/>
              <w:left w:val="nil"/>
              <w:bottom w:val="nil"/>
              <w:right w:val="nil"/>
            </w:tcBorders>
            <w:shd w:val="clear" w:color="000000" w:fill="EDEDED"/>
            <w:vAlign w:val="center"/>
            <w:hideMark/>
          </w:tcPr>
          <w:p w14:paraId="4FDBDAD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844" w:type="dxa"/>
            <w:tcBorders>
              <w:top w:val="nil"/>
              <w:left w:val="nil"/>
              <w:bottom w:val="nil"/>
              <w:right w:val="nil"/>
            </w:tcBorders>
            <w:shd w:val="clear" w:color="000000" w:fill="EDEDED"/>
            <w:vAlign w:val="center"/>
            <w:hideMark/>
          </w:tcPr>
          <w:p w14:paraId="4066D9D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44C023B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11</w:t>
            </w:r>
          </w:p>
        </w:tc>
      </w:tr>
      <w:tr w:rsidR="004010B7" w:rsidRPr="00B373A3" w14:paraId="6E51E5C7"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5FA10035"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3E91E2C5"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7DB5808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100.0</w:t>
            </w:r>
          </w:p>
        </w:tc>
        <w:tc>
          <w:tcPr>
            <w:tcW w:w="900" w:type="dxa"/>
            <w:tcBorders>
              <w:top w:val="nil"/>
              <w:left w:val="nil"/>
              <w:bottom w:val="nil"/>
              <w:right w:val="nil"/>
            </w:tcBorders>
            <w:shd w:val="clear" w:color="auto" w:fill="auto"/>
            <w:vAlign w:val="center"/>
            <w:hideMark/>
          </w:tcPr>
          <w:p w14:paraId="3710702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90" w:type="dxa"/>
            <w:tcBorders>
              <w:top w:val="nil"/>
              <w:left w:val="nil"/>
              <w:bottom w:val="nil"/>
              <w:right w:val="nil"/>
            </w:tcBorders>
            <w:shd w:val="clear" w:color="auto" w:fill="auto"/>
            <w:vAlign w:val="center"/>
            <w:hideMark/>
          </w:tcPr>
          <w:p w14:paraId="0CABF33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84" w:type="dxa"/>
            <w:tcBorders>
              <w:top w:val="nil"/>
              <w:left w:val="nil"/>
              <w:bottom w:val="nil"/>
              <w:right w:val="nil"/>
            </w:tcBorders>
            <w:shd w:val="clear" w:color="auto" w:fill="auto"/>
            <w:vAlign w:val="center"/>
            <w:hideMark/>
          </w:tcPr>
          <w:p w14:paraId="3B9E7DC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8" w:type="dxa"/>
            <w:tcBorders>
              <w:top w:val="nil"/>
              <w:left w:val="nil"/>
              <w:bottom w:val="nil"/>
              <w:right w:val="nil"/>
            </w:tcBorders>
            <w:shd w:val="clear" w:color="auto" w:fill="auto"/>
            <w:vAlign w:val="center"/>
            <w:hideMark/>
          </w:tcPr>
          <w:p w14:paraId="4A4B9A8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02" w:type="dxa"/>
            <w:tcBorders>
              <w:top w:val="nil"/>
              <w:left w:val="nil"/>
              <w:bottom w:val="nil"/>
              <w:right w:val="nil"/>
            </w:tcBorders>
            <w:shd w:val="clear" w:color="auto" w:fill="auto"/>
            <w:vAlign w:val="center"/>
            <w:hideMark/>
          </w:tcPr>
          <w:p w14:paraId="5174DE9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844" w:type="dxa"/>
            <w:tcBorders>
              <w:top w:val="nil"/>
              <w:left w:val="nil"/>
              <w:bottom w:val="nil"/>
              <w:right w:val="nil"/>
            </w:tcBorders>
            <w:shd w:val="clear" w:color="auto" w:fill="auto"/>
            <w:vAlign w:val="center"/>
            <w:hideMark/>
          </w:tcPr>
          <w:p w14:paraId="0B8C897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2981A98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4BBB2321"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56E8EA8B" w14:textId="5794827A"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2014-</w:t>
            </w:r>
            <w:r w:rsidR="000C273B">
              <w:rPr>
                <w:rFonts w:ascii="Calibri" w:eastAsia="Times New Roman" w:hAnsi="Calibri" w:cs="Calibri"/>
                <w:color w:val="000000"/>
              </w:rPr>
              <w:t>20</w:t>
            </w:r>
            <w:r w:rsidRPr="00B373A3">
              <w:rPr>
                <w:rFonts w:ascii="Calibri" w:eastAsia="Times New Roman" w:hAnsi="Calibri" w:cs="Calibri"/>
                <w:color w:val="000000"/>
              </w:rPr>
              <w:t>15</w:t>
            </w:r>
          </w:p>
        </w:tc>
        <w:tc>
          <w:tcPr>
            <w:tcW w:w="932" w:type="dxa"/>
            <w:tcBorders>
              <w:top w:val="nil"/>
              <w:left w:val="nil"/>
              <w:bottom w:val="nil"/>
              <w:right w:val="single" w:sz="4" w:space="0" w:color="auto"/>
            </w:tcBorders>
            <w:shd w:val="clear" w:color="000000" w:fill="EDEDED"/>
            <w:vAlign w:val="center"/>
            <w:hideMark/>
          </w:tcPr>
          <w:p w14:paraId="407ABC06"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3F8C10B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157</w:t>
            </w:r>
          </w:p>
        </w:tc>
        <w:tc>
          <w:tcPr>
            <w:tcW w:w="900" w:type="dxa"/>
            <w:tcBorders>
              <w:top w:val="nil"/>
              <w:left w:val="nil"/>
              <w:bottom w:val="nil"/>
              <w:right w:val="nil"/>
            </w:tcBorders>
            <w:shd w:val="clear" w:color="000000" w:fill="EDEDED"/>
            <w:vAlign w:val="center"/>
            <w:hideMark/>
          </w:tcPr>
          <w:p w14:paraId="7B6B055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102</w:t>
            </w:r>
          </w:p>
        </w:tc>
        <w:tc>
          <w:tcPr>
            <w:tcW w:w="990" w:type="dxa"/>
            <w:tcBorders>
              <w:top w:val="nil"/>
              <w:left w:val="nil"/>
              <w:bottom w:val="nil"/>
              <w:right w:val="nil"/>
            </w:tcBorders>
            <w:shd w:val="clear" w:color="000000" w:fill="EDEDED"/>
            <w:vAlign w:val="center"/>
            <w:hideMark/>
          </w:tcPr>
          <w:p w14:paraId="53B8BCE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36</w:t>
            </w:r>
          </w:p>
        </w:tc>
        <w:tc>
          <w:tcPr>
            <w:tcW w:w="1084" w:type="dxa"/>
            <w:tcBorders>
              <w:top w:val="nil"/>
              <w:left w:val="nil"/>
              <w:bottom w:val="nil"/>
              <w:right w:val="nil"/>
            </w:tcBorders>
            <w:shd w:val="clear" w:color="000000" w:fill="EDEDED"/>
            <w:vAlign w:val="center"/>
            <w:hideMark/>
          </w:tcPr>
          <w:p w14:paraId="71341C7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8" w:type="dxa"/>
            <w:tcBorders>
              <w:top w:val="nil"/>
              <w:left w:val="nil"/>
              <w:bottom w:val="nil"/>
              <w:right w:val="nil"/>
            </w:tcBorders>
            <w:shd w:val="clear" w:color="000000" w:fill="EDEDED"/>
            <w:vAlign w:val="center"/>
            <w:hideMark/>
          </w:tcPr>
          <w:p w14:paraId="7735220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02" w:type="dxa"/>
            <w:tcBorders>
              <w:top w:val="nil"/>
              <w:left w:val="nil"/>
              <w:bottom w:val="nil"/>
              <w:right w:val="nil"/>
            </w:tcBorders>
            <w:shd w:val="clear" w:color="000000" w:fill="EDEDED"/>
            <w:vAlign w:val="center"/>
            <w:hideMark/>
          </w:tcPr>
          <w:p w14:paraId="4C6738E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844" w:type="dxa"/>
            <w:tcBorders>
              <w:top w:val="nil"/>
              <w:left w:val="nil"/>
              <w:bottom w:val="nil"/>
              <w:right w:val="nil"/>
            </w:tcBorders>
            <w:shd w:val="clear" w:color="000000" w:fill="EDEDED"/>
            <w:vAlign w:val="center"/>
            <w:hideMark/>
          </w:tcPr>
          <w:p w14:paraId="2EFE4E4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6D0DF69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295</w:t>
            </w:r>
          </w:p>
        </w:tc>
      </w:tr>
      <w:tr w:rsidR="004010B7" w:rsidRPr="00B373A3" w14:paraId="1EB1E53D"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653F7C15"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4F881C53"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33B38F2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53.2</w:t>
            </w:r>
          </w:p>
        </w:tc>
        <w:tc>
          <w:tcPr>
            <w:tcW w:w="900" w:type="dxa"/>
            <w:tcBorders>
              <w:top w:val="nil"/>
              <w:left w:val="nil"/>
              <w:bottom w:val="nil"/>
              <w:right w:val="nil"/>
            </w:tcBorders>
            <w:shd w:val="clear" w:color="auto" w:fill="auto"/>
            <w:vAlign w:val="center"/>
            <w:hideMark/>
          </w:tcPr>
          <w:p w14:paraId="0A88377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34.6</w:t>
            </w:r>
          </w:p>
        </w:tc>
        <w:tc>
          <w:tcPr>
            <w:tcW w:w="990" w:type="dxa"/>
            <w:tcBorders>
              <w:top w:val="nil"/>
              <w:left w:val="nil"/>
              <w:bottom w:val="nil"/>
              <w:right w:val="nil"/>
            </w:tcBorders>
            <w:shd w:val="clear" w:color="auto" w:fill="auto"/>
            <w:vAlign w:val="center"/>
            <w:hideMark/>
          </w:tcPr>
          <w:p w14:paraId="26C5B29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12.2</w:t>
            </w:r>
          </w:p>
        </w:tc>
        <w:tc>
          <w:tcPr>
            <w:tcW w:w="1084" w:type="dxa"/>
            <w:tcBorders>
              <w:top w:val="nil"/>
              <w:left w:val="nil"/>
              <w:bottom w:val="nil"/>
              <w:right w:val="nil"/>
            </w:tcBorders>
            <w:shd w:val="clear" w:color="auto" w:fill="auto"/>
            <w:vAlign w:val="center"/>
            <w:hideMark/>
          </w:tcPr>
          <w:p w14:paraId="09603DB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8" w:type="dxa"/>
            <w:tcBorders>
              <w:top w:val="nil"/>
              <w:left w:val="nil"/>
              <w:bottom w:val="nil"/>
              <w:right w:val="nil"/>
            </w:tcBorders>
            <w:shd w:val="clear" w:color="auto" w:fill="auto"/>
            <w:vAlign w:val="center"/>
            <w:hideMark/>
          </w:tcPr>
          <w:p w14:paraId="4C2B810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02" w:type="dxa"/>
            <w:tcBorders>
              <w:top w:val="nil"/>
              <w:left w:val="nil"/>
              <w:bottom w:val="nil"/>
              <w:right w:val="nil"/>
            </w:tcBorders>
            <w:shd w:val="clear" w:color="auto" w:fill="auto"/>
            <w:vAlign w:val="center"/>
            <w:hideMark/>
          </w:tcPr>
          <w:p w14:paraId="3C0289B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844" w:type="dxa"/>
            <w:tcBorders>
              <w:top w:val="nil"/>
              <w:left w:val="nil"/>
              <w:bottom w:val="nil"/>
              <w:right w:val="nil"/>
            </w:tcBorders>
            <w:shd w:val="clear" w:color="auto" w:fill="auto"/>
            <w:vAlign w:val="center"/>
            <w:hideMark/>
          </w:tcPr>
          <w:p w14:paraId="486A21F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2AA5336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30D9A3BA"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29B42170" w14:textId="7E385211"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2015-</w:t>
            </w:r>
            <w:r w:rsidR="000C273B">
              <w:rPr>
                <w:rFonts w:ascii="Calibri" w:eastAsia="Times New Roman" w:hAnsi="Calibri" w:cs="Calibri"/>
                <w:color w:val="000000"/>
              </w:rPr>
              <w:t>20</w:t>
            </w:r>
            <w:r w:rsidRPr="00B373A3">
              <w:rPr>
                <w:rFonts w:ascii="Calibri" w:eastAsia="Times New Roman" w:hAnsi="Calibri" w:cs="Calibri"/>
                <w:color w:val="000000"/>
              </w:rPr>
              <w:t>16</w:t>
            </w:r>
          </w:p>
        </w:tc>
        <w:tc>
          <w:tcPr>
            <w:tcW w:w="932" w:type="dxa"/>
            <w:tcBorders>
              <w:top w:val="nil"/>
              <w:left w:val="nil"/>
              <w:bottom w:val="nil"/>
              <w:right w:val="single" w:sz="4" w:space="0" w:color="auto"/>
            </w:tcBorders>
            <w:shd w:val="clear" w:color="000000" w:fill="EDEDED"/>
            <w:vAlign w:val="center"/>
            <w:hideMark/>
          </w:tcPr>
          <w:p w14:paraId="7E739C14"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343795A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24</w:t>
            </w:r>
          </w:p>
        </w:tc>
        <w:tc>
          <w:tcPr>
            <w:tcW w:w="900" w:type="dxa"/>
            <w:tcBorders>
              <w:top w:val="nil"/>
              <w:left w:val="nil"/>
              <w:bottom w:val="nil"/>
              <w:right w:val="nil"/>
            </w:tcBorders>
            <w:shd w:val="clear" w:color="000000" w:fill="EDEDED"/>
            <w:vAlign w:val="center"/>
            <w:hideMark/>
          </w:tcPr>
          <w:p w14:paraId="537571E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w:t>
            </w:r>
          </w:p>
        </w:tc>
        <w:tc>
          <w:tcPr>
            <w:tcW w:w="990" w:type="dxa"/>
            <w:tcBorders>
              <w:top w:val="nil"/>
              <w:left w:val="nil"/>
              <w:bottom w:val="nil"/>
              <w:right w:val="nil"/>
            </w:tcBorders>
            <w:shd w:val="clear" w:color="000000" w:fill="EDEDED"/>
            <w:vAlign w:val="center"/>
            <w:hideMark/>
          </w:tcPr>
          <w:p w14:paraId="5B9F67E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w:t>
            </w:r>
          </w:p>
        </w:tc>
        <w:tc>
          <w:tcPr>
            <w:tcW w:w="1084" w:type="dxa"/>
            <w:tcBorders>
              <w:top w:val="nil"/>
              <w:left w:val="nil"/>
              <w:bottom w:val="nil"/>
              <w:right w:val="nil"/>
            </w:tcBorders>
            <w:shd w:val="clear" w:color="000000" w:fill="EDEDED"/>
            <w:vAlign w:val="center"/>
            <w:hideMark/>
          </w:tcPr>
          <w:p w14:paraId="0D6229F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8" w:type="dxa"/>
            <w:tcBorders>
              <w:top w:val="nil"/>
              <w:left w:val="nil"/>
              <w:bottom w:val="nil"/>
              <w:right w:val="nil"/>
            </w:tcBorders>
            <w:shd w:val="clear" w:color="000000" w:fill="EDEDED"/>
            <w:vAlign w:val="center"/>
            <w:hideMark/>
          </w:tcPr>
          <w:p w14:paraId="09EFC34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1002" w:type="dxa"/>
            <w:tcBorders>
              <w:top w:val="nil"/>
              <w:left w:val="nil"/>
              <w:bottom w:val="nil"/>
              <w:right w:val="nil"/>
            </w:tcBorders>
            <w:shd w:val="clear" w:color="000000" w:fill="EDEDED"/>
            <w:vAlign w:val="center"/>
            <w:hideMark/>
          </w:tcPr>
          <w:p w14:paraId="4E23C55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844" w:type="dxa"/>
            <w:tcBorders>
              <w:top w:val="nil"/>
              <w:left w:val="nil"/>
              <w:bottom w:val="nil"/>
              <w:right w:val="nil"/>
            </w:tcBorders>
            <w:shd w:val="clear" w:color="000000" w:fill="EDEDED"/>
            <w:vAlign w:val="center"/>
            <w:hideMark/>
          </w:tcPr>
          <w:p w14:paraId="4D55DA0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7199B5A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40</w:t>
            </w:r>
          </w:p>
        </w:tc>
      </w:tr>
      <w:tr w:rsidR="004010B7" w:rsidRPr="00B373A3" w14:paraId="0FEB13B4"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286ADFED"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271D5A45"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2C1CD45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60.0</w:t>
            </w:r>
          </w:p>
        </w:tc>
        <w:tc>
          <w:tcPr>
            <w:tcW w:w="900" w:type="dxa"/>
            <w:tcBorders>
              <w:top w:val="nil"/>
              <w:left w:val="nil"/>
              <w:bottom w:val="nil"/>
              <w:right w:val="nil"/>
            </w:tcBorders>
            <w:shd w:val="clear" w:color="auto" w:fill="auto"/>
            <w:vAlign w:val="center"/>
            <w:hideMark/>
          </w:tcPr>
          <w:p w14:paraId="690C090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30.0</w:t>
            </w:r>
          </w:p>
        </w:tc>
        <w:tc>
          <w:tcPr>
            <w:tcW w:w="990" w:type="dxa"/>
            <w:tcBorders>
              <w:top w:val="nil"/>
              <w:left w:val="nil"/>
              <w:bottom w:val="nil"/>
              <w:right w:val="nil"/>
            </w:tcBorders>
            <w:shd w:val="clear" w:color="auto" w:fill="auto"/>
            <w:vAlign w:val="center"/>
            <w:hideMark/>
          </w:tcPr>
          <w:p w14:paraId="0DC3BE3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c>
          <w:tcPr>
            <w:tcW w:w="1084" w:type="dxa"/>
            <w:tcBorders>
              <w:top w:val="nil"/>
              <w:left w:val="nil"/>
              <w:bottom w:val="nil"/>
              <w:right w:val="nil"/>
            </w:tcBorders>
            <w:shd w:val="clear" w:color="auto" w:fill="auto"/>
            <w:vAlign w:val="center"/>
            <w:hideMark/>
          </w:tcPr>
          <w:p w14:paraId="296622C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8" w:type="dxa"/>
            <w:tcBorders>
              <w:top w:val="nil"/>
              <w:left w:val="nil"/>
              <w:bottom w:val="nil"/>
              <w:right w:val="nil"/>
            </w:tcBorders>
            <w:shd w:val="clear" w:color="auto" w:fill="auto"/>
            <w:vAlign w:val="center"/>
            <w:hideMark/>
          </w:tcPr>
          <w:p w14:paraId="4E51B08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1002" w:type="dxa"/>
            <w:tcBorders>
              <w:top w:val="nil"/>
              <w:left w:val="nil"/>
              <w:bottom w:val="nil"/>
              <w:right w:val="nil"/>
            </w:tcBorders>
            <w:shd w:val="clear" w:color="auto" w:fill="auto"/>
            <w:vAlign w:val="center"/>
            <w:hideMark/>
          </w:tcPr>
          <w:p w14:paraId="2EEDB1F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844" w:type="dxa"/>
            <w:tcBorders>
              <w:top w:val="nil"/>
              <w:left w:val="nil"/>
              <w:bottom w:val="nil"/>
              <w:right w:val="nil"/>
            </w:tcBorders>
            <w:shd w:val="clear" w:color="auto" w:fill="auto"/>
            <w:vAlign w:val="center"/>
            <w:hideMark/>
          </w:tcPr>
          <w:p w14:paraId="6FD012E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1C73575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3DA22C43"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485FAB78" w14:textId="199C6C63"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2016-</w:t>
            </w:r>
            <w:r w:rsidR="000C273B">
              <w:rPr>
                <w:rFonts w:ascii="Calibri" w:eastAsia="Times New Roman" w:hAnsi="Calibri" w:cs="Calibri"/>
                <w:color w:val="000000"/>
              </w:rPr>
              <w:t>20</w:t>
            </w:r>
            <w:r w:rsidRPr="00B373A3">
              <w:rPr>
                <w:rFonts w:ascii="Calibri" w:eastAsia="Times New Roman" w:hAnsi="Calibri" w:cs="Calibri"/>
                <w:color w:val="000000"/>
              </w:rPr>
              <w:t>17</w:t>
            </w:r>
          </w:p>
        </w:tc>
        <w:tc>
          <w:tcPr>
            <w:tcW w:w="932" w:type="dxa"/>
            <w:tcBorders>
              <w:top w:val="nil"/>
              <w:left w:val="nil"/>
              <w:bottom w:val="nil"/>
              <w:right w:val="single" w:sz="4" w:space="0" w:color="auto"/>
            </w:tcBorders>
            <w:shd w:val="clear" w:color="000000" w:fill="EDEDED"/>
            <w:vAlign w:val="center"/>
            <w:hideMark/>
          </w:tcPr>
          <w:p w14:paraId="1941F496"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1250D7BE"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516</w:t>
            </w:r>
          </w:p>
        </w:tc>
        <w:tc>
          <w:tcPr>
            <w:tcW w:w="900" w:type="dxa"/>
            <w:tcBorders>
              <w:top w:val="nil"/>
              <w:left w:val="nil"/>
              <w:bottom w:val="nil"/>
              <w:right w:val="nil"/>
            </w:tcBorders>
            <w:shd w:val="clear" w:color="000000" w:fill="EDEDED"/>
            <w:vAlign w:val="center"/>
            <w:hideMark/>
          </w:tcPr>
          <w:p w14:paraId="42713EC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462</w:t>
            </w:r>
          </w:p>
        </w:tc>
        <w:tc>
          <w:tcPr>
            <w:tcW w:w="990" w:type="dxa"/>
            <w:tcBorders>
              <w:top w:val="nil"/>
              <w:left w:val="nil"/>
              <w:bottom w:val="nil"/>
              <w:right w:val="nil"/>
            </w:tcBorders>
            <w:shd w:val="clear" w:color="000000" w:fill="EDEDED"/>
            <w:vAlign w:val="center"/>
            <w:hideMark/>
          </w:tcPr>
          <w:p w14:paraId="0D835A2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155</w:t>
            </w:r>
          </w:p>
        </w:tc>
        <w:tc>
          <w:tcPr>
            <w:tcW w:w="1084" w:type="dxa"/>
            <w:tcBorders>
              <w:top w:val="nil"/>
              <w:left w:val="nil"/>
              <w:bottom w:val="nil"/>
              <w:right w:val="nil"/>
            </w:tcBorders>
            <w:shd w:val="clear" w:color="000000" w:fill="EDEDED"/>
            <w:vAlign w:val="center"/>
            <w:hideMark/>
          </w:tcPr>
          <w:p w14:paraId="0327351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129</w:t>
            </w:r>
          </w:p>
        </w:tc>
        <w:tc>
          <w:tcPr>
            <w:tcW w:w="908" w:type="dxa"/>
            <w:tcBorders>
              <w:top w:val="nil"/>
              <w:left w:val="nil"/>
              <w:bottom w:val="nil"/>
              <w:right w:val="nil"/>
            </w:tcBorders>
            <w:shd w:val="clear" w:color="000000" w:fill="EDEDED"/>
            <w:vAlign w:val="center"/>
            <w:hideMark/>
          </w:tcPr>
          <w:p w14:paraId="122B499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17</w:t>
            </w:r>
          </w:p>
        </w:tc>
        <w:tc>
          <w:tcPr>
            <w:tcW w:w="1002" w:type="dxa"/>
            <w:tcBorders>
              <w:top w:val="nil"/>
              <w:left w:val="nil"/>
              <w:bottom w:val="nil"/>
              <w:right w:val="nil"/>
            </w:tcBorders>
            <w:shd w:val="clear" w:color="000000" w:fill="EDEDED"/>
            <w:vAlign w:val="center"/>
            <w:hideMark/>
          </w:tcPr>
          <w:p w14:paraId="21B2976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9</w:t>
            </w:r>
          </w:p>
        </w:tc>
        <w:tc>
          <w:tcPr>
            <w:tcW w:w="844" w:type="dxa"/>
            <w:tcBorders>
              <w:top w:val="nil"/>
              <w:left w:val="nil"/>
              <w:bottom w:val="nil"/>
              <w:right w:val="nil"/>
            </w:tcBorders>
            <w:shd w:val="clear" w:color="000000" w:fill="EDEDED"/>
            <w:vAlign w:val="center"/>
            <w:hideMark/>
          </w:tcPr>
          <w:p w14:paraId="5B66EC5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16866A2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1,288</w:t>
            </w:r>
          </w:p>
        </w:tc>
      </w:tr>
      <w:tr w:rsidR="004010B7" w:rsidRPr="00B373A3" w14:paraId="623B0D11"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1188C9A1"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47ABDD4F"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275605E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40.1</w:t>
            </w:r>
          </w:p>
        </w:tc>
        <w:tc>
          <w:tcPr>
            <w:tcW w:w="900" w:type="dxa"/>
            <w:tcBorders>
              <w:top w:val="nil"/>
              <w:left w:val="nil"/>
              <w:bottom w:val="nil"/>
              <w:right w:val="nil"/>
            </w:tcBorders>
            <w:shd w:val="clear" w:color="auto" w:fill="auto"/>
            <w:vAlign w:val="center"/>
            <w:hideMark/>
          </w:tcPr>
          <w:p w14:paraId="2A2D3F7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35.9</w:t>
            </w:r>
          </w:p>
        </w:tc>
        <w:tc>
          <w:tcPr>
            <w:tcW w:w="990" w:type="dxa"/>
            <w:tcBorders>
              <w:top w:val="nil"/>
              <w:left w:val="nil"/>
              <w:bottom w:val="nil"/>
              <w:right w:val="nil"/>
            </w:tcBorders>
            <w:shd w:val="clear" w:color="auto" w:fill="auto"/>
            <w:vAlign w:val="center"/>
            <w:hideMark/>
          </w:tcPr>
          <w:p w14:paraId="24E89C3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12.0</w:t>
            </w:r>
          </w:p>
        </w:tc>
        <w:tc>
          <w:tcPr>
            <w:tcW w:w="1084" w:type="dxa"/>
            <w:tcBorders>
              <w:top w:val="nil"/>
              <w:left w:val="nil"/>
              <w:bottom w:val="nil"/>
              <w:right w:val="nil"/>
            </w:tcBorders>
            <w:shd w:val="clear" w:color="auto" w:fill="auto"/>
            <w:vAlign w:val="center"/>
            <w:hideMark/>
          </w:tcPr>
          <w:p w14:paraId="0ABC9CC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c>
          <w:tcPr>
            <w:tcW w:w="908" w:type="dxa"/>
            <w:tcBorders>
              <w:top w:val="nil"/>
              <w:left w:val="nil"/>
              <w:bottom w:val="nil"/>
              <w:right w:val="nil"/>
            </w:tcBorders>
            <w:shd w:val="clear" w:color="auto" w:fill="auto"/>
            <w:vAlign w:val="center"/>
            <w:hideMark/>
          </w:tcPr>
          <w:p w14:paraId="00D65E4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1.3</w:t>
            </w:r>
          </w:p>
        </w:tc>
        <w:tc>
          <w:tcPr>
            <w:tcW w:w="1002" w:type="dxa"/>
            <w:tcBorders>
              <w:top w:val="nil"/>
              <w:left w:val="nil"/>
              <w:bottom w:val="nil"/>
              <w:right w:val="nil"/>
            </w:tcBorders>
            <w:shd w:val="clear" w:color="auto" w:fill="auto"/>
            <w:vAlign w:val="center"/>
            <w:hideMark/>
          </w:tcPr>
          <w:p w14:paraId="3AEA7153"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0.7</w:t>
            </w:r>
          </w:p>
        </w:tc>
        <w:tc>
          <w:tcPr>
            <w:tcW w:w="844" w:type="dxa"/>
            <w:tcBorders>
              <w:top w:val="nil"/>
              <w:left w:val="nil"/>
              <w:bottom w:val="nil"/>
              <w:right w:val="nil"/>
            </w:tcBorders>
            <w:shd w:val="clear" w:color="auto" w:fill="auto"/>
            <w:vAlign w:val="center"/>
            <w:hideMark/>
          </w:tcPr>
          <w:p w14:paraId="4F0A6035"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5C19BB8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38C4464A"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0E7130C7" w14:textId="37A21EF9"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2017-</w:t>
            </w:r>
            <w:r w:rsidR="000C273B">
              <w:rPr>
                <w:rFonts w:ascii="Calibri" w:eastAsia="Times New Roman" w:hAnsi="Calibri" w:cs="Calibri"/>
                <w:color w:val="000000"/>
              </w:rPr>
              <w:t>20</w:t>
            </w:r>
            <w:r w:rsidRPr="00B373A3">
              <w:rPr>
                <w:rFonts w:ascii="Calibri" w:eastAsia="Times New Roman" w:hAnsi="Calibri" w:cs="Calibri"/>
                <w:color w:val="000000"/>
              </w:rPr>
              <w:t>18</w:t>
            </w:r>
          </w:p>
        </w:tc>
        <w:tc>
          <w:tcPr>
            <w:tcW w:w="932" w:type="dxa"/>
            <w:tcBorders>
              <w:top w:val="nil"/>
              <w:left w:val="nil"/>
              <w:bottom w:val="nil"/>
              <w:right w:val="single" w:sz="4" w:space="0" w:color="auto"/>
            </w:tcBorders>
            <w:shd w:val="clear" w:color="000000" w:fill="EDEDED"/>
            <w:vAlign w:val="center"/>
            <w:hideMark/>
          </w:tcPr>
          <w:p w14:paraId="2768EF7A"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7FB7E31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810</w:t>
            </w:r>
          </w:p>
        </w:tc>
        <w:tc>
          <w:tcPr>
            <w:tcW w:w="900" w:type="dxa"/>
            <w:tcBorders>
              <w:top w:val="nil"/>
              <w:left w:val="nil"/>
              <w:bottom w:val="nil"/>
              <w:right w:val="nil"/>
            </w:tcBorders>
            <w:shd w:val="clear" w:color="000000" w:fill="EDEDED"/>
            <w:vAlign w:val="center"/>
            <w:hideMark/>
          </w:tcPr>
          <w:p w14:paraId="4C9036B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883</w:t>
            </w:r>
          </w:p>
        </w:tc>
        <w:tc>
          <w:tcPr>
            <w:tcW w:w="990" w:type="dxa"/>
            <w:tcBorders>
              <w:top w:val="nil"/>
              <w:left w:val="nil"/>
              <w:bottom w:val="nil"/>
              <w:right w:val="nil"/>
            </w:tcBorders>
            <w:shd w:val="clear" w:color="000000" w:fill="EDEDED"/>
            <w:vAlign w:val="center"/>
            <w:hideMark/>
          </w:tcPr>
          <w:p w14:paraId="53909F7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162</w:t>
            </w:r>
          </w:p>
        </w:tc>
        <w:tc>
          <w:tcPr>
            <w:tcW w:w="1084" w:type="dxa"/>
            <w:tcBorders>
              <w:top w:val="nil"/>
              <w:left w:val="nil"/>
              <w:bottom w:val="nil"/>
              <w:right w:val="nil"/>
            </w:tcBorders>
            <w:shd w:val="clear" w:color="000000" w:fill="EDEDED"/>
            <w:vAlign w:val="center"/>
            <w:hideMark/>
          </w:tcPr>
          <w:p w14:paraId="6E436C6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47</w:t>
            </w:r>
          </w:p>
        </w:tc>
        <w:tc>
          <w:tcPr>
            <w:tcW w:w="908" w:type="dxa"/>
            <w:tcBorders>
              <w:top w:val="nil"/>
              <w:left w:val="nil"/>
              <w:bottom w:val="nil"/>
              <w:right w:val="nil"/>
            </w:tcBorders>
            <w:shd w:val="clear" w:color="000000" w:fill="EDEDED"/>
            <w:vAlign w:val="center"/>
            <w:hideMark/>
          </w:tcPr>
          <w:p w14:paraId="2BA29E2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29</w:t>
            </w:r>
          </w:p>
        </w:tc>
        <w:tc>
          <w:tcPr>
            <w:tcW w:w="1002" w:type="dxa"/>
            <w:tcBorders>
              <w:top w:val="nil"/>
              <w:left w:val="nil"/>
              <w:bottom w:val="nil"/>
              <w:right w:val="nil"/>
            </w:tcBorders>
            <w:shd w:val="clear" w:color="000000" w:fill="EDEDED"/>
            <w:vAlign w:val="center"/>
            <w:hideMark/>
          </w:tcPr>
          <w:p w14:paraId="18995BC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27</w:t>
            </w:r>
          </w:p>
        </w:tc>
        <w:tc>
          <w:tcPr>
            <w:tcW w:w="844" w:type="dxa"/>
            <w:tcBorders>
              <w:top w:val="nil"/>
              <w:left w:val="nil"/>
              <w:bottom w:val="nil"/>
              <w:right w:val="nil"/>
            </w:tcBorders>
            <w:shd w:val="clear" w:color="000000" w:fill="EDEDED"/>
            <w:vAlign w:val="center"/>
            <w:hideMark/>
          </w:tcPr>
          <w:p w14:paraId="4E631B4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w:t>
            </w:r>
          </w:p>
        </w:tc>
        <w:tc>
          <w:tcPr>
            <w:tcW w:w="900" w:type="dxa"/>
            <w:tcBorders>
              <w:top w:val="nil"/>
              <w:left w:val="single" w:sz="4" w:space="0" w:color="auto"/>
              <w:bottom w:val="nil"/>
              <w:right w:val="single" w:sz="4" w:space="0" w:color="auto"/>
            </w:tcBorders>
            <w:shd w:val="clear" w:color="000000" w:fill="EDEDED"/>
            <w:vAlign w:val="center"/>
            <w:hideMark/>
          </w:tcPr>
          <w:p w14:paraId="4B19D31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1,960</w:t>
            </w:r>
          </w:p>
        </w:tc>
      </w:tr>
      <w:tr w:rsidR="004010B7" w:rsidRPr="00B373A3" w14:paraId="5D82C32A"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5CC96769"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359121E1"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1BCD7C7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41.3</w:t>
            </w:r>
          </w:p>
        </w:tc>
        <w:tc>
          <w:tcPr>
            <w:tcW w:w="900" w:type="dxa"/>
            <w:tcBorders>
              <w:top w:val="nil"/>
              <w:left w:val="nil"/>
              <w:bottom w:val="nil"/>
              <w:right w:val="nil"/>
            </w:tcBorders>
            <w:shd w:val="clear" w:color="auto" w:fill="auto"/>
            <w:vAlign w:val="center"/>
            <w:hideMark/>
          </w:tcPr>
          <w:p w14:paraId="352BF4B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45.1</w:t>
            </w:r>
          </w:p>
        </w:tc>
        <w:tc>
          <w:tcPr>
            <w:tcW w:w="990" w:type="dxa"/>
            <w:tcBorders>
              <w:top w:val="nil"/>
              <w:left w:val="nil"/>
              <w:bottom w:val="nil"/>
              <w:right w:val="nil"/>
            </w:tcBorders>
            <w:shd w:val="clear" w:color="auto" w:fill="auto"/>
            <w:vAlign w:val="center"/>
            <w:hideMark/>
          </w:tcPr>
          <w:p w14:paraId="7258A98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8.3</w:t>
            </w:r>
          </w:p>
        </w:tc>
        <w:tc>
          <w:tcPr>
            <w:tcW w:w="1084" w:type="dxa"/>
            <w:tcBorders>
              <w:top w:val="nil"/>
              <w:left w:val="nil"/>
              <w:bottom w:val="nil"/>
              <w:right w:val="nil"/>
            </w:tcBorders>
            <w:shd w:val="clear" w:color="auto" w:fill="auto"/>
            <w:vAlign w:val="center"/>
            <w:hideMark/>
          </w:tcPr>
          <w:p w14:paraId="4E6CD36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2.4</w:t>
            </w:r>
          </w:p>
        </w:tc>
        <w:tc>
          <w:tcPr>
            <w:tcW w:w="908" w:type="dxa"/>
            <w:tcBorders>
              <w:top w:val="nil"/>
              <w:left w:val="nil"/>
              <w:bottom w:val="nil"/>
              <w:right w:val="nil"/>
            </w:tcBorders>
            <w:shd w:val="clear" w:color="auto" w:fill="auto"/>
            <w:vAlign w:val="center"/>
            <w:hideMark/>
          </w:tcPr>
          <w:p w14:paraId="3FF7AA6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1.5</w:t>
            </w:r>
          </w:p>
        </w:tc>
        <w:tc>
          <w:tcPr>
            <w:tcW w:w="1002" w:type="dxa"/>
            <w:tcBorders>
              <w:top w:val="nil"/>
              <w:left w:val="nil"/>
              <w:bottom w:val="nil"/>
              <w:right w:val="nil"/>
            </w:tcBorders>
            <w:shd w:val="clear" w:color="auto" w:fill="auto"/>
            <w:vAlign w:val="center"/>
            <w:hideMark/>
          </w:tcPr>
          <w:p w14:paraId="1B502468"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1.4</w:t>
            </w:r>
          </w:p>
        </w:tc>
        <w:tc>
          <w:tcPr>
            <w:tcW w:w="844" w:type="dxa"/>
            <w:tcBorders>
              <w:top w:val="nil"/>
              <w:left w:val="nil"/>
              <w:bottom w:val="nil"/>
              <w:right w:val="nil"/>
            </w:tcBorders>
            <w:shd w:val="clear" w:color="auto" w:fill="auto"/>
            <w:vAlign w:val="center"/>
            <w:hideMark/>
          </w:tcPr>
          <w:p w14:paraId="6C91631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0.1</w:t>
            </w:r>
          </w:p>
        </w:tc>
        <w:tc>
          <w:tcPr>
            <w:tcW w:w="900" w:type="dxa"/>
            <w:tcBorders>
              <w:top w:val="nil"/>
              <w:left w:val="single" w:sz="4" w:space="0" w:color="auto"/>
              <w:bottom w:val="nil"/>
              <w:right w:val="single" w:sz="4" w:space="0" w:color="auto"/>
            </w:tcBorders>
            <w:shd w:val="clear" w:color="auto" w:fill="auto"/>
            <w:vAlign w:val="center"/>
            <w:hideMark/>
          </w:tcPr>
          <w:p w14:paraId="2093B49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08A1493E" w14:textId="77777777" w:rsidTr="001F5F6E">
        <w:trPr>
          <w:trHeight w:val="20"/>
        </w:trPr>
        <w:tc>
          <w:tcPr>
            <w:tcW w:w="1255" w:type="dxa"/>
            <w:tcBorders>
              <w:top w:val="nil"/>
              <w:left w:val="single" w:sz="4" w:space="0" w:color="auto"/>
              <w:bottom w:val="nil"/>
              <w:right w:val="nil"/>
            </w:tcBorders>
            <w:shd w:val="clear" w:color="000000" w:fill="EDEDED"/>
            <w:vAlign w:val="center"/>
            <w:hideMark/>
          </w:tcPr>
          <w:p w14:paraId="7C860DB4" w14:textId="2B9BCC36"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2018-</w:t>
            </w:r>
            <w:r w:rsidR="000C273B">
              <w:rPr>
                <w:rFonts w:ascii="Calibri" w:eastAsia="Times New Roman" w:hAnsi="Calibri" w:cs="Calibri"/>
                <w:color w:val="000000"/>
              </w:rPr>
              <w:t>20</w:t>
            </w:r>
            <w:r w:rsidRPr="00B373A3">
              <w:rPr>
                <w:rFonts w:ascii="Calibri" w:eastAsia="Times New Roman" w:hAnsi="Calibri" w:cs="Calibri"/>
                <w:color w:val="000000"/>
              </w:rPr>
              <w:t>19</w:t>
            </w:r>
          </w:p>
        </w:tc>
        <w:tc>
          <w:tcPr>
            <w:tcW w:w="932" w:type="dxa"/>
            <w:tcBorders>
              <w:top w:val="nil"/>
              <w:left w:val="nil"/>
              <w:bottom w:val="nil"/>
              <w:right w:val="single" w:sz="4" w:space="0" w:color="auto"/>
            </w:tcBorders>
            <w:shd w:val="clear" w:color="000000" w:fill="EDEDED"/>
            <w:vAlign w:val="center"/>
            <w:hideMark/>
          </w:tcPr>
          <w:p w14:paraId="3DC89E5D"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nil"/>
              <w:left w:val="nil"/>
              <w:bottom w:val="nil"/>
              <w:right w:val="nil"/>
            </w:tcBorders>
            <w:shd w:val="clear" w:color="000000" w:fill="EDEDED"/>
            <w:vAlign w:val="center"/>
            <w:hideMark/>
          </w:tcPr>
          <w:p w14:paraId="547025E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594</w:t>
            </w:r>
          </w:p>
        </w:tc>
        <w:tc>
          <w:tcPr>
            <w:tcW w:w="900" w:type="dxa"/>
            <w:tcBorders>
              <w:top w:val="nil"/>
              <w:left w:val="nil"/>
              <w:bottom w:val="nil"/>
              <w:right w:val="nil"/>
            </w:tcBorders>
            <w:shd w:val="clear" w:color="000000" w:fill="EDEDED"/>
            <w:vAlign w:val="center"/>
            <w:hideMark/>
          </w:tcPr>
          <w:p w14:paraId="6D6A2F9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848</w:t>
            </w:r>
          </w:p>
        </w:tc>
        <w:tc>
          <w:tcPr>
            <w:tcW w:w="990" w:type="dxa"/>
            <w:tcBorders>
              <w:top w:val="nil"/>
              <w:left w:val="nil"/>
              <w:bottom w:val="nil"/>
              <w:right w:val="nil"/>
            </w:tcBorders>
            <w:shd w:val="clear" w:color="000000" w:fill="EDEDED"/>
            <w:vAlign w:val="center"/>
            <w:hideMark/>
          </w:tcPr>
          <w:p w14:paraId="1DB14BB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294</w:t>
            </w:r>
          </w:p>
        </w:tc>
        <w:tc>
          <w:tcPr>
            <w:tcW w:w="1084" w:type="dxa"/>
            <w:tcBorders>
              <w:top w:val="nil"/>
              <w:left w:val="nil"/>
              <w:bottom w:val="nil"/>
              <w:right w:val="nil"/>
            </w:tcBorders>
            <w:shd w:val="clear" w:color="000000" w:fill="EDEDED"/>
            <w:vAlign w:val="center"/>
            <w:hideMark/>
          </w:tcPr>
          <w:p w14:paraId="35B26F7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93</w:t>
            </w:r>
          </w:p>
        </w:tc>
        <w:tc>
          <w:tcPr>
            <w:tcW w:w="908" w:type="dxa"/>
            <w:tcBorders>
              <w:top w:val="nil"/>
              <w:left w:val="nil"/>
              <w:bottom w:val="nil"/>
              <w:right w:val="nil"/>
            </w:tcBorders>
            <w:shd w:val="clear" w:color="000000" w:fill="EDEDED"/>
            <w:vAlign w:val="center"/>
            <w:hideMark/>
          </w:tcPr>
          <w:p w14:paraId="196A123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35</w:t>
            </w:r>
          </w:p>
        </w:tc>
        <w:tc>
          <w:tcPr>
            <w:tcW w:w="1002" w:type="dxa"/>
            <w:tcBorders>
              <w:top w:val="nil"/>
              <w:left w:val="nil"/>
              <w:bottom w:val="nil"/>
              <w:right w:val="nil"/>
            </w:tcBorders>
            <w:shd w:val="clear" w:color="000000" w:fill="EDEDED"/>
            <w:vAlign w:val="center"/>
            <w:hideMark/>
          </w:tcPr>
          <w:p w14:paraId="1549FC3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22</w:t>
            </w:r>
          </w:p>
        </w:tc>
        <w:tc>
          <w:tcPr>
            <w:tcW w:w="844" w:type="dxa"/>
            <w:tcBorders>
              <w:top w:val="nil"/>
              <w:left w:val="nil"/>
              <w:bottom w:val="nil"/>
              <w:right w:val="nil"/>
            </w:tcBorders>
            <w:shd w:val="clear" w:color="000000" w:fill="EDEDED"/>
            <w:vAlign w:val="center"/>
            <w:hideMark/>
          </w:tcPr>
          <w:p w14:paraId="525C6AFE"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w:t>
            </w:r>
          </w:p>
        </w:tc>
        <w:tc>
          <w:tcPr>
            <w:tcW w:w="900" w:type="dxa"/>
            <w:tcBorders>
              <w:top w:val="nil"/>
              <w:left w:val="single" w:sz="4" w:space="0" w:color="auto"/>
              <w:bottom w:val="nil"/>
              <w:right w:val="single" w:sz="4" w:space="0" w:color="auto"/>
            </w:tcBorders>
            <w:shd w:val="clear" w:color="000000" w:fill="EDEDED"/>
            <w:vAlign w:val="center"/>
            <w:hideMark/>
          </w:tcPr>
          <w:p w14:paraId="3E817CE6"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1,886</w:t>
            </w:r>
          </w:p>
        </w:tc>
      </w:tr>
      <w:tr w:rsidR="004010B7" w:rsidRPr="00B373A3" w14:paraId="04B41283" w14:textId="77777777" w:rsidTr="001F5F6E">
        <w:trPr>
          <w:trHeight w:val="20"/>
        </w:trPr>
        <w:tc>
          <w:tcPr>
            <w:tcW w:w="1255" w:type="dxa"/>
            <w:tcBorders>
              <w:top w:val="nil"/>
              <w:left w:val="single" w:sz="4" w:space="0" w:color="auto"/>
              <w:bottom w:val="nil"/>
              <w:right w:val="nil"/>
            </w:tcBorders>
            <w:shd w:val="clear" w:color="auto" w:fill="auto"/>
            <w:vAlign w:val="center"/>
            <w:hideMark/>
          </w:tcPr>
          <w:p w14:paraId="2E838027" w14:textId="77777777" w:rsidR="00B373A3" w:rsidRPr="00B373A3" w:rsidRDefault="00B373A3" w:rsidP="00E20011">
            <w:pPr>
              <w:spacing w:after="0" w:line="240" w:lineRule="auto"/>
              <w:jc w:val="center"/>
              <w:rPr>
                <w:rFonts w:ascii="Calibri" w:eastAsia="Times New Roman" w:hAnsi="Calibri" w:cs="Calibri"/>
                <w:color w:val="000000"/>
              </w:rPr>
            </w:pPr>
          </w:p>
        </w:tc>
        <w:tc>
          <w:tcPr>
            <w:tcW w:w="932" w:type="dxa"/>
            <w:tcBorders>
              <w:top w:val="nil"/>
              <w:left w:val="nil"/>
              <w:bottom w:val="nil"/>
              <w:right w:val="single" w:sz="4" w:space="0" w:color="auto"/>
            </w:tcBorders>
            <w:shd w:val="clear" w:color="auto" w:fill="auto"/>
            <w:vAlign w:val="center"/>
            <w:hideMark/>
          </w:tcPr>
          <w:p w14:paraId="05D82D97"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nil"/>
              <w:right w:val="nil"/>
            </w:tcBorders>
            <w:shd w:val="clear" w:color="auto" w:fill="auto"/>
            <w:vAlign w:val="center"/>
            <w:hideMark/>
          </w:tcPr>
          <w:p w14:paraId="5159B00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31.5</w:t>
            </w:r>
          </w:p>
        </w:tc>
        <w:tc>
          <w:tcPr>
            <w:tcW w:w="900" w:type="dxa"/>
            <w:tcBorders>
              <w:top w:val="nil"/>
              <w:left w:val="nil"/>
              <w:bottom w:val="nil"/>
              <w:right w:val="nil"/>
            </w:tcBorders>
            <w:shd w:val="clear" w:color="auto" w:fill="auto"/>
            <w:vAlign w:val="center"/>
            <w:hideMark/>
          </w:tcPr>
          <w:p w14:paraId="78C2E2E4"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45.0</w:t>
            </w:r>
          </w:p>
        </w:tc>
        <w:tc>
          <w:tcPr>
            <w:tcW w:w="990" w:type="dxa"/>
            <w:tcBorders>
              <w:top w:val="nil"/>
              <w:left w:val="nil"/>
              <w:bottom w:val="nil"/>
              <w:right w:val="nil"/>
            </w:tcBorders>
            <w:shd w:val="clear" w:color="auto" w:fill="auto"/>
            <w:vAlign w:val="center"/>
            <w:hideMark/>
          </w:tcPr>
          <w:p w14:paraId="678749AD"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15.6</w:t>
            </w:r>
          </w:p>
        </w:tc>
        <w:tc>
          <w:tcPr>
            <w:tcW w:w="1084" w:type="dxa"/>
            <w:tcBorders>
              <w:top w:val="nil"/>
              <w:left w:val="nil"/>
              <w:bottom w:val="nil"/>
              <w:right w:val="nil"/>
            </w:tcBorders>
            <w:shd w:val="clear" w:color="auto" w:fill="auto"/>
            <w:vAlign w:val="center"/>
            <w:hideMark/>
          </w:tcPr>
          <w:p w14:paraId="4C224DA2"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4.9</w:t>
            </w:r>
          </w:p>
        </w:tc>
        <w:tc>
          <w:tcPr>
            <w:tcW w:w="908" w:type="dxa"/>
            <w:tcBorders>
              <w:top w:val="nil"/>
              <w:left w:val="nil"/>
              <w:bottom w:val="nil"/>
              <w:right w:val="nil"/>
            </w:tcBorders>
            <w:shd w:val="clear" w:color="auto" w:fill="auto"/>
            <w:vAlign w:val="center"/>
            <w:hideMark/>
          </w:tcPr>
          <w:p w14:paraId="5B092D3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1.9</w:t>
            </w:r>
          </w:p>
        </w:tc>
        <w:tc>
          <w:tcPr>
            <w:tcW w:w="1002" w:type="dxa"/>
            <w:tcBorders>
              <w:top w:val="nil"/>
              <w:left w:val="nil"/>
              <w:bottom w:val="nil"/>
              <w:right w:val="nil"/>
            </w:tcBorders>
            <w:shd w:val="clear" w:color="auto" w:fill="auto"/>
            <w:vAlign w:val="center"/>
            <w:hideMark/>
          </w:tcPr>
          <w:p w14:paraId="0A19AB39"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1.2</w:t>
            </w:r>
          </w:p>
        </w:tc>
        <w:tc>
          <w:tcPr>
            <w:tcW w:w="844" w:type="dxa"/>
            <w:tcBorders>
              <w:top w:val="nil"/>
              <w:left w:val="nil"/>
              <w:bottom w:val="nil"/>
              <w:right w:val="nil"/>
            </w:tcBorders>
            <w:shd w:val="clear" w:color="auto" w:fill="auto"/>
            <w:vAlign w:val="center"/>
            <w:hideMark/>
          </w:tcPr>
          <w:p w14:paraId="15CA5B5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nil"/>
              <w:right w:val="single" w:sz="4" w:space="0" w:color="auto"/>
            </w:tcBorders>
            <w:shd w:val="clear" w:color="auto" w:fill="auto"/>
            <w:vAlign w:val="center"/>
            <w:hideMark/>
          </w:tcPr>
          <w:p w14:paraId="0F1DC8FC"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r w:rsidR="00453CB2" w:rsidRPr="00B373A3" w14:paraId="2B85752E" w14:textId="77777777" w:rsidTr="001F5F6E">
        <w:trPr>
          <w:trHeight w:val="20"/>
        </w:trPr>
        <w:tc>
          <w:tcPr>
            <w:tcW w:w="1255" w:type="dxa"/>
            <w:tcBorders>
              <w:top w:val="single" w:sz="4" w:space="0" w:color="auto"/>
              <w:left w:val="single" w:sz="4" w:space="0" w:color="auto"/>
              <w:bottom w:val="nil"/>
              <w:right w:val="nil"/>
            </w:tcBorders>
            <w:shd w:val="clear" w:color="000000" w:fill="EDEDED"/>
            <w:vAlign w:val="center"/>
            <w:hideMark/>
          </w:tcPr>
          <w:p w14:paraId="0B36F074" w14:textId="77777777" w:rsidR="00B373A3" w:rsidRPr="00B373A3" w:rsidRDefault="00B373A3" w:rsidP="00E20011">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Total</w:t>
            </w:r>
          </w:p>
        </w:tc>
        <w:tc>
          <w:tcPr>
            <w:tcW w:w="932" w:type="dxa"/>
            <w:tcBorders>
              <w:top w:val="single" w:sz="4" w:space="0" w:color="auto"/>
              <w:left w:val="nil"/>
              <w:bottom w:val="nil"/>
              <w:right w:val="single" w:sz="4" w:space="0" w:color="auto"/>
            </w:tcBorders>
            <w:shd w:val="clear" w:color="000000" w:fill="EDEDED"/>
            <w:vAlign w:val="center"/>
            <w:hideMark/>
          </w:tcPr>
          <w:p w14:paraId="55B342D8"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n</w:t>
            </w:r>
          </w:p>
        </w:tc>
        <w:tc>
          <w:tcPr>
            <w:tcW w:w="1080" w:type="dxa"/>
            <w:tcBorders>
              <w:top w:val="single" w:sz="4" w:space="0" w:color="auto"/>
              <w:left w:val="nil"/>
              <w:bottom w:val="nil"/>
              <w:right w:val="nil"/>
            </w:tcBorders>
            <w:shd w:val="clear" w:color="000000" w:fill="EDEDED"/>
            <w:vAlign w:val="center"/>
            <w:hideMark/>
          </w:tcPr>
          <w:p w14:paraId="591834D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2,411</w:t>
            </w:r>
          </w:p>
        </w:tc>
        <w:tc>
          <w:tcPr>
            <w:tcW w:w="900" w:type="dxa"/>
            <w:tcBorders>
              <w:top w:val="single" w:sz="4" w:space="0" w:color="auto"/>
              <w:left w:val="nil"/>
              <w:bottom w:val="nil"/>
              <w:right w:val="nil"/>
            </w:tcBorders>
            <w:shd w:val="clear" w:color="000000" w:fill="EDEDED"/>
            <w:vAlign w:val="center"/>
            <w:hideMark/>
          </w:tcPr>
          <w:p w14:paraId="10B08DFA"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2,434</w:t>
            </w:r>
          </w:p>
        </w:tc>
        <w:tc>
          <w:tcPr>
            <w:tcW w:w="990" w:type="dxa"/>
            <w:tcBorders>
              <w:top w:val="single" w:sz="4" w:space="0" w:color="auto"/>
              <w:left w:val="nil"/>
              <w:bottom w:val="nil"/>
              <w:right w:val="nil"/>
            </w:tcBorders>
            <w:shd w:val="clear" w:color="000000" w:fill="EDEDED"/>
            <w:vAlign w:val="center"/>
            <w:hideMark/>
          </w:tcPr>
          <w:p w14:paraId="6043702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684</w:t>
            </w:r>
          </w:p>
        </w:tc>
        <w:tc>
          <w:tcPr>
            <w:tcW w:w="1084" w:type="dxa"/>
            <w:tcBorders>
              <w:top w:val="single" w:sz="4" w:space="0" w:color="auto"/>
              <w:left w:val="nil"/>
              <w:bottom w:val="nil"/>
              <w:right w:val="nil"/>
            </w:tcBorders>
            <w:shd w:val="clear" w:color="000000" w:fill="EDEDED"/>
            <w:vAlign w:val="center"/>
            <w:hideMark/>
          </w:tcPr>
          <w:p w14:paraId="1633960A" w14:textId="7CBE8D2A"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289</w:t>
            </w:r>
            <w:r w:rsidR="0041438A">
              <w:rPr>
                <w:rFonts w:ascii="Calibri" w:eastAsia="Times New Roman" w:hAnsi="Calibri" w:cs="Calibri"/>
                <w:color w:val="000000"/>
                <w:vertAlign w:val="superscript"/>
              </w:rPr>
              <w:t>b</w:t>
            </w:r>
          </w:p>
        </w:tc>
        <w:tc>
          <w:tcPr>
            <w:tcW w:w="908" w:type="dxa"/>
            <w:tcBorders>
              <w:top w:val="single" w:sz="4" w:space="0" w:color="auto"/>
              <w:left w:val="nil"/>
              <w:bottom w:val="nil"/>
              <w:right w:val="nil"/>
            </w:tcBorders>
            <w:shd w:val="clear" w:color="000000" w:fill="EDEDED"/>
            <w:vAlign w:val="center"/>
            <w:hideMark/>
          </w:tcPr>
          <w:p w14:paraId="540FC4BD" w14:textId="1F0FCA9A"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81</w:t>
            </w:r>
            <w:r w:rsidR="0041438A">
              <w:rPr>
                <w:rFonts w:ascii="Calibri" w:eastAsia="Times New Roman" w:hAnsi="Calibri" w:cs="Calibri"/>
                <w:color w:val="000000"/>
                <w:vertAlign w:val="superscript"/>
              </w:rPr>
              <w:t>b</w:t>
            </w:r>
          </w:p>
        </w:tc>
        <w:tc>
          <w:tcPr>
            <w:tcW w:w="1002" w:type="dxa"/>
            <w:tcBorders>
              <w:top w:val="single" w:sz="4" w:space="0" w:color="auto"/>
              <w:left w:val="nil"/>
              <w:bottom w:val="nil"/>
              <w:right w:val="nil"/>
            </w:tcBorders>
            <w:shd w:val="clear" w:color="000000" w:fill="EDEDED"/>
            <w:vAlign w:val="center"/>
            <w:hideMark/>
          </w:tcPr>
          <w:p w14:paraId="7BFB6EF5" w14:textId="0AA92954"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58</w:t>
            </w:r>
            <w:r w:rsidR="0041438A">
              <w:rPr>
                <w:rFonts w:ascii="Calibri" w:eastAsia="Times New Roman" w:hAnsi="Calibri" w:cs="Calibri"/>
                <w:color w:val="000000"/>
                <w:vertAlign w:val="superscript"/>
              </w:rPr>
              <w:t>b</w:t>
            </w:r>
          </w:p>
        </w:tc>
        <w:tc>
          <w:tcPr>
            <w:tcW w:w="844" w:type="dxa"/>
            <w:tcBorders>
              <w:top w:val="single" w:sz="4" w:space="0" w:color="auto"/>
              <w:left w:val="nil"/>
              <w:bottom w:val="nil"/>
              <w:right w:val="nil"/>
            </w:tcBorders>
            <w:shd w:val="clear" w:color="000000" w:fill="EDEDED"/>
            <w:vAlign w:val="center"/>
            <w:hideMark/>
          </w:tcPr>
          <w:p w14:paraId="77DCA735" w14:textId="0EBBA786"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2</w:t>
            </w:r>
            <w:r w:rsidR="0041438A">
              <w:rPr>
                <w:rFonts w:ascii="Calibri" w:eastAsia="Times New Roman" w:hAnsi="Calibri" w:cs="Calibri"/>
                <w:color w:val="000000"/>
                <w:vertAlign w:val="superscript"/>
              </w:rPr>
              <w:t>b</w:t>
            </w:r>
          </w:p>
        </w:tc>
        <w:tc>
          <w:tcPr>
            <w:tcW w:w="900" w:type="dxa"/>
            <w:tcBorders>
              <w:top w:val="single" w:sz="4" w:space="0" w:color="auto"/>
              <w:left w:val="single" w:sz="4" w:space="0" w:color="auto"/>
              <w:bottom w:val="nil"/>
              <w:right w:val="single" w:sz="4" w:space="0" w:color="auto"/>
            </w:tcBorders>
            <w:shd w:val="clear" w:color="000000" w:fill="EDEDED"/>
            <w:vAlign w:val="center"/>
            <w:hideMark/>
          </w:tcPr>
          <w:p w14:paraId="6707A658" w14:textId="0A496051"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5,959</w:t>
            </w:r>
            <w:r w:rsidR="0041438A">
              <w:rPr>
                <w:rFonts w:ascii="Calibri" w:eastAsia="Times New Roman" w:hAnsi="Calibri" w:cs="Calibri"/>
                <w:color w:val="000000"/>
                <w:vertAlign w:val="superscript"/>
              </w:rPr>
              <w:t>c</w:t>
            </w:r>
          </w:p>
        </w:tc>
      </w:tr>
      <w:tr w:rsidR="004010B7" w:rsidRPr="00B373A3" w14:paraId="101135CC" w14:textId="77777777" w:rsidTr="001F5F6E">
        <w:trPr>
          <w:trHeight w:val="20"/>
        </w:trPr>
        <w:tc>
          <w:tcPr>
            <w:tcW w:w="1255" w:type="dxa"/>
            <w:tcBorders>
              <w:top w:val="nil"/>
              <w:left w:val="single" w:sz="4" w:space="0" w:color="auto"/>
              <w:bottom w:val="single" w:sz="4" w:space="0" w:color="auto"/>
              <w:right w:val="nil"/>
            </w:tcBorders>
            <w:shd w:val="clear" w:color="auto" w:fill="auto"/>
            <w:vAlign w:val="center"/>
            <w:hideMark/>
          </w:tcPr>
          <w:p w14:paraId="39ED3F2D" w14:textId="77777777" w:rsidR="00B373A3" w:rsidRPr="00B373A3" w:rsidRDefault="00B373A3" w:rsidP="00B373A3">
            <w:pPr>
              <w:spacing w:after="0" w:line="240" w:lineRule="auto"/>
              <w:rPr>
                <w:rFonts w:ascii="Calibri" w:eastAsia="Times New Roman" w:hAnsi="Calibri" w:cs="Calibri"/>
                <w:color w:val="000000"/>
              </w:rPr>
            </w:pPr>
            <w:r w:rsidRPr="00B373A3">
              <w:rPr>
                <w:rFonts w:ascii="Calibri" w:eastAsia="Times New Roman" w:hAnsi="Calibri" w:cs="Calibri"/>
                <w:color w:val="000000"/>
              </w:rPr>
              <w:t> </w:t>
            </w:r>
          </w:p>
        </w:tc>
        <w:tc>
          <w:tcPr>
            <w:tcW w:w="932" w:type="dxa"/>
            <w:tcBorders>
              <w:top w:val="nil"/>
              <w:left w:val="nil"/>
              <w:bottom w:val="single" w:sz="4" w:space="0" w:color="auto"/>
              <w:right w:val="single" w:sz="4" w:space="0" w:color="auto"/>
            </w:tcBorders>
            <w:shd w:val="clear" w:color="auto" w:fill="auto"/>
            <w:vAlign w:val="center"/>
            <w:hideMark/>
          </w:tcPr>
          <w:p w14:paraId="5D9D768A" w14:textId="77777777" w:rsidR="00B373A3" w:rsidRPr="00B373A3" w:rsidRDefault="00B373A3" w:rsidP="00B373A3">
            <w:pPr>
              <w:spacing w:after="0" w:line="240" w:lineRule="auto"/>
              <w:jc w:val="center"/>
              <w:rPr>
                <w:rFonts w:ascii="Calibri" w:eastAsia="Times New Roman" w:hAnsi="Calibri" w:cs="Calibri"/>
                <w:color w:val="000000"/>
              </w:rPr>
            </w:pPr>
            <w:r w:rsidRPr="00B373A3">
              <w:rPr>
                <w:rFonts w:ascii="Calibri" w:eastAsia="Times New Roman" w:hAnsi="Calibri" w:cs="Calibri"/>
                <w:color w:val="000000"/>
              </w:rPr>
              <w:t>%</w:t>
            </w:r>
          </w:p>
        </w:tc>
        <w:tc>
          <w:tcPr>
            <w:tcW w:w="1080" w:type="dxa"/>
            <w:tcBorders>
              <w:top w:val="nil"/>
              <w:left w:val="nil"/>
              <w:bottom w:val="single" w:sz="4" w:space="0" w:color="auto"/>
              <w:right w:val="nil"/>
            </w:tcBorders>
            <w:shd w:val="clear" w:color="auto" w:fill="auto"/>
            <w:vAlign w:val="center"/>
            <w:hideMark/>
          </w:tcPr>
          <w:p w14:paraId="7CD97A20"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40.5</w:t>
            </w:r>
          </w:p>
        </w:tc>
        <w:tc>
          <w:tcPr>
            <w:tcW w:w="900" w:type="dxa"/>
            <w:tcBorders>
              <w:top w:val="nil"/>
              <w:left w:val="nil"/>
              <w:bottom w:val="single" w:sz="4" w:space="0" w:color="auto"/>
              <w:right w:val="nil"/>
            </w:tcBorders>
            <w:shd w:val="clear" w:color="auto" w:fill="auto"/>
            <w:vAlign w:val="center"/>
            <w:hideMark/>
          </w:tcPr>
          <w:p w14:paraId="3E2F1057"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40.9</w:t>
            </w:r>
          </w:p>
        </w:tc>
        <w:tc>
          <w:tcPr>
            <w:tcW w:w="990" w:type="dxa"/>
            <w:tcBorders>
              <w:top w:val="nil"/>
              <w:left w:val="nil"/>
              <w:bottom w:val="single" w:sz="4" w:space="0" w:color="auto"/>
              <w:right w:val="nil"/>
            </w:tcBorders>
            <w:shd w:val="clear" w:color="auto" w:fill="auto"/>
            <w:vAlign w:val="center"/>
            <w:hideMark/>
          </w:tcPr>
          <w:p w14:paraId="2E92B70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11.5</w:t>
            </w:r>
          </w:p>
        </w:tc>
        <w:tc>
          <w:tcPr>
            <w:tcW w:w="1084" w:type="dxa"/>
            <w:tcBorders>
              <w:top w:val="nil"/>
              <w:left w:val="nil"/>
              <w:bottom w:val="single" w:sz="4" w:space="0" w:color="auto"/>
              <w:right w:val="nil"/>
            </w:tcBorders>
            <w:shd w:val="clear" w:color="auto" w:fill="auto"/>
            <w:vAlign w:val="center"/>
            <w:hideMark/>
          </w:tcPr>
          <w:p w14:paraId="4D84E7E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4.9</w:t>
            </w:r>
          </w:p>
        </w:tc>
        <w:tc>
          <w:tcPr>
            <w:tcW w:w="908" w:type="dxa"/>
            <w:tcBorders>
              <w:top w:val="nil"/>
              <w:left w:val="nil"/>
              <w:bottom w:val="single" w:sz="4" w:space="0" w:color="auto"/>
              <w:right w:val="nil"/>
            </w:tcBorders>
            <w:shd w:val="clear" w:color="auto" w:fill="auto"/>
            <w:vAlign w:val="center"/>
            <w:hideMark/>
          </w:tcPr>
          <w:p w14:paraId="7EC07621"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1.4</w:t>
            </w:r>
          </w:p>
        </w:tc>
        <w:tc>
          <w:tcPr>
            <w:tcW w:w="1002" w:type="dxa"/>
            <w:tcBorders>
              <w:top w:val="nil"/>
              <w:left w:val="nil"/>
              <w:bottom w:val="single" w:sz="4" w:space="0" w:color="auto"/>
              <w:right w:val="nil"/>
            </w:tcBorders>
            <w:shd w:val="clear" w:color="auto" w:fill="auto"/>
            <w:vAlign w:val="center"/>
            <w:hideMark/>
          </w:tcPr>
          <w:p w14:paraId="3880D68F"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w:t>
            </w:r>
          </w:p>
        </w:tc>
        <w:tc>
          <w:tcPr>
            <w:tcW w:w="844" w:type="dxa"/>
            <w:tcBorders>
              <w:top w:val="nil"/>
              <w:left w:val="nil"/>
              <w:bottom w:val="single" w:sz="4" w:space="0" w:color="auto"/>
              <w:right w:val="nil"/>
            </w:tcBorders>
            <w:shd w:val="clear" w:color="auto" w:fill="auto"/>
            <w:vAlign w:val="center"/>
            <w:hideMark/>
          </w:tcPr>
          <w:p w14:paraId="41B40E7B"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39C590E" w14:textId="77777777" w:rsidR="00B373A3" w:rsidRPr="00B373A3" w:rsidRDefault="00B373A3" w:rsidP="00B373A3">
            <w:pPr>
              <w:spacing w:after="0" w:line="240" w:lineRule="auto"/>
              <w:jc w:val="right"/>
              <w:rPr>
                <w:rFonts w:ascii="Calibri" w:eastAsia="Times New Roman" w:hAnsi="Calibri" w:cs="Calibri"/>
                <w:color w:val="000000"/>
              </w:rPr>
            </w:pPr>
            <w:r w:rsidRPr="00B373A3">
              <w:rPr>
                <w:rFonts w:ascii="Calibri" w:eastAsia="Times New Roman" w:hAnsi="Calibri" w:cs="Calibri"/>
                <w:color w:val="000000"/>
              </w:rPr>
              <w:t>100</w:t>
            </w:r>
          </w:p>
        </w:tc>
      </w:tr>
    </w:tbl>
    <w:p w14:paraId="53936A4B" w14:textId="0B2D81C6" w:rsidR="00F7733F" w:rsidRPr="0086383F" w:rsidRDefault="00367E71" w:rsidP="00A4131D">
      <w:pPr>
        <w:spacing w:after="0"/>
        <w:jc w:val="both"/>
        <w:rPr>
          <w:sz w:val="20"/>
          <w:szCs w:val="20"/>
        </w:rPr>
      </w:pPr>
      <w:r w:rsidRPr="00E5005C">
        <w:rPr>
          <w:sz w:val="20"/>
          <w:szCs w:val="20"/>
          <w:vertAlign w:val="superscript"/>
        </w:rPr>
        <w:t>a</w:t>
      </w:r>
      <w:r w:rsidR="00DA323C" w:rsidRPr="00A77788">
        <w:rPr>
          <w:sz w:val="20"/>
          <w:szCs w:val="20"/>
        </w:rPr>
        <w:t xml:space="preserve"> </w:t>
      </w:r>
      <w:r w:rsidR="000236DC" w:rsidRPr="00665E44">
        <w:rPr>
          <w:sz w:val="20"/>
          <w:szCs w:val="20"/>
        </w:rPr>
        <w:t>Closures with m</w:t>
      </w:r>
      <w:r w:rsidR="00994B4F" w:rsidRPr="00BA1197">
        <w:rPr>
          <w:sz w:val="20"/>
          <w:szCs w:val="20"/>
        </w:rPr>
        <w:t>issing information on the length of closures were imputed to 1</w:t>
      </w:r>
      <w:r w:rsidR="00D47EA5" w:rsidRPr="00C730F7">
        <w:rPr>
          <w:sz w:val="20"/>
          <w:szCs w:val="20"/>
        </w:rPr>
        <w:t>-</w:t>
      </w:r>
      <w:r w:rsidR="00994B4F" w:rsidRPr="0086383F">
        <w:rPr>
          <w:sz w:val="20"/>
          <w:szCs w:val="20"/>
        </w:rPr>
        <w:t>day (n=</w:t>
      </w:r>
      <w:r w:rsidR="00D47EA5" w:rsidRPr="0086383F">
        <w:rPr>
          <w:sz w:val="20"/>
          <w:szCs w:val="20"/>
        </w:rPr>
        <w:t>631, 11%</w:t>
      </w:r>
      <w:r w:rsidR="000236DC" w:rsidRPr="0086383F">
        <w:rPr>
          <w:sz w:val="20"/>
          <w:szCs w:val="20"/>
        </w:rPr>
        <w:t xml:space="preserve"> of total closures</w:t>
      </w:r>
      <w:r w:rsidR="00D47EA5" w:rsidRPr="0086383F">
        <w:rPr>
          <w:sz w:val="20"/>
          <w:szCs w:val="20"/>
        </w:rPr>
        <w:t>).</w:t>
      </w:r>
    </w:p>
    <w:p w14:paraId="6E693472" w14:textId="1257E56D" w:rsidR="001F5F6E" w:rsidRPr="00665E44" w:rsidRDefault="001F5F6E" w:rsidP="00A4131D">
      <w:pPr>
        <w:spacing w:after="0"/>
        <w:jc w:val="both"/>
        <w:rPr>
          <w:sz w:val="20"/>
          <w:szCs w:val="20"/>
        </w:rPr>
      </w:pPr>
      <w:r w:rsidRPr="0086383F">
        <w:rPr>
          <w:sz w:val="20"/>
          <w:szCs w:val="20"/>
          <w:vertAlign w:val="superscript"/>
        </w:rPr>
        <w:t>b</w:t>
      </w:r>
      <w:r>
        <w:rPr>
          <w:sz w:val="20"/>
          <w:szCs w:val="20"/>
        </w:rPr>
        <w:t xml:space="preserve"> </w:t>
      </w:r>
      <w:r w:rsidR="0023707C">
        <w:rPr>
          <w:sz w:val="20"/>
          <w:szCs w:val="20"/>
        </w:rPr>
        <w:t xml:space="preserve">Among a total of 430 closures </w:t>
      </w:r>
      <w:r w:rsidR="00A4131D" w:rsidRPr="00C80F4A">
        <w:rPr>
          <w:rFonts w:cstheme="minorHAnsi"/>
          <w:sz w:val="20"/>
          <w:szCs w:val="20"/>
        </w:rPr>
        <w:t xml:space="preserve">with </w:t>
      </w:r>
      <w:r w:rsidR="00A4131D" w:rsidRPr="00C80F4A">
        <w:rPr>
          <w:rFonts w:cstheme="minorHAnsi" w:hint="eastAsia"/>
          <w:sz w:val="20"/>
          <w:szCs w:val="20"/>
        </w:rPr>
        <w:t>≥</w:t>
      </w:r>
      <w:r w:rsidR="00A4131D" w:rsidRPr="00C80F4A">
        <w:rPr>
          <w:rFonts w:cstheme="minorHAnsi"/>
          <w:sz w:val="20"/>
          <w:szCs w:val="20"/>
        </w:rPr>
        <w:t>4 days</w:t>
      </w:r>
      <w:r w:rsidR="0023707C" w:rsidRPr="00C80F4A">
        <w:rPr>
          <w:rFonts w:cstheme="minorHAnsi"/>
          <w:sz w:val="20"/>
          <w:szCs w:val="20"/>
        </w:rPr>
        <w:t xml:space="preserve">, </w:t>
      </w:r>
      <w:r w:rsidR="00A4131D" w:rsidRPr="00C80F4A">
        <w:rPr>
          <w:rFonts w:cstheme="minorHAnsi"/>
          <w:sz w:val="20"/>
          <w:szCs w:val="20"/>
        </w:rPr>
        <w:t>195</w:t>
      </w:r>
      <w:r w:rsidR="00E40A63" w:rsidRPr="00C80F4A">
        <w:rPr>
          <w:rFonts w:cstheme="minorHAnsi"/>
          <w:sz w:val="20"/>
          <w:szCs w:val="20"/>
        </w:rPr>
        <w:t xml:space="preserve"> (45%) </w:t>
      </w:r>
      <w:r w:rsidR="008C4517" w:rsidRPr="00C80F4A">
        <w:rPr>
          <w:rFonts w:cstheme="minorHAnsi"/>
          <w:sz w:val="20"/>
          <w:szCs w:val="20"/>
        </w:rPr>
        <w:t xml:space="preserve">occurred </w:t>
      </w:r>
      <w:r w:rsidR="00A4131D" w:rsidRPr="00C80F4A">
        <w:rPr>
          <w:rFonts w:cstheme="minorHAnsi"/>
          <w:sz w:val="20"/>
          <w:szCs w:val="20"/>
        </w:rPr>
        <w:t>in Tennessee, 156</w:t>
      </w:r>
      <w:r w:rsidR="008C4517" w:rsidRPr="00C80F4A">
        <w:rPr>
          <w:rFonts w:cstheme="minorHAnsi"/>
          <w:sz w:val="20"/>
          <w:szCs w:val="20"/>
        </w:rPr>
        <w:t xml:space="preserve"> (36%)</w:t>
      </w:r>
      <w:r w:rsidR="00A4131D" w:rsidRPr="00C80F4A">
        <w:rPr>
          <w:rFonts w:cstheme="minorHAnsi"/>
          <w:sz w:val="20"/>
          <w:szCs w:val="20"/>
        </w:rPr>
        <w:t xml:space="preserve"> in Kentucky, </w:t>
      </w:r>
      <w:r w:rsidR="00996456" w:rsidRPr="00C80F4A">
        <w:rPr>
          <w:rFonts w:cstheme="minorHAnsi"/>
          <w:sz w:val="20"/>
          <w:szCs w:val="20"/>
        </w:rPr>
        <w:t>16</w:t>
      </w:r>
      <w:r w:rsidR="008C4517" w:rsidRPr="00C80F4A">
        <w:rPr>
          <w:rFonts w:cstheme="minorHAnsi"/>
          <w:sz w:val="20"/>
          <w:szCs w:val="20"/>
        </w:rPr>
        <w:t xml:space="preserve"> (</w:t>
      </w:r>
      <w:r w:rsidR="00B871C7" w:rsidRPr="00C80F4A">
        <w:rPr>
          <w:rFonts w:cstheme="minorHAnsi"/>
          <w:sz w:val="20"/>
          <w:szCs w:val="20"/>
        </w:rPr>
        <w:t>4</w:t>
      </w:r>
      <w:r w:rsidR="00146431" w:rsidRPr="00C80F4A">
        <w:rPr>
          <w:rFonts w:cstheme="minorHAnsi"/>
          <w:sz w:val="20"/>
          <w:szCs w:val="20"/>
        </w:rPr>
        <w:t>%)</w:t>
      </w:r>
      <w:r w:rsidR="00A4131D" w:rsidRPr="00C80F4A">
        <w:rPr>
          <w:rFonts w:cstheme="minorHAnsi"/>
          <w:sz w:val="20"/>
          <w:szCs w:val="20"/>
        </w:rPr>
        <w:t xml:space="preserve"> in Alabama</w:t>
      </w:r>
      <w:r w:rsidR="00B871C7" w:rsidRPr="00C80F4A">
        <w:rPr>
          <w:rFonts w:cstheme="minorHAnsi"/>
          <w:sz w:val="20"/>
          <w:szCs w:val="20"/>
        </w:rPr>
        <w:t>,</w:t>
      </w:r>
      <w:r w:rsidR="00A4131D" w:rsidRPr="00C80F4A">
        <w:rPr>
          <w:rFonts w:cstheme="minorHAnsi"/>
          <w:sz w:val="20"/>
          <w:szCs w:val="20"/>
        </w:rPr>
        <w:t xml:space="preserve"> 12 </w:t>
      </w:r>
      <w:r w:rsidR="00A82F3F" w:rsidRPr="00C80F4A">
        <w:rPr>
          <w:rFonts w:cstheme="minorHAnsi"/>
          <w:sz w:val="20"/>
          <w:szCs w:val="20"/>
        </w:rPr>
        <w:t xml:space="preserve">(3%) </w:t>
      </w:r>
      <w:r w:rsidR="00A4131D" w:rsidRPr="00C80F4A">
        <w:rPr>
          <w:rFonts w:cstheme="minorHAnsi"/>
          <w:sz w:val="20"/>
          <w:szCs w:val="20"/>
        </w:rPr>
        <w:t>in Missouri</w:t>
      </w:r>
      <w:r w:rsidR="00B871C7" w:rsidRPr="00C80F4A">
        <w:rPr>
          <w:rFonts w:cstheme="minorHAnsi"/>
          <w:sz w:val="20"/>
          <w:szCs w:val="20"/>
        </w:rPr>
        <w:t xml:space="preserve">, and 11 </w:t>
      </w:r>
      <w:r w:rsidR="00CF120A" w:rsidRPr="00C80F4A">
        <w:rPr>
          <w:rFonts w:cstheme="minorHAnsi"/>
          <w:sz w:val="20"/>
          <w:szCs w:val="20"/>
        </w:rPr>
        <w:t xml:space="preserve">(3%) </w:t>
      </w:r>
      <w:r w:rsidR="00B871C7" w:rsidRPr="00C80F4A">
        <w:rPr>
          <w:rFonts w:cstheme="minorHAnsi"/>
          <w:sz w:val="20"/>
          <w:szCs w:val="20"/>
        </w:rPr>
        <w:t>in Texas</w:t>
      </w:r>
      <w:r w:rsidR="00367E71" w:rsidRPr="00E5005C">
        <w:rPr>
          <w:sz w:val="20"/>
          <w:szCs w:val="20"/>
        </w:rPr>
        <w:t xml:space="preserve">. </w:t>
      </w:r>
    </w:p>
    <w:p w14:paraId="496340AB" w14:textId="3408BC90" w:rsidR="0041438A" w:rsidRPr="00D47EA5" w:rsidRDefault="0041438A" w:rsidP="00A4131D">
      <w:pPr>
        <w:spacing w:after="0"/>
        <w:jc w:val="both"/>
        <w:rPr>
          <w:sz w:val="20"/>
          <w:szCs w:val="20"/>
        </w:rPr>
      </w:pPr>
      <w:r w:rsidRPr="0086383F">
        <w:rPr>
          <w:sz w:val="20"/>
          <w:szCs w:val="20"/>
          <w:vertAlign w:val="superscript"/>
        </w:rPr>
        <w:t>c</w:t>
      </w:r>
      <w:r w:rsidRPr="0086383F">
        <w:rPr>
          <w:sz w:val="20"/>
          <w:szCs w:val="20"/>
        </w:rPr>
        <w:t xml:space="preserve"> </w:t>
      </w:r>
      <w:r w:rsidR="0078453B" w:rsidRPr="0086383F">
        <w:rPr>
          <w:sz w:val="20"/>
          <w:szCs w:val="20"/>
        </w:rPr>
        <w:t>During the eight academic years from</w:t>
      </w:r>
      <w:r w:rsidRPr="0086383F">
        <w:rPr>
          <w:sz w:val="20"/>
          <w:szCs w:val="20"/>
        </w:rPr>
        <w:t xml:space="preserve"> 2011-12 to 2018-19, 5,959 ILI-related closures</w:t>
      </w:r>
      <w:r w:rsidR="00040163" w:rsidRPr="0086383F">
        <w:rPr>
          <w:sz w:val="20"/>
          <w:szCs w:val="20"/>
        </w:rPr>
        <w:t xml:space="preserve"> occurred</w:t>
      </w:r>
      <w:r w:rsidRPr="0086383F">
        <w:rPr>
          <w:sz w:val="20"/>
          <w:szCs w:val="20"/>
        </w:rPr>
        <w:t xml:space="preserve"> </w:t>
      </w:r>
      <w:r w:rsidR="00040163" w:rsidRPr="0086383F">
        <w:rPr>
          <w:sz w:val="20"/>
          <w:szCs w:val="20"/>
        </w:rPr>
        <w:t>among</w:t>
      </w:r>
      <w:r>
        <w:rPr>
          <w:sz w:val="20"/>
          <w:szCs w:val="20"/>
        </w:rPr>
        <w:t xml:space="preserve"> 3,501 schools. </w:t>
      </w:r>
    </w:p>
    <w:p w14:paraId="6FB118B5" w14:textId="77777777" w:rsidR="0086383F" w:rsidRPr="00920110" w:rsidRDefault="0086383F" w:rsidP="0086383F">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26A248B4" w14:textId="7FB4B742" w:rsidR="00DA323C" w:rsidRDefault="00DA323C">
      <w:pPr>
        <w:rPr>
          <w:b/>
          <w:bCs/>
        </w:rPr>
      </w:pPr>
    </w:p>
    <w:p w14:paraId="5D0985D8" w14:textId="77777777" w:rsidR="0041438A" w:rsidRDefault="0041438A">
      <w:pPr>
        <w:rPr>
          <w:b/>
          <w:bCs/>
        </w:rPr>
      </w:pPr>
      <w:r>
        <w:rPr>
          <w:b/>
          <w:bCs/>
        </w:rPr>
        <w:br w:type="page"/>
      </w:r>
    </w:p>
    <w:p w14:paraId="730CE579" w14:textId="0A7D3088" w:rsidR="00E86E4F" w:rsidRDefault="00E86E4F" w:rsidP="00E86E4F">
      <w:r>
        <w:rPr>
          <w:b/>
          <w:bCs/>
        </w:rPr>
        <w:lastRenderedPageBreak/>
        <w:t xml:space="preserve">Appendix </w:t>
      </w:r>
      <w:r w:rsidR="003C5F2D">
        <w:rPr>
          <w:b/>
          <w:bCs/>
        </w:rPr>
        <w:t>5</w:t>
      </w:r>
      <w:r>
        <w:rPr>
          <w:b/>
          <w:bCs/>
        </w:rPr>
        <w:t>-</w:t>
      </w:r>
      <w:r w:rsidR="00AC46B6">
        <w:rPr>
          <w:b/>
          <w:bCs/>
        </w:rPr>
        <w:t>1</w:t>
      </w:r>
      <w:r>
        <w:rPr>
          <w:b/>
          <w:bCs/>
        </w:rPr>
        <w:t xml:space="preserve">. </w:t>
      </w:r>
      <w:r>
        <w:t xml:space="preserve">Number of ILI-related </w:t>
      </w:r>
      <w:r w:rsidR="0086383F">
        <w:t xml:space="preserve">reactive </w:t>
      </w:r>
      <w:r>
        <w:t xml:space="preserve">school closures </w:t>
      </w:r>
      <w:r w:rsidR="0035159B">
        <w:t>among public schools</w:t>
      </w:r>
      <w:r w:rsidR="35E59A9E">
        <w:t xml:space="preserve"> from 2011-</w:t>
      </w:r>
      <w:r w:rsidR="000C273B">
        <w:t>20</w:t>
      </w:r>
      <w:r w:rsidR="35E59A9E">
        <w:t>12 to 2018-</w:t>
      </w:r>
      <w:r w:rsidR="000C273B">
        <w:t>20</w:t>
      </w:r>
      <w:r w:rsidR="35E59A9E">
        <w:t>19</w:t>
      </w:r>
      <w:r w:rsidR="0035159B">
        <w:t xml:space="preserve">, </w:t>
      </w:r>
      <w:r>
        <w:t>by urbanicity of school location</w:t>
      </w:r>
      <w:r w:rsidR="00647714">
        <w:t xml:space="preserve"> and length of closures</w:t>
      </w:r>
      <w:r w:rsidR="1A81A5DC">
        <w:t xml:space="preserve"> </w:t>
      </w:r>
    </w:p>
    <w:tbl>
      <w:tblPr>
        <w:tblW w:w="9535" w:type="dxa"/>
        <w:tblLook w:val="04A0" w:firstRow="1" w:lastRow="0" w:firstColumn="1" w:lastColumn="0" w:noHBand="0" w:noVBand="1"/>
      </w:tblPr>
      <w:tblGrid>
        <w:gridCol w:w="993"/>
        <w:gridCol w:w="711"/>
        <w:gridCol w:w="1047"/>
        <w:gridCol w:w="711"/>
        <w:gridCol w:w="1047"/>
        <w:gridCol w:w="830"/>
        <w:gridCol w:w="928"/>
        <w:gridCol w:w="830"/>
        <w:gridCol w:w="818"/>
        <w:gridCol w:w="900"/>
        <w:gridCol w:w="720"/>
      </w:tblGrid>
      <w:tr w:rsidR="00B80C84" w:rsidRPr="008D14C1" w14:paraId="79A0D34C" w14:textId="5439C372" w:rsidTr="00C2011E">
        <w:trPr>
          <w:trHeight w:val="288"/>
        </w:trPr>
        <w:tc>
          <w:tcPr>
            <w:tcW w:w="993" w:type="dxa"/>
            <w:tcBorders>
              <w:top w:val="single" w:sz="4" w:space="0" w:color="auto"/>
              <w:left w:val="single" w:sz="4" w:space="0" w:color="auto"/>
              <w:bottom w:val="nil"/>
              <w:right w:val="nil"/>
            </w:tcBorders>
            <w:shd w:val="clear" w:color="auto" w:fill="auto"/>
            <w:noWrap/>
            <w:vAlign w:val="center"/>
            <w:hideMark/>
          </w:tcPr>
          <w:p w14:paraId="3B6BC68C" w14:textId="77777777" w:rsidR="00B80C84" w:rsidRPr="008D14C1" w:rsidRDefault="00B80C84" w:rsidP="0056196E">
            <w:pPr>
              <w:spacing w:after="0" w:line="240" w:lineRule="auto"/>
              <w:rPr>
                <w:rFonts w:ascii="Calibri" w:eastAsia="Times New Roman" w:hAnsi="Calibri" w:cs="Calibri"/>
                <w:color w:val="000000"/>
              </w:rPr>
            </w:pPr>
            <w:r w:rsidRPr="008D14C1">
              <w:rPr>
                <w:rFonts w:ascii="Calibri" w:eastAsia="Times New Roman" w:hAnsi="Calibri" w:cs="Calibri"/>
                <w:color w:val="000000"/>
              </w:rPr>
              <w:t> </w:t>
            </w:r>
          </w:p>
        </w:tc>
        <w:tc>
          <w:tcPr>
            <w:tcW w:w="17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CCBC4" w14:textId="77777777" w:rsidR="00B80C84" w:rsidRPr="008D14C1" w:rsidRDefault="00B80C84" w:rsidP="0056196E">
            <w:pPr>
              <w:spacing w:after="0" w:line="240" w:lineRule="auto"/>
              <w:jc w:val="center"/>
              <w:rPr>
                <w:rFonts w:ascii="Calibri" w:eastAsia="Times New Roman" w:hAnsi="Calibri" w:cs="Calibri"/>
                <w:color w:val="000000"/>
              </w:rPr>
            </w:pPr>
            <w:r w:rsidRPr="008D14C1">
              <w:rPr>
                <w:rFonts w:ascii="Calibri" w:eastAsia="Times New Roman" w:hAnsi="Calibri" w:cs="Calibri"/>
                <w:color w:val="000000"/>
              </w:rPr>
              <w:t>City</w:t>
            </w:r>
          </w:p>
        </w:tc>
        <w:tc>
          <w:tcPr>
            <w:tcW w:w="1758" w:type="dxa"/>
            <w:gridSpan w:val="2"/>
            <w:tcBorders>
              <w:top w:val="single" w:sz="4" w:space="0" w:color="auto"/>
              <w:left w:val="nil"/>
              <w:bottom w:val="single" w:sz="4" w:space="0" w:color="auto"/>
              <w:right w:val="nil"/>
            </w:tcBorders>
            <w:shd w:val="clear" w:color="auto" w:fill="auto"/>
            <w:noWrap/>
            <w:vAlign w:val="center"/>
            <w:hideMark/>
          </w:tcPr>
          <w:p w14:paraId="7011EF0C" w14:textId="77777777" w:rsidR="00B80C84" w:rsidRPr="008D14C1" w:rsidRDefault="00B80C84" w:rsidP="0056196E">
            <w:pPr>
              <w:spacing w:after="0" w:line="240" w:lineRule="auto"/>
              <w:jc w:val="center"/>
              <w:rPr>
                <w:rFonts w:ascii="Calibri" w:eastAsia="Times New Roman" w:hAnsi="Calibri" w:cs="Calibri"/>
                <w:color w:val="000000"/>
              </w:rPr>
            </w:pPr>
            <w:r w:rsidRPr="008D14C1">
              <w:rPr>
                <w:rFonts w:ascii="Calibri" w:eastAsia="Times New Roman" w:hAnsi="Calibri" w:cs="Calibri"/>
                <w:color w:val="000000"/>
              </w:rPr>
              <w:t>Suburban</w:t>
            </w:r>
          </w:p>
        </w:tc>
        <w:tc>
          <w:tcPr>
            <w:tcW w:w="17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0C9F2F" w14:textId="77777777" w:rsidR="00B80C84" w:rsidRPr="008D14C1" w:rsidRDefault="00B80C84" w:rsidP="0056196E">
            <w:pPr>
              <w:spacing w:after="0" w:line="240" w:lineRule="auto"/>
              <w:jc w:val="center"/>
              <w:rPr>
                <w:rFonts w:ascii="Calibri" w:eastAsia="Times New Roman" w:hAnsi="Calibri" w:cs="Calibri"/>
                <w:color w:val="000000"/>
              </w:rPr>
            </w:pPr>
            <w:r w:rsidRPr="008D14C1">
              <w:rPr>
                <w:rFonts w:ascii="Calibri" w:eastAsia="Times New Roman" w:hAnsi="Calibri" w:cs="Calibri"/>
                <w:color w:val="000000"/>
              </w:rPr>
              <w:t>Town</w:t>
            </w: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43C9C8" w14:textId="77777777" w:rsidR="00B80C84" w:rsidRPr="008D14C1" w:rsidRDefault="00B80C84" w:rsidP="0056196E">
            <w:pPr>
              <w:spacing w:after="0" w:line="240" w:lineRule="auto"/>
              <w:jc w:val="center"/>
              <w:rPr>
                <w:rFonts w:ascii="Calibri" w:eastAsia="Times New Roman" w:hAnsi="Calibri" w:cs="Calibri"/>
                <w:color w:val="000000"/>
              </w:rPr>
            </w:pPr>
            <w:r w:rsidRPr="008D14C1">
              <w:rPr>
                <w:rFonts w:ascii="Calibri" w:eastAsia="Times New Roman" w:hAnsi="Calibri" w:cs="Calibri"/>
                <w:color w:val="000000"/>
              </w:rPr>
              <w:t>Rural</w:t>
            </w:r>
          </w:p>
        </w:tc>
        <w:tc>
          <w:tcPr>
            <w:tcW w:w="1620" w:type="dxa"/>
            <w:gridSpan w:val="2"/>
            <w:tcBorders>
              <w:top w:val="single" w:sz="4" w:space="0" w:color="auto"/>
              <w:left w:val="nil"/>
              <w:bottom w:val="single" w:sz="4" w:space="0" w:color="auto"/>
              <w:right w:val="single" w:sz="4" w:space="0" w:color="auto"/>
            </w:tcBorders>
            <w:vAlign w:val="center"/>
          </w:tcPr>
          <w:p w14:paraId="470BD2D7" w14:textId="75F7425A" w:rsidR="00B80C84" w:rsidRPr="008D14C1" w:rsidRDefault="00B80C84" w:rsidP="00B80C84">
            <w:pPr>
              <w:spacing w:after="0" w:line="240" w:lineRule="auto"/>
              <w:jc w:val="center"/>
              <w:rPr>
                <w:rFonts w:ascii="Calibri" w:eastAsia="Times New Roman" w:hAnsi="Calibri" w:cs="Calibri"/>
                <w:color w:val="000000"/>
              </w:rPr>
            </w:pPr>
            <w:r>
              <w:rPr>
                <w:rFonts w:ascii="Calibri" w:eastAsia="Times New Roman" w:hAnsi="Calibri" w:cs="Calibri"/>
                <w:color w:val="000000"/>
              </w:rPr>
              <w:t>Total</w:t>
            </w:r>
          </w:p>
        </w:tc>
      </w:tr>
      <w:tr w:rsidR="00A160E9" w:rsidRPr="008D14C1" w14:paraId="495BDE61" w14:textId="09F284F0" w:rsidTr="00C2011E">
        <w:trPr>
          <w:trHeight w:val="288"/>
        </w:trPr>
        <w:tc>
          <w:tcPr>
            <w:tcW w:w="993" w:type="dxa"/>
            <w:tcBorders>
              <w:top w:val="nil"/>
              <w:left w:val="single" w:sz="4" w:space="0" w:color="auto"/>
              <w:bottom w:val="single" w:sz="4" w:space="0" w:color="auto"/>
              <w:right w:val="nil"/>
            </w:tcBorders>
            <w:shd w:val="clear" w:color="auto" w:fill="auto"/>
            <w:noWrap/>
            <w:vAlign w:val="center"/>
            <w:hideMark/>
          </w:tcPr>
          <w:p w14:paraId="29D6FC0D" w14:textId="77777777" w:rsidR="00A160E9" w:rsidRPr="008D14C1" w:rsidRDefault="00A160E9" w:rsidP="0056196E">
            <w:pPr>
              <w:spacing w:after="0" w:line="240" w:lineRule="auto"/>
              <w:rPr>
                <w:rFonts w:ascii="Calibri" w:eastAsia="Times New Roman" w:hAnsi="Calibri" w:cs="Calibri"/>
                <w:color w:val="000000"/>
              </w:rPr>
            </w:pPr>
            <w:r w:rsidRPr="008D14C1">
              <w:rPr>
                <w:rFonts w:ascii="Calibri" w:eastAsia="Times New Roman" w:hAnsi="Calibri" w:cs="Calibri"/>
                <w:color w:val="000000"/>
              </w:rPr>
              <w:t> </w:t>
            </w:r>
          </w:p>
        </w:tc>
        <w:tc>
          <w:tcPr>
            <w:tcW w:w="711" w:type="dxa"/>
            <w:tcBorders>
              <w:top w:val="single" w:sz="4" w:space="0" w:color="auto"/>
              <w:left w:val="single" w:sz="4" w:space="0" w:color="auto"/>
              <w:bottom w:val="single" w:sz="4" w:space="0" w:color="auto"/>
              <w:right w:val="nil"/>
            </w:tcBorders>
            <w:shd w:val="clear" w:color="auto" w:fill="auto"/>
            <w:noWrap/>
            <w:vAlign w:val="center"/>
            <w:hideMark/>
          </w:tcPr>
          <w:p w14:paraId="379058DD"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n</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37ADDD78"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w:t>
            </w:r>
          </w:p>
        </w:tc>
        <w:tc>
          <w:tcPr>
            <w:tcW w:w="711" w:type="dxa"/>
            <w:tcBorders>
              <w:top w:val="single" w:sz="4" w:space="0" w:color="auto"/>
              <w:left w:val="nil"/>
              <w:bottom w:val="single" w:sz="4" w:space="0" w:color="auto"/>
              <w:right w:val="nil"/>
            </w:tcBorders>
            <w:shd w:val="clear" w:color="auto" w:fill="auto"/>
            <w:noWrap/>
            <w:vAlign w:val="center"/>
            <w:hideMark/>
          </w:tcPr>
          <w:p w14:paraId="24160D80"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n</w:t>
            </w:r>
          </w:p>
        </w:tc>
        <w:tc>
          <w:tcPr>
            <w:tcW w:w="1047" w:type="dxa"/>
            <w:tcBorders>
              <w:top w:val="single" w:sz="4" w:space="0" w:color="auto"/>
              <w:left w:val="nil"/>
              <w:bottom w:val="single" w:sz="4" w:space="0" w:color="auto"/>
              <w:right w:val="nil"/>
            </w:tcBorders>
            <w:shd w:val="clear" w:color="auto" w:fill="auto"/>
            <w:noWrap/>
            <w:vAlign w:val="center"/>
            <w:hideMark/>
          </w:tcPr>
          <w:p w14:paraId="7D10B738"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w:t>
            </w:r>
          </w:p>
        </w:tc>
        <w:tc>
          <w:tcPr>
            <w:tcW w:w="830" w:type="dxa"/>
            <w:tcBorders>
              <w:top w:val="single" w:sz="4" w:space="0" w:color="auto"/>
              <w:left w:val="single" w:sz="4" w:space="0" w:color="auto"/>
              <w:bottom w:val="single" w:sz="4" w:space="0" w:color="auto"/>
              <w:right w:val="nil"/>
            </w:tcBorders>
            <w:shd w:val="clear" w:color="auto" w:fill="auto"/>
            <w:noWrap/>
            <w:vAlign w:val="center"/>
            <w:hideMark/>
          </w:tcPr>
          <w:p w14:paraId="0551E9BD"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n</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3280BE05"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w:t>
            </w:r>
          </w:p>
        </w:tc>
        <w:tc>
          <w:tcPr>
            <w:tcW w:w="830" w:type="dxa"/>
            <w:tcBorders>
              <w:top w:val="single" w:sz="4" w:space="0" w:color="auto"/>
              <w:left w:val="nil"/>
              <w:bottom w:val="single" w:sz="4" w:space="0" w:color="auto"/>
              <w:right w:val="nil"/>
            </w:tcBorders>
            <w:shd w:val="clear" w:color="auto" w:fill="auto"/>
            <w:noWrap/>
            <w:vAlign w:val="center"/>
            <w:hideMark/>
          </w:tcPr>
          <w:p w14:paraId="10068ECD"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n</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66A0FECD" w14:textId="77777777" w:rsidR="00A160E9" w:rsidRPr="008D14C1" w:rsidRDefault="00A160E9" w:rsidP="0056196E">
            <w:pPr>
              <w:spacing w:after="0" w:line="240" w:lineRule="auto"/>
              <w:jc w:val="right"/>
              <w:rPr>
                <w:rFonts w:ascii="Calibri" w:eastAsia="Times New Roman" w:hAnsi="Calibri" w:cs="Calibri"/>
                <w:color w:val="000000"/>
              </w:rPr>
            </w:pPr>
            <w:r w:rsidRPr="008D14C1">
              <w:rPr>
                <w:rFonts w:ascii="Calibri" w:eastAsia="Times New Roman" w:hAnsi="Calibri" w:cs="Calibri"/>
                <w:color w:val="000000"/>
              </w:rPr>
              <w:t>%</w:t>
            </w:r>
          </w:p>
        </w:tc>
        <w:tc>
          <w:tcPr>
            <w:tcW w:w="900" w:type="dxa"/>
            <w:tcBorders>
              <w:top w:val="single" w:sz="4" w:space="0" w:color="auto"/>
              <w:left w:val="nil"/>
              <w:bottom w:val="single" w:sz="4" w:space="0" w:color="auto"/>
            </w:tcBorders>
            <w:vAlign w:val="center"/>
          </w:tcPr>
          <w:p w14:paraId="4FA4CA19" w14:textId="29B97B95" w:rsidR="00A160E9" w:rsidRPr="008D14C1" w:rsidRDefault="00B80C84" w:rsidP="0056196E">
            <w:pPr>
              <w:spacing w:after="0" w:line="240" w:lineRule="auto"/>
              <w:jc w:val="right"/>
              <w:rPr>
                <w:rFonts w:ascii="Calibri" w:eastAsia="Times New Roman" w:hAnsi="Calibri" w:cs="Calibri"/>
                <w:color w:val="000000"/>
              </w:rPr>
            </w:pPr>
            <w:r>
              <w:rPr>
                <w:rFonts w:ascii="Calibri" w:eastAsia="Times New Roman" w:hAnsi="Calibri" w:cs="Calibri"/>
                <w:color w:val="000000"/>
              </w:rPr>
              <w:t>n</w:t>
            </w:r>
          </w:p>
        </w:tc>
        <w:tc>
          <w:tcPr>
            <w:tcW w:w="720" w:type="dxa"/>
            <w:tcBorders>
              <w:top w:val="single" w:sz="4" w:space="0" w:color="auto"/>
              <w:bottom w:val="single" w:sz="4" w:space="0" w:color="auto"/>
              <w:right w:val="single" w:sz="4" w:space="0" w:color="auto"/>
            </w:tcBorders>
            <w:vAlign w:val="center"/>
          </w:tcPr>
          <w:p w14:paraId="37E2A6C2" w14:textId="4BC6CF2E" w:rsidR="00A160E9" w:rsidRPr="008D14C1" w:rsidRDefault="00B80C84" w:rsidP="0056196E">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B80C84" w:rsidRPr="008D14C1" w14:paraId="00578917" w14:textId="1BDEFAD2" w:rsidTr="00C2011E">
        <w:trPr>
          <w:trHeight w:val="288"/>
        </w:trPr>
        <w:tc>
          <w:tcPr>
            <w:tcW w:w="9535" w:type="dxa"/>
            <w:gridSpan w:val="11"/>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4491956" w14:textId="303E851D" w:rsidR="00B80C84" w:rsidRDefault="00B80C84" w:rsidP="0056196E">
            <w:pPr>
              <w:spacing w:after="0" w:line="240" w:lineRule="auto"/>
              <w:rPr>
                <w:rFonts w:ascii="Calibri" w:eastAsia="Times New Roman" w:hAnsi="Calibri" w:cs="Calibri"/>
                <w:color w:val="000000"/>
              </w:rPr>
            </w:pPr>
            <w:r>
              <w:rPr>
                <w:rFonts w:ascii="Calibri" w:eastAsia="Times New Roman" w:hAnsi="Calibri" w:cs="Calibri"/>
                <w:color w:val="000000"/>
              </w:rPr>
              <w:t xml:space="preserve">By Length of </w:t>
            </w:r>
            <w:r w:rsidR="00D7475D">
              <w:rPr>
                <w:rFonts w:ascii="Calibri" w:eastAsia="Times New Roman" w:hAnsi="Calibri" w:cs="Calibri"/>
                <w:color w:val="000000"/>
              </w:rPr>
              <w:t>c</w:t>
            </w:r>
            <w:r>
              <w:rPr>
                <w:rFonts w:ascii="Calibri" w:eastAsia="Times New Roman" w:hAnsi="Calibri" w:cs="Calibri"/>
                <w:color w:val="000000"/>
              </w:rPr>
              <w:t>losures (per closure)</w:t>
            </w:r>
          </w:p>
        </w:tc>
      </w:tr>
      <w:tr w:rsidR="00B80C84" w:rsidRPr="008D14C1" w14:paraId="6DBAA392" w14:textId="181A9B0D" w:rsidTr="00C2011E">
        <w:trPr>
          <w:trHeight w:val="288"/>
        </w:trPr>
        <w:tc>
          <w:tcPr>
            <w:tcW w:w="993" w:type="dxa"/>
            <w:tcBorders>
              <w:top w:val="single" w:sz="4" w:space="0" w:color="auto"/>
              <w:left w:val="single" w:sz="4" w:space="0" w:color="auto"/>
              <w:right w:val="nil"/>
            </w:tcBorders>
            <w:shd w:val="clear" w:color="auto" w:fill="auto"/>
            <w:noWrap/>
            <w:vAlign w:val="center"/>
          </w:tcPr>
          <w:p w14:paraId="3932F625"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1-day</w:t>
            </w:r>
          </w:p>
        </w:tc>
        <w:tc>
          <w:tcPr>
            <w:tcW w:w="711" w:type="dxa"/>
            <w:tcBorders>
              <w:top w:val="single" w:sz="4" w:space="0" w:color="auto"/>
              <w:left w:val="single" w:sz="4" w:space="0" w:color="auto"/>
              <w:right w:val="nil"/>
            </w:tcBorders>
            <w:shd w:val="clear" w:color="auto" w:fill="auto"/>
            <w:noWrap/>
            <w:vAlign w:val="center"/>
          </w:tcPr>
          <w:p w14:paraId="7319CB8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422</w:t>
            </w:r>
          </w:p>
        </w:tc>
        <w:tc>
          <w:tcPr>
            <w:tcW w:w="1047" w:type="dxa"/>
            <w:tcBorders>
              <w:top w:val="single" w:sz="4" w:space="0" w:color="auto"/>
              <w:left w:val="nil"/>
              <w:right w:val="single" w:sz="4" w:space="0" w:color="auto"/>
            </w:tcBorders>
            <w:shd w:val="clear" w:color="auto" w:fill="auto"/>
            <w:noWrap/>
            <w:vAlign w:val="center"/>
          </w:tcPr>
          <w:p w14:paraId="3FA1B2FD"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55.1</w:t>
            </w:r>
          </w:p>
        </w:tc>
        <w:tc>
          <w:tcPr>
            <w:tcW w:w="711" w:type="dxa"/>
            <w:tcBorders>
              <w:top w:val="single" w:sz="4" w:space="0" w:color="auto"/>
              <w:left w:val="nil"/>
              <w:right w:val="nil"/>
            </w:tcBorders>
            <w:shd w:val="clear" w:color="auto" w:fill="auto"/>
            <w:noWrap/>
            <w:vAlign w:val="center"/>
          </w:tcPr>
          <w:p w14:paraId="395C6F8C"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225</w:t>
            </w:r>
          </w:p>
        </w:tc>
        <w:tc>
          <w:tcPr>
            <w:tcW w:w="1047" w:type="dxa"/>
            <w:tcBorders>
              <w:top w:val="single" w:sz="4" w:space="0" w:color="auto"/>
              <w:left w:val="nil"/>
              <w:right w:val="nil"/>
            </w:tcBorders>
            <w:shd w:val="clear" w:color="auto" w:fill="auto"/>
            <w:noWrap/>
            <w:vAlign w:val="center"/>
          </w:tcPr>
          <w:p w14:paraId="2A302D5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38.0</w:t>
            </w:r>
          </w:p>
        </w:tc>
        <w:tc>
          <w:tcPr>
            <w:tcW w:w="830" w:type="dxa"/>
            <w:tcBorders>
              <w:top w:val="single" w:sz="4" w:space="0" w:color="auto"/>
              <w:left w:val="single" w:sz="4" w:space="0" w:color="auto"/>
              <w:right w:val="nil"/>
            </w:tcBorders>
            <w:shd w:val="clear" w:color="auto" w:fill="auto"/>
            <w:noWrap/>
            <w:vAlign w:val="center"/>
          </w:tcPr>
          <w:p w14:paraId="15476601"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429</w:t>
            </w:r>
          </w:p>
        </w:tc>
        <w:tc>
          <w:tcPr>
            <w:tcW w:w="928" w:type="dxa"/>
            <w:tcBorders>
              <w:top w:val="single" w:sz="4" w:space="0" w:color="auto"/>
              <w:left w:val="nil"/>
              <w:right w:val="single" w:sz="4" w:space="0" w:color="auto"/>
            </w:tcBorders>
            <w:shd w:val="clear" w:color="auto" w:fill="auto"/>
            <w:noWrap/>
            <w:vAlign w:val="center"/>
          </w:tcPr>
          <w:p w14:paraId="6F20E537"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33.6</w:t>
            </w:r>
          </w:p>
        </w:tc>
        <w:tc>
          <w:tcPr>
            <w:tcW w:w="830" w:type="dxa"/>
            <w:tcBorders>
              <w:top w:val="single" w:sz="4" w:space="0" w:color="auto"/>
              <w:left w:val="nil"/>
              <w:right w:val="nil"/>
            </w:tcBorders>
            <w:shd w:val="clear" w:color="auto" w:fill="auto"/>
            <w:noWrap/>
            <w:vAlign w:val="center"/>
          </w:tcPr>
          <w:p w14:paraId="5C06594D"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1,214</w:t>
            </w:r>
          </w:p>
        </w:tc>
        <w:tc>
          <w:tcPr>
            <w:tcW w:w="818" w:type="dxa"/>
            <w:tcBorders>
              <w:top w:val="single" w:sz="4" w:space="0" w:color="auto"/>
              <w:left w:val="nil"/>
              <w:right w:val="single" w:sz="4" w:space="0" w:color="auto"/>
            </w:tcBorders>
            <w:shd w:val="clear" w:color="auto" w:fill="auto"/>
            <w:noWrap/>
            <w:vAlign w:val="center"/>
          </w:tcPr>
          <w:p w14:paraId="7A9CD59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39.3</w:t>
            </w:r>
          </w:p>
        </w:tc>
        <w:tc>
          <w:tcPr>
            <w:tcW w:w="900" w:type="dxa"/>
            <w:tcBorders>
              <w:top w:val="single" w:sz="4" w:space="0" w:color="auto"/>
              <w:left w:val="nil"/>
            </w:tcBorders>
            <w:vAlign w:val="center"/>
          </w:tcPr>
          <w:p w14:paraId="5B941910" w14:textId="3F84970F"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2,290</w:t>
            </w:r>
          </w:p>
        </w:tc>
        <w:tc>
          <w:tcPr>
            <w:tcW w:w="720" w:type="dxa"/>
            <w:tcBorders>
              <w:top w:val="single" w:sz="4" w:space="0" w:color="auto"/>
              <w:right w:val="single" w:sz="4" w:space="0" w:color="auto"/>
            </w:tcBorders>
            <w:vAlign w:val="center"/>
          </w:tcPr>
          <w:p w14:paraId="4FBAEF81" w14:textId="5CA3DE68"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40.0</w:t>
            </w:r>
          </w:p>
        </w:tc>
      </w:tr>
      <w:tr w:rsidR="00B80C84" w:rsidRPr="008D14C1" w14:paraId="1EA6CDA9" w14:textId="76C50E2F" w:rsidTr="00C2011E">
        <w:trPr>
          <w:trHeight w:val="288"/>
        </w:trPr>
        <w:tc>
          <w:tcPr>
            <w:tcW w:w="993" w:type="dxa"/>
            <w:tcBorders>
              <w:left w:val="single" w:sz="4" w:space="0" w:color="auto"/>
              <w:right w:val="nil"/>
            </w:tcBorders>
            <w:shd w:val="clear" w:color="auto" w:fill="auto"/>
            <w:noWrap/>
            <w:vAlign w:val="center"/>
          </w:tcPr>
          <w:p w14:paraId="2C220E5A"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2-day</w:t>
            </w:r>
          </w:p>
        </w:tc>
        <w:tc>
          <w:tcPr>
            <w:tcW w:w="711" w:type="dxa"/>
            <w:tcBorders>
              <w:left w:val="single" w:sz="4" w:space="0" w:color="auto"/>
              <w:right w:val="nil"/>
            </w:tcBorders>
            <w:shd w:val="clear" w:color="auto" w:fill="auto"/>
            <w:noWrap/>
            <w:vAlign w:val="center"/>
          </w:tcPr>
          <w:p w14:paraId="318D6558"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269</w:t>
            </w:r>
          </w:p>
        </w:tc>
        <w:tc>
          <w:tcPr>
            <w:tcW w:w="1047" w:type="dxa"/>
            <w:tcBorders>
              <w:left w:val="nil"/>
              <w:right w:val="single" w:sz="4" w:space="0" w:color="auto"/>
            </w:tcBorders>
            <w:shd w:val="clear" w:color="auto" w:fill="auto"/>
            <w:noWrap/>
            <w:vAlign w:val="center"/>
          </w:tcPr>
          <w:p w14:paraId="1875A1DC"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35.1</w:t>
            </w:r>
          </w:p>
        </w:tc>
        <w:tc>
          <w:tcPr>
            <w:tcW w:w="711" w:type="dxa"/>
            <w:tcBorders>
              <w:left w:val="nil"/>
              <w:right w:val="nil"/>
            </w:tcBorders>
            <w:shd w:val="clear" w:color="auto" w:fill="auto"/>
            <w:noWrap/>
            <w:vAlign w:val="center"/>
          </w:tcPr>
          <w:p w14:paraId="73CF33EF"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282</w:t>
            </w:r>
          </w:p>
        </w:tc>
        <w:tc>
          <w:tcPr>
            <w:tcW w:w="1047" w:type="dxa"/>
            <w:tcBorders>
              <w:left w:val="nil"/>
              <w:right w:val="nil"/>
            </w:tcBorders>
            <w:shd w:val="clear" w:color="auto" w:fill="auto"/>
            <w:noWrap/>
            <w:vAlign w:val="center"/>
          </w:tcPr>
          <w:p w14:paraId="6F084ECF"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47.6</w:t>
            </w:r>
          </w:p>
        </w:tc>
        <w:tc>
          <w:tcPr>
            <w:tcW w:w="830" w:type="dxa"/>
            <w:tcBorders>
              <w:left w:val="single" w:sz="4" w:space="0" w:color="auto"/>
              <w:right w:val="nil"/>
            </w:tcBorders>
            <w:shd w:val="clear" w:color="auto" w:fill="auto"/>
            <w:noWrap/>
            <w:vAlign w:val="center"/>
          </w:tcPr>
          <w:p w14:paraId="2CC44620"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572</w:t>
            </w:r>
          </w:p>
        </w:tc>
        <w:tc>
          <w:tcPr>
            <w:tcW w:w="928" w:type="dxa"/>
            <w:tcBorders>
              <w:left w:val="nil"/>
              <w:right w:val="single" w:sz="4" w:space="0" w:color="auto"/>
            </w:tcBorders>
            <w:shd w:val="clear" w:color="auto" w:fill="auto"/>
            <w:noWrap/>
            <w:vAlign w:val="center"/>
          </w:tcPr>
          <w:p w14:paraId="00C2F4E6"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44.8</w:t>
            </w:r>
          </w:p>
        </w:tc>
        <w:tc>
          <w:tcPr>
            <w:tcW w:w="830" w:type="dxa"/>
            <w:tcBorders>
              <w:left w:val="nil"/>
              <w:right w:val="nil"/>
            </w:tcBorders>
            <w:shd w:val="clear" w:color="auto" w:fill="auto"/>
            <w:noWrap/>
            <w:vAlign w:val="center"/>
          </w:tcPr>
          <w:p w14:paraId="5239C2AB"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1,234</w:t>
            </w:r>
          </w:p>
        </w:tc>
        <w:tc>
          <w:tcPr>
            <w:tcW w:w="818" w:type="dxa"/>
            <w:tcBorders>
              <w:left w:val="nil"/>
              <w:right w:val="single" w:sz="4" w:space="0" w:color="auto"/>
            </w:tcBorders>
            <w:shd w:val="clear" w:color="auto" w:fill="auto"/>
            <w:noWrap/>
            <w:vAlign w:val="center"/>
          </w:tcPr>
          <w:p w14:paraId="0CEDECEC"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40.0</w:t>
            </w:r>
          </w:p>
        </w:tc>
        <w:tc>
          <w:tcPr>
            <w:tcW w:w="900" w:type="dxa"/>
            <w:tcBorders>
              <w:left w:val="nil"/>
            </w:tcBorders>
            <w:vAlign w:val="center"/>
          </w:tcPr>
          <w:p w14:paraId="5EE467D6" w14:textId="15983252"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2,357</w:t>
            </w:r>
          </w:p>
        </w:tc>
        <w:tc>
          <w:tcPr>
            <w:tcW w:w="720" w:type="dxa"/>
            <w:tcBorders>
              <w:right w:val="single" w:sz="4" w:space="0" w:color="auto"/>
            </w:tcBorders>
            <w:vAlign w:val="center"/>
          </w:tcPr>
          <w:p w14:paraId="00BE124C" w14:textId="0ACF34E8"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41.2</w:t>
            </w:r>
          </w:p>
        </w:tc>
      </w:tr>
      <w:tr w:rsidR="00B80C84" w:rsidRPr="008D14C1" w14:paraId="2758987A" w14:textId="001026D4" w:rsidTr="00C2011E">
        <w:trPr>
          <w:trHeight w:val="288"/>
        </w:trPr>
        <w:tc>
          <w:tcPr>
            <w:tcW w:w="993" w:type="dxa"/>
            <w:tcBorders>
              <w:left w:val="single" w:sz="4" w:space="0" w:color="auto"/>
              <w:right w:val="nil"/>
            </w:tcBorders>
            <w:shd w:val="clear" w:color="auto" w:fill="auto"/>
            <w:noWrap/>
            <w:vAlign w:val="center"/>
          </w:tcPr>
          <w:p w14:paraId="002CA184"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3-day</w:t>
            </w:r>
          </w:p>
        </w:tc>
        <w:tc>
          <w:tcPr>
            <w:tcW w:w="711" w:type="dxa"/>
            <w:tcBorders>
              <w:left w:val="single" w:sz="4" w:space="0" w:color="auto"/>
              <w:right w:val="nil"/>
            </w:tcBorders>
            <w:shd w:val="clear" w:color="auto" w:fill="auto"/>
            <w:noWrap/>
            <w:vAlign w:val="center"/>
          </w:tcPr>
          <w:p w14:paraId="4B3D059E"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15</w:t>
            </w:r>
          </w:p>
        </w:tc>
        <w:tc>
          <w:tcPr>
            <w:tcW w:w="1047" w:type="dxa"/>
            <w:tcBorders>
              <w:left w:val="nil"/>
              <w:right w:val="single" w:sz="4" w:space="0" w:color="auto"/>
            </w:tcBorders>
            <w:shd w:val="clear" w:color="auto" w:fill="auto"/>
            <w:noWrap/>
            <w:vAlign w:val="center"/>
          </w:tcPr>
          <w:p w14:paraId="7F0D4EDF"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2.0</w:t>
            </w:r>
          </w:p>
        </w:tc>
        <w:tc>
          <w:tcPr>
            <w:tcW w:w="711" w:type="dxa"/>
            <w:tcBorders>
              <w:left w:val="nil"/>
              <w:right w:val="nil"/>
            </w:tcBorders>
            <w:shd w:val="clear" w:color="auto" w:fill="auto"/>
            <w:noWrap/>
            <w:vAlign w:val="center"/>
          </w:tcPr>
          <w:p w14:paraId="3C97AC6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37</w:t>
            </w:r>
          </w:p>
        </w:tc>
        <w:tc>
          <w:tcPr>
            <w:tcW w:w="1047" w:type="dxa"/>
            <w:tcBorders>
              <w:left w:val="nil"/>
              <w:right w:val="nil"/>
            </w:tcBorders>
            <w:shd w:val="clear" w:color="auto" w:fill="auto"/>
            <w:noWrap/>
            <w:vAlign w:val="center"/>
          </w:tcPr>
          <w:p w14:paraId="21BD10AF"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6.3</w:t>
            </w:r>
          </w:p>
        </w:tc>
        <w:tc>
          <w:tcPr>
            <w:tcW w:w="830" w:type="dxa"/>
            <w:tcBorders>
              <w:left w:val="single" w:sz="4" w:space="0" w:color="auto"/>
              <w:right w:val="nil"/>
            </w:tcBorders>
            <w:shd w:val="clear" w:color="auto" w:fill="auto"/>
            <w:noWrap/>
            <w:vAlign w:val="center"/>
          </w:tcPr>
          <w:p w14:paraId="6D35BE5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212</w:t>
            </w:r>
          </w:p>
        </w:tc>
        <w:tc>
          <w:tcPr>
            <w:tcW w:w="928" w:type="dxa"/>
            <w:tcBorders>
              <w:left w:val="nil"/>
              <w:right w:val="single" w:sz="4" w:space="0" w:color="auto"/>
            </w:tcBorders>
            <w:shd w:val="clear" w:color="auto" w:fill="auto"/>
            <w:noWrap/>
            <w:vAlign w:val="center"/>
          </w:tcPr>
          <w:p w14:paraId="41D34B3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16.6</w:t>
            </w:r>
          </w:p>
        </w:tc>
        <w:tc>
          <w:tcPr>
            <w:tcW w:w="830" w:type="dxa"/>
            <w:tcBorders>
              <w:left w:val="nil"/>
              <w:right w:val="nil"/>
            </w:tcBorders>
            <w:shd w:val="clear" w:color="auto" w:fill="auto"/>
            <w:noWrap/>
            <w:vAlign w:val="center"/>
          </w:tcPr>
          <w:p w14:paraId="61F89D4C"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401</w:t>
            </w:r>
          </w:p>
        </w:tc>
        <w:tc>
          <w:tcPr>
            <w:tcW w:w="818" w:type="dxa"/>
            <w:tcBorders>
              <w:left w:val="nil"/>
              <w:right w:val="single" w:sz="4" w:space="0" w:color="auto"/>
            </w:tcBorders>
            <w:shd w:val="clear" w:color="auto" w:fill="auto"/>
            <w:noWrap/>
            <w:vAlign w:val="center"/>
          </w:tcPr>
          <w:p w14:paraId="19B7482D"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13.0</w:t>
            </w:r>
          </w:p>
        </w:tc>
        <w:tc>
          <w:tcPr>
            <w:tcW w:w="900" w:type="dxa"/>
            <w:tcBorders>
              <w:left w:val="nil"/>
            </w:tcBorders>
            <w:vAlign w:val="center"/>
          </w:tcPr>
          <w:p w14:paraId="5B81A2EC" w14:textId="4A2D55D6"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665</w:t>
            </w:r>
          </w:p>
        </w:tc>
        <w:tc>
          <w:tcPr>
            <w:tcW w:w="720" w:type="dxa"/>
            <w:tcBorders>
              <w:right w:val="single" w:sz="4" w:space="0" w:color="auto"/>
            </w:tcBorders>
            <w:vAlign w:val="center"/>
          </w:tcPr>
          <w:p w14:paraId="06AE5542" w14:textId="4842DD5D"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11.6</w:t>
            </w:r>
          </w:p>
        </w:tc>
      </w:tr>
      <w:tr w:rsidR="00B80C84" w:rsidRPr="008D14C1" w14:paraId="02A96946" w14:textId="2C46A46B" w:rsidTr="00C2011E">
        <w:trPr>
          <w:trHeight w:val="288"/>
        </w:trPr>
        <w:tc>
          <w:tcPr>
            <w:tcW w:w="993" w:type="dxa"/>
            <w:tcBorders>
              <w:left w:val="single" w:sz="4" w:space="0" w:color="auto"/>
              <w:right w:val="nil"/>
            </w:tcBorders>
            <w:shd w:val="clear" w:color="auto" w:fill="auto"/>
            <w:noWrap/>
            <w:vAlign w:val="center"/>
          </w:tcPr>
          <w:p w14:paraId="0CDE47A8"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4-day</w:t>
            </w:r>
          </w:p>
        </w:tc>
        <w:tc>
          <w:tcPr>
            <w:tcW w:w="711" w:type="dxa"/>
            <w:tcBorders>
              <w:left w:val="single" w:sz="4" w:space="0" w:color="auto"/>
              <w:right w:val="nil"/>
            </w:tcBorders>
            <w:shd w:val="clear" w:color="auto" w:fill="auto"/>
            <w:noWrap/>
            <w:vAlign w:val="center"/>
          </w:tcPr>
          <w:p w14:paraId="466FA883"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51</w:t>
            </w:r>
          </w:p>
        </w:tc>
        <w:tc>
          <w:tcPr>
            <w:tcW w:w="1047" w:type="dxa"/>
            <w:tcBorders>
              <w:left w:val="nil"/>
              <w:right w:val="single" w:sz="4" w:space="0" w:color="auto"/>
            </w:tcBorders>
            <w:shd w:val="clear" w:color="auto" w:fill="auto"/>
            <w:noWrap/>
            <w:vAlign w:val="center"/>
          </w:tcPr>
          <w:p w14:paraId="44A0711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6.7</w:t>
            </w:r>
          </w:p>
        </w:tc>
        <w:tc>
          <w:tcPr>
            <w:tcW w:w="711" w:type="dxa"/>
            <w:tcBorders>
              <w:left w:val="nil"/>
              <w:right w:val="nil"/>
            </w:tcBorders>
            <w:shd w:val="clear" w:color="auto" w:fill="auto"/>
            <w:noWrap/>
            <w:vAlign w:val="center"/>
          </w:tcPr>
          <w:p w14:paraId="5A1EA451"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48</w:t>
            </w:r>
          </w:p>
        </w:tc>
        <w:tc>
          <w:tcPr>
            <w:tcW w:w="1047" w:type="dxa"/>
            <w:tcBorders>
              <w:left w:val="nil"/>
              <w:right w:val="nil"/>
            </w:tcBorders>
            <w:shd w:val="clear" w:color="auto" w:fill="auto"/>
            <w:noWrap/>
            <w:vAlign w:val="center"/>
          </w:tcPr>
          <w:p w14:paraId="64929D07"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8.1</w:t>
            </w:r>
          </w:p>
        </w:tc>
        <w:tc>
          <w:tcPr>
            <w:tcW w:w="830" w:type="dxa"/>
            <w:tcBorders>
              <w:left w:val="single" w:sz="4" w:space="0" w:color="auto"/>
              <w:right w:val="nil"/>
            </w:tcBorders>
            <w:shd w:val="clear" w:color="auto" w:fill="auto"/>
            <w:noWrap/>
            <w:vAlign w:val="center"/>
          </w:tcPr>
          <w:p w14:paraId="679EFB1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28</w:t>
            </w:r>
          </w:p>
        </w:tc>
        <w:tc>
          <w:tcPr>
            <w:tcW w:w="928" w:type="dxa"/>
            <w:tcBorders>
              <w:left w:val="nil"/>
              <w:right w:val="single" w:sz="4" w:space="0" w:color="auto"/>
            </w:tcBorders>
            <w:shd w:val="clear" w:color="auto" w:fill="auto"/>
            <w:noWrap/>
            <w:vAlign w:val="center"/>
          </w:tcPr>
          <w:p w14:paraId="5912C019"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2.2</w:t>
            </w:r>
          </w:p>
        </w:tc>
        <w:tc>
          <w:tcPr>
            <w:tcW w:w="830" w:type="dxa"/>
            <w:tcBorders>
              <w:left w:val="nil"/>
              <w:right w:val="nil"/>
            </w:tcBorders>
            <w:shd w:val="clear" w:color="auto" w:fill="auto"/>
            <w:noWrap/>
            <w:vAlign w:val="center"/>
          </w:tcPr>
          <w:p w14:paraId="3F6061C3"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147</w:t>
            </w:r>
          </w:p>
        </w:tc>
        <w:tc>
          <w:tcPr>
            <w:tcW w:w="818" w:type="dxa"/>
            <w:tcBorders>
              <w:left w:val="nil"/>
              <w:right w:val="single" w:sz="4" w:space="0" w:color="auto"/>
            </w:tcBorders>
            <w:shd w:val="clear" w:color="auto" w:fill="auto"/>
            <w:noWrap/>
            <w:vAlign w:val="center"/>
          </w:tcPr>
          <w:p w14:paraId="6F93582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4.8</w:t>
            </w:r>
          </w:p>
        </w:tc>
        <w:tc>
          <w:tcPr>
            <w:tcW w:w="900" w:type="dxa"/>
            <w:tcBorders>
              <w:left w:val="nil"/>
            </w:tcBorders>
            <w:vAlign w:val="center"/>
          </w:tcPr>
          <w:p w14:paraId="20EDDE9C" w14:textId="483324D5"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274</w:t>
            </w:r>
          </w:p>
        </w:tc>
        <w:tc>
          <w:tcPr>
            <w:tcW w:w="720" w:type="dxa"/>
            <w:tcBorders>
              <w:right w:val="single" w:sz="4" w:space="0" w:color="auto"/>
            </w:tcBorders>
            <w:vAlign w:val="center"/>
          </w:tcPr>
          <w:p w14:paraId="2D1E73DD" w14:textId="6D18D65E"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4.8</w:t>
            </w:r>
          </w:p>
        </w:tc>
      </w:tr>
      <w:tr w:rsidR="00B80C84" w:rsidRPr="008D14C1" w14:paraId="028BF522" w14:textId="6731D573" w:rsidTr="00C2011E">
        <w:trPr>
          <w:trHeight w:val="288"/>
        </w:trPr>
        <w:tc>
          <w:tcPr>
            <w:tcW w:w="993" w:type="dxa"/>
            <w:tcBorders>
              <w:left w:val="single" w:sz="4" w:space="0" w:color="auto"/>
              <w:right w:val="nil"/>
            </w:tcBorders>
            <w:shd w:val="clear" w:color="auto" w:fill="auto"/>
            <w:noWrap/>
            <w:vAlign w:val="center"/>
          </w:tcPr>
          <w:p w14:paraId="38385036"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5-day</w:t>
            </w:r>
          </w:p>
        </w:tc>
        <w:tc>
          <w:tcPr>
            <w:tcW w:w="711" w:type="dxa"/>
            <w:tcBorders>
              <w:left w:val="single" w:sz="4" w:space="0" w:color="auto"/>
              <w:right w:val="nil"/>
            </w:tcBorders>
            <w:shd w:val="clear" w:color="auto" w:fill="auto"/>
            <w:noWrap/>
            <w:vAlign w:val="center"/>
          </w:tcPr>
          <w:p w14:paraId="636A00C8"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9</w:t>
            </w:r>
          </w:p>
        </w:tc>
        <w:tc>
          <w:tcPr>
            <w:tcW w:w="1047" w:type="dxa"/>
            <w:tcBorders>
              <w:left w:val="nil"/>
              <w:right w:val="single" w:sz="4" w:space="0" w:color="auto"/>
            </w:tcBorders>
            <w:shd w:val="clear" w:color="auto" w:fill="auto"/>
            <w:noWrap/>
            <w:vAlign w:val="center"/>
          </w:tcPr>
          <w:p w14:paraId="74ACEF57"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1.2</w:t>
            </w:r>
          </w:p>
        </w:tc>
        <w:tc>
          <w:tcPr>
            <w:tcW w:w="711" w:type="dxa"/>
            <w:tcBorders>
              <w:left w:val="nil"/>
              <w:right w:val="nil"/>
            </w:tcBorders>
            <w:shd w:val="clear" w:color="auto" w:fill="auto"/>
            <w:noWrap/>
            <w:vAlign w:val="center"/>
          </w:tcPr>
          <w:p w14:paraId="2966D20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1047" w:type="dxa"/>
            <w:tcBorders>
              <w:left w:val="nil"/>
              <w:right w:val="nil"/>
            </w:tcBorders>
            <w:shd w:val="clear" w:color="auto" w:fill="auto"/>
            <w:noWrap/>
            <w:vAlign w:val="center"/>
          </w:tcPr>
          <w:p w14:paraId="6893D591"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830" w:type="dxa"/>
            <w:tcBorders>
              <w:left w:val="single" w:sz="4" w:space="0" w:color="auto"/>
              <w:right w:val="nil"/>
            </w:tcBorders>
            <w:shd w:val="clear" w:color="auto" w:fill="auto"/>
            <w:noWrap/>
            <w:vAlign w:val="center"/>
          </w:tcPr>
          <w:p w14:paraId="0A750E0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17</w:t>
            </w:r>
          </w:p>
        </w:tc>
        <w:tc>
          <w:tcPr>
            <w:tcW w:w="928" w:type="dxa"/>
            <w:tcBorders>
              <w:left w:val="nil"/>
              <w:right w:val="single" w:sz="4" w:space="0" w:color="auto"/>
            </w:tcBorders>
            <w:shd w:val="clear" w:color="auto" w:fill="auto"/>
            <w:noWrap/>
            <w:vAlign w:val="center"/>
          </w:tcPr>
          <w:p w14:paraId="47A79056"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1.3</w:t>
            </w:r>
          </w:p>
        </w:tc>
        <w:tc>
          <w:tcPr>
            <w:tcW w:w="830" w:type="dxa"/>
            <w:tcBorders>
              <w:left w:val="nil"/>
              <w:right w:val="nil"/>
            </w:tcBorders>
            <w:shd w:val="clear" w:color="auto" w:fill="auto"/>
            <w:noWrap/>
            <w:vAlign w:val="center"/>
          </w:tcPr>
          <w:p w14:paraId="025907C4"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53</w:t>
            </w:r>
          </w:p>
        </w:tc>
        <w:tc>
          <w:tcPr>
            <w:tcW w:w="818" w:type="dxa"/>
            <w:tcBorders>
              <w:left w:val="nil"/>
              <w:right w:val="single" w:sz="4" w:space="0" w:color="auto"/>
            </w:tcBorders>
            <w:shd w:val="clear" w:color="auto" w:fill="auto"/>
            <w:noWrap/>
            <w:vAlign w:val="center"/>
          </w:tcPr>
          <w:p w14:paraId="2C8B997C"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1.7</w:t>
            </w:r>
          </w:p>
        </w:tc>
        <w:tc>
          <w:tcPr>
            <w:tcW w:w="900" w:type="dxa"/>
            <w:tcBorders>
              <w:left w:val="nil"/>
            </w:tcBorders>
            <w:vAlign w:val="center"/>
          </w:tcPr>
          <w:p w14:paraId="40DCEE03" w14:textId="6CE4CFED"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79</w:t>
            </w:r>
          </w:p>
        </w:tc>
        <w:tc>
          <w:tcPr>
            <w:tcW w:w="720" w:type="dxa"/>
            <w:tcBorders>
              <w:right w:val="single" w:sz="4" w:space="0" w:color="auto"/>
            </w:tcBorders>
            <w:vAlign w:val="center"/>
          </w:tcPr>
          <w:p w14:paraId="7DD67B43" w14:textId="2109BA00"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1.4</w:t>
            </w:r>
          </w:p>
        </w:tc>
      </w:tr>
      <w:tr w:rsidR="00B80C84" w:rsidRPr="008D14C1" w14:paraId="3D687314" w14:textId="0F324591" w:rsidTr="00C2011E">
        <w:trPr>
          <w:trHeight w:val="288"/>
        </w:trPr>
        <w:tc>
          <w:tcPr>
            <w:tcW w:w="993" w:type="dxa"/>
            <w:tcBorders>
              <w:left w:val="single" w:sz="4" w:space="0" w:color="auto"/>
              <w:right w:val="nil"/>
            </w:tcBorders>
            <w:shd w:val="clear" w:color="auto" w:fill="auto"/>
            <w:noWrap/>
            <w:vAlign w:val="center"/>
          </w:tcPr>
          <w:p w14:paraId="4E47BD9E" w14:textId="77777777" w:rsidR="00B80C84" w:rsidRPr="008D14C1"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6-day</w:t>
            </w:r>
          </w:p>
        </w:tc>
        <w:tc>
          <w:tcPr>
            <w:tcW w:w="711" w:type="dxa"/>
            <w:tcBorders>
              <w:left w:val="single" w:sz="4" w:space="0" w:color="auto"/>
              <w:right w:val="nil"/>
            </w:tcBorders>
            <w:shd w:val="clear" w:color="auto" w:fill="auto"/>
            <w:noWrap/>
            <w:vAlign w:val="center"/>
          </w:tcPr>
          <w:p w14:paraId="31422CF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1047" w:type="dxa"/>
            <w:tcBorders>
              <w:left w:val="nil"/>
              <w:right w:val="single" w:sz="4" w:space="0" w:color="auto"/>
            </w:tcBorders>
            <w:shd w:val="clear" w:color="auto" w:fill="auto"/>
            <w:noWrap/>
            <w:vAlign w:val="center"/>
          </w:tcPr>
          <w:p w14:paraId="52C30286"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711" w:type="dxa"/>
            <w:tcBorders>
              <w:left w:val="nil"/>
              <w:right w:val="nil"/>
            </w:tcBorders>
            <w:shd w:val="clear" w:color="auto" w:fill="auto"/>
            <w:noWrap/>
            <w:vAlign w:val="center"/>
          </w:tcPr>
          <w:p w14:paraId="1E44BAE1"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1047" w:type="dxa"/>
            <w:tcBorders>
              <w:left w:val="nil"/>
              <w:right w:val="nil"/>
            </w:tcBorders>
            <w:shd w:val="clear" w:color="auto" w:fill="auto"/>
            <w:noWrap/>
            <w:vAlign w:val="center"/>
          </w:tcPr>
          <w:p w14:paraId="4DC2084E"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830" w:type="dxa"/>
            <w:tcBorders>
              <w:left w:val="single" w:sz="4" w:space="0" w:color="auto"/>
              <w:right w:val="nil"/>
            </w:tcBorders>
            <w:shd w:val="clear" w:color="auto" w:fill="auto"/>
            <w:noWrap/>
            <w:vAlign w:val="center"/>
          </w:tcPr>
          <w:p w14:paraId="27C56584"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20</w:t>
            </w:r>
          </w:p>
        </w:tc>
        <w:tc>
          <w:tcPr>
            <w:tcW w:w="928" w:type="dxa"/>
            <w:tcBorders>
              <w:left w:val="nil"/>
              <w:right w:val="single" w:sz="4" w:space="0" w:color="auto"/>
            </w:tcBorders>
            <w:shd w:val="clear" w:color="auto" w:fill="auto"/>
            <w:noWrap/>
            <w:vAlign w:val="center"/>
          </w:tcPr>
          <w:p w14:paraId="5AD42FE0"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1.6</w:t>
            </w:r>
          </w:p>
        </w:tc>
        <w:tc>
          <w:tcPr>
            <w:tcW w:w="830" w:type="dxa"/>
            <w:tcBorders>
              <w:left w:val="nil"/>
              <w:right w:val="nil"/>
            </w:tcBorders>
            <w:shd w:val="clear" w:color="auto" w:fill="auto"/>
            <w:noWrap/>
            <w:vAlign w:val="center"/>
          </w:tcPr>
          <w:p w14:paraId="193D83B0"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37</w:t>
            </w:r>
          </w:p>
        </w:tc>
        <w:tc>
          <w:tcPr>
            <w:tcW w:w="818" w:type="dxa"/>
            <w:tcBorders>
              <w:left w:val="nil"/>
              <w:right w:val="single" w:sz="4" w:space="0" w:color="auto"/>
            </w:tcBorders>
            <w:shd w:val="clear" w:color="auto" w:fill="auto"/>
            <w:noWrap/>
            <w:vAlign w:val="center"/>
          </w:tcPr>
          <w:p w14:paraId="67F1AC36"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1.2</w:t>
            </w:r>
          </w:p>
        </w:tc>
        <w:tc>
          <w:tcPr>
            <w:tcW w:w="900" w:type="dxa"/>
            <w:tcBorders>
              <w:left w:val="nil"/>
            </w:tcBorders>
            <w:vAlign w:val="center"/>
          </w:tcPr>
          <w:p w14:paraId="668A89EA" w14:textId="0D315211"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57</w:t>
            </w:r>
          </w:p>
        </w:tc>
        <w:tc>
          <w:tcPr>
            <w:tcW w:w="720" w:type="dxa"/>
            <w:tcBorders>
              <w:right w:val="single" w:sz="4" w:space="0" w:color="auto"/>
            </w:tcBorders>
            <w:vAlign w:val="center"/>
          </w:tcPr>
          <w:p w14:paraId="16A378B6" w14:textId="38261544"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1.0</w:t>
            </w:r>
          </w:p>
        </w:tc>
      </w:tr>
      <w:tr w:rsidR="00B80C84" w:rsidRPr="008D14C1" w14:paraId="48E15249" w14:textId="08373DED" w:rsidTr="00C2011E">
        <w:trPr>
          <w:trHeight w:val="288"/>
        </w:trPr>
        <w:tc>
          <w:tcPr>
            <w:tcW w:w="993" w:type="dxa"/>
            <w:tcBorders>
              <w:left w:val="single" w:sz="4" w:space="0" w:color="auto"/>
              <w:bottom w:val="single" w:sz="4" w:space="0" w:color="auto"/>
              <w:right w:val="nil"/>
            </w:tcBorders>
            <w:shd w:val="clear" w:color="auto" w:fill="auto"/>
            <w:noWrap/>
            <w:vAlign w:val="center"/>
          </w:tcPr>
          <w:p w14:paraId="6B138979" w14:textId="77777777" w:rsidR="00B80C84" w:rsidRDefault="00B80C84" w:rsidP="00B80C84">
            <w:pPr>
              <w:spacing w:after="0" w:line="240" w:lineRule="auto"/>
              <w:ind w:firstLine="49"/>
              <w:rPr>
                <w:rFonts w:ascii="Calibri" w:eastAsia="Times New Roman" w:hAnsi="Calibri" w:cs="Calibri"/>
                <w:color w:val="000000"/>
              </w:rPr>
            </w:pPr>
            <w:r>
              <w:rPr>
                <w:rFonts w:ascii="Calibri" w:eastAsia="Times New Roman" w:hAnsi="Calibri" w:cs="Calibri"/>
                <w:color w:val="000000"/>
              </w:rPr>
              <w:t>7-day</w:t>
            </w:r>
          </w:p>
        </w:tc>
        <w:tc>
          <w:tcPr>
            <w:tcW w:w="711" w:type="dxa"/>
            <w:tcBorders>
              <w:left w:val="single" w:sz="4" w:space="0" w:color="auto"/>
              <w:bottom w:val="single" w:sz="4" w:space="0" w:color="auto"/>
              <w:right w:val="nil"/>
            </w:tcBorders>
            <w:shd w:val="clear" w:color="auto" w:fill="auto"/>
            <w:noWrap/>
            <w:vAlign w:val="center"/>
          </w:tcPr>
          <w:p w14:paraId="678DE489"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1047" w:type="dxa"/>
            <w:tcBorders>
              <w:left w:val="nil"/>
              <w:bottom w:val="single" w:sz="4" w:space="0" w:color="auto"/>
              <w:right w:val="single" w:sz="4" w:space="0" w:color="auto"/>
            </w:tcBorders>
            <w:shd w:val="clear" w:color="auto" w:fill="auto"/>
            <w:noWrap/>
            <w:vAlign w:val="center"/>
          </w:tcPr>
          <w:p w14:paraId="49854618"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711" w:type="dxa"/>
            <w:tcBorders>
              <w:left w:val="nil"/>
              <w:bottom w:val="single" w:sz="4" w:space="0" w:color="auto"/>
              <w:right w:val="nil"/>
            </w:tcBorders>
            <w:shd w:val="clear" w:color="auto" w:fill="auto"/>
            <w:noWrap/>
            <w:vAlign w:val="center"/>
          </w:tcPr>
          <w:p w14:paraId="18DED6E5"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1047" w:type="dxa"/>
            <w:tcBorders>
              <w:left w:val="nil"/>
              <w:bottom w:val="single" w:sz="4" w:space="0" w:color="auto"/>
              <w:right w:val="nil"/>
            </w:tcBorders>
            <w:shd w:val="clear" w:color="auto" w:fill="auto"/>
            <w:noWrap/>
            <w:vAlign w:val="center"/>
          </w:tcPr>
          <w:p w14:paraId="37E6D04E"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830" w:type="dxa"/>
            <w:tcBorders>
              <w:left w:val="single" w:sz="4" w:space="0" w:color="auto"/>
              <w:bottom w:val="single" w:sz="4" w:space="0" w:color="auto"/>
              <w:right w:val="nil"/>
            </w:tcBorders>
            <w:shd w:val="clear" w:color="auto" w:fill="auto"/>
            <w:noWrap/>
            <w:vAlign w:val="center"/>
          </w:tcPr>
          <w:p w14:paraId="2CD2144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w:t>
            </w:r>
          </w:p>
        </w:tc>
        <w:tc>
          <w:tcPr>
            <w:tcW w:w="928" w:type="dxa"/>
            <w:tcBorders>
              <w:left w:val="nil"/>
              <w:bottom w:val="single" w:sz="4" w:space="0" w:color="auto"/>
              <w:right w:val="single" w:sz="4" w:space="0" w:color="auto"/>
            </w:tcBorders>
            <w:shd w:val="clear" w:color="auto" w:fill="auto"/>
            <w:noWrap/>
            <w:vAlign w:val="center"/>
          </w:tcPr>
          <w:p w14:paraId="125FEC3D"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0.0</w:t>
            </w:r>
          </w:p>
        </w:tc>
        <w:tc>
          <w:tcPr>
            <w:tcW w:w="830" w:type="dxa"/>
            <w:tcBorders>
              <w:left w:val="nil"/>
              <w:bottom w:val="single" w:sz="4" w:space="0" w:color="auto"/>
              <w:right w:val="nil"/>
            </w:tcBorders>
            <w:shd w:val="clear" w:color="auto" w:fill="auto"/>
            <w:noWrap/>
            <w:vAlign w:val="center"/>
          </w:tcPr>
          <w:p w14:paraId="04F6A5D9"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2</w:t>
            </w:r>
          </w:p>
        </w:tc>
        <w:tc>
          <w:tcPr>
            <w:tcW w:w="818" w:type="dxa"/>
            <w:tcBorders>
              <w:left w:val="nil"/>
              <w:bottom w:val="single" w:sz="4" w:space="0" w:color="auto"/>
              <w:right w:val="single" w:sz="4" w:space="0" w:color="auto"/>
            </w:tcBorders>
            <w:shd w:val="clear" w:color="auto" w:fill="auto"/>
            <w:noWrap/>
            <w:vAlign w:val="center"/>
          </w:tcPr>
          <w:p w14:paraId="05452677"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0.1</w:t>
            </w:r>
          </w:p>
        </w:tc>
        <w:tc>
          <w:tcPr>
            <w:tcW w:w="900" w:type="dxa"/>
            <w:tcBorders>
              <w:left w:val="nil"/>
              <w:bottom w:val="single" w:sz="4" w:space="0" w:color="auto"/>
            </w:tcBorders>
            <w:vAlign w:val="center"/>
          </w:tcPr>
          <w:p w14:paraId="30E2F2A8" w14:textId="280AA94C"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2</w:t>
            </w:r>
          </w:p>
        </w:tc>
        <w:tc>
          <w:tcPr>
            <w:tcW w:w="720" w:type="dxa"/>
            <w:tcBorders>
              <w:bottom w:val="single" w:sz="4" w:space="0" w:color="auto"/>
              <w:right w:val="single" w:sz="4" w:space="0" w:color="auto"/>
            </w:tcBorders>
            <w:vAlign w:val="center"/>
          </w:tcPr>
          <w:p w14:paraId="4A4F74CE" w14:textId="3C0D890C" w:rsidR="00B80C84" w:rsidRPr="00256EA5"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0.0</w:t>
            </w:r>
          </w:p>
        </w:tc>
      </w:tr>
      <w:tr w:rsidR="00B80C84" w:rsidRPr="008D14C1" w14:paraId="02A0FE16" w14:textId="44D28D38" w:rsidTr="00C2011E">
        <w:trPr>
          <w:trHeight w:val="288"/>
        </w:trPr>
        <w:tc>
          <w:tcPr>
            <w:tcW w:w="993" w:type="dxa"/>
            <w:tcBorders>
              <w:top w:val="single" w:sz="4" w:space="0" w:color="auto"/>
              <w:left w:val="single" w:sz="4" w:space="0" w:color="auto"/>
              <w:bottom w:val="single" w:sz="4" w:space="0" w:color="auto"/>
              <w:right w:val="nil"/>
            </w:tcBorders>
            <w:shd w:val="clear" w:color="auto" w:fill="auto"/>
            <w:noWrap/>
            <w:vAlign w:val="center"/>
          </w:tcPr>
          <w:p w14:paraId="071E970F" w14:textId="77777777" w:rsidR="00B80C84" w:rsidRDefault="00B80C84" w:rsidP="00B80C84">
            <w:pPr>
              <w:spacing w:after="0" w:line="240" w:lineRule="auto"/>
              <w:rPr>
                <w:rFonts w:ascii="Calibri" w:eastAsia="Times New Roman" w:hAnsi="Calibri" w:cs="Calibri"/>
                <w:color w:val="000000"/>
              </w:rPr>
            </w:pPr>
            <w:r>
              <w:rPr>
                <w:rFonts w:ascii="Calibri" w:eastAsia="Times New Roman" w:hAnsi="Calibri" w:cs="Calibri"/>
                <w:color w:val="000000"/>
              </w:rPr>
              <w:t>Total</w:t>
            </w:r>
          </w:p>
        </w:tc>
        <w:tc>
          <w:tcPr>
            <w:tcW w:w="711" w:type="dxa"/>
            <w:tcBorders>
              <w:top w:val="single" w:sz="4" w:space="0" w:color="auto"/>
              <w:left w:val="single" w:sz="4" w:space="0" w:color="auto"/>
              <w:bottom w:val="single" w:sz="4" w:space="0" w:color="auto"/>
              <w:right w:val="nil"/>
            </w:tcBorders>
            <w:shd w:val="clear" w:color="auto" w:fill="auto"/>
            <w:noWrap/>
            <w:vAlign w:val="center"/>
          </w:tcPr>
          <w:p w14:paraId="3B95DA70"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766</w:t>
            </w:r>
          </w:p>
        </w:tc>
        <w:tc>
          <w:tcPr>
            <w:tcW w:w="1047" w:type="dxa"/>
            <w:tcBorders>
              <w:top w:val="single" w:sz="4" w:space="0" w:color="auto"/>
              <w:left w:val="nil"/>
              <w:bottom w:val="single" w:sz="4" w:space="0" w:color="auto"/>
              <w:right w:val="single" w:sz="4" w:space="0" w:color="auto"/>
            </w:tcBorders>
            <w:shd w:val="clear" w:color="auto" w:fill="auto"/>
            <w:noWrap/>
            <w:vAlign w:val="center"/>
          </w:tcPr>
          <w:p w14:paraId="7EE9D92B"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100.0</w:t>
            </w:r>
          </w:p>
        </w:tc>
        <w:tc>
          <w:tcPr>
            <w:tcW w:w="711" w:type="dxa"/>
            <w:tcBorders>
              <w:top w:val="single" w:sz="4" w:space="0" w:color="auto"/>
              <w:left w:val="nil"/>
              <w:bottom w:val="single" w:sz="4" w:space="0" w:color="auto"/>
              <w:right w:val="nil"/>
            </w:tcBorders>
            <w:shd w:val="clear" w:color="auto" w:fill="auto"/>
            <w:noWrap/>
            <w:vAlign w:val="center"/>
          </w:tcPr>
          <w:p w14:paraId="6C3D48B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592</w:t>
            </w:r>
          </w:p>
        </w:tc>
        <w:tc>
          <w:tcPr>
            <w:tcW w:w="1047" w:type="dxa"/>
            <w:tcBorders>
              <w:top w:val="single" w:sz="4" w:space="0" w:color="auto"/>
              <w:left w:val="nil"/>
              <w:bottom w:val="single" w:sz="4" w:space="0" w:color="auto"/>
              <w:right w:val="nil"/>
            </w:tcBorders>
            <w:shd w:val="clear" w:color="auto" w:fill="auto"/>
            <w:noWrap/>
            <w:vAlign w:val="center"/>
          </w:tcPr>
          <w:p w14:paraId="061ABB18"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100.0</w:t>
            </w:r>
          </w:p>
        </w:tc>
        <w:tc>
          <w:tcPr>
            <w:tcW w:w="830" w:type="dxa"/>
            <w:tcBorders>
              <w:top w:val="single" w:sz="4" w:space="0" w:color="auto"/>
              <w:left w:val="single" w:sz="4" w:space="0" w:color="auto"/>
              <w:bottom w:val="single" w:sz="4" w:space="0" w:color="auto"/>
              <w:right w:val="nil"/>
            </w:tcBorders>
            <w:shd w:val="clear" w:color="auto" w:fill="auto"/>
            <w:noWrap/>
            <w:vAlign w:val="center"/>
          </w:tcPr>
          <w:p w14:paraId="4A8846E2"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1,278</w:t>
            </w:r>
          </w:p>
        </w:tc>
        <w:tc>
          <w:tcPr>
            <w:tcW w:w="928" w:type="dxa"/>
            <w:tcBorders>
              <w:top w:val="single" w:sz="4" w:space="0" w:color="auto"/>
              <w:left w:val="nil"/>
              <w:bottom w:val="single" w:sz="4" w:space="0" w:color="auto"/>
              <w:right w:val="single" w:sz="4" w:space="0" w:color="auto"/>
            </w:tcBorders>
            <w:shd w:val="clear" w:color="auto" w:fill="auto"/>
            <w:noWrap/>
            <w:vAlign w:val="center"/>
          </w:tcPr>
          <w:p w14:paraId="69142AA9"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100.0</w:t>
            </w:r>
          </w:p>
        </w:tc>
        <w:tc>
          <w:tcPr>
            <w:tcW w:w="830" w:type="dxa"/>
            <w:tcBorders>
              <w:top w:val="single" w:sz="4" w:space="0" w:color="auto"/>
              <w:left w:val="nil"/>
              <w:bottom w:val="single" w:sz="4" w:space="0" w:color="auto"/>
              <w:right w:val="nil"/>
            </w:tcBorders>
            <w:shd w:val="clear" w:color="auto" w:fill="auto"/>
            <w:noWrap/>
            <w:vAlign w:val="center"/>
          </w:tcPr>
          <w:p w14:paraId="45B57813" w14:textId="77777777" w:rsidR="00B80C84" w:rsidRPr="008D14C1" w:rsidRDefault="00B80C84" w:rsidP="00B80C84">
            <w:pPr>
              <w:spacing w:after="0" w:line="240" w:lineRule="auto"/>
              <w:jc w:val="right"/>
              <w:rPr>
                <w:rFonts w:ascii="Calibri" w:eastAsia="Times New Roman" w:hAnsi="Calibri" w:cs="Calibri"/>
                <w:color w:val="000000"/>
              </w:rPr>
            </w:pPr>
            <w:r w:rsidRPr="00256EA5">
              <w:rPr>
                <w:rFonts w:ascii="Calibri" w:eastAsia="Times New Roman" w:hAnsi="Calibri" w:cs="Calibri"/>
                <w:color w:val="000000"/>
              </w:rPr>
              <w:t>3,088</w:t>
            </w:r>
          </w:p>
        </w:tc>
        <w:tc>
          <w:tcPr>
            <w:tcW w:w="818" w:type="dxa"/>
            <w:tcBorders>
              <w:top w:val="single" w:sz="4" w:space="0" w:color="auto"/>
              <w:left w:val="nil"/>
              <w:bottom w:val="single" w:sz="4" w:space="0" w:color="auto"/>
              <w:right w:val="single" w:sz="4" w:space="0" w:color="auto"/>
            </w:tcBorders>
            <w:shd w:val="clear" w:color="auto" w:fill="auto"/>
            <w:noWrap/>
            <w:vAlign w:val="center"/>
          </w:tcPr>
          <w:p w14:paraId="5DCC5335" w14:textId="77777777" w:rsidR="00B80C84" w:rsidRPr="008D14C1" w:rsidRDefault="00B80C84" w:rsidP="00B80C84">
            <w:pPr>
              <w:spacing w:after="0" w:line="240" w:lineRule="auto"/>
              <w:jc w:val="right"/>
              <w:rPr>
                <w:rFonts w:ascii="Calibri" w:eastAsia="Times New Roman" w:hAnsi="Calibri" w:cs="Calibri"/>
                <w:color w:val="000000"/>
              </w:rPr>
            </w:pPr>
            <w:r>
              <w:rPr>
                <w:rFonts w:ascii="Calibri" w:eastAsia="Times New Roman" w:hAnsi="Calibri" w:cs="Calibri"/>
                <w:color w:val="000000"/>
              </w:rPr>
              <w:t>100.0</w:t>
            </w:r>
          </w:p>
        </w:tc>
        <w:tc>
          <w:tcPr>
            <w:tcW w:w="900" w:type="dxa"/>
            <w:tcBorders>
              <w:top w:val="single" w:sz="4" w:space="0" w:color="auto"/>
              <w:left w:val="nil"/>
              <w:bottom w:val="single" w:sz="4" w:space="0" w:color="auto"/>
            </w:tcBorders>
            <w:vAlign w:val="center"/>
          </w:tcPr>
          <w:p w14:paraId="45B58AB8" w14:textId="24D50A83" w:rsidR="00B80C84"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5,724</w:t>
            </w:r>
            <w:r w:rsidR="00D43003">
              <w:rPr>
                <w:rFonts w:ascii="Calibri" w:hAnsi="Calibri" w:cs="Calibri"/>
                <w:color w:val="000000"/>
              </w:rPr>
              <w:t>*</w:t>
            </w:r>
          </w:p>
        </w:tc>
        <w:tc>
          <w:tcPr>
            <w:tcW w:w="720" w:type="dxa"/>
            <w:tcBorders>
              <w:top w:val="single" w:sz="4" w:space="0" w:color="auto"/>
              <w:bottom w:val="single" w:sz="4" w:space="0" w:color="auto"/>
              <w:right w:val="single" w:sz="4" w:space="0" w:color="auto"/>
            </w:tcBorders>
            <w:vAlign w:val="center"/>
          </w:tcPr>
          <w:p w14:paraId="5C807156" w14:textId="7906C73B" w:rsidR="00B80C84" w:rsidRDefault="00B80C84" w:rsidP="00B80C84">
            <w:pPr>
              <w:spacing w:after="0" w:line="240" w:lineRule="auto"/>
              <w:jc w:val="right"/>
              <w:rPr>
                <w:rFonts w:ascii="Calibri" w:eastAsia="Times New Roman" w:hAnsi="Calibri" w:cs="Calibri"/>
                <w:color w:val="000000"/>
              </w:rPr>
            </w:pPr>
            <w:r>
              <w:rPr>
                <w:rFonts w:ascii="Calibri" w:hAnsi="Calibri" w:cs="Calibri"/>
                <w:color w:val="000000"/>
              </w:rPr>
              <w:t>100.0</w:t>
            </w:r>
          </w:p>
        </w:tc>
      </w:tr>
    </w:tbl>
    <w:p w14:paraId="38BA84D4" w14:textId="274C08E0" w:rsidR="00887BFB" w:rsidRDefault="00D43003" w:rsidP="00C80F4A">
      <w:pPr>
        <w:spacing w:before="60" w:after="0"/>
        <w:rPr>
          <w:sz w:val="20"/>
          <w:szCs w:val="20"/>
        </w:rPr>
      </w:pPr>
      <w:r w:rsidRPr="002F5861">
        <w:rPr>
          <w:sz w:val="20"/>
          <w:szCs w:val="20"/>
        </w:rPr>
        <w:t xml:space="preserve">* </w:t>
      </w:r>
      <w:r w:rsidR="0078453B" w:rsidRPr="002F5861">
        <w:rPr>
          <w:sz w:val="20"/>
          <w:szCs w:val="20"/>
        </w:rPr>
        <w:t xml:space="preserve">During the eight academic years from 2011-12 to 2018-19, 5,724 ILI-related closures </w:t>
      </w:r>
      <w:r w:rsidR="00073E2B">
        <w:rPr>
          <w:sz w:val="20"/>
          <w:szCs w:val="20"/>
        </w:rPr>
        <w:t xml:space="preserve">(96% of total closures) </w:t>
      </w:r>
      <w:r w:rsidR="0078453B" w:rsidRPr="002F5861">
        <w:rPr>
          <w:sz w:val="20"/>
          <w:szCs w:val="20"/>
        </w:rPr>
        <w:t>occurred among 3</w:t>
      </w:r>
      <w:r w:rsidR="002F5861" w:rsidRPr="002F5861">
        <w:rPr>
          <w:sz w:val="20"/>
          <w:szCs w:val="20"/>
        </w:rPr>
        <w:t>,289</w:t>
      </w:r>
      <w:r w:rsidR="0078453B" w:rsidRPr="002F5861">
        <w:rPr>
          <w:sz w:val="20"/>
          <w:szCs w:val="20"/>
        </w:rPr>
        <w:t xml:space="preserve"> </w:t>
      </w:r>
      <w:r w:rsidR="002F5861" w:rsidRPr="002F5861">
        <w:rPr>
          <w:sz w:val="20"/>
          <w:szCs w:val="20"/>
        </w:rPr>
        <w:t xml:space="preserve">public </w:t>
      </w:r>
      <w:r w:rsidR="0078453B" w:rsidRPr="002F5861">
        <w:rPr>
          <w:sz w:val="20"/>
          <w:szCs w:val="20"/>
        </w:rPr>
        <w:t>schools.</w:t>
      </w:r>
    </w:p>
    <w:p w14:paraId="2CDB3E2E" w14:textId="77777777" w:rsidR="0086383F" w:rsidRPr="00920110" w:rsidRDefault="0086383F" w:rsidP="0086383F">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0E547FFA" w14:textId="0D9DA1D0" w:rsidR="00C2011E" w:rsidRDefault="00C2011E" w:rsidP="00887BFB">
      <w:pPr>
        <w:rPr>
          <w:b/>
          <w:bCs/>
        </w:rPr>
      </w:pPr>
    </w:p>
    <w:p w14:paraId="73555DD5" w14:textId="77777777" w:rsidR="00E547A4" w:rsidRDefault="00E547A4" w:rsidP="00887BFB">
      <w:pPr>
        <w:rPr>
          <w:b/>
          <w:bCs/>
        </w:rPr>
      </w:pPr>
    </w:p>
    <w:p w14:paraId="41367BDA" w14:textId="78D47E48" w:rsidR="00887BFB" w:rsidRDefault="00887BFB" w:rsidP="00887BFB">
      <w:r>
        <w:rPr>
          <w:b/>
          <w:bCs/>
        </w:rPr>
        <w:t xml:space="preserve">Appendix </w:t>
      </w:r>
      <w:r w:rsidR="003C5F2D">
        <w:rPr>
          <w:b/>
          <w:bCs/>
        </w:rPr>
        <w:t>5</w:t>
      </w:r>
      <w:r>
        <w:rPr>
          <w:b/>
          <w:bCs/>
        </w:rPr>
        <w:t>-</w:t>
      </w:r>
      <w:r w:rsidR="00AC46B6">
        <w:rPr>
          <w:b/>
          <w:bCs/>
        </w:rPr>
        <w:t>2</w:t>
      </w:r>
      <w:r>
        <w:rPr>
          <w:b/>
          <w:bCs/>
        </w:rPr>
        <w:t xml:space="preserve">. </w:t>
      </w:r>
      <w:r w:rsidR="003203EC" w:rsidRPr="003203EC">
        <w:t xml:space="preserve">Number of public schools with multiple ILI-related </w:t>
      </w:r>
      <w:r w:rsidR="0086383F">
        <w:t xml:space="preserve">reactive school </w:t>
      </w:r>
      <w:r w:rsidR="003203EC" w:rsidRPr="003203EC">
        <w:t>closures, by urbanicity of school location</w:t>
      </w:r>
    </w:p>
    <w:tbl>
      <w:tblPr>
        <w:tblW w:w="9537" w:type="dxa"/>
        <w:tblLook w:val="04A0" w:firstRow="1" w:lastRow="0" w:firstColumn="1" w:lastColumn="0" w:noHBand="0" w:noVBand="1"/>
      </w:tblPr>
      <w:tblGrid>
        <w:gridCol w:w="993"/>
        <w:gridCol w:w="551"/>
        <w:gridCol w:w="1153"/>
        <w:gridCol w:w="551"/>
        <w:gridCol w:w="1250"/>
        <w:gridCol w:w="991"/>
        <w:gridCol w:w="722"/>
        <w:gridCol w:w="717"/>
        <w:gridCol w:w="959"/>
        <w:gridCol w:w="928"/>
        <w:gridCol w:w="722"/>
      </w:tblGrid>
      <w:tr w:rsidR="003C652B" w:rsidRPr="00FB181B" w14:paraId="7BAA2D92" w14:textId="77777777" w:rsidTr="003C652B">
        <w:trPr>
          <w:trHeight w:val="300"/>
        </w:trPr>
        <w:tc>
          <w:tcPr>
            <w:tcW w:w="993" w:type="dxa"/>
            <w:tcBorders>
              <w:top w:val="single" w:sz="4" w:space="0" w:color="auto"/>
              <w:left w:val="single" w:sz="4" w:space="0" w:color="auto"/>
              <w:bottom w:val="nil"/>
              <w:right w:val="nil"/>
            </w:tcBorders>
            <w:shd w:val="clear" w:color="auto" w:fill="auto"/>
            <w:noWrap/>
            <w:vAlign w:val="center"/>
            <w:hideMark/>
          </w:tcPr>
          <w:p w14:paraId="4F5B5580" w14:textId="77777777" w:rsidR="00FB181B" w:rsidRPr="00FB181B" w:rsidRDefault="00FB181B" w:rsidP="00FB181B">
            <w:pPr>
              <w:spacing w:after="0" w:line="240" w:lineRule="auto"/>
              <w:rPr>
                <w:rFonts w:ascii="Calibri" w:eastAsia="Times New Roman" w:hAnsi="Calibri" w:cs="Calibri"/>
                <w:color w:val="000000"/>
              </w:rPr>
            </w:pPr>
            <w:r w:rsidRPr="00FB181B">
              <w:rPr>
                <w:rFonts w:ascii="Calibri" w:eastAsia="Times New Roman" w:hAnsi="Calibri" w:cs="Calibri"/>
                <w:color w:val="000000"/>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BE73D"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City</w:t>
            </w:r>
          </w:p>
        </w:tc>
        <w:tc>
          <w:tcPr>
            <w:tcW w:w="18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1303E6"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Suburban</w:t>
            </w:r>
          </w:p>
        </w:tc>
        <w:tc>
          <w:tcPr>
            <w:tcW w:w="1713" w:type="dxa"/>
            <w:gridSpan w:val="2"/>
            <w:tcBorders>
              <w:top w:val="single" w:sz="4" w:space="0" w:color="auto"/>
              <w:left w:val="nil"/>
              <w:bottom w:val="single" w:sz="4" w:space="0" w:color="auto"/>
              <w:right w:val="nil"/>
            </w:tcBorders>
            <w:shd w:val="clear" w:color="auto" w:fill="auto"/>
            <w:noWrap/>
            <w:vAlign w:val="center"/>
            <w:hideMark/>
          </w:tcPr>
          <w:p w14:paraId="1A896865"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Town</w:t>
            </w:r>
          </w:p>
        </w:tc>
        <w:tc>
          <w:tcPr>
            <w:tcW w:w="16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76BC5E"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Rural</w:t>
            </w:r>
          </w:p>
        </w:tc>
        <w:tc>
          <w:tcPr>
            <w:tcW w:w="16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25152C"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Total</w:t>
            </w:r>
          </w:p>
        </w:tc>
      </w:tr>
      <w:tr w:rsidR="003C652B" w:rsidRPr="00FB181B" w14:paraId="0B136545" w14:textId="77777777" w:rsidTr="0086383F">
        <w:trPr>
          <w:trHeight w:val="300"/>
        </w:trPr>
        <w:tc>
          <w:tcPr>
            <w:tcW w:w="993" w:type="dxa"/>
            <w:tcBorders>
              <w:top w:val="nil"/>
              <w:left w:val="single" w:sz="4" w:space="0" w:color="auto"/>
              <w:bottom w:val="single" w:sz="4" w:space="0" w:color="auto"/>
              <w:right w:val="nil"/>
            </w:tcBorders>
            <w:shd w:val="clear" w:color="auto" w:fill="auto"/>
            <w:noWrap/>
            <w:vAlign w:val="center"/>
            <w:hideMark/>
          </w:tcPr>
          <w:p w14:paraId="4AA32C28" w14:textId="77777777" w:rsidR="00FB181B" w:rsidRPr="00FB181B" w:rsidRDefault="00FB181B" w:rsidP="00FB181B">
            <w:pPr>
              <w:spacing w:after="0" w:line="240" w:lineRule="auto"/>
              <w:rPr>
                <w:rFonts w:ascii="Calibri" w:eastAsia="Times New Roman" w:hAnsi="Calibri" w:cs="Calibri"/>
                <w:color w:val="000000"/>
              </w:rPr>
            </w:pPr>
            <w:r w:rsidRPr="00FB181B">
              <w:rPr>
                <w:rFonts w:ascii="Calibri" w:eastAsia="Times New Roman" w:hAnsi="Calibri" w:cs="Calibri"/>
                <w:color w:val="000000"/>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E1C695"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n</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208C29FB"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w:t>
            </w:r>
          </w:p>
        </w:tc>
        <w:tc>
          <w:tcPr>
            <w:tcW w:w="0" w:type="auto"/>
            <w:tcBorders>
              <w:top w:val="single" w:sz="4" w:space="0" w:color="auto"/>
              <w:left w:val="nil"/>
              <w:bottom w:val="single" w:sz="4" w:space="0" w:color="auto"/>
              <w:right w:val="nil"/>
            </w:tcBorders>
            <w:shd w:val="clear" w:color="auto" w:fill="auto"/>
            <w:noWrap/>
            <w:vAlign w:val="center"/>
            <w:hideMark/>
          </w:tcPr>
          <w:p w14:paraId="3C3352BB"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n</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7F9B3E4"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w:t>
            </w:r>
          </w:p>
        </w:tc>
        <w:tc>
          <w:tcPr>
            <w:tcW w:w="991" w:type="dxa"/>
            <w:tcBorders>
              <w:top w:val="single" w:sz="4" w:space="0" w:color="auto"/>
              <w:left w:val="nil"/>
              <w:bottom w:val="single" w:sz="4" w:space="0" w:color="auto"/>
              <w:right w:val="nil"/>
            </w:tcBorders>
            <w:shd w:val="clear" w:color="auto" w:fill="auto"/>
            <w:noWrap/>
            <w:vAlign w:val="center"/>
            <w:hideMark/>
          </w:tcPr>
          <w:p w14:paraId="6176F124"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n</w:t>
            </w:r>
          </w:p>
        </w:tc>
        <w:tc>
          <w:tcPr>
            <w:tcW w:w="722" w:type="dxa"/>
            <w:tcBorders>
              <w:top w:val="single" w:sz="4" w:space="0" w:color="auto"/>
              <w:left w:val="nil"/>
              <w:bottom w:val="single" w:sz="4" w:space="0" w:color="auto"/>
              <w:right w:val="nil"/>
            </w:tcBorders>
            <w:shd w:val="clear" w:color="auto" w:fill="auto"/>
            <w:noWrap/>
            <w:vAlign w:val="center"/>
            <w:hideMark/>
          </w:tcPr>
          <w:p w14:paraId="2B0DDE93"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2087D7"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n</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082629"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w:t>
            </w:r>
          </w:p>
        </w:tc>
        <w:tc>
          <w:tcPr>
            <w:tcW w:w="928" w:type="dxa"/>
            <w:tcBorders>
              <w:top w:val="single" w:sz="4" w:space="0" w:color="auto"/>
              <w:left w:val="nil"/>
              <w:bottom w:val="single" w:sz="4" w:space="0" w:color="auto"/>
              <w:right w:val="nil"/>
            </w:tcBorders>
            <w:shd w:val="clear" w:color="auto" w:fill="auto"/>
            <w:noWrap/>
            <w:vAlign w:val="center"/>
            <w:hideMark/>
          </w:tcPr>
          <w:p w14:paraId="40ACD1AE"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n</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0F4D16F" w14:textId="77777777" w:rsidR="00FB181B" w:rsidRPr="00FB181B" w:rsidRDefault="00FB181B" w:rsidP="00FB181B">
            <w:pPr>
              <w:spacing w:after="0" w:line="240" w:lineRule="auto"/>
              <w:jc w:val="center"/>
              <w:rPr>
                <w:rFonts w:ascii="Calibri" w:eastAsia="Times New Roman" w:hAnsi="Calibri" w:cs="Calibri"/>
                <w:color w:val="000000"/>
              </w:rPr>
            </w:pPr>
            <w:r w:rsidRPr="00FB181B">
              <w:rPr>
                <w:rFonts w:ascii="Calibri" w:eastAsia="Times New Roman" w:hAnsi="Calibri" w:cs="Calibri"/>
                <w:color w:val="000000"/>
              </w:rPr>
              <w:t>%</w:t>
            </w:r>
          </w:p>
        </w:tc>
      </w:tr>
      <w:tr w:rsidR="008F5774" w:rsidRPr="00FB181B" w14:paraId="1A32E3CA" w14:textId="77777777" w:rsidTr="003C652B">
        <w:trPr>
          <w:trHeight w:val="300"/>
        </w:trPr>
        <w:tc>
          <w:tcPr>
            <w:tcW w:w="9537" w:type="dxa"/>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63F2F" w14:textId="147B27FA" w:rsidR="008F5774" w:rsidRPr="00FB181B" w:rsidRDefault="008F5774" w:rsidP="008F5774">
            <w:pPr>
              <w:spacing w:after="0" w:line="240" w:lineRule="auto"/>
              <w:rPr>
                <w:rFonts w:ascii="Calibri" w:eastAsia="Times New Roman" w:hAnsi="Calibri" w:cs="Calibri"/>
                <w:color w:val="000000"/>
              </w:rPr>
            </w:pPr>
            <w:r w:rsidRPr="00FB181B">
              <w:rPr>
                <w:rFonts w:ascii="Calibri" w:eastAsia="Times New Roman" w:hAnsi="Calibri" w:cs="Calibri"/>
                <w:color w:val="000000"/>
              </w:rPr>
              <w:t xml:space="preserve">Number of closures for each school </w:t>
            </w:r>
            <w:r w:rsidR="00513A3E">
              <w:rPr>
                <w:rFonts w:ascii="Calibri" w:eastAsia="Times New Roman" w:hAnsi="Calibri" w:cs="Calibri"/>
                <w:color w:val="000000"/>
              </w:rPr>
              <w:t xml:space="preserve">in a </w:t>
            </w:r>
            <w:r w:rsidRPr="00FB181B">
              <w:rPr>
                <w:rFonts w:ascii="Calibri" w:eastAsia="Times New Roman" w:hAnsi="Calibri" w:cs="Calibri"/>
                <w:color w:val="000000"/>
              </w:rPr>
              <w:t xml:space="preserve">given </w:t>
            </w:r>
            <w:r w:rsidR="008F6796">
              <w:rPr>
                <w:rFonts w:ascii="Calibri" w:eastAsia="Times New Roman" w:hAnsi="Calibri" w:cs="Calibri"/>
                <w:color w:val="000000"/>
              </w:rPr>
              <w:t xml:space="preserve">school </w:t>
            </w:r>
            <w:r w:rsidRPr="00FB181B">
              <w:rPr>
                <w:rFonts w:ascii="Calibri" w:eastAsia="Times New Roman" w:hAnsi="Calibri" w:cs="Calibri"/>
                <w:color w:val="000000"/>
              </w:rPr>
              <w:t>year</w:t>
            </w:r>
          </w:p>
        </w:tc>
      </w:tr>
      <w:tr w:rsidR="003C652B" w:rsidRPr="00FB181B" w14:paraId="613BF384" w14:textId="77777777" w:rsidTr="0086383F">
        <w:trPr>
          <w:trHeight w:val="300"/>
        </w:trPr>
        <w:tc>
          <w:tcPr>
            <w:tcW w:w="993" w:type="dxa"/>
            <w:tcBorders>
              <w:top w:val="single" w:sz="4" w:space="0" w:color="auto"/>
              <w:left w:val="single" w:sz="4" w:space="0" w:color="auto"/>
              <w:bottom w:val="nil"/>
              <w:right w:val="nil"/>
            </w:tcBorders>
            <w:shd w:val="clear" w:color="auto" w:fill="auto"/>
            <w:noWrap/>
            <w:vAlign w:val="center"/>
            <w:hideMark/>
          </w:tcPr>
          <w:p w14:paraId="2D597D92"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1</w:t>
            </w:r>
          </w:p>
        </w:tc>
        <w:tc>
          <w:tcPr>
            <w:tcW w:w="0" w:type="auto"/>
            <w:tcBorders>
              <w:top w:val="single" w:sz="4" w:space="0" w:color="auto"/>
              <w:left w:val="single" w:sz="4" w:space="0" w:color="auto"/>
              <w:bottom w:val="nil"/>
              <w:right w:val="nil"/>
            </w:tcBorders>
            <w:shd w:val="clear" w:color="auto" w:fill="auto"/>
            <w:noWrap/>
            <w:vAlign w:val="center"/>
            <w:hideMark/>
          </w:tcPr>
          <w:p w14:paraId="5D3324E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357</w:t>
            </w:r>
          </w:p>
        </w:tc>
        <w:tc>
          <w:tcPr>
            <w:tcW w:w="1153" w:type="dxa"/>
            <w:tcBorders>
              <w:top w:val="single" w:sz="4" w:space="0" w:color="auto"/>
              <w:left w:val="nil"/>
              <w:bottom w:val="nil"/>
              <w:right w:val="single" w:sz="4" w:space="0" w:color="auto"/>
            </w:tcBorders>
            <w:shd w:val="clear" w:color="auto" w:fill="auto"/>
            <w:noWrap/>
            <w:vAlign w:val="center"/>
            <w:hideMark/>
          </w:tcPr>
          <w:p w14:paraId="0E1C7E9A"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85.6</w:t>
            </w:r>
          </w:p>
        </w:tc>
        <w:tc>
          <w:tcPr>
            <w:tcW w:w="0" w:type="auto"/>
            <w:tcBorders>
              <w:top w:val="single" w:sz="4" w:space="0" w:color="auto"/>
              <w:left w:val="nil"/>
              <w:bottom w:val="nil"/>
              <w:right w:val="nil"/>
            </w:tcBorders>
            <w:shd w:val="clear" w:color="auto" w:fill="auto"/>
            <w:noWrap/>
            <w:vAlign w:val="center"/>
            <w:hideMark/>
          </w:tcPr>
          <w:p w14:paraId="7631A00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224</w:t>
            </w:r>
          </w:p>
        </w:tc>
        <w:tc>
          <w:tcPr>
            <w:tcW w:w="1250" w:type="dxa"/>
            <w:tcBorders>
              <w:top w:val="single" w:sz="4" w:space="0" w:color="auto"/>
              <w:left w:val="nil"/>
              <w:bottom w:val="nil"/>
              <w:right w:val="single" w:sz="4" w:space="0" w:color="auto"/>
            </w:tcBorders>
            <w:shd w:val="clear" w:color="auto" w:fill="auto"/>
            <w:noWrap/>
            <w:vAlign w:val="center"/>
            <w:hideMark/>
          </w:tcPr>
          <w:p w14:paraId="68D419D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78.9</w:t>
            </w:r>
          </w:p>
        </w:tc>
        <w:tc>
          <w:tcPr>
            <w:tcW w:w="991" w:type="dxa"/>
            <w:tcBorders>
              <w:top w:val="single" w:sz="4" w:space="0" w:color="auto"/>
              <w:left w:val="nil"/>
              <w:bottom w:val="nil"/>
              <w:right w:val="nil"/>
            </w:tcBorders>
            <w:shd w:val="clear" w:color="auto" w:fill="auto"/>
            <w:noWrap/>
            <w:vAlign w:val="center"/>
            <w:hideMark/>
          </w:tcPr>
          <w:p w14:paraId="2BEFE7B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673</w:t>
            </w:r>
          </w:p>
        </w:tc>
        <w:tc>
          <w:tcPr>
            <w:tcW w:w="722" w:type="dxa"/>
            <w:tcBorders>
              <w:top w:val="single" w:sz="4" w:space="0" w:color="auto"/>
              <w:left w:val="nil"/>
              <w:bottom w:val="nil"/>
              <w:right w:val="nil"/>
            </w:tcBorders>
            <w:shd w:val="clear" w:color="auto" w:fill="auto"/>
            <w:noWrap/>
            <w:vAlign w:val="center"/>
            <w:hideMark/>
          </w:tcPr>
          <w:p w14:paraId="2D98D0B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87.4</w:t>
            </w:r>
          </w:p>
        </w:tc>
        <w:tc>
          <w:tcPr>
            <w:tcW w:w="0" w:type="auto"/>
            <w:tcBorders>
              <w:top w:val="single" w:sz="4" w:space="0" w:color="auto"/>
              <w:left w:val="single" w:sz="4" w:space="0" w:color="auto"/>
              <w:bottom w:val="nil"/>
              <w:right w:val="nil"/>
            </w:tcBorders>
            <w:shd w:val="clear" w:color="auto" w:fill="auto"/>
            <w:noWrap/>
            <w:vAlign w:val="center"/>
            <w:hideMark/>
          </w:tcPr>
          <w:p w14:paraId="5A8CAF2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1,579</w:t>
            </w:r>
          </w:p>
        </w:tc>
        <w:tc>
          <w:tcPr>
            <w:tcW w:w="959" w:type="dxa"/>
            <w:tcBorders>
              <w:top w:val="single" w:sz="4" w:space="0" w:color="auto"/>
              <w:left w:val="nil"/>
              <w:bottom w:val="nil"/>
              <w:right w:val="single" w:sz="4" w:space="0" w:color="auto"/>
            </w:tcBorders>
            <w:shd w:val="clear" w:color="auto" w:fill="auto"/>
            <w:noWrap/>
            <w:vAlign w:val="center"/>
            <w:hideMark/>
          </w:tcPr>
          <w:p w14:paraId="6228A33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86.9</w:t>
            </w:r>
          </w:p>
        </w:tc>
        <w:tc>
          <w:tcPr>
            <w:tcW w:w="928" w:type="dxa"/>
            <w:tcBorders>
              <w:top w:val="single" w:sz="4" w:space="0" w:color="auto"/>
              <w:left w:val="nil"/>
              <w:bottom w:val="nil"/>
              <w:right w:val="nil"/>
            </w:tcBorders>
            <w:shd w:val="clear" w:color="auto" w:fill="auto"/>
            <w:noWrap/>
            <w:vAlign w:val="center"/>
            <w:hideMark/>
          </w:tcPr>
          <w:p w14:paraId="4C096CD6"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2,833</w:t>
            </w:r>
          </w:p>
        </w:tc>
        <w:tc>
          <w:tcPr>
            <w:tcW w:w="722" w:type="dxa"/>
            <w:tcBorders>
              <w:top w:val="single" w:sz="4" w:space="0" w:color="auto"/>
              <w:left w:val="nil"/>
              <w:bottom w:val="nil"/>
              <w:right w:val="single" w:sz="4" w:space="0" w:color="auto"/>
            </w:tcBorders>
            <w:shd w:val="clear" w:color="auto" w:fill="auto"/>
            <w:noWrap/>
            <w:vAlign w:val="center"/>
            <w:hideMark/>
          </w:tcPr>
          <w:p w14:paraId="20A12603"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86.1</w:t>
            </w:r>
          </w:p>
        </w:tc>
      </w:tr>
      <w:tr w:rsidR="003C652B" w:rsidRPr="00FB181B" w14:paraId="5E595B04"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53F9F228"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2</w:t>
            </w:r>
          </w:p>
        </w:tc>
        <w:tc>
          <w:tcPr>
            <w:tcW w:w="0" w:type="auto"/>
            <w:tcBorders>
              <w:top w:val="nil"/>
              <w:left w:val="single" w:sz="4" w:space="0" w:color="auto"/>
              <w:bottom w:val="nil"/>
              <w:right w:val="nil"/>
            </w:tcBorders>
            <w:shd w:val="clear" w:color="auto" w:fill="auto"/>
            <w:noWrap/>
            <w:vAlign w:val="center"/>
            <w:hideMark/>
          </w:tcPr>
          <w:p w14:paraId="36CBD54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60</w:t>
            </w:r>
          </w:p>
        </w:tc>
        <w:tc>
          <w:tcPr>
            <w:tcW w:w="1153" w:type="dxa"/>
            <w:tcBorders>
              <w:top w:val="nil"/>
              <w:left w:val="nil"/>
              <w:bottom w:val="nil"/>
              <w:right w:val="single" w:sz="4" w:space="0" w:color="auto"/>
            </w:tcBorders>
            <w:shd w:val="clear" w:color="auto" w:fill="auto"/>
            <w:noWrap/>
            <w:vAlign w:val="center"/>
            <w:hideMark/>
          </w:tcPr>
          <w:p w14:paraId="44C0E79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14.4</w:t>
            </w:r>
          </w:p>
        </w:tc>
        <w:tc>
          <w:tcPr>
            <w:tcW w:w="0" w:type="auto"/>
            <w:tcBorders>
              <w:top w:val="nil"/>
              <w:left w:val="nil"/>
              <w:bottom w:val="nil"/>
              <w:right w:val="nil"/>
            </w:tcBorders>
            <w:shd w:val="clear" w:color="auto" w:fill="auto"/>
            <w:noWrap/>
            <w:vAlign w:val="center"/>
            <w:hideMark/>
          </w:tcPr>
          <w:p w14:paraId="378188E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60</w:t>
            </w:r>
          </w:p>
        </w:tc>
        <w:tc>
          <w:tcPr>
            <w:tcW w:w="1250" w:type="dxa"/>
            <w:tcBorders>
              <w:top w:val="nil"/>
              <w:left w:val="nil"/>
              <w:bottom w:val="nil"/>
              <w:right w:val="single" w:sz="4" w:space="0" w:color="auto"/>
            </w:tcBorders>
            <w:shd w:val="clear" w:color="auto" w:fill="auto"/>
            <w:noWrap/>
            <w:vAlign w:val="center"/>
            <w:hideMark/>
          </w:tcPr>
          <w:p w14:paraId="7F6E328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21.1</w:t>
            </w:r>
          </w:p>
        </w:tc>
        <w:tc>
          <w:tcPr>
            <w:tcW w:w="991" w:type="dxa"/>
            <w:tcBorders>
              <w:top w:val="nil"/>
              <w:left w:val="nil"/>
              <w:bottom w:val="nil"/>
              <w:right w:val="nil"/>
            </w:tcBorders>
            <w:shd w:val="clear" w:color="auto" w:fill="auto"/>
            <w:noWrap/>
            <w:vAlign w:val="center"/>
            <w:hideMark/>
          </w:tcPr>
          <w:p w14:paraId="4196383E"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88</w:t>
            </w:r>
          </w:p>
        </w:tc>
        <w:tc>
          <w:tcPr>
            <w:tcW w:w="722" w:type="dxa"/>
            <w:tcBorders>
              <w:top w:val="nil"/>
              <w:left w:val="nil"/>
              <w:bottom w:val="nil"/>
              <w:right w:val="nil"/>
            </w:tcBorders>
            <w:shd w:val="clear" w:color="auto" w:fill="auto"/>
            <w:noWrap/>
            <w:vAlign w:val="center"/>
            <w:hideMark/>
          </w:tcPr>
          <w:p w14:paraId="3AF8877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11.4</w:t>
            </w:r>
          </w:p>
        </w:tc>
        <w:tc>
          <w:tcPr>
            <w:tcW w:w="0" w:type="auto"/>
            <w:tcBorders>
              <w:top w:val="nil"/>
              <w:left w:val="single" w:sz="4" w:space="0" w:color="auto"/>
              <w:bottom w:val="nil"/>
              <w:right w:val="nil"/>
            </w:tcBorders>
            <w:shd w:val="clear" w:color="auto" w:fill="auto"/>
            <w:noWrap/>
            <w:vAlign w:val="center"/>
            <w:hideMark/>
          </w:tcPr>
          <w:p w14:paraId="6B713A5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233</w:t>
            </w:r>
          </w:p>
        </w:tc>
        <w:tc>
          <w:tcPr>
            <w:tcW w:w="959" w:type="dxa"/>
            <w:tcBorders>
              <w:top w:val="nil"/>
              <w:left w:val="nil"/>
              <w:bottom w:val="nil"/>
              <w:right w:val="single" w:sz="4" w:space="0" w:color="auto"/>
            </w:tcBorders>
            <w:shd w:val="clear" w:color="auto" w:fill="auto"/>
            <w:noWrap/>
            <w:vAlign w:val="center"/>
            <w:hideMark/>
          </w:tcPr>
          <w:p w14:paraId="71D712B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12.8</w:t>
            </w:r>
          </w:p>
        </w:tc>
        <w:tc>
          <w:tcPr>
            <w:tcW w:w="928" w:type="dxa"/>
            <w:tcBorders>
              <w:top w:val="nil"/>
              <w:left w:val="nil"/>
              <w:bottom w:val="nil"/>
              <w:right w:val="nil"/>
            </w:tcBorders>
            <w:shd w:val="clear" w:color="auto" w:fill="auto"/>
            <w:noWrap/>
            <w:vAlign w:val="center"/>
            <w:hideMark/>
          </w:tcPr>
          <w:p w14:paraId="62F5AF8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441</w:t>
            </w:r>
          </w:p>
        </w:tc>
        <w:tc>
          <w:tcPr>
            <w:tcW w:w="722" w:type="dxa"/>
            <w:tcBorders>
              <w:top w:val="nil"/>
              <w:left w:val="nil"/>
              <w:bottom w:val="nil"/>
              <w:right w:val="single" w:sz="4" w:space="0" w:color="auto"/>
            </w:tcBorders>
            <w:shd w:val="clear" w:color="auto" w:fill="auto"/>
            <w:noWrap/>
            <w:vAlign w:val="center"/>
            <w:hideMark/>
          </w:tcPr>
          <w:p w14:paraId="065AA42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13.4</w:t>
            </w:r>
          </w:p>
        </w:tc>
      </w:tr>
      <w:tr w:rsidR="003C652B" w:rsidRPr="00FB181B" w14:paraId="6E741BC4" w14:textId="77777777" w:rsidTr="0086383F">
        <w:trPr>
          <w:trHeight w:val="300"/>
        </w:trPr>
        <w:tc>
          <w:tcPr>
            <w:tcW w:w="993" w:type="dxa"/>
            <w:tcBorders>
              <w:top w:val="nil"/>
              <w:left w:val="single" w:sz="4" w:space="0" w:color="auto"/>
              <w:bottom w:val="single" w:sz="4" w:space="0" w:color="auto"/>
              <w:right w:val="nil"/>
            </w:tcBorders>
            <w:shd w:val="clear" w:color="auto" w:fill="auto"/>
            <w:noWrap/>
            <w:vAlign w:val="center"/>
            <w:hideMark/>
          </w:tcPr>
          <w:p w14:paraId="25058E48"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3</w:t>
            </w:r>
          </w:p>
        </w:tc>
        <w:tc>
          <w:tcPr>
            <w:tcW w:w="0" w:type="auto"/>
            <w:tcBorders>
              <w:top w:val="nil"/>
              <w:left w:val="single" w:sz="4" w:space="0" w:color="auto"/>
              <w:bottom w:val="single" w:sz="4" w:space="0" w:color="auto"/>
              <w:right w:val="nil"/>
            </w:tcBorders>
            <w:shd w:val="clear" w:color="auto" w:fill="auto"/>
            <w:noWrap/>
            <w:vAlign w:val="center"/>
            <w:hideMark/>
          </w:tcPr>
          <w:p w14:paraId="6130343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153" w:type="dxa"/>
            <w:tcBorders>
              <w:top w:val="nil"/>
              <w:left w:val="nil"/>
              <w:bottom w:val="single" w:sz="4" w:space="0" w:color="auto"/>
              <w:right w:val="single" w:sz="4" w:space="0" w:color="auto"/>
            </w:tcBorders>
            <w:shd w:val="clear" w:color="auto" w:fill="auto"/>
            <w:noWrap/>
            <w:vAlign w:val="center"/>
            <w:hideMark/>
          </w:tcPr>
          <w:p w14:paraId="1150674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nil"/>
              <w:bottom w:val="single" w:sz="4" w:space="0" w:color="auto"/>
              <w:right w:val="nil"/>
            </w:tcBorders>
            <w:shd w:val="clear" w:color="auto" w:fill="auto"/>
            <w:noWrap/>
            <w:vAlign w:val="center"/>
            <w:hideMark/>
          </w:tcPr>
          <w:p w14:paraId="54967F8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250" w:type="dxa"/>
            <w:tcBorders>
              <w:top w:val="nil"/>
              <w:left w:val="nil"/>
              <w:bottom w:val="single" w:sz="4" w:space="0" w:color="auto"/>
              <w:right w:val="single" w:sz="4" w:space="0" w:color="auto"/>
            </w:tcBorders>
            <w:shd w:val="clear" w:color="auto" w:fill="auto"/>
            <w:noWrap/>
            <w:vAlign w:val="center"/>
            <w:hideMark/>
          </w:tcPr>
          <w:p w14:paraId="2CA675F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991" w:type="dxa"/>
            <w:tcBorders>
              <w:top w:val="nil"/>
              <w:left w:val="nil"/>
              <w:bottom w:val="single" w:sz="4" w:space="0" w:color="auto"/>
              <w:right w:val="nil"/>
            </w:tcBorders>
            <w:shd w:val="clear" w:color="auto" w:fill="auto"/>
            <w:noWrap/>
            <w:vAlign w:val="center"/>
            <w:hideMark/>
          </w:tcPr>
          <w:p w14:paraId="0908797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9</w:t>
            </w:r>
          </w:p>
        </w:tc>
        <w:tc>
          <w:tcPr>
            <w:tcW w:w="722" w:type="dxa"/>
            <w:tcBorders>
              <w:top w:val="nil"/>
              <w:left w:val="nil"/>
              <w:bottom w:val="single" w:sz="4" w:space="0" w:color="auto"/>
              <w:right w:val="nil"/>
            </w:tcBorders>
            <w:shd w:val="clear" w:color="auto" w:fill="auto"/>
            <w:noWrap/>
            <w:vAlign w:val="center"/>
            <w:hideMark/>
          </w:tcPr>
          <w:p w14:paraId="2528CA4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1.2</w:t>
            </w:r>
          </w:p>
        </w:tc>
        <w:tc>
          <w:tcPr>
            <w:tcW w:w="0" w:type="auto"/>
            <w:tcBorders>
              <w:top w:val="nil"/>
              <w:left w:val="single" w:sz="4" w:space="0" w:color="auto"/>
              <w:bottom w:val="single" w:sz="4" w:space="0" w:color="auto"/>
              <w:right w:val="nil"/>
            </w:tcBorders>
            <w:shd w:val="clear" w:color="auto" w:fill="auto"/>
            <w:noWrap/>
            <w:vAlign w:val="center"/>
            <w:hideMark/>
          </w:tcPr>
          <w:p w14:paraId="28E5164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w:t>
            </w:r>
          </w:p>
        </w:tc>
        <w:tc>
          <w:tcPr>
            <w:tcW w:w="959" w:type="dxa"/>
            <w:tcBorders>
              <w:top w:val="nil"/>
              <w:left w:val="nil"/>
              <w:bottom w:val="single" w:sz="4" w:space="0" w:color="auto"/>
              <w:right w:val="single" w:sz="4" w:space="0" w:color="auto"/>
            </w:tcBorders>
            <w:shd w:val="clear" w:color="auto" w:fill="auto"/>
            <w:noWrap/>
            <w:vAlign w:val="center"/>
            <w:hideMark/>
          </w:tcPr>
          <w:p w14:paraId="77939D3E"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0.3</w:t>
            </w:r>
          </w:p>
        </w:tc>
        <w:tc>
          <w:tcPr>
            <w:tcW w:w="928" w:type="dxa"/>
            <w:tcBorders>
              <w:top w:val="nil"/>
              <w:left w:val="nil"/>
              <w:bottom w:val="single" w:sz="4" w:space="0" w:color="auto"/>
              <w:right w:val="nil"/>
            </w:tcBorders>
            <w:shd w:val="clear" w:color="auto" w:fill="auto"/>
            <w:noWrap/>
            <w:vAlign w:val="center"/>
            <w:hideMark/>
          </w:tcPr>
          <w:p w14:paraId="7504475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15</w:t>
            </w:r>
          </w:p>
        </w:tc>
        <w:tc>
          <w:tcPr>
            <w:tcW w:w="722" w:type="dxa"/>
            <w:tcBorders>
              <w:top w:val="nil"/>
              <w:left w:val="nil"/>
              <w:bottom w:val="single" w:sz="4" w:space="0" w:color="auto"/>
              <w:right w:val="single" w:sz="4" w:space="0" w:color="auto"/>
            </w:tcBorders>
            <w:shd w:val="clear" w:color="auto" w:fill="auto"/>
            <w:noWrap/>
            <w:vAlign w:val="center"/>
            <w:hideMark/>
          </w:tcPr>
          <w:p w14:paraId="40328DBB"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0.5</w:t>
            </w:r>
          </w:p>
        </w:tc>
      </w:tr>
      <w:tr w:rsidR="003C652B" w:rsidRPr="00FB181B" w14:paraId="17A4063F" w14:textId="77777777" w:rsidTr="0086383F">
        <w:trPr>
          <w:trHeight w:val="30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775A306D" w14:textId="77777777" w:rsidR="00FB181B" w:rsidRPr="00FB181B" w:rsidRDefault="00FB181B" w:rsidP="00FB181B">
            <w:pPr>
              <w:spacing w:after="0" w:line="240" w:lineRule="auto"/>
              <w:rPr>
                <w:rFonts w:ascii="Calibri" w:eastAsia="Times New Roman" w:hAnsi="Calibri" w:cs="Calibri"/>
                <w:color w:val="000000"/>
              </w:rPr>
            </w:pPr>
            <w:r w:rsidRPr="00FB181B">
              <w:rPr>
                <w:rFonts w:ascii="Calibri" w:eastAsia="Times New Roman" w:hAnsi="Calibri" w:cs="Calibri"/>
                <w:color w:val="000000"/>
              </w:rPr>
              <w:t>Total</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00BA1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417</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68F0AF6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0" w:type="auto"/>
            <w:tcBorders>
              <w:top w:val="single" w:sz="4" w:space="0" w:color="auto"/>
              <w:left w:val="nil"/>
              <w:bottom w:val="single" w:sz="4" w:space="0" w:color="auto"/>
              <w:right w:val="nil"/>
            </w:tcBorders>
            <w:shd w:val="clear" w:color="auto" w:fill="auto"/>
            <w:noWrap/>
            <w:vAlign w:val="center"/>
            <w:hideMark/>
          </w:tcPr>
          <w:p w14:paraId="74858CC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284</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4275CAD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991" w:type="dxa"/>
            <w:tcBorders>
              <w:top w:val="single" w:sz="4" w:space="0" w:color="auto"/>
              <w:left w:val="nil"/>
              <w:bottom w:val="single" w:sz="4" w:space="0" w:color="auto"/>
              <w:right w:val="nil"/>
            </w:tcBorders>
            <w:shd w:val="clear" w:color="auto" w:fill="auto"/>
            <w:noWrap/>
            <w:vAlign w:val="center"/>
            <w:hideMark/>
          </w:tcPr>
          <w:p w14:paraId="3BF458C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770</w:t>
            </w:r>
          </w:p>
        </w:tc>
        <w:tc>
          <w:tcPr>
            <w:tcW w:w="722" w:type="dxa"/>
            <w:tcBorders>
              <w:top w:val="single" w:sz="4" w:space="0" w:color="auto"/>
              <w:left w:val="nil"/>
              <w:bottom w:val="single" w:sz="4" w:space="0" w:color="auto"/>
              <w:right w:val="nil"/>
            </w:tcBorders>
            <w:shd w:val="clear" w:color="auto" w:fill="auto"/>
            <w:noWrap/>
            <w:vAlign w:val="center"/>
            <w:hideMark/>
          </w:tcPr>
          <w:p w14:paraId="27FE91A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257DF7" w14:textId="724CF04F"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w:t>
            </w:r>
            <w:r w:rsidR="003C652B">
              <w:rPr>
                <w:rFonts w:ascii="Calibri" w:eastAsia="Times New Roman" w:hAnsi="Calibri" w:cs="Calibri"/>
                <w:color w:val="000000"/>
              </w:rPr>
              <w:t>,</w:t>
            </w:r>
            <w:r w:rsidRPr="00FB181B">
              <w:rPr>
                <w:rFonts w:ascii="Calibri" w:eastAsia="Times New Roman" w:hAnsi="Calibri" w:cs="Calibri"/>
                <w:color w:val="000000"/>
              </w:rPr>
              <w:t>818</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55E5A93"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928" w:type="dxa"/>
            <w:tcBorders>
              <w:top w:val="single" w:sz="4" w:space="0" w:color="auto"/>
              <w:left w:val="nil"/>
              <w:bottom w:val="single" w:sz="4" w:space="0" w:color="auto"/>
              <w:right w:val="nil"/>
            </w:tcBorders>
            <w:shd w:val="clear" w:color="auto" w:fill="auto"/>
            <w:noWrap/>
            <w:vAlign w:val="center"/>
            <w:hideMark/>
          </w:tcPr>
          <w:p w14:paraId="3FC59E55" w14:textId="0CAC0089"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w:t>
            </w:r>
            <w:r w:rsidR="003C652B">
              <w:rPr>
                <w:rFonts w:ascii="Calibri" w:eastAsia="Times New Roman" w:hAnsi="Calibri" w:cs="Calibri"/>
                <w:color w:val="000000"/>
              </w:rPr>
              <w:t>,</w:t>
            </w:r>
            <w:r w:rsidRPr="00FB181B">
              <w:rPr>
                <w:rFonts w:ascii="Calibri" w:eastAsia="Times New Roman" w:hAnsi="Calibri" w:cs="Calibri"/>
                <w:color w:val="000000"/>
              </w:rPr>
              <w:t>289</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1B57F02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r>
      <w:tr w:rsidR="008F5774" w:rsidRPr="00FB181B" w14:paraId="118C0982" w14:textId="77777777" w:rsidTr="003C652B">
        <w:trPr>
          <w:trHeight w:val="300"/>
        </w:trPr>
        <w:tc>
          <w:tcPr>
            <w:tcW w:w="9537" w:type="dxa"/>
            <w:gridSpan w:val="11"/>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D79C17" w14:textId="51D376D1" w:rsidR="008F5774" w:rsidRPr="00FB181B" w:rsidRDefault="008F5774" w:rsidP="008F5774">
            <w:pPr>
              <w:spacing w:after="0" w:line="240" w:lineRule="auto"/>
              <w:rPr>
                <w:rFonts w:ascii="Calibri" w:eastAsia="Times New Roman" w:hAnsi="Calibri" w:cs="Calibri"/>
                <w:color w:val="000000"/>
              </w:rPr>
            </w:pPr>
            <w:r w:rsidRPr="00FB181B">
              <w:rPr>
                <w:rFonts w:ascii="Calibri" w:eastAsia="Times New Roman" w:hAnsi="Calibri" w:cs="Calibri"/>
                <w:color w:val="000000"/>
              </w:rPr>
              <w:t>Number of closures for each school from 2011-</w:t>
            </w:r>
            <w:r w:rsidR="00EC02CD">
              <w:rPr>
                <w:rFonts w:ascii="Calibri" w:eastAsia="Times New Roman" w:hAnsi="Calibri" w:cs="Calibri"/>
                <w:color w:val="000000"/>
              </w:rPr>
              <w:t>20</w:t>
            </w:r>
            <w:r w:rsidRPr="00FB181B">
              <w:rPr>
                <w:rFonts w:ascii="Calibri" w:eastAsia="Times New Roman" w:hAnsi="Calibri" w:cs="Calibri"/>
                <w:color w:val="000000"/>
              </w:rPr>
              <w:t>12 to 2018-</w:t>
            </w:r>
            <w:r w:rsidR="00EC02CD">
              <w:rPr>
                <w:rFonts w:ascii="Calibri" w:eastAsia="Times New Roman" w:hAnsi="Calibri" w:cs="Calibri"/>
                <w:color w:val="000000"/>
              </w:rPr>
              <w:t>20</w:t>
            </w:r>
            <w:r w:rsidRPr="00FB181B">
              <w:rPr>
                <w:rFonts w:ascii="Calibri" w:eastAsia="Times New Roman" w:hAnsi="Calibri" w:cs="Calibri"/>
                <w:color w:val="000000"/>
              </w:rPr>
              <w:t>19</w:t>
            </w:r>
          </w:p>
        </w:tc>
      </w:tr>
      <w:tr w:rsidR="003C652B" w:rsidRPr="00FB181B" w14:paraId="7F940E55" w14:textId="77777777" w:rsidTr="0086383F">
        <w:trPr>
          <w:trHeight w:val="300"/>
        </w:trPr>
        <w:tc>
          <w:tcPr>
            <w:tcW w:w="993" w:type="dxa"/>
            <w:tcBorders>
              <w:top w:val="single" w:sz="4" w:space="0" w:color="auto"/>
              <w:left w:val="single" w:sz="4" w:space="0" w:color="auto"/>
              <w:bottom w:val="nil"/>
              <w:right w:val="nil"/>
            </w:tcBorders>
            <w:shd w:val="clear" w:color="auto" w:fill="auto"/>
            <w:noWrap/>
            <w:vAlign w:val="center"/>
            <w:hideMark/>
          </w:tcPr>
          <w:p w14:paraId="445569F6"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1</w:t>
            </w:r>
          </w:p>
        </w:tc>
        <w:tc>
          <w:tcPr>
            <w:tcW w:w="0" w:type="auto"/>
            <w:tcBorders>
              <w:top w:val="single" w:sz="4" w:space="0" w:color="auto"/>
              <w:left w:val="single" w:sz="4" w:space="0" w:color="auto"/>
              <w:bottom w:val="nil"/>
              <w:right w:val="nil"/>
            </w:tcBorders>
            <w:shd w:val="clear" w:color="auto" w:fill="auto"/>
            <w:noWrap/>
            <w:vAlign w:val="center"/>
            <w:hideMark/>
          </w:tcPr>
          <w:p w14:paraId="1BCEE2E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263</w:t>
            </w:r>
          </w:p>
        </w:tc>
        <w:tc>
          <w:tcPr>
            <w:tcW w:w="1153" w:type="dxa"/>
            <w:tcBorders>
              <w:top w:val="single" w:sz="4" w:space="0" w:color="auto"/>
              <w:left w:val="nil"/>
              <w:bottom w:val="nil"/>
              <w:right w:val="single" w:sz="4" w:space="0" w:color="auto"/>
            </w:tcBorders>
            <w:shd w:val="clear" w:color="auto" w:fill="auto"/>
            <w:noWrap/>
            <w:vAlign w:val="center"/>
            <w:hideMark/>
          </w:tcPr>
          <w:p w14:paraId="6AE2836A"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63.1</w:t>
            </w:r>
          </w:p>
        </w:tc>
        <w:tc>
          <w:tcPr>
            <w:tcW w:w="0" w:type="auto"/>
            <w:tcBorders>
              <w:top w:val="single" w:sz="4" w:space="0" w:color="auto"/>
              <w:left w:val="nil"/>
              <w:bottom w:val="nil"/>
              <w:right w:val="nil"/>
            </w:tcBorders>
            <w:shd w:val="clear" w:color="auto" w:fill="auto"/>
            <w:noWrap/>
            <w:vAlign w:val="center"/>
            <w:hideMark/>
          </w:tcPr>
          <w:p w14:paraId="0ED863C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133</w:t>
            </w:r>
          </w:p>
        </w:tc>
        <w:tc>
          <w:tcPr>
            <w:tcW w:w="1250" w:type="dxa"/>
            <w:tcBorders>
              <w:top w:val="single" w:sz="4" w:space="0" w:color="auto"/>
              <w:left w:val="nil"/>
              <w:bottom w:val="nil"/>
              <w:right w:val="single" w:sz="4" w:space="0" w:color="auto"/>
            </w:tcBorders>
            <w:shd w:val="clear" w:color="auto" w:fill="auto"/>
            <w:noWrap/>
            <w:vAlign w:val="center"/>
            <w:hideMark/>
          </w:tcPr>
          <w:p w14:paraId="1E77D2D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46.8</w:t>
            </w:r>
          </w:p>
        </w:tc>
        <w:tc>
          <w:tcPr>
            <w:tcW w:w="991" w:type="dxa"/>
            <w:tcBorders>
              <w:top w:val="single" w:sz="4" w:space="0" w:color="auto"/>
              <w:left w:val="nil"/>
              <w:bottom w:val="nil"/>
              <w:right w:val="nil"/>
            </w:tcBorders>
            <w:shd w:val="clear" w:color="auto" w:fill="auto"/>
            <w:noWrap/>
            <w:vAlign w:val="center"/>
            <w:hideMark/>
          </w:tcPr>
          <w:p w14:paraId="75E0088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466</w:t>
            </w:r>
          </w:p>
        </w:tc>
        <w:tc>
          <w:tcPr>
            <w:tcW w:w="722" w:type="dxa"/>
            <w:tcBorders>
              <w:top w:val="single" w:sz="4" w:space="0" w:color="auto"/>
              <w:left w:val="nil"/>
              <w:bottom w:val="nil"/>
              <w:right w:val="nil"/>
            </w:tcBorders>
            <w:shd w:val="clear" w:color="auto" w:fill="auto"/>
            <w:noWrap/>
            <w:vAlign w:val="center"/>
            <w:hideMark/>
          </w:tcPr>
          <w:p w14:paraId="2EB4D48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60.5</w:t>
            </w:r>
          </w:p>
        </w:tc>
        <w:tc>
          <w:tcPr>
            <w:tcW w:w="0" w:type="auto"/>
            <w:tcBorders>
              <w:top w:val="single" w:sz="4" w:space="0" w:color="auto"/>
              <w:left w:val="single" w:sz="4" w:space="0" w:color="auto"/>
              <w:bottom w:val="nil"/>
              <w:right w:val="nil"/>
            </w:tcBorders>
            <w:shd w:val="clear" w:color="auto" w:fill="auto"/>
            <w:noWrap/>
            <w:vAlign w:val="center"/>
            <w:hideMark/>
          </w:tcPr>
          <w:p w14:paraId="6A4A07A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1,127</w:t>
            </w:r>
          </w:p>
        </w:tc>
        <w:tc>
          <w:tcPr>
            <w:tcW w:w="959" w:type="dxa"/>
            <w:tcBorders>
              <w:top w:val="single" w:sz="4" w:space="0" w:color="auto"/>
              <w:left w:val="nil"/>
              <w:bottom w:val="nil"/>
              <w:right w:val="single" w:sz="4" w:space="0" w:color="auto"/>
            </w:tcBorders>
            <w:shd w:val="clear" w:color="auto" w:fill="auto"/>
            <w:noWrap/>
            <w:vAlign w:val="center"/>
            <w:hideMark/>
          </w:tcPr>
          <w:p w14:paraId="3514458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62.0</w:t>
            </w:r>
          </w:p>
        </w:tc>
        <w:tc>
          <w:tcPr>
            <w:tcW w:w="928" w:type="dxa"/>
            <w:tcBorders>
              <w:top w:val="single" w:sz="4" w:space="0" w:color="auto"/>
              <w:left w:val="nil"/>
              <w:bottom w:val="nil"/>
              <w:right w:val="nil"/>
            </w:tcBorders>
            <w:shd w:val="clear" w:color="auto" w:fill="auto"/>
            <w:noWrap/>
            <w:vAlign w:val="center"/>
            <w:hideMark/>
          </w:tcPr>
          <w:p w14:paraId="65BBCD7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1,989</w:t>
            </w:r>
          </w:p>
        </w:tc>
        <w:tc>
          <w:tcPr>
            <w:tcW w:w="722" w:type="dxa"/>
            <w:tcBorders>
              <w:top w:val="single" w:sz="4" w:space="0" w:color="auto"/>
              <w:left w:val="nil"/>
              <w:bottom w:val="nil"/>
              <w:right w:val="single" w:sz="4" w:space="0" w:color="auto"/>
            </w:tcBorders>
            <w:shd w:val="clear" w:color="auto" w:fill="auto"/>
            <w:noWrap/>
            <w:vAlign w:val="center"/>
            <w:hideMark/>
          </w:tcPr>
          <w:p w14:paraId="70C6396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60.5</w:t>
            </w:r>
          </w:p>
        </w:tc>
      </w:tr>
      <w:tr w:rsidR="003C652B" w:rsidRPr="00FB181B" w14:paraId="5C2ED07F"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6DF6D9D3"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2</w:t>
            </w:r>
          </w:p>
        </w:tc>
        <w:tc>
          <w:tcPr>
            <w:tcW w:w="0" w:type="auto"/>
            <w:tcBorders>
              <w:top w:val="nil"/>
              <w:left w:val="single" w:sz="4" w:space="0" w:color="auto"/>
              <w:bottom w:val="nil"/>
              <w:right w:val="nil"/>
            </w:tcBorders>
            <w:shd w:val="clear" w:color="auto" w:fill="auto"/>
            <w:noWrap/>
            <w:vAlign w:val="center"/>
            <w:hideMark/>
          </w:tcPr>
          <w:p w14:paraId="320F52B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55</w:t>
            </w:r>
          </w:p>
        </w:tc>
        <w:tc>
          <w:tcPr>
            <w:tcW w:w="1153" w:type="dxa"/>
            <w:tcBorders>
              <w:top w:val="nil"/>
              <w:left w:val="nil"/>
              <w:bottom w:val="nil"/>
              <w:right w:val="single" w:sz="4" w:space="0" w:color="auto"/>
            </w:tcBorders>
            <w:shd w:val="clear" w:color="auto" w:fill="auto"/>
            <w:noWrap/>
            <w:vAlign w:val="center"/>
            <w:hideMark/>
          </w:tcPr>
          <w:p w14:paraId="10E5E37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13.2</w:t>
            </w:r>
          </w:p>
        </w:tc>
        <w:tc>
          <w:tcPr>
            <w:tcW w:w="0" w:type="auto"/>
            <w:tcBorders>
              <w:top w:val="nil"/>
              <w:left w:val="nil"/>
              <w:bottom w:val="nil"/>
              <w:right w:val="nil"/>
            </w:tcBorders>
            <w:shd w:val="clear" w:color="auto" w:fill="auto"/>
            <w:noWrap/>
            <w:vAlign w:val="center"/>
            <w:hideMark/>
          </w:tcPr>
          <w:p w14:paraId="5E543F0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67</w:t>
            </w:r>
          </w:p>
        </w:tc>
        <w:tc>
          <w:tcPr>
            <w:tcW w:w="1250" w:type="dxa"/>
            <w:tcBorders>
              <w:top w:val="nil"/>
              <w:left w:val="nil"/>
              <w:bottom w:val="nil"/>
              <w:right w:val="single" w:sz="4" w:space="0" w:color="auto"/>
            </w:tcBorders>
            <w:shd w:val="clear" w:color="auto" w:fill="auto"/>
            <w:noWrap/>
            <w:vAlign w:val="center"/>
            <w:hideMark/>
          </w:tcPr>
          <w:p w14:paraId="6102872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23.6</w:t>
            </w:r>
          </w:p>
        </w:tc>
        <w:tc>
          <w:tcPr>
            <w:tcW w:w="991" w:type="dxa"/>
            <w:tcBorders>
              <w:top w:val="nil"/>
              <w:left w:val="nil"/>
              <w:bottom w:val="nil"/>
              <w:right w:val="nil"/>
            </w:tcBorders>
            <w:shd w:val="clear" w:color="auto" w:fill="auto"/>
            <w:noWrap/>
            <w:vAlign w:val="center"/>
            <w:hideMark/>
          </w:tcPr>
          <w:p w14:paraId="3907789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196</w:t>
            </w:r>
          </w:p>
        </w:tc>
        <w:tc>
          <w:tcPr>
            <w:tcW w:w="722" w:type="dxa"/>
            <w:tcBorders>
              <w:top w:val="nil"/>
              <w:left w:val="nil"/>
              <w:bottom w:val="nil"/>
              <w:right w:val="nil"/>
            </w:tcBorders>
            <w:shd w:val="clear" w:color="auto" w:fill="auto"/>
            <w:noWrap/>
            <w:vAlign w:val="center"/>
            <w:hideMark/>
          </w:tcPr>
          <w:p w14:paraId="6EAA5D7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25.5</w:t>
            </w:r>
          </w:p>
        </w:tc>
        <w:tc>
          <w:tcPr>
            <w:tcW w:w="0" w:type="auto"/>
            <w:tcBorders>
              <w:top w:val="nil"/>
              <w:left w:val="single" w:sz="4" w:space="0" w:color="auto"/>
              <w:bottom w:val="nil"/>
              <w:right w:val="nil"/>
            </w:tcBorders>
            <w:shd w:val="clear" w:color="auto" w:fill="auto"/>
            <w:noWrap/>
            <w:vAlign w:val="center"/>
            <w:hideMark/>
          </w:tcPr>
          <w:p w14:paraId="18D0C74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359</w:t>
            </w:r>
          </w:p>
        </w:tc>
        <w:tc>
          <w:tcPr>
            <w:tcW w:w="959" w:type="dxa"/>
            <w:tcBorders>
              <w:top w:val="nil"/>
              <w:left w:val="nil"/>
              <w:bottom w:val="nil"/>
              <w:right w:val="single" w:sz="4" w:space="0" w:color="auto"/>
            </w:tcBorders>
            <w:shd w:val="clear" w:color="auto" w:fill="auto"/>
            <w:noWrap/>
            <w:vAlign w:val="center"/>
            <w:hideMark/>
          </w:tcPr>
          <w:p w14:paraId="1C79738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19.7</w:t>
            </w:r>
          </w:p>
        </w:tc>
        <w:tc>
          <w:tcPr>
            <w:tcW w:w="928" w:type="dxa"/>
            <w:tcBorders>
              <w:top w:val="nil"/>
              <w:left w:val="nil"/>
              <w:bottom w:val="nil"/>
              <w:right w:val="nil"/>
            </w:tcBorders>
            <w:shd w:val="clear" w:color="auto" w:fill="auto"/>
            <w:noWrap/>
            <w:vAlign w:val="center"/>
            <w:hideMark/>
          </w:tcPr>
          <w:p w14:paraId="7A51536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677</w:t>
            </w:r>
          </w:p>
        </w:tc>
        <w:tc>
          <w:tcPr>
            <w:tcW w:w="722" w:type="dxa"/>
            <w:tcBorders>
              <w:top w:val="nil"/>
              <w:left w:val="nil"/>
              <w:bottom w:val="nil"/>
              <w:right w:val="single" w:sz="4" w:space="0" w:color="auto"/>
            </w:tcBorders>
            <w:shd w:val="clear" w:color="auto" w:fill="auto"/>
            <w:noWrap/>
            <w:vAlign w:val="center"/>
            <w:hideMark/>
          </w:tcPr>
          <w:p w14:paraId="1CFACA4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20.6</w:t>
            </w:r>
          </w:p>
        </w:tc>
      </w:tr>
      <w:tr w:rsidR="003C652B" w:rsidRPr="00FB181B" w14:paraId="4A84B9C4"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0B0175A7"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3</w:t>
            </w:r>
          </w:p>
        </w:tc>
        <w:tc>
          <w:tcPr>
            <w:tcW w:w="0" w:type="auto"/>
            <w:tcBorders>
              <w:top w:val="nil"/>
              <w:left w:val="single" w:sz="4" w:space="0" w:color="auto"/>
              <w:bottom w:val="nil"/>
              <w:right w:val="nil"/>
            </w:tcBorders>
            <w:shd w:val="clear" w:color="auto" w:fill="auto"/>
            <w:noWrap/>
            <w:vAlign w:val="center"/>
            <w:hideMark/>
          </w:tcPr>
          <w:p w14:paraId="520B2F2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51</w:t>
            </w:r>
          </w:p>
        </w:tc>
        <w:tc>
          <w:tcPr>
            <w:tcW w:w="1153" w:type="dxa"/>
            <w:tcBorders>
              <w:top w:val="nil"/>
              <w:left w:val="nil"/>
              <w:bottom w:val="nil"/>
              <w:right w:val="single" w:sz="4" w:space="0" w:color="auto"/>
            </w:tcBorders>
            <w:shd w:val="clear" w:color="auto" w:fill="auto"/>
            <w:noWrap/>
            <w:vAlign w:val="center"/>
            <w:hideMark/>
          </w:tcPr>
          <w:p w14:paraId="121CE0C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12.2</w:t>
            </w:r>
          </w:p>
        </w:tc>
        <w:tc>
          <w:tcPr>
            <w:tcW w:w="0" w:type="auto"/>
            <w:tcBorders>
              <w:top w:val="nil"/>
              <w:left w:val="nil"/>
              <w:bottom w:val="nil"/>
              <w:right w:val="nil"/>
            </w:tcBorders>
            <w:shd w:val="clear" w:color="auto" w:fill="auto"/>
            <w:noWrap/>
            <w:vAlign w:val="center"/>
            <w:hideMark/>
          </w:tcPr>
          <w:p w14:paraId="78E91F6A"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43</w:t>
            </w:r>
          </w:p>
        </w:tc>
        <w:tc>
          <w:tcPr>
            <w:tcW w:w="1250" w:type="dxa"/>
            <w:tcBorders>
              <w:top w:val="nil"/>
              <w:left w:val="nil"/>
              <w:bottom w:val="nil"/>
              <w:right w:val="single" w:sz="4" w:space="0" w:color="auto"/>
            </w:tcBorders>
            <w:shd w:val="clear" w:color="auto" w:fill="auto"/>
            <w:noWrap/>
            <w:vAlign w:val="center"/>
            <w:hideMark/>
          </w:tcPr>
          <w:p w14:paraId="22672AE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15.1</w:t>
            </w:r>
          </w:p>
        </w:tc>
        <w:tc>
          <w:tcPr>
            <w:tcW w:w="991" w:type="dxa"/>
            <w:tcBorders>
              <w:top w:val="nil"/>
              <w:left w:val="nil"/>
              <w:bottom w:val="nil"/>
              <w:right w:val="nil"/>
            </w:tcBorders>
            <w:shd w:val="clear" w:color="auto" w:fill="auto"/>
            <w:noWrap/>
            <w:vAlign w:val="center"/>
            <w:hideMark/>
          </w:tcPr>
          <w:p w14:paraId="6AE4DFD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60</w:t>
            </w:r>
          </w:p>
        </w:tc>
        <w:tc>
          <w:tcPr>
            <w:tcW w:w="722" w:type="dxa"/>
            <w:tcBorders>
              <w:top w:val="nil"/>
              <w:left w:val="nil"/>
              <w:bottom w:val="nil"/>
              <w:right w:val="nil"/>
            </w:tcBorders>
            <w:shd w:val="clear" w:color="auto" w:fill="auto"/>
            <w:noWrap/>
            <w:vAlign w:val="center"/>
            <w:hideMark/>
          </w:tcPr>
          <w:p w14:paraId="696D113A"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7.8</w:t>
            </w:r>
          </w:p>
        </w:tc>
        <w:tc>
          <w:tcPr>
            <w:tcW w:w="0" w:type="auto"/>
            <w:tcBorders>
              <w:top w:val="nil"/>
              <w:left w:val="single" w:sz="4" w:space="0" w:color="auto"/>
              <w:bottom w:val="nil"/>
              <w:right w:val="nil"/>
            </w:tcBorders>
            <w:shd w:val="clear" w:color="auto" w:fill="auto"/>
            <w:noWrap/>
            <w:vAlign w:val="center"/>
            <w:hideMark/>
          </w:tcPr>
          <w:p w14:paraId="183AC64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199</w:t>
            </w:r>
          </w:p>
        </w:tc>
        <w:tc>
          <w:tcPr>
            <w:tcW w:w="959" w:type="dxa"/>
            <w:tcBorders>
              <w:top w:val="nil"/>
              <w:left w:val="nil"/>
              <w:bottom w:val="nil"/>
              <w:right w:val="single" w:sz="4" w:space="0" w:color="auto"/>
            </w:tcBorders>
            <w:shd w:val="clear" w:color="auto" w:fill="auto"/>
            <w:noWrap/>
            <w:vAlign w:val="center"/>
            <w:hideMark/>
          </w:tcPr>
          <w:p w14:paraId="21D61E7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10.9</w:t>
            </w:r>
          </w:p>
        </w:tc>
        <w:tc>
          <w:tcPr>
            <w:tcW w:w="928" w:type="dxa"/>
            <w:tcBorders>
              <w:top w:val="nil"/>
              <w:left w:val="nil"/>
              <w:bottom w:val="nil"/>
              <w:right w:val="nil"/>
            </w:tcBorders>
            <w:shd w:val="clear" w:color="auto" w:fill="auto"/>
            <w:noWrap/>
            <w:vAlign w:val="center"/>
            <w:hideMark/>
          </w:tcPr>
          <w:p w14:paraId="2E5C62D3"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353</w:t>
            </w:r>
          </w:p>
        </w:tc>
        <w:tc>
          <w:tcPr>
            <w:tcW w:w="722" w:type="dxa"/>
            <w:tcBorders>
              <w:top w:val="nil"/>
              <w:left w:val="nil"/>
              <w:bottom w:val="nil"/>
              <w:right w:val="single" w:sz="4" w:space="0" w:color="auto"/>
            </w:tcBorders>
            <w:shd w:val="clear" w:color="auto" w:fill="auto"/>
            <w:noWrap/>
            <w:vAlign w:val="center"/>
            <w:hideMark/>
          </w:tcPr>
          <w:p w14:paraId="2948021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10.7</w:t>
            </w:r>
          </w:p>
        </w:tc>
      </w:tr>
      <w:tr w:rsidR="003C652B" w:rsidRPr="00FB181B" w14:paraId="1A94695E"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60D781BF"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4</w:t>
            </w:r>
          </w:p>
        </w:tc>
        <w:tc>
          <w:tcPr>
            <w:tcW w:w="0" w:type="auto"/>
            <w:tcBorders>
              <w:top w:val="nil"/>
              <w:left w:val="single" w:sz="4" w:space="0" w:color="auto"/>
              <w:bottom w:val="nil"/>
              <w:right w:val="nil"/>
            </w:tcBorders>
            <w:shd w:val="clear" w:color="auto" w:fill="auto"/>
            <w:noWrap/>
            <w:vAlign w:val="center"/>
            <w:hideMark/>
          </w:tcPr>
          <w:p w14:paraId="46996BA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153" w:type="dxa"/>
            <w:tcBorders>
              <w:top w:val="nil"/>
              <w:left w:val="nil"/>
              <w:bottom w:val="nil"/>
              <w:right w:val="single" w:sz="4" w:space="0" w:color="auto"/>
            </w:tcBorders>
            <w:shd w:val="clear" w:color="auto" w:fill="auto"/>
            <w:noWrap/>
            <w:vAlign w:val="center"/>
            <w:hideMark/>
          </w:tcPr>
          <w:p w14:paraId="06C3DBC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nil"/>
              <w:bottom w:val="nil"/>
              <w:right w:val="nil"/>
            </w:tcBorders>
            <w:shd w:val="clear" w:color="auto" w:fill="auto"/>
            <w:noWrap/>
            <w:vAlign w:val="center"/>
            <w:hideMark/>
          </w:tcPr>
          <w:p w14:paraId="22D25F2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12</w:t>
            </w:r>
          </w:p>
        </w:tc>
        <w:tc>
          <w:tcPr>
            <w:tcW w:w="1250" w:type="dxa"/>
            <w:tcBorders>
              <w:top w:val="nil"/>
              <w:left w:val="nil"/>
              <w:bottom w:val="nil"/>
              <w:right w:val="single" w:sz="4" w:space="0" w:color="auto"/>
            </w:tcBorders>
            <w:shd w:val="clear" w:color="auto" w:fill="auto"/>
            <w:noWrap/>
            <w:vAlign w:val="center"/>
            <w:hideMark/>
          </w:tcPr>
          <w:p w14:paraId="7B98D4B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4.2</w:t>
            </w:r>
          </w:p>
        </w:tc>
        <w:tc>
          <w:tcPr>
            <w:tcW w:w="991" w:type="dxa"/>
            <w:tcBorders>
              <w:top w:val="nil"/>
              <w:left w:val="nil"/>
              <w:bottom w:val="nil"/>
              <w:right w:val="nil"/>
            </w:tcBorders>
            <w:shd w:val="clear" w:color="auto" w:fill="auto"/>
            <w:noWrap/>
            <w:vAlign w:val="center"/>
            <w:hideMark/>
          </w:tcPr>
          <w:p w14:paraId="3125A59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23</w:t>
            </w:r>
          </w:p>
        </w:tc>
        <w:tc>
          <w:tcPr>
            <w:tcW w:w="722" w:type="dxa"/>
            <w:tcBorders>
              <w:top w:val="nil"/>
              <w:left w:val="nil"/>
              <w:bottom w:val="nil"/>
              <w:right w:val="nil"/>
            </w:tcBorders>
            <w:shd w:val="clear" w:color="auto" w:fill="auto"/>
            <w:noWrap/>
            <w:vAlign w:val="center"/>
            <w:hideMark/>
          </w:tcPr>
          <w:p w14:paraId="0C4E200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3.0</w:t>
            </w:r>
          </w:p>
        </w:tc>
        <w:tc>
          <w:tcPr>
            <w:tcW w:w="0" w:type="auto"/>
            <w:tcBorders>
              <w:top w:val="nil"/>
              <w:left w:val="single" w:sz="4" w:space="0" w:color="auto"/>
              <w:bottom w:val="nil"/>
              <w:right w:val="nil"/>
            </w:tcBorders>
            <w:shd w:val="clear" w:color="auto" w:fill="auto"/>
            <w:noWrap/>
            <w:vAlign w:val="center"/>
            <w:hideMark/>
          </w:tcPr>
          <w:p w14:paraId="2C2F1FF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58</w:t>
            </w:r>
          </w:p>
        </w:tc>
        <w:tc>
          <w:tcPr>
            <w:tcW w:w="959" w:type="dxa"/>
            <w:tcBorders>
              <w:top w:val="nil"/>
              <w:left w:val="nil"/>
              <w:bottom w:val="nil"/>
              <w:right w:val="single" w:sz="4" w:space="0" w:color="auto"/>
            </w:tcBorders>
            <w:shd w:val="clear" w:color="auto" w:fill="auto"/>
            <w:noWrap/>
            <w:vAlign w:val="center"/>
            <w:hideMark/>
          </w:tcPr>
          <w:p w14:paraId="26E9C01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3.2</w:t>
            </w:r>
          </w:p>
        </w:tc>
        <w:tc>
          <w:tcPr>
            <w:tcW w:w="928" w:type="dxa"/>
            <w:tcBorders>
              <w:top w:val="nil"/>
              <w:left w:val="nil"/>
              <w:bottom w:val="nil"/>
              <w:right w:val="nil"/>
            </w:tcBorders>
            <w:shd w:val="clear" w:color="auto" w:fill="auto"/>
            <w:noWrap/>
            <w:vAlign w:val="center"/>
            <w:hideMark/>
          </w:tcPr>
          <w:p w14:paraId="7079F94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93</w:t>
            </w:r>
          </w:p>
        </w:tc>
        <w:tc>
          <w:tcPr>
            <w:tcW w:w="722" w:type="dxa"/>
            <w:tcBorders>
              <w:top w:val="nil"/>
              <w:left w:val="nil"/>
              <w:bottom w:val="nil"/>
              <w:right w:val="single" w:sz="4" w:space="0" w:color="auto"/>
            </w:tcBorders>
            <w:shd w:val="clear" w:color="auto" w:fill="auto"/>
            <w:noWrap/>
            <w:vAlign w:val="center"/>
            <w:hideMark/>
          </w:tcPr>
          <w:p w14:paraId="125D2656"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2.8</w:t>
            </w:r>
          </w:p>
        </w:tc>
      </w:tr>
      <w:tr w:rsidR="003C652B" w:rsidRPr="00FB181B" w14:paraId="558E618E"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4A9AF07F"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5</w:t>
            </w:r>
          </w:p>
        </w:tc>
        <w:tc>
          <w:tcPr>
            <w:tcW w:w="0" w:type="auto"/>
            <w:tcBorders>
              <w:top w:val="nil"/>
              <w:left w:val="single" w:sz="4" w:space="0" w:color="auto"/>
              <w:bottom w:val="nil"/>
              <w:right w:val="nil"/>
            </w:tcBorders>
            <w:shd w:val="clear" w:color="auto" w:fill="auto"/>
            <w:noWrap/>
            <w:vAlign w:val="center"/>
            <w:hideMark/>
          </w:tcPr>
          <w:p w14:paraId="35091E9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48</w:t>
            </w:r>
          </w:p>
        </w:tc>
        <w:tc>
          <w:tcPr>
            <w:tcW w:w="1153" w:type="dxa"/>
            <w:tcBorders>
              <w:top w:val="nil"/>
              <w:left w:val="nil"/>
              <w:bottom w:val="nil"/>
              <w:right w:val="single" w:sz="4" w:space="0" w:color="auto"/>
            </w:tcBorders>
            <w:shd w:val="clear" w:color="auto" w:fill="auto"/>
            <w:noWrap/>
            <w:vAlign w:val="center"/>
            <w:hideMark/>
          </w:tcPr>
          <w:p w14:paraId="39E65FC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11.5</w:t>
            </w:r>
          </w:p>
        </w:tc>
        <w:tc>
          <w:tcPr>
            <w:tcW w:w="0" w:type="auto"/>
            <w:tcBorders>
              <w:top w:val="nil"/>
              <w:left w:val="nil"/>
              <w:bottom w:val="nil"/>
              <w:right w:val="nil"/>
            </w:tcBorders>
            <w:shd w:val="clear" w:color="auto" w:fill="auto"/>
            <w:noWrap/>
            <w:vAlign w:val="center"/>
            <w:hideMark/>
          </w:tcPr>
          <w:p w14:paraId="55F4B9CB"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29</w:t>
            </w:r>
          </w:p>
        </w:tc>
        <w:tc>
          <w:tcPr>
            <w:tcW w:w="1250" w:type="dxa"/>
            <w:tcBorders>
              <w:top w:val="nil"/>
              <w:left w:val="nil"/>
              <w:bottom w:val="nil"/>
              <w:right w:val="single" w:sz="4" w:space="0" w:color="auto"/>
            </w:tcBorders>
            <w:shd w:val="clear" w:color="auto" w:fill="auto"/>
            <w:noWrap/>
            <w:vAlign w:val="center"/>
            <w:hideMark/>
          </w:tcPr>
          <w:p w14:paraId="2888878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10.2</w:t>
            </w:r>
          </w:p>
        </w:tc>
        <w:tc>
          <w:tcPr>
            <w:tcW w:w="991" w:type="dxa"/>
            <w:tcBorders>
              <w:top w:val="nil"/>
              <w:left w:val="nil"/>
              <w:bottom w:val="nil"/>
              <w:right w:val="nil"/>
            </w:tcBorders>
            <w:shd w:val="clear" w:color="auto" w:fill="auto"/>
            <w:noWrap/>
            <w:vAlign w:val="center"/>
            <w:hideMark/>
          </w:tcPr>
          <w:p w14:paraId="18C4E7CB"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23</w:t>
            </w:r>
          </w:p>
        </w:tc>
        <w:tc>
          <w:tcPr>
            <w:tcW w:w="722" w:type="dxa"/>
            <w:tcBorders>
              <w:top w:val="nil"/>
              <w:left w:val="nil"/>
              <w:bottom w:val="nil"/>
              <w:right w:val="nil"/>
            </w:tcBorders>
            <w:shd w:val="clear" w:color="auto" w:fill="auto"/>
            <w:noWrap/>
            <w:vAlign w:val="center"/>
            <w:hideMark/>
          </w:tcPr>
          <w:p w14:paraId="54FD19BB"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3.0</w:t>
            </w:r>
          </w:p>
        </w:tc>
        <w:tc>
          <w:tcPr>
            <w:tcW w:w="0" w:type="auto"/>
            <w:tcBorders>
              <w:top w:val="nil"/>
              <w:left w:val="single" w:sz="4" w:space="0" w:color="auto"/>
              <w:bottom w:val="nil"/>
              <w:right w:val="nil"/>
            </w:tcBorders>
            <w:shd w:val="clear" w:color="auto" w:fill="auto"/>
            <w:noWrap/>
            <w:vAlign w:val="center"/>
            <w:hideMark/>
          </w:tcPr>
          <w:p w14:paraId="0CD1039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55</w:t>
            </w:r>
          </w:p>
        </w:tc>
        <w:tc>
          <w:tcPr>
            <w:tcW w:w="959" w:type="dxa"/>
            <w:tcBorders>
              <w:top w:val="nil"/>
              <w:left w:val="nil"/>
              <w:bottom w:val="nil"/>
              <w:right w:val="single" w:sz="4" w:space="0" w:color="auto"/>
            </w:tcBorders>
            <w:shd w:val="clear" w:color="auto" w:fill="auto"/>
            <w:noWrap/>
            <w:vAlign w:val="center"/>
            <w:hideMark/>
          </w:tcPr>
          <w:p w14:paraId="498447F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3.0</w:t>
            </w:r>
          </w:p>
        </w:tc>
        <w:tc>
          <w:tcPr>
            <w:tcW w:w="928" w:type="dxa"/>
            <w:tcBorders>
              <w:top w:val="nil"/>
              <w:left w:val="nil"/>
              <w:bottom w:val="nil"/>
              <w:right w:val="nil"/>
            </w:tcBorders>
            <w:shd w:val="clear" w:color="auto" w:fill="auto"/>
            <w:noWrap/>
            <w:vAlign w:val="center"/>
            <w:hideMark/>
          </w:tcPr>
          <w:p w14:paraId="72CAD0A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155</w:t>
            </w:r>
          </w:p>
        </w:tc>
        <w:tc>
          <w:tcPr>
            <w:tcW w:w="722" w:type="dxa"/>
            <w:tcBorders>
              <w:top w:val="nil"/>
              <w:left w:val="nil"/>
              <w:bottom w:val="nil"/>
              <w:right w:val="single" w:sz="4" w:space="0" w:color="auto"/>
            </w:tcBorders>
            <w:shd w:val="clear" w:color="auto" w:fill="auto"/>
            <w:noWrap/>
            <w:vAlign w:val="center"/>
            <w:hideMark/>
          </w:tcPr>
          <w:p w14:paraId="69B4BB9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4.7</w:t>
            </w:r>
          </w:p>
        </w:tc>
      </w:tr>
      <w:tr w:rsidR="003C652B" w:rsidRPr="00FB181B" w14:paraId="0B2A2C4D"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52417786"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7</w:t>
            </w:r>
          </w:p>
        </w:tc>
        <w:tc>
          <w:tcPr>
            <w:tcW w:w="0" w:type="auto"/>
            <w:tcBorders>
              <w:top w:val="nil"/>
              <w:left w:val="single" w:sz="4" w:space="0" w:color="auto"/>
              <w:bottom w:val="nil"/>
              <w:right w:val="nil"/>
            </w:tcBorders>
            <w:shd w:val="clear" w:color="auto" w:fill="auto"/>
            <w:noWrap/>
            <w:vAlign w:val="center"/>
            <w:hideMark/>
          </w:tcPr>
          <w:p w14:paraId="349341F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153" w:type="dxa"/>
            <w:tcBorders>
              <w:top w:val="nil"/>
              <w:left w:val="nil"/>
              <w:bottom w:val="nil"/>
              <w:right w:val="single" w:sz="4" w:space="0" w:color="auto"/>
            </w:tcBorders>
            <w:shd w:val="clear" w:color="auto" w:fill="auto"/>
            <w:noWrap/>
            <w:vAlign w:val="center"/>
            <w:hideMark/>
          </w:tcPr>
          <w:p w14:paraId="1055BAD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nil"/>
              <w:bottom w:val="nil"/>
              <w:right w:val="nil"/>
            </w:tcBorders>
            <w:shd w:val="clear" w:color="auto" w:fill="auto"/>
            <w:noWrap/>
            <w:vAlign w:val="center"/>
            <w:hideMark/>
          </w:tcPr>
          <w:p w14:paraId="43ED2FA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250" w:type="dxa"/>
            <w:tcBorders>
              <w:top w:val="nil"/>
              <w:left w:val="nil"/>
              <w:bottom w:val="nil"/>
              <w:right w:val="single" w:sz="4" w:space="0" w:color="auto"/>
            </w:tcBorders>
            <w:shd w:val="clear" w:color="auto" w:fill="auto"/>
            <w:noWrap/>
            <w:vAlign w:val="center"/>
            <w:hideMark/>
          </w:tcPr>
          <w:p w14:paraId="7D4A154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991" w:type="dxa"/>
            <w:tcBorders>
              <w:top w:val="nil"/>
              <w:left w:val="nil"/>
              <w:bottom w:val="nil"/>
              <w:right w:val="nil"/>
            </w:tcBorders>
            <w:shd w:val="clear" w:color="auto" w:fill="auto"/>
            <w:noWrap/>
            <w:vAlign w:val="center"/>
            <w:hideMark/>
          </w:tcPr>
          <w:p w14:paraId="1E1FF993"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722" w:type="dxa"/>
            <w:tcBorders>
              <w:top w:val="nil"/>
              <w:left w:val="nil"/>
              <w:bottom w:val="nil"/>
              <w:right w:val="nil"/>
            </w:tcBorders>
            <w:shd w:val="clear" w:color="auto" w:fill="auto"/>
            <w:noWrap/>
            <w:vAlign w:val="center"/>
            <w:hideMark/>
          </w:tcPr>
          <w:p w14:paraId="4BB644B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single" w:sz="4" w:space="0" w:color="auto"/>
              <w:bottom w:val="nil"/>
              <w:right w:val="nil"/>
            </w:tcBorders>
            <w:shd w:val="clear" w:color="auto" w:fill="auto"/>
            <w:noWrap/>
            <w:vAlign w:val="center"/>
            <w:hideMark/>
          </w:tcPr>
          <w:p w14:paraId="2A76B876"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w:t>
            </w:r>
          </w:p>
        </w:tc>
        <w:tc>
          <w:tcPr>
            <w:tcW w:w="959" w:type="dxa"/>
            <w:tcBorders>
              <w:top w:val="nil"/>
              <w:left w:val="nil"/>
              <w:bottom w:val="nil"/>
              <w:right w:val="single" w:sz="4" w:space="0" w:color="auto"/>
            </w:tcBorders>
            <w:shd w:val="clear" w:color="auto" w:fill="auto"/>
            <w:noWrap/>
            <w:vAlign w:val="center"/>
            <w:hideMark/>
          </w:tcPr>
          <w:p w14:paraId="278F3F2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0.2</w:t>
            </w:r>
          </w:p>
        </w:tc>
        <w:tc>
          <w:tcPr>
            <w:tcW w:w="928" w:type="dxa"/>
            <w:tcBorders>
              <w:top w:val="nil"/>
              <w:left w:val="nil"/>
              <w:bottom w:val="nil"/>
              <w:right w:val="nil"/>
            </w:tcBorders>
            <w:shd w:val="clear" w:color="auto" w:fill="auto"/>
            <w:noWrap/>
            <w:vAlign w:val="center"/>
            <w:hideMark/>
          </w:tcPr>
          <w:p w14:paraId="3D760B5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w:t>
            </w:r>
          </w:p>
        </w:tc>
        <w:tc>
          <w:tcPr>
            <w:tcW w:w="722" w:type="dxa"/>
            <w:tcBorders>
              <w:top w:val="nil"/>
              <w:left w:val="nil"/>
              <w:bottom w:val="nil"/>
              <w:right w:val="single" w:sz="4" w:space="0" w:color="auto"/>
            </w:tcBorders>
            <w:shd w:val="clear" w:color="auto" w:fill="auto"/>
            <w:noWrap/>
            <w:vAlign w:val="center"/>
            <w:hideMark/>
          </w:tcPr>
          <w:p w14:paraId="749ECCF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0.1</w:t>
            </w:r>
          </w:p>
        </w:tc>
      </w:tr>
      <w:tr w:rsidR="003C652B" w:rsidRPr="00FB181B" w14:paraId="071D4FFE" w14:textId="77777777" w:rsidTr="0086383F">
        <w:trPr>
          <w:trHeight w:val="300"/>
        </w:trPr>
        <w:tc>
          <w:tcPr>
            <w:tcW w:w="993" w:type="dxa"/>
            <w:tcBorders>
              <w:top w:val="nil"/>
              <w:left w:val="single" w:sz="4" w:space="0" w:color="auto"/>
              <w:bottom w:val="nil"/>
              <w:right w:val="nil"/>
            </w:tcBorders>
            <w:shd w:val="clear" w:color="auto" w:fill="auto"/>
            <w:noWrap/>
            <w:vAlign w:val="center"/>
            <w:hideMark/>
          </w:tcPr>
          <w:p w14:paraId="6BF23028"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8</w:t>
            </w:r>
          </w:p>
        </w:tc>
        <w:tc>
          <w:tcPr>
            <w:tcW w:w="0" w:type="auto"/>
            <w:tcBorders>
              <w:top w:val="nil"/>
              <w:left w:val="single" w:sz="4" w:space="0" w:color="auto"/>
              <w:bottom w:val="nil"/>
              <w:right w:val="nil"/>
            </w:tcBorders>
            <w:shd w:val="clear" w:color="auto" w:fill="auto"/>
            <w:noWrap/>
            <w:vAlign w:val="center"/>
            <w:hideMark/>
          </w:tcPr>
          <w:p w14:paraId="452E527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153" w:type="dxa"/>
            <w:tcBorders>
              <w:top w:val="nil"/>
              <w:left w:val="nil"/>
              <w:bottom w:val="nil"/>
              <w:right w:val="single" w:sz="4" w:space="0" w:color="auto"/>
            </w:tcBorders>
            <w:shd w:val="clear" w:color="auto" w:fill="auto"/>
            <w:noWrap/>
            <w:vAlign w:val="center"/>
            <w:hideMark/>
          </w:tcPr>
          <w:p w14:paraId="1D1F44E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nil"/>
              <w:bottom w:val="nil"/>
              <w:right w:val="nil"/>
            </w:tcBorders>
            <w:shd w:val="clear" w:color="auto" w:fill="auto"/>
            <w:noWrap/>
            <w:vAlign w:val="center"/>
            <w:hideMark/>
          </w:tcPr>
          <w:p w14:paraId="53A2197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250" w:type="dxa"/>
            <w:tcBorders>
              <w:top w:val="nil"/>
              <w:left w:val="nil"/>
              <w:bottom w:val="nil"/>
              <w:right w:val="single" w:sz="4" w:space="0" w:color="auto"/>
            </w:tcBorders>
            <w:shd w:val="clear" w:color="auto" w:fill="auto"/>
            <w:noWrap/>
            <w:vAlign w:val="center"/>
            <w:hideMark/>
          </w:tcPr>
          <w:p w14:paraId="0CB6FC9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991" w:type="dxa"/>
            <w:tcBorders>
              <w:top w:val="nil"/>
              <w:left w:val="nil"/>
              <w:bottom w:val="nil"/>
              <w:right w:val="nil"/>
            </w:tcBorders>
            <w:shd w:val="clear" w:color="auto" w:fill="auto"/>
            <w:noWrap/>
            <w:vAlign w:val="center"/>
            <w:hideMark/>
          </w:tcPr>
          <w:p w14:paraId="6305D07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w:t>
            </w:r>
          </w:p>
        </w:tc>
        <w:tc>
          <w:tcPr>
            <w:tcW w:w="722" w:type="dxa"/>
            <w:tcBorders>
              <w:top w:val="nil"/>
              <w:left w:val="nil"/>
              <w:bottom w:val="nil"/>
              <w:right w:val="nil"/>
            </w:tcBorders>
            <w:shd w:val="clear" w:color="auto" w:fill="auto"/>
            <w:noWrap/>
            <w:vAlign w:val="center"/>
            <w:hideMark/>
          </w:tcPr>
          <w:p w14:paraId="711BB00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0.3</w:t>
            </w:r>
          </w:p>
        </w:tc>
        <w:tc>
          <w:tcPr>
            <w:tcW w:w="0" w:type="auto"/>
            <w:tcBorders>
              <w:top w:val="nil"/>
              <w:left w:val="single" w:sz="4" w:space="0" w:color="auto"/>
              <w:bottom w:val="nil"/>
              <w:right w:val="nil"/>
            </w:tcBorders>
            <w:shd w:val="clear" w:color="auto" w:fill="auto"/>
            <w:noWrap/>
            <w:vAlign w:val="center"/>
            <w:hideMark/>
          </w:tcPr>
          <w:p w14:paraId="4E3E2430"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15</w:t>
            </w:r>
          </w:p>
        </w:tc>
        <w:tc>
          <w:tcPr>
            <w:tcW w:w="959" w:type="dxa"/>
            <w:tcBorders>
              <w:top w:val="nil"/>
              <w:left w:val="nil"/>
              <w:bottom w:val="nil"/>
              <w:right w:val="single" w:sz="4" w:space="0" w:color="auto"/>
            </w:tcBorders>
            <w:shd w:val="clear" w:color="auto" w:fill="auto"/>
            <w:noWrap/>
            <w:vAlign w:val="center"/>
            <w:hideMark/>
          </w:tcPr>
          <w:p w14:paraId="40FF1F4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0.8</w:t>
            </w:r>
          </w:p>
        </w:tc>
        <w:tc>
          <w:tcPr>
            <w:tcW w:w="928" w:type="dxa"/>
            <w:tcBorders>
              <w:top w:val="nil"/>
              <w:left w:val="nil"/>
              <w:bottom w:val="nil"/>
              <w:right w:val="nil"/>
            </w:tcBorders>
            <w:shd w:val="clear" w:color="auto" w:fill="auto"/>
            <w:noWrap/>
            <w:vAlign w:val="center"/>
            <w:hideMark/>
          </w:tcPr>
          <w:p w14:paraId="165FB878"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17</w:t>
            </w:r>
          </w:p>
        </w:tc>
        <w:tc>
          <w:tcPr>
            <w:tcW w:w="722" w:type="dxa"/>
            <w:tcBorders>
              <w:top w:val="nil"/>
              <w:left w:val="nil"/>
              <w:bottom w:val="nil"/>
              <w:right w:val="single" w:sz="4" w:space="0" w:color="auto"/>
            </w:tcBorders>
            <w:shd w:val="clear" w:color="auto" w:fill="auto"/>
            <w:noWrap/>
            <w:vAlign w:val="center"/>
            <w:hideMark/>
          </w:tcPr>
          <w:p w14:paraId="7134869E"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0.5</w:t>
            </w:r>
          </w:p>
        </w:tc>
      </w:tr>
      <w:tr w:rsidR="003C652B" w:rsidRPr="00FB181B" w14:paraId="4ADC9552" w14:textId="77777777" w:rsidTr="0086383F">
        <w:trPr>
          <w:trHeight w:val="300"/>
        </w:trPr>
        <w:tc>
          <w:tcPr>
            <w:tcW w:w="993" w:type="dxa"/>
            <w:tcBorders>
              <w:top w:val="nil"/>
              <w:left w:val="single" w:sz="4" w:space="0" w:color="auto"/>
              <w:bottom w:val="single" w:sz="4" w:space="0" w:color="auto"/>
              <w:right w:val="nil"/>
            </w:tcBorders>
            <w:shd w:val="clear" w:color="auto" w:fill="auto"/>
            <w:noWrap/>
            <w:vAlign w:val="center"/>
            <w:hideMark/>
          </w:tcPr>
          <w:p w14:paraId="0A9268AB" w14:textId="77777777" w:rsidR="00FB181B" w:rsidRPr="00FB181B" w:rsidRDefault="00FB181B" w:rsidP="00FB181B">
            <w:pPr>
              <w:spacing w:after="0" w:line="240" w:lineRule="auto"/>
              <w:ind w:firstLineChars="100" w:firstLine="220"/>
              <w:rPr>
                <w:rFonts w:ascii="Calibri" w:eastAsia="Times New Roman" w:hAnsi="Calibri" w:cs="Calibri"/>
                <w:color w:val="000000"/>
              </w:rPr>
            </w:pPr>
            <w:r w:rsidRPr="00FB181B">
              <w:rPr>
                <w:rFonts w:ascii="Calibri" w:eastAsia="Times New Roman" w:hAnsi="Calibri" w:cs="Calibri"/>
                <w:color w:val="000000"/>
              </w:rPr>
              <w:t>9</w:t>
            </w:r>
          </w:p>
        </w:tc>
        <w:tc>
          <w:tcPr>
            <w:tcW w:w="0" w:type="auto"/>
            <w:tcBorders>
              <w:top w:val="nil"/>
              <w:left w:val="single" w:sz="4" w:space="0" w:color="auto"/>
              <w:bottom w:val="single" w:sz="4" w:space="0" w:color="auto"/>
              <w:right w:val="nil"/>
            </w:tcBorders>
            <w:shd w:val="clear" w:color="auto" w:fill="auto"/>
            <w:noWrap/>
            <w:vAlign w:val="center"/>
            <w:hideMark/>
          </w:tcPr>
          <w:p w14:paraId="2DC60DBD"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153" w:type="dxa"/>
            <w:tcBorders>
              <w:top w:val="nil"/>
              <w:left w:val="nil"/>
              <w:bottom w:val="single" w:sz="4" w:space="0" w:color="auto"/>
              <w:right w:val="single" w:sz="4" w:space="0" w:color="auto"/>
            </w:tcBorders>
            <w:shd w:val="clear" w:color="auto" w:fill="auto"/>
            <w:noWrap/>
            <w:vAlign w:val="center"/>
            <w:hideMark/>
          </w:tcPr>
          <w:p w14:paraId="2209C62E"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nil"/>
              <w:bottom w:val="single" w:sz="4" w:space="0" w:color="auto"/>
              <w:right w:val="nil"/>
            </w:tcBorders>
            <w:shd w:val="clear" w:color="auto" w:fill="auto"/>
            <w:noWrap/>
            <w:vAlign w:val="center"/>
            <w:hideMark/>
          </w:tcPr>
          <w:p w14:paraId="6C04A73A"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1250" w:type="dxa"/>
            <w:tcBorders>
              <w:top w:val="nil"/>
              <w:left w:val="nil"/>
              <w:bottom w:val="single" w:sz="4" w:space="0" w:color="auto"/>
              <w:right w:val="single" w:sz="4" w:space="0" w:color="auto"/>
            </w:tcBorders>
            <w:shd w:val="clear" w:color="auto" w:fill="auto"/>
            <w:noWrap/>
            <w:vAlign w:val="center"/>
            <w:hideMark/>
          </w:tcPr>
          <w:p w14:paraId="0990581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991" w:type="dxa"/>
            <w:tcBorders>
              <w:top w:val="nil"/>
              <w:left w:val="nil"/>
              <w:bottom w:val="single" w:sz="4" w:space="0" w:color="auto"/>
              <w:right w:val="nil"/>
            </w:tcBorders>
            <w:shd w:val="clear" w:color="auto" w:fill="auto"/>
            <w:noWrap/>
            <w:vAlign w:val="center"/>
            <w:hideMark/>
          </w:tcPr>
          <w:p w14:paraId="018FC26C"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w:t>
            </w:r>
          </w:p>
        </w:tc>
        <w:tc>
          <w:tcPr>
            <w:tcW w:w="722" w:type="dxa"/>
            <w:tcBorders>
              <w:top w:val="nil"/>
              <w:left w:val="nil"/>
              <w:bottom w:val="single" w:sz="4" w:space="0" w:color="auto"/>
              <w:right w:val="nil"/>
            </w:tcBorders>
            <w:shd w:val="clear" w:color="auto" w:fill="auto"/>
            <w:noWrap/>
            <w:vAlign w:val="center"/>
            <w:hideMark/>
          </w:tcPr>
          <w:p w14:paraId="032263D5"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0.0</w:t>
            </w:r>
          </w:p>
        </w:tc>
        <w:tc>
          <w:tcPr>
            <w:tcW w:w="0" w:type="auto"/>
            <w:tcBorders>
              <w:top w:val="nil"/>
              <w:left w:val="single" w:sz="4" w:space="0" w:color="auto"/>
              <w:bottom w:val="single" w:sz="4" w:space="0" w:color="auto"/>
              <w:right w:val="nil"/>
            </w:tcBorders>
            <w:shd w:val="clear" w:color="auto" w:fill="auto"/>
            <w:noWrap/>
            <w:vAlign w:val="center"/>
            <w:hideMark/>
          </w:tcPr>
          <w:p w14:paraId="595C9781"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w:t>
            </w:r>
          </w:p>
        </w:tc>
        <w:tc>
          <w:tcPr>
            <w:tcW w:w="959" w:type="dxa"/>
            <w:tcBorders>
              <w:top w:val="nil"/>
              <w:left w:val="nil"/>
              <w:bottom w:val="single" w:sz="4" w:space="0" w:color="auto"/>
              <w:right w:val="single" w:sz="4" w:space="0" w:color="auto"/>
            </w:tcBorders>
            <w:shd w:val="clear" w:color="auto" w:fill="auto"/>
            <w:noWrap/>
            <w:vAlign w:val="center"/>
            <w:hideMark/>
          </w:tcPr>
          <w:p w14:paraId="502D0CE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0.1</w:t>
            </w:r>
          </w:p>
        </w:tc>
        <w:tc>
          <w:tcPr>
            <w:tcW w:w="928" w:type="dxa"/>
            <w:tcBorders>
              <w:top w:val="nil"/>
              <w:left w:val="nil"/>
              <w:bottom w:val="single" w:sz="4" w:space="0" w:color="auto"/>
              <w:right w:val="nil"/>
            </w:tcBorders>
            <w:shd w:val="clear" w:color="auto" w:fill="auto"/>
            <w:noWrap/>
            <w:vAlign w:val="center"/>
            <w:hideMark/>
          </w:tcPr>
          <w:p w14:paraId="6B542399"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w:t>
            </w:r>
          </w:p>
        </w:tc>
        <w:tc>
          <w:tcPr>
            <w:tcW w:w="722" w:type="dxa"/>
            <w:tcBorders>
              <w:top w:val="nil"/>
              <w:left w:val="nil"/>
              <w:bottom w:val="single" w:sz="4" w:space="0" w:color="auto"/>
              <w:right w:val="single" w:sz="4" w:space="0" w:color="auto"/>
            </w:tcBorders>
            <w:shd w:val="clear" w:color="auto" w:fill="auto"/>
            <w:noWrap/>
            <w:vAlign w:val="center"/>
            <w:hideMark/>
          </w:tcPr>
          <w:p w14:paraId="15E69B32"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0.1</w:t>
            </w:r>
          </w:p>
        </w:tc>
      </w:tr>
      <w:tr w:rsidR="003C652B" w:rsidRPr="00FB181B" w14:paraId="2DA55B9D" w14:textId="77777777" w:rsidTr="0086383F">
        <w:trPr>
          <w:trHeight w:val="30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B59418F" w14:textId="77777777" w:rsidR="00FB181B" w:rsidRPr="00FB181B" w:rsidRDefault="00FB181B" w:rsidP="00FB181B">
            <w:pPr>
              <w:spacing w:after="0" w:line="240" w:lineRule="auto"/>
              <w:rPr>
                <w:rFonts w:ascii="Calibri" w:eastAsia="Times New Roman" w:hAnsi="Calibri" w:cs="Calibri"/>
                <w:color w:val="000000"/>
              </w:rPr>
            </w:pPr>
            <w:r w:rsidRPr="00FB181B">
              <w:rPr>
                <w:rFonts w:ascii="Calibri" w:eastAsia="Times New Roman" w:hAnsi="Calibri" w:cs="Calibri"/>
                <w:color w:val="000000"/>
              </w:rPr>
              <w:t>Total</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34CB76"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417</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566E56C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0" w:type="auto"/>
            <w:tcBorders>
              <w:top w:val="single" w:sz="4" w:space="0" w:color="auto"/>
              <w:left w:val="nil"/>
              <w:bottom w:val="single" w:sz="4" w:space="0" w:color="auto"/>
              <w:right w:val="nil"/>
            </w:tcBorders>
            <w:shd w:val="clear" w:color="auto" w:fill="auto"/>
            <w:noWrap/>
            <w:vAlign w:val="center"/>
            <w:hideMark/>
          </w:tcPr>
          <w:p w14:paraId="6203826E"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284</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3BAF9F03"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991" w:type="dxa"/>
            <w:tcBorders>
              <w:top w:val="single" w:sz="4" w:space="0" w:color="auto"/>
              <w:left w:val="nil"/>
              <w:bottom w:val="single" w:sz="4" w:space="0" w:color="auto"/>
              <w:right w:val="nil"/>
            </w:tcBorders>
            <w:shd w:val="clear" w:color="auto" w:fill="auto"/>
            <w:noWrap/>
            <w:vAlign w:val="center"/>
            <w:hideMark/>
          </w:tcPr>
          <w:p w14:paraId="5B7402E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770</w:t>
            </w:r>
          </w:p>
        </w:tc>
        <w:tc>
          <w:tcPr>
            <w:tcW w:w="722" w:type="dxa"/>
            <w:tcBorders>
              <w:top w:val="single" w:sz="4" w:space="0" w:color="auto"/>
              <w:left w:val="nil"/>
              <w:bottom w:val="single" w:sz="4" w:space="0" w:color="auto"/>
              <w:right w:val="nil"/>
            </w:tcBorders>
            <w:shd w:val="clear" w:color="auto" w:fill="auto"/>
            <w:noWrap/>
            <w:vAlign w:val="center"/>
            <w:hideMark/>
          </w:tcPr>
          <w:p w14:paraId="0C9FC5A4"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6DCBC3" w14:textId="3D9D48BC"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w:t>
            </w:r>
            <w:r w:rsidR="003C652B">
              <w:rPr>
                <w:rFonts w:ascii="Calibri" w:eastAsia="Times New Roman" w:hAnsi="Calibri" w:cs="Calibri"/>
                <w:color w:val="000000"/>
              </w:rPr>
              <w:t>,</w:t>
            </w:r>
            <w:r w:rsidRPr="00FB181B">
              <w:rPr>
                <w:rFonts w:ascii="Calibri" w:eastAsia="Times New Roman" w:hAnsi="Calibri" w:cs="Calibri"/>
                <w:color w:val="000000"/>
              </w:rPr>
              <w:t>818</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72EF7F7"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c>
          <w:tcPr>
            <w:tcW w:w="928" w:type="dxa"/>
            <w:tcBorders>
              <w:top w:val="single" w:sz="4" w:space="0" w:color="auto"/>
              <w:left w:val="nil"/>
              <w:bottom w:val="single" w:sz="4" w:space="0" w:color="auto"/>
              <w:right w:val="nil"/>
            </w:tcBorders>
            <w:shd w:val="clear" w:color="auto" w:fill="auto"/>
            <w:noWrap/>
            <w:vAlign w:val="center"/>
            <w:hideMark/>
          </w:tcPr>
          <w:p w14:paraId="3FEBAFCC" w14:textId="55FC1A4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3</w:t>
            </w:r>
            <w:r w:rsidR="003C652B">
              <w:rPr>
                <w:rFonts w:ascii="Calibri" w:eastAsia="Times New Roman" w:hAnsi="Calibri" w:cs="Calibri"/>
                <w:color w:val="000000"/>
              </w:rPr>
              <w:t>,</w:t>
            </w:r>
            <w:r w:rsidRPr="00FB181B">
              <w:rPr>
                <w:rFonts w:ascii="Calibri" w:eastAsia="Times New Roman" w:hAnsi="Calibri" w:cs="Calibri"/>
                <w:color w:val="000000"/>
              </w:rPr>
              <w:t>289</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FC4029F" w14:textId="77777777" w:rsidR="00FB181B" w:rsidRPr="00FB181B" w:rsidRDefault="00FB181B" w:rsidP="00FB181B">
            <w:pPr>
              <w:spacing w:after="0" w:line="240" w:lineRule="auto"/>
              <w:jc w:val="right"/>
              <w:rPr>
                <w:rFonts w:ascii="Calibri" w:eastAsia="Times New Roman" w:hAnsi="Calibri" w:cs="Calibri"/>
                <w:color w:val="000000"/>
              </w:rPr>
            </w:pPr>
            <w:r w:rsidRPr="00FB181B">
              <w:rPr>
                <w:rFonts w:ascii="Calibri" w:eastAsia="Times New Roman" w:hAnsi="Calibri" w:cs="Calibri"/>
                <w:color w:val="000000"/>
              </w:rPr>
              <w:t>100.0</w:t>
            </w:r>
          </w:p>
        </w:tc>
      </w:tr>
    </w:tbl>
    <w:p w14:paraId="21D96786" w14:textId="77777777" w:rsidR="0086383F" w:rsidRPr="00920110" w:rsidRDefault="0086383F" w:rsidP="0086383F">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6BC8B391" w14:textId="77777777" w:rsidR="00E547A4" w:rsidRDefault="00E547A4">
      <w:pPr>
        <w:rPr>
          <w:b/>
          <w:bCs/>
        </w:rPr>
      </w:pPr>
      <w:r>
        <w:rPr>
          <w:b/>
          <w:bCs/>
        </w:rPr>
        <w:br w:type="page"/>
      </w:r>
    </w:p>
    <w:p w14:paraId="60429D73" w14:textId="2F14CF4F" w:rsidR="002047F9" w:rsidRPr="009562E3" w:rsidRDefault="002047F9">
      <w:r w:rsidRPr="002047F9">
        <w:rPr>
          <w:b/>
          <w:bCs/>
        </w:rPr>
        <w:lastRenderedPageBreak/>
        <w:t xml:space="preserve">Appendix 6. </w:t>
      </w:r>
      <w:r w:rsidRPr="009562E3">
        <w:t>Number of ILI-related reactive school closures and productivity costs from 2011-</w:t>
      </w:r>
      <w:r w:rsidR="00EC02CD">
        <w:t>20</w:t>
      </w:r>
      <w:r w:rsidRPr="009562E3">
        <w:t>12 to 2018-</w:t>
      </w:r>
      <w:r w:rsidR="00EC02CD">
        <w:t>20</w:t>
      </w:r>
      <w:r w:rsidRPr="009562E3">
        <w:t>19</w:t>
      </w:r>
    </w:p>
    <w:tbl>
      <w:tblPr>
        <w:tblW w:w="9265" w:type="dxa"/>
        <w:tblLook w:val="04A0" w:firstRow="1" w:lastRow="0" w:firstColumn="1" w:lastColumn="0" w:noHBand="0" w:noVBand="1"/>
      </w:tblPr>
      <w:tblGrid>
        <w:gridCol w:w="1525"/>
        <w:gridCol w:w="1625"/>
        <w:gridCol w:w="1530"/>
        <w:gridCol w:w="1530"/>
        <w:gridCol w:w="1530"/>
        <w:gridCol w:w="1525"/>
      </w:tblGrid>
      <w:tr w:rsidR="009E122D" w:rsidRPr="00AF293E" w14:paraId="5F3036D3" w14:textId="77777777" w:rsidTr="009B30CB">
        <w:trPr>
          <w:trHeight w:val="360"/>
        </w:trPr>
        <w:tc>
          <w:tcPr>
            <w:tcW w:w="1525" w:type="dxa"/>
            <w:tcBorders>
              <w:top w:val="single" w:sz="4" w:space="0" w:color="auto"/>
              <w:left w:val="single" w:sz="4" w:space="0" w:color="auto"/>
              <w:bottom w:val="nil"/>
              <w:right w:val="single" w:sz="4" w:space="0" w:color="auto"/>
            </w:tcBorders>
            <w:shd w:val="clear" w:color="auto" w:fill="auto"/>
            <w:noWrap/>
            <w:vAlign w:val="center"/>
            <w:hideMark/>
          </w:tcPr>
          <w:p w14:paraId="6343C7DF" w14:textId="77777777"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 </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79998"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Number of school closures</w:t>
            </w:r>
          </w:p>
        </w:tc>
        <w:tc>
          <w:tcPr>
            <w:tcW w:w="61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AC1F0E"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Productivity Costs (2019 USD)</w:t>
            </w:r>
          </w:p>
        </w:tc>
      </w:tr>
      <w:tr w:rsidR="009E122D" w:rsidRPr="00AF293E" w14:paraId="79CA97AA" w14:textId="77777777" w:rsidTr="009B30CB">
        <w:trPr>
          <w:trHeight w:val="36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7B41537" w14:textId="77777777"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School year</w:t>
            </w:r>
          </w:p>
        </w:tc>
        <w:tc>
          <w:tcPr>
            <w:tcW w:w="1625" w:type="dxa"/>
            <w:vMerge/>
            <w:tcBorders>
              <w:top w:val="single" w:sz="4" w:space="0" w:color="auto"/>
              <w:left w:val="single" w:sz="4" w:space="0" w:color="auto"/>
              <w:bottom w:val="single" w:sz="4" w:space="0" w:color="000000"/>
              <w:right w:val="single" w:sz="4" w:space="0" w:color="auto"/>
            </w:tcBorders>
            <w:vAlign w:val="center"/>
            <w:hideMark/>
          </w:tcPr>
          <w:p w14:paraId="329ED3A5" w14:textId="77777777" w:rsidR="00AF293E" w:rsidRPr="00AF293E" w:rsidRDefault="00AF293E" w:rsidP="00AF293E">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noWrap/>
            <w:vAlign w:val="center"/>
            <w:hideMark/>
          </w:tcPr>
          <w:p w14:paraId="122A33AA"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Parents</w:t>
            </w:r>
          </w:p>
        </w:tc>
        <w:tc>
          <w:tcPr>
            <w:tcW w:w="1530" w:type="dxa"/>
            <w:tcBorders>
              <w:top w:val="nil"/>
              <w:left w:val="nil"/>
              <w:bottom w:val="single" w:sz="4" w:space="0" w:color="auto"/>
              <w:right w:val="single" w:sz="4" w:space="0" w:color="auto"/>
            </w:tcBorders>
            <w:shd w:val="clear" w:color="auto" w:fill="auto"/>
            <w:noWrap/>
            <w:vAlign w:val="center"/>
            <w:hideMark/>
          </w:tcPr>
          <w:p w14:paraId="780CC89C"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Teachers</w:t>
            </w:r>
          </w:p>
        </w:tc>
        <w:tc>
          <w:tcPr>
            <w:tcW w:w="1530" w:type="dxa"/>
            <w:tcBorders>
              <w:top w:val="nil"/>
              <w:left w:val="nil"/>
              <w:bottom w:val="single" w:sz="4" w:space="0" w:color="auto"/>
              <w:right w:val="single" w:sz="4" w:space="0" w:color="auto"/>
            </w:tcBorders>
            <w:shd w:val="clear" w:color="auto" w:fill="auto"/>
            <w:noWrap/>
            <w:vAlign w:val="center"/>
            <w:hideMark/>
          </w:tcPr>
          <w:p w14:paraId="1D79104B"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School staff</w:t>
            </w:r>
          </w:p>
        </w:tc>
        <w:tc>
          <w:tcPr>
            <w:tcW w:w="1525" w:type="dxa"/>
            <w:tcBorders>
              <w:top w:val="nil"/>
              <w:left w:val="nil"/>
              <w:bottom w:val="single" w:sz="4" w:space="0" w:color="auto"/>
              <w:right w:val="single" w:sz="4" w:space="0" w:color="auto"/>
            </w:tcBorders>
            <w:shd w:val="clear" w:color="auto" w:fill="auto"/>
            <w:noWrap/>
            <w:vAlign w:val="center"/>
            <w:hideMark/>
          </w:tcPr>
          <w:p w14:paraId="4872DE65" w14:textId="77777777" w:rsidR="00AF293E" w:rsidRPr="00AF293E" w:rsidRDefault="00AF293E" w:rsidP="00AF293E">
            <w:pPr>
              <w:spacing w:after="0" w:line="240" w:lineRule="auto"/>
              <w:jc w:val="center"/>
              <w:rPr>
                <w:rFonts w:ascii="Calibri" w:eastAsia="Times New Roman" w:hAnsi="Calibri" w:cs="Calibri"/>
                <w:color w:val="000000"/>
              </w:rPr>
            </w:pPr>
            <w:r w:rsidRPr="00AF293E">
              <w:rPr>
                <w:rFonts w:ascii="Calibri" w:eastAsia="Times New Roman" w:hAnsi="Calibri" w:cs="Calibri"/>
                <w:color w:val="000000"/>
              </w:rPr>
              <w:t>Total</w:t>
            </w:r>
          </w:p>
        </w:tc>
      </w:tr>
      <w:tr w:rsidR="009E122D" w:rsidRPr="00AF293E" w14:paraId="36DDA2FD"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6C293FD4" w14:textId="5E60C4F9"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2011-</w:t>
            </w:r>
            <w:r w:rsidR="00EC02CD">
              <w:rPr>
                <w:rFonts w:ascii="Calibri" w:eastAsia="Times New Roman" w:hAnsi="Calibri" w:cs="Calibri"/>
                <w:color w:val="000000"/>
              </w:rPr>
              <w:t>20</w:t>
            </w:r>
            <w:r w:rsidRPr="00AF293E">
              <w:rPr>
                <w:rFonts w:ascii="Calibri" w:eastAsia="Times New Roman" w:hAnsi="Calibri" w:cs="Calibri"/>
                <w:color w:val="000000"/>
              </w:rPr>
              <w:t>12</w:t>
            </w:r>
          </w:p>
        </w:tc>
        <w:tc>
          <w:tcPr>
            <w:tcW w:w="1625" w:type="dxa"/>
            <w:tcBorders>
              <w:top w:val="nil"/>
              <w:left w:val="single" w:sz="4" w:space="0" w:color="auto"/>
              <w:bottom w:val="nil"/>
              <w:right w:val="single" w:sz="4" w:space="0" w:color="auto"/>
            </w:tcBorders>
            <w:shd w:val="clear" w:color="auto" w:fill="auto"/>
            <w:noWrap/>
            <w:vAlign w:val="center"/>
            <w:hideMark/>
          </w:tcPr>
          <w:p w14:paraId="05829796"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104</w:t>
            </w:r>
          </w:p>
        </w:tc>
        <w:tc>
          <w:tcPr>
            <w:tcW w:w="1530" w:type="dxa"/>
            <w:tcBorders>
              <w:top w:val="nil"/>
              <w:left w:val="nil"/>
              <w:bottom w:val="nil"/>
              <w:right w:val="single" w:sz="4" w:space="0" w:color="auto"/>
            </w:tcBorders>
            <w:shd w:val="clear" w:color="auto" w:fill="auto"/>
            <w:noWrap/>
            <w:vAlign w:val="center"/>
            <w:hideMark/>
          </w:tcPr>
          <w:p w14:paraId="7DFE1ACC"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1,347,761</w:t>
            </w:r>
          </w:p>
        </w:tc>
        <w:tc>
          <w:tcPr>
            <w:tcW w:w="1530" w:type="dxa"/>
            <w:tcBorders>
              <w:top w:val="nil"/>
              <w:left w:val="nil"/>
              <w:bottom w:val="nil"/>
              <w:right w:val="single" w:sz="4" w:space="0" w:color="auto"/>
            </w:tcBorders>
            <w:shd w:val="clear" w:color="auto" w:fill="auto"/>
            <w:noWrap/>
            <w:vAlign w:val="center"/>
            <w:hideMark/>
          </w:tcPr>
          <w:p w14:paraId="185704F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1,378,393</w:t>
            </w:r>
          </w:p>
        </w:tc>
        <w:tc>
          <w:tcPr>
            <w:tcW w:w="1530" w:type="dxa"/>
            <w:tcBorders>
              <w:top w:val="nil"/>
              <w:left w:val="nil"/>
              <w:bottom w:val="nil"/>
              <w:right w:val="single" w:sz="4" w:space="0" w:color="auto"/>
            </w:tcBorders>
            <w:shd w:val="clear" w:color="auto" w:fill="auto"/>
            <w:noWrap/>
            <w:vAlign w:val="center"/>
            <w:hideMark/>
          </w:tcPr>
          <w:p w14:paraId="5D672192"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1,534,538</w:t>
            </w:r>
          </w:p>
        </w:tc>
        <w:tc>
          <w:tcPr>
            <w:tcW w:w="1525" w:type="dxa"/>
            <w:tcBorders>
              <w:top w:val="nil"/>
              <w:left w:val="nil"/>
              <w:bottom w:val="nil"/>
              <w:right w:val="single" w:sz="4" w:space="0" w:color="auto"/>
            </w:tcBorders>
            <w:shd w:val="clear" w:color="auto" w:fill="auto"/>
            <w:noWrap/>
            <w:vAlign w:val="center"/>
            <w:hideMark/>
          </w:tcPr>
          <w:p w14:paraId="587FB8B3"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4,260,692</w:t>
            </w:r>
          </w:p>
        </w:tc>
      </w:tr>
      <w:tr w:rsidR="009E122D" w:rsidRPr="00AF293E" w14:paraId="185AF813"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6FC29654" w14:textId="46BF41A1"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2012-</w:t>
            </w:r>
            <w:r w:rsidR="00EC02CD">
              <w:rPr>
                <w:rFonts w:ascii="Calibri" w:eastAsia="Times New Roman" w:hAnsi="Calibri" w:cs="Calibri"/>
                <w:color w:val="000000"/>
              </w:rPr>
              <w:t>20</w:t>
            </w:r>
            <w:r w:rsidRPr="00AF293E">
              <w:rPr>
                <w:rFonts w:ascii="Calibri" w:eastAsia="Times New Roman" w:hAnsi="Calibri" w:cs="Calibri"/>
                <w:color w:val="000000"/>
              </w:rPr>
              <w:t>13</w:t>
            </w:r>
          </w:p>
        </w:tc>
        <w:tc>
          <w:tcPr>
            <w:tcW w:w="1625" w:type="dxa"/>
            <w:tcBorders>
              <w:top w:val="nil"/>
              <w:left w:val="single" w:sz="4" w:space="0" w:color="auto"/>
              <w:bottom w:val="nil"/>
              <w:right w:val="single" w:sz="4" w:space="0" w:color="auto"/>
            </w:tcBorders>
            <w:shd w:val="clear" w:color="auto" w:fill="auto"/>
            <w:noWrap/>
            <w:vAlign w:val="center"/>
            <w:hideMark/>
          </w:tcPr>
          <w:p w14:paraId="170E0D3A"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375</w:t>
            </w:r>
          </w:p>
        </w:tc>
        <w:tc>
          <w:tcPr>
            <w:tcW w:w="1530" w:type="dxa"/>
            <w:tcBorders>
              <w:top w:val="nil"/>
              <w:left w:val="nil"/>
              <w:bottom w:val="nil"/>
              <w:right w:val="single" w:sz="4" w:space="0" w:color="auto"/>
            </w:tcBorders>
            <w:shd w:val="clear" w:color="auto" w:fill="auto"/>
            <w:noWrap/>
            <w:vAlign w:val="center"/>
            <w:hideMark/>
          </w:tcPr>
          <w:p w14:paraId="111E3587"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6,449,499</w:t>
            </w:r>
          </w:p>
        </w:tc>
        <w:tc>
          <w:tcPr>
            <w:tcW w:w="1530" w:type="dxa"/>
            <w:tcBorders>
              <w:top w:val="nil"/>
              <w:left w:val="nil"/>
              <w:bottom w:val="nil"/>
              <w:right w:val="single" w:sz="4" w:space="0" w:color="auto"/>
            </w:tcBorders>
            <w:shd w:val="clear" w:color="auto" w:fill="auto"/>
            <w:noWrap/>
            <w:vAlign w:val="center"/>
            <w:hideMark/>
          </w:tcPr>
          <w:p w14:paraId="4EF82C25"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6,563,862</w:t>
            </w:r>
          </w:p>
        </w:tc>
        <w:tc>
          <w:tcPr>
            <w:tcW w:w="1530" w:type="dxa"/>
            <w:tcBorders>
              <w:top w:val="nil"/>
              <w:left w:val="nil"/>
              <w:bottom w:val="nil"/>
              <w:right w:val="single" w:sz="4" w:space="0" w:color="auto"/>
            </w:tcBorders>
            <w:shd w:val="clear" w:color="auto" w:fill="auto"/>
            <w:noWrap/>
            <w:vAlign w:val="center"/>
            <w:hideMark/>
          </w:tcPr>
          <w:p w14:paraId="21C278CF"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7,785,237</w:t>
            </w:r>
          </w:p>
        </w:tc>
        <w:tc>
          <w:tcPr>
            <w:tcW w:w="1525" w:type="dxa"/>
            <w:tcBorders>
              <w:top w:val="nil"/>
              <w:left w:val="nil"/>
              <w:bottom w:val="nil"/>
              <w:right w:val="single" w:sz="4" w:space="0" w:color="auto"/>
            </w:tcBorders>
            <w:shd w:val="clear" w:color="auto" w:fill="auto"/>
            <w:noWrap/>
            <w:vAlign w:val="center"/>
            <w:hideMark/>
          </w:tcPr>
          <w:p w14:paraId="3CA17038"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20,798,599</w:t>
            </w:r>
          </w:p>
        </w:tc>
      </w:tr>
      <w:tr w:rsidR="009E122D" w:rsidRPr="00AF293E" w14:paraId="421C397B"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74EBC1AC" w14:textId="3245A62A"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2013-</w:t>
            </w:r>
            <w:r w:rsidR="00EC02CD">
              <w:rPr>
                <w:rFonts w:ascii="Calibri" w:eastAsia="Times New Roman" w:hAnsi="Calibri" w:cs="Calibri"/>
                <w:color w:val="000000"/>
              </w:rPr>
              <w:t>20</w:t>
            </w:r>
            <w:r w:rsidRPr="00AF293E">
              <w:rPr>
                <w:rFonts w:ascii="Calibri" w:eastAsia="Times New Roman" w:hAnsi="Calibri" w:cs="Calibri"/>
                <w:color w:val="000000"/>
              </w:rPr>
              <w:t>14</w:t>
            </w:r>
          </w:p>
        </w:tc>
        <w:tc>
          <w:tcPr>
            <w:tcW w:w="1625" w:type="dxa"/>
            <w:tcBorders>
              <w:top w:val="nil"/>
              <w:left w:val="single" w:sz="4" w:space="0" w:color="auto"/>
              <w:bottom w:val="nil"/>
              <w:right w:val="single" w:sz="4" w:space="0" w:color="auto"/>
            </w:tcBorders>
            <w:shd w:val="clear" w:color="auto" w:fill="auto"/>
            <w:noWrap/>
            <w:vAlign w:val="center"/>
            <w:hideMark/>
          </w:tcPr>
          <w:p w14:paraId="1371DC59"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11</w:t>
            </w:r>
          </w:p>
        </w:tc>
        <w:tc>
          <w:tcPr>
            <w:tcW w:w="1530" w:type="dxa"/>
            <w:tcBorders>
              <w:top w:val="nil"/>
              <w:left w:val="nil"/>
              <w:bottom w:val="nil"/>
              <w:right w:val="single" w:sz="4" w:space="0" w:color="auto"/>
            </w:tcBorders>
            <w:shd w:val="clear" w:color="auto" w:fill="auto"/>
            <w:noWrap/>
            <w:vAlign w:val="center"/>
            <w:hideMark/>
          </w:tcPr>
          <w:p w14:paraId="121EF55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86,766</w:t>
            </w:r>
          </w:p>
        </w:tc>
        <w:tc>
          <w:tcPr>
            <w:tcW w:w="1530" w:type="dxa"/>
            <w:tcBorders>
              <w:top w:val="nil"/>
              <w:left w:val="nil"/>
              <w:bottom w:val="nil"/>
              <w:right w:val="single" w:sz="4" w:space="0" w:color="auto"/>
            </w:tcBorders>
            <w:shd w:val="clear" w:color="auto" w:fill="auto"/>
            <w:noWrap/>
            <w:vAlign w:val="center"/>
            <w:hideMark/>
          </w:tcPr>
          <w:p w14:paraId="48B798A6"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92,944</w:t>
            </w:r>
          </w:p>
        </w:tc>
        <w:tc>
          <w:tcPr>
            <w:tcW w:w="1530" w:type="dxa"/>
            <w:tcBorders>
              <w:top w:val="nil"/>
              <w:left w:val="nil"/>
              <w:bottom w:val="nil"/>
              <w:right w:val="single" w:sz="4" w:space="0" w:color="auto"/>
            </w:tcBorders>
            <w:shd w:val="clear" w:color="auto" w:fill="auto"/>
            <w:noWrap/>
            <w:vAlign w:val="center"/>
            <w:hideMark/>
          </w:tcPr>
          <w:p w14:paraId="4667E40F"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83,936</w:t>
            </w:r>
          </w:p>
        </w:tc>
        <w:tc>
          <w:tcPr>
            <w:tcW w:w="1525" w:type="dxa"/>
            <w:tcBorders>
              <w:top w:val="nil"/>
              <w:left w:val="nil"/>
              <w:bottom w:val="nil"/>
              <w:right w:val="single" w:sz="4" w:space="0" w:color="auto"/>
            </w:tcBorders>
            <w:shd w:val="clear" w:color="auto" w:fill="auto"/>
            <w:noWrap/>
            <w:vAlign w:val="center"/>
            <w:hideMark/>
          </w:tcPr>
          <w:p w14:paraId="1AA4DF6E"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263,646</w:t>
            </w:r>
          </w:p>
        </w:tc>
      </w:tr>
      <w:tr w:rsidR="009E122D" w:rsidRPr="00AF293E" w14:paraId="31925F5E"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4FD5F834" w14:textId="35046995"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2014-</w:t>
            </w:r>
            <w:r w:rsidR="00EC02CD">
              <w:rPr>
                <w:rFonts w:ascii="Calibri" w:eastAsia="Times New Roman" w:hAnsi="Calibri" w:cs="Calibri"/>
                <w:color w:val="000000"/>
              </w:rPr>
              <w:t>20</w:t>
            </w:r>
            <w:r w:rsidRPr="00AF293E">
              <w:rPr>
                <w:rFonts w:ascii="Calibri" w:eastAsia="Times New Roman" w:hAnsi="Calibri" w:cs="Calibri"/>
                <w:color w:val="000000"/>
              </w:rPr>
              <w:t>15</w:t>
            </w:r>
          </w:p>
        </w:tc>
        <w:tc>
          <w:tcPr>
            <w:tcW w:w="1625" w:type="dxa"/>
            <w:tcBorders>
              <w:top w:val="nil"/>
              <w:left w:val="single" w:sz="4" w:space="0" w:color="auto"/>
              <w:bottom w:val="nil"/>
              <w:right w:val="single" w:sz="4" w:space="0" w:color="auto"/>
            </w:tcBorders>
            <w:shd w:val="clear" w:color="auto" w:fill="auto"/>
            <w:noWrap/>
            <w:vAlign w:val="center"/>
            <w:hideMark/>
          </w:tcPr>
          <w:p w14:paraId="5E9FB888"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295</w:t>
            </w:r>
          </w:p>
        </w:tc>
        <w:tc>
          <w:tcPr>
            <w:tcW w:w="1530" w:type="dxa"/>
            <w:tcBorders>
              <w:top w:val="nil"/>
              <w:left w:val="nil"/>
              <w:bottom w:val="nil"/>
              <w:right w:val="single" w:sz="4" w:space="0" w:color="auto"/>
            </w:tcBorders>
            <w:shd w:val="clear" w:color="auto" w:fill="auto"/>
            <w:noWrap/>
            <w:vAlign w:val="center"/>
            <w:hideMark/>
          </w:tcPr>
          <w:p w14:paraId="30772AD9"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5,875,487</w:t>
            </w:r>
          </w:p>
        </w:tc>
        <w:tc>
          <w:tcPr>
            <w:tcW w:w="1530" w:type="dxa"/>
            <w:tcBorders>
              <w:top w:val="nil"/>
              <w:left w:val="nil"/>
              <w:bottom w:val="nil"/>
              <w:right w:val="single" w:sz="4" w:space="0" w:color="auto"/>
            </w:tcBorders>
            <w:shd w:val="clear" w:color="auto" w:fill="auto"/>
            <w:noWrap/>
            <w:vAlign w:val="center"/>
            <w:hideMark/>
          </w:tcPr>
          <w:p w14:paraId="66B3A0D2"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5,834,845</w:t>
            </w:r>
          </w:p>
        </w:tc>
        <w:tc>
          <w:tcPr>
            <w:tcW w:w="1530" w:type="dxa"/>
            <w:tcBorders>
              <w:top w:val="nil"/>
              <w:left w:val="nil"/>
              <w:bottom w:val="nil"/>
              <w:right w:val="single" w:sz="4" w:space="0" w:color="auto"/>
            </w:tcBorders>
            <w:shd w:val="clear" w:color="auto" w:fill="auto"/>
            <w:noWrap/>
            <w:vAlign w:val="center"/>
            <w:hideMark/>
          </w:tcPr>
          <w:p w14:paraId="142D77E7"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6,110,971</w:t>
            </w:r>
          </w:p>
        </w:tc>
        <w:tc>
          <w:tcPr>
            <w:tcW w:w="1525" w:type="dxa"/>
            <w:tcBorders>
              <w:top w:val="nil"/>
              <w:left w:val="nil"/>
              <w:bottom w:val="nil"/>
              <w:right w:val="single" w:sz="4" w:space="0" w:color="auto"/>
            </w:tcBorders>
            <w:shd w:val="clear" w:color="auto" w:fill="auto"/>
            <w:noWrap/>
            <w:vAlign w:val="center"/>
            <w:hideMark/>
          </w:tcPr>
          <w:p w14:paraId="2F5D83B4"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17,821,303</w:t>
            </w:r>
          </w:p>
        </w:tc>
      </w:tr>
      <w:tr w:rsidR="009E122D" w:rsidRPr="00AF293E" w14:paraId="265A2766"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57615DDB" w14:textId="0553482F"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2015-</w:t>
            </w:r>
            <w:r w:rsidR="00EC02CD">
              <w:rPr>
                <w:rFonts w:ascii="Calibri" w:eastAsia="Times New Roman" w:hAnsi="Calibri" w:cs="Calibri"/>
                <w:color w:val="000000"/>
              </w:rPr>
              <w:t>20</w:t>
            </w:r>
            <w:r w:rsidRPr="00AF293E">
              <w:rPr>
                <w:rFonts w:ascii="Calibri" w:eastAsia="Times New Roman" w:hAnsi="Calibri" w:cs="Calibri"/>
                <w:color w:val="000000"/>
              </w:rPr>
              <w:t>16</w:t>
            </w:r>
          </w:p>
        </w:tc>
        <w:tc>
          <w:tcPr>
            <w:tcW w:w="1625" w:type="dxa"/>
            <w:tcBorders>
              <w:top w:val="nil"/>
              <w:left w:val="single" w:sz="4" w:space="0" w:color="auto"/>
              <w:bottom w:val="nil"/>
              <w:right w:val="single" w:sz="4" w:space="0" w:color="auto"/>
            </w:tcBorders>
            <w:shd w:val="clear" w:color="auto" w:fill="auto"/>
            <w:noWrap/>
            <w:vAlign w:val="center"/>
            <w:hideMark/>
          </w:tcPr>
          <w:p w14:paraId="4D5A8A0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40</w:t>
            </w:r>
          </w:p>
        </w:tc>
        <w:tc>
          <w:tcPr>
            <w:tcW w:w="1530" w:type="dxa"/>
            <w:tcBorders>
              <w:top w:val="nil"/>
              <w:left w:val="nil"/>
              <w:bottom w:val="nil"/>
              <w:right w:val="single" w:sz="4" w:space="0" w:color="auto"/>
            </w:tcBorders>
            <w:shd w:val="clear" w:color="auto" w:fill="auto"/>
            <w:noWrap/>
            <w:vAlign w:val="center"/>
            <w:hideMark/>
          </w:tcPr>
          <w:p w14:paraId="256EF95A"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674,239</w:t>
            </w:r>
          </w:p>
        </w:tc>
        <w:tc>
          <w:tcPr>
            <w:tcW w:w="1530" w:type="dxa"/>
            <w:tcBorders>
              <w:top w:val="nil"/>
              <w:left w:val="nil"/>
              <w:bottom w:val="nil"/>
              <w:right w:val="single" w:sz="4" w:space="0" w:color="auto"/>
            </w:tcBorders>
            <w:shd w:val="clear" w:color="auto" w:fill="auto"/>
            <w:noWrap/>
            <w:vAlign w:val="center"/>
            <w:hideMark/>
          </w:tcPr>
          <w:p w14:paraId="2D60C95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666,241</w:t>
            </w:r>
          </w:p>
        </w:tc>
        <w:tc>
          <w:tcPr>
            <w:tcW w:w="1530" w:type="dxa"/>
            <w:tcBorders>
              <w:top w:val="nil"/>
              <w:left w:val="nil"/>
              <w:bottom w:val="nil"/>
              <w:right w:val="single" w:sz="4" w:space="0" w:color="auto"/>
            </w:tcBorders>
            <w:shd w:val="clear" w:color="auto" w:fill="auto"/>
            <w:noWrap/>
            <w:vAlign w:val="center"/>
            <w:hideMark/>
          </w:tcPr>
          <w:p w14:paraId="7519BC30"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821,781</w:t>
            </w:r>
          </w:p>
        </w:tc>
        <w:tc>
          <w:tcPr>
            <w:tcW w:w="1525" w:type="dxa"/>
            <w:tcBorders>
              <w:top w:val="nil"/>
              <w:left w:val="nil"/>
              <w:bottom w:val="nil"/>
              <w:right w:val="single" w:sz="4" w:space="0" w:color="auto"/>
            </w:tcBorders>
            <w:shd w:val="clear" w:color="auto" w:fill="auto"/>
            <w:noWrap/>
            <w:vAlign w:val="center"/>
            <w:hideMark/>
          </w:tcPr>
          <w:p w14:paraId="7755819C"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2,162,261</w:t>
            </w:r>
          </w:p>
        </w:tc>
      </w:tr>
      <w:tr w:rsidR="009E122D" w:rsidRPr="00AF293E" w14:paraId="3A672ABE"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6BA632EB" w14:textId="6704D863"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2016-</w:t>
            </w:r>
            <w:r w:rsidR="00EC02CD">
              <w:rPr>
                <w:rFonts w:ascii="Calibri" w:eastAsia="Times New Roman" w:hAnsi="Calibri" w:cs="Calibri"/>
                <w:color w:val="000000"/>
              </w:rPr>
              <w:t>20</w:t>
            </w:r>
            <w:r w:rsidRPr="00AF293E">
              <w:rPr>
                <w:rFonts w:ascii="Calibri" w:eastAsia="Times New Roman" w:hAnsi="Calibri" w:cs="Calibri"/>
                <w:color w:val="000000"/>
              </w:rPr>
              <w:t>17</w:t>
            </w:r>
          </w:p>
        </w:tc>
        <w:tc>
          <w:tcPr>
            <w:tcW w:w="1625" w:type="dxa"/>
            <w:tcBorders>
              <w:top w:val="nil"/>
              <w:left w:val="single" w:sz="4" w:space="0" w:color="auto"/>
              <w:bottom w:val="nil"/>
              <w:right w:val="single" w:sz="4" w:space="0" w:color="auto"/>
            </w:tcBorders>
            <w:shd w:val="clear" w:color="auto" w:fill="auto"/>
            <w:noWrap/>
            <w:vAlign w:val="center"/>
            <w:hideMark/>
          </w:tcPr>
          <w:p w14:paraId="61FC4A6B"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1,288</w:t>
            </w:r>
          </w:p>
        </w:tc>
        <w:tc>
          <w:tcPr>
            <w:tcW w:w="1530" w:type="dxa"/>
            <w:tcBorders>
              <w:top w:val="nil"/>
              <w:left w:val="nil"/>
              <w:bottom w:val="nil"/>
              <w:right w:val="single" w:sz="4" w:space="0" w:color="auto"/>
            </w:tcBorders>
            <w:shd w:val="clear" w:color="auto" w:fill="auto"/>
            <w:noWrap/>
            <w:vAlign w:val="center"/>
            <w:hideMark/>
          </w:tcPr>
          <w:p w14:paraId="26BFDE30"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37,579,105</w:t>
            </w:r>
          </w:p>
        </w:tc>
        <w:tc>
          <w:tcPr>
            <w:tcW w:w="1530" w:type="dxa"/>
            <w:tcBorders>
              <w:top w:val="nil"/>
              <w:left w:val="nil"/>
              <w:bottom w:val="nil"/>
              <w:right w:val="single" w:sz="4" w:space="0" w:color="auto"/>
            </w:tcBorders>
            <w:shd w:val="clear" w:color="auto" w:fill="auto"/>
            <w:noWrap/>
            <w:vAlign w:val="center"/>
            <w:hideMark/>
          </w:tcPr>
          <w:p w14:paraId="29BB9FD2"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36,375,387</w:t>
            </w:r>
          </w:p>
        </w:tc>
        <w:tc>
          <w:tcPr>
            <w:tcW w:w="1530" w:type="dxa"/>
            <w:tcBorders>
              <w:top w:val="nil"/>
              <w:left w:val="nil"/>
              <w:bottom w:val="nil"/>
              <w:right w:val="single" w:sz="4" w:space="0" w:color="auto"/>
            </w:tcBorders>
            <w:shd w:val="clear" w:color="auto" w:fill="auto"/>
            <w:noWrap/>
            <w:vAlign w:val="center"/>
            <w:hideMark/>
          </w:tcPr>
          <w:p w14:paraId="1DEF009A"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42,449,055</w:t>
            </w:r>
          </w:p>
        </w:tc>
        <w:tc>
          <w:tcPr>
            <w:tcW w:w="1525" w:type="dxa"/>
            <w:tcBorders>
              <w:top w:val="nil"/>
              <w:left w:val="nil"/>
              <w:bottom w:val="nil"/>
              <w:right w:val="single" w:sz="4" w:space="0" w:color="auto"/>
            </w:tcBorders>
            <w:shd w:val="clear" w:color="auto" w:fill="auto"/>
            <w:noWrap/>
            <w:vAlign w:val="center"/>
            <w:hideMark/>
          </w:tcPr>
          <w:p w14:paraId="74F6C818"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116,403,546</w:t>
            </w:r>
          </w:p>
        </w:tc>
      </w:tr>
      <w:tr w:rsidR="009E122D" w:rsidRPr="00AF293E" w14:paraId="77B273E1" w14:textId="77777777" w:rsidTr="009B30CB">
        <w:trPr>
          <w:trHeight w:val="360"/>
        </w:trPr>
        <w:tc>
          <w:tcPr>
            <w:tcW w:w="1525" w:type="dxa"/>
            <w:tcBorders>
              <w:top w:val="nil"/>
              <w:left w:val="single" w:sz="4" w:space="0" w:color="auto"/>
              <w:bottom w:val="nil"/>
              <w:right w:val="nil"/>
            </w:tcBorders>
            <w:shd w:val="clear" w:color="auto" w:fill="auto"/>
            <w:noWrap/>
            <w:vAlign w:val="center"/>
            <w:hideMark/>
          </w:tcPr>
          <w:p w14:paraId="22DF95C4" w14:textId="3FEE3956"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2017-</w:t>
            </w:r>
            <w:r w:rsidR="00EC02CD">
              <w:rPr>
                <w:rFonts w:ascii="Calibri" w:eastAsia="Times New Roman" w:hAnsi="Calibri" w:cs="Calibri"/>
                <w:color w:val="000000"/>
              </w:rPr>
              <w:t>20</w:t>
            </w:r>
            <w:r w:rsidRPr="00AF293E">
              <w:rPr>
                <w:rFonts w:ascii="Calibri" w:eastAsia="Times New Roman" w:hAnsi="Calibri" w:cs="Calibri"/>
                <w:color w:val="000000"/>
              </w:rPr>
              <w:t>18</w:t>
            </w:r>
          </w:p>
        </w:tc>
        <w:tc>
          <w:tcPr>
            <w:tcW w:w="1625" w:type="dxa"/>
            <w:tcBorders>
              <w:top w:val="nil"/>
              <w:left w:val="single" w:sz="4" w:space="0" w:color="auto"/>
              <w:bottom w:val="nil"/>
              <w:right w:val="single" w:sz="4" w:space="0" w:color="auto"/>
            </w:tcBorders>
            <w:shd w:val="clear" w:color="auto" w:fill="auto"/>
            <w:noWrap/>
            <w:vAlign w:val="center"/>
            <w:hideMark/>
          </w:tcPr>
          <w:p w14:paraId="76813267"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1,960</w:t>
            </w:r>
          </w:p>
        </w:tc>
        <w:tc>
          <w:tcPr>
            <w:tcW w:w="1530" w:type="dxa"/>
            <w:tcBorders>
              <w:top w:val="nil"/>
              <w:left w:val="nil"/>
              <w:bottom w:val="nil"/>
              <w:right w:val="single" w:sz="4" w:space="0" w:color="auto"/>
            </w:tcBorders>
            <w:shd w:val="clear" w:color="auto" w:fill="auto"/>
            <w:noWrap/>
            <w:vAlign w:val="center"/>
            <w:hideMark/>
          </w:tcPr>
          <w:p w14:paraId="55778E15"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48,778,766</w:t>
            </w:r>
          </w:p>
        </w:tc>
        <w:tc>
          <w:tcPr>
            <w:tcW w:w="1530" w:type="dxa"/>
            <w:tcBorders>
              <w:top w:val="nil"/>
              <w:left w:val="nil"/>
              <w:bottom w:val="nil"/>
              <w:right w:val="single" w:sz="4" w:space="0" w:color="auto"/>
            </w:tcBorders>
            <w:shd w:val="clear" w:color="auto" w:fill="auto"/>
            <w:noWrap/>
            <w:vAlign w:val="center"/>
            <w:hideMark/>
          </w:tcPr>
          <w:p w14:paraId="66928E6C"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47,544,630</w:t>
            </w:r>
          </w:p>
        </w:tc>
        <w:tc>
          <w:tcPr>
            <w:tcW w:w="1530" w:type="dxa"/>
            <w:tcBorders>
              <w:top w:val="nil"/>
              <w:left w:val="nil"/>
              <w:bottom w:val="nil"/>
              <w:right w:val="single" w:sz="4" w:space="0" w:color="auto"/>
            </w:tcBorders>
            <w:shd w:val="clear" w:color="auto" w:fill="auto"/>
            <w:noWrap/>
            <w:vAlign w:val="center"/>
            <w:hideMark/>
          </w:tcPr>
          <w:p w14:paraId="1F6EBA6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53,385,564</w:t>
            </w:r>
          </w:p>
        </w:tc>
        <w:tc>
          <w:tcPr>
            <w:tcW w:w="1525" w:type="dxa"/>
            <w:tcBorders>
              <w:top w:val="nil"/>
              <w:left w:val="nil"/>
              <w:bottom w:val="nil"/>
              <w:right w:val="single" w:sz="4" w:space="0" w:color="auto"/>
            </w:tcBorders>
            <w:shd w:val="clear" w:color="auto" w:fill="auto"/>
            <w:noWrap/>
            <w:vAlign w:val="center"/>
            <w:hideMark/>
          </w:tcPr>
          <w:p w14:paraId="75F29E5E"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149,708,960</w:t>
            </w:r>
          </w:p>
        </w:tc>
      </w:tr>
      <w:tr w:rsidR="009E122D" w:rsidRPr="00AF293E" w14:paraId="7A313618" w14:textId="77777777" w:rsidTr="009B30CB">
        <w:trPr>
          <w:trHeight w:val="360"/>
        </w:trPr>
        <w:tc>
          <w:tcPr>
            <w:tcW w:w="1525" w:type="dxa"/>
            <w:tcBorders>
              <w:top w:val="nil"/>
              <w:left w:val="single" w:sz="4" w:space="0" w:color="auto"/>
              <w:bottom w:val="single" w:sz="4" w:space="0" w:color="auto"/>
              <w:right w:val="nil"/>
            </w:tcBorders>
            <w:shd w:val="clear" w:color="auto" w:fill="auto"/>
            <w:noWrap/>
            <w:vAlign w:val="center"/>
            <w:hideMark/>
          </w:tcPr>
          <w:p w14:paraId="14148922" w14:textId="311A7D3F" w:rsidR="00AF293E" w:rsidRPr="00AF293E" w:rsidRDefault="00AF293E" w:rsidP="00AF293E">
            <w:pPr>
              <w:spacing w:after="0" w:line="240" w:lineRule="auto"/>
              <w:rPr>
                <w:rFonts w:ascii="Calibri" w:eastAsia="Times New Roman" w:hAnsi="Calibri" w:cs="Calibri"/>
                <w:color w:val="000000"/>
              </w:rPr>
            </w:pPr>
            <w:r w:rsidRPr="00AF293E">
              <w:rPr>
                <w:rFonts w:ascii="Calibri" w:eastAsia="Times New Roman" w:hAnsi="Calibri" w:cs="Calibri"/>
                <w:color w:val="000000"/>
              </w:rPr>
              <w:t>2018-</w:t>
            </w:r>
            <w:r w:rsidR="00EC02CD">
              <w:rPr>
                <w:rFonts w:ascii="Calibri" w:eastAsia="Times New Roman" w:hAnsi="Calibri" w:cs="Calibri"/>
                <w:color w:val="000000"/>
              </w:rPr>
              <w:t>20</w:t>
            </w:r>
            <w:r w:rsidRPr="00AF293E">
              <w:rPr>
                <w:rFonts w:ascii="Calibri" w:eastAsia="Times New Roman" w:hAnsi="Calibri" w:cs="Calibri"/>
                <w:color w:val="000000"/>
              </w:rPr>
              <w:t>19</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72DDA3B5"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1,886</w:t>
            </w:r>
          </w:p>
        </w:tc>
        <w:tc>
          <w:tcPr>
            <w:tcW w:w="1530" w:type="dxa"/>
            <w:tcBorders>
              <w:top w:val="nil"/>
              <w:left w:val="nil"/>
              <w:bottom w:val="single" w:sz="4" w:space="0" w:color="auto"/>
              <w:right w:val="single" w:sz="4" w:space="0" w:color="auto"/>
            </w:tcBorders>
            <w:shd w:val="clear" w:color="auto" w:fill="auto"/>
            <w:noWrap/>
            <w:vAlign w:val="center"/>
            <w:hideMark/>
          </w:tcPr>
          <w:p w14:paraId="3BDE4619"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52,763,292</w:t>
            </w:r>
          </w:p>
        </w:tc>
        <w:tc>
          <w:tcPr>
            <w:tcW w:w="1530" w:type="dxa"/>
            <w:tcBorders>
              <w:top w:val="nil"/>
              <w:left w:val="nil"/>
              <w:bottom w:val="single" w:sz="4" w:space="0" w:color="auto"/>
              <w:right w:val="single" w:sz="4" w:space="0" w:color="auto"/>
            </w:tcBorders>
            <w:shd w:val="clear" w:color="auto" w:fill="auto"/>
            <w:noWrap/>
            <w:vAlign w:val="center"/>
            <w:hideMark/>
          </w:tcPr>
          <w:p w14:paraId="593403EC"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50,445,356</w:t>
            </w:r>
          </w:p>
        </w:tc>
        <w:tc>
          <w:tcPr>
            <w:tcW w:w="1530" w:type="dxa"/>
            <w:tcBorders>
              <w:top w:val="nil"/>
              <w:left w:val="nil"/>
              <w:bottom w:val="single" w:sz="4" w:space="0" w:color="auto"/>
              <w:right w:val="single" w:sz="4" w:space="0" w:color="auto"/>
            </w:tcBorders>
            <w:shd w:val="clear" w:color="auto" w:fill="auto"/>
            <w:noWrap/>
            <w:vAlign w:val="center"/>
            <w:hideMark/>
          </w:tcPr>
          <w:p w14:paraId="3B876294"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61,820,608</w:t>
            </w:r>
          </w:p>
        </w:tc>
        <w:tc>
          <w:tcPr>
            <w:tcW w:w="1525" w:type="dxa"/>
            <w:tcBorders>
              <w:top w:val="nil"/>
              <w:left w:val="nil"/>
              <w:bottom w:val="single" w:sz="4" w:space="0" w:color="auto"/>
              <w:right w:val="single" w:sz="4" w:space="0" w:color="auto"/>
            </w:tcBorders>
            <w:shd w:val="clear" w:color="auto" w:fill="auto"/>
            <w:noWrap/>
            <w:vAlign w:val="center"/>
            <w:hideMark/>
          </w:tcPr>
          <w:p w14:paraId="53DDAC8B"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165,029,256</w:t>
            </w:r>
          </w:p>
        </w:tc>
      </w:tr>
      <w:tr w:rsidR="009E122D" w:rsidRPr="00AF293E" w14:paraId="54A520B3" w14:textId="77777777" w:rsidTr="009B30CB">
        <w:trPr>
          <w:trHeight w:val="360"/>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CF5429C" w14:textId="77777777" w:rsidR="00AF293E" w:rsidRPr="00AF293E" w:rsidRDefault="00AF293E" w:rsidP="002446EA">
            <w:pPr>
              <w:spacing w:after="0" w:line="240" w:lineRule="auto"/>
              <w:rPr>
                <w:rFonts w:ascii="Calibri" w:eastAsia="Times New Roman" w:hAnsi="Calibri" w:cs="Calibri"/>
                <w:color w:val="000000"/>
              </w:rPr>
            </w:pPr>
            <w:r w:rsidRPr="00AF293E">
              <w:rPr>
                <w:rFonts w:ascii="Calibri" w:eastAsia="Times New Roman" w:hAnsi="Calibri" w:cs="Calibri"/>
                <w:color w:val="000000"/>
              </w:rPr>
              <w:t>Total</w:t>
            </w:r>
          </w:p>
        </w:tc>
        <w:tc>
          <w:tcPr>
            <w:tcW w:w="1625" w:type="dxa"/>
            <w:tcBorders>
              <w:top w:val="nil"/>
              <w:left w:val="nil"/>
              <w:bottom w:val="single" w:sz="4" w:space="0" w:color="auto"/>
              <w:right w:val="single" w:sz="4" w:space="0" w:color="auto"/>
            </w:tcBorders>
            <w:shd w:val="clear" w:color="auto" w:fill="auto"/>
            <w:noWrap/>
            <w:vAlign w:val="center"/>
            <w:hideMark/>
          </w:tcPr>
          <w:p w14:paraId="7809394E"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5,959</w:t>
            </w:r>
          </w:p>
        </w:tc>
        <w:tc>
          <w:tcPr>
            <w:tcW w:w="1530" w:type="dxa"/>
            <w:tcBorders>
              <w:top w:val="nil"/>
              <w:left w:val="nil"/>
              <w:bottom w:val="single" w:sz="4" w:space="0" w:color="auto"/>
              <w:right w:val="single" w:sz="4" w:space="0" w:color="auto"/>
            </w:tcBorders>
            <w:shd w:val="clear" w:color="auto" w:fill="auto"/>
            <w:noWrap/>
            <w:vAlign w:val="center"/>
            <w:hideMark/>
          </w:tcPr>
          <w:p w14:paraId="14E84EFD"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153,554,916</w:t>
            </w:r>
          </w:p>
        </w:tc>
        <w:tc>
          <w:tcPr>
            <w:tcW w:w="1530" w:type="dxa"/>
            <w:tcBorders>
              <w:top w:val="nil"/>
              <w:left w:val="nil"/>
              <w:bottom w:val="single" w:sz="4" w:space="0" w:color="auto"/>
              <w:right w:val="single" w:sz="4" w:space="0" w:color="auto"/>
            </w:tcBorders>
            <w:shd w:val="clear" w:color="auto" w:fill="auto"/>
            <w:noWrap/>
            <w:vAlign w:val="center"/>
            <w:hideMark/>
          </w:tcPr>
          <w:p w14:paraId="2F2AF7E2"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148,901,658</w:t>
            </w:r>
          </w:p>
        </w:tc>
        <w:tc>
          <w:tcPr>
            <w:tcW w:w="1530" w:type="dxa"/>
            <w:tcBorders>
              <w:top w:val="nil"/>
              <w:left w:val="nil"/>
              <w:bottom w:val="single" w:sz="4" w:space="0" w:color="auto"/>
              <w:right w:val="single" w:sz="4" w:space="0" w:color="auto"/>
            </w:tcBorders>
            <w:shd w:val="clear" w:color="auto" w:fill="auto"/>
            <w:noWrap/>
            <w:vAlign w:val="center"/>
            <w:hideMark/>
          </w:tcPr>
          <w:p w14:paraId="1E7466E1"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173,991,690</w:t>
            </w:r>
          </w:p>
        </w:tc>
        <w:tc>
          <w:tcPr>
            <w:tcW w:w="1525" w:type="dxa"/>
            <w:tcBorders>
              <w:top w:val="nil"/>
              <w:left w:val="nil"/>
              <w:bottom w:val="single" w:sz="4" w:space="0" w:color="auto"/>
              <w:right w:val="single" w:sz="4" w:space="0" w:color="auto"/>
            </w:tcBorders>
            <w:shd w:val="clear" w:color="auto" w:fill="auto"/>
            <w:noWrap/>
            <w:vAlign w:val="center"/>
            <w:hideMark/>
          </w:tcPr>
          <w:p w14:paraId="729B8E0B" w14:textId="77777777" w:rsidR="00AF293E" w:rsidRPr="00AF293E" w:rsidRDefault="00AF293E" w:rsidP="00AF293E">
            <w:pPr>
              <w:spacing w:after="0" w:line="240" w:lineRule="auto"/>
              <w:jc w:val="right"/>
              <w:rPr>
                <w:rFonts w:ascii="Calibri" w:eastAsia="Times New Roman" w:hAnsi="Calibri" w:cs="Calibri"/>
                <w:color w:val="000000"/>
              </w:rPr>
            </w:pPr>
            <w:r w:rsidRPr="00AF293E">
              <w:rPr>
                <w:rFonts w:ascii="Calibri" w:eastAsia="Times New Roman" w:hAnsi="Calibri" w:cs="Calibri"/>
                <w:color w:val="000000"/>
              </w:rPr>
              <w:t>476,448,263</w:t>
            </w:r>
          </w:p>
        </w:tc>
      </w:tr>
    </w:tbl>
    <w:p w14:paraId="20C7D942" w14:textId="77777777" w:rsidR="0086383F" w:rsidRPr="00920110" w:rsidRDefault="0086383F" w:rsidP="0086383F">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p>
    <w:p w14:paraId="4B5C1229" w14:textId="77777777" w:rsidR="001C419C" w:rsidRDefault="001C419C">
      <w:pPr>
        <w:rPr>
          <w:b/>
          <w:bCs/>
        </w:rPr>
      </w:pPr>
    </w:p>
    <w:p w14:paraId="4CAF5519" w14:textId="77777777" w:rsidR="005625B8" w:rsidRDefault="005625B8">
      <w:pPr>
        <w:rPr>
          <w:b/>
          <w:bCs/>
        </w:rPr>
      </w:pPr>
      <w:r>
        <w:rPr>
          <w:b/>
          <w:bCs/>
        </w:rPr>
        <w:br w:type="page"/>
      </w:r>
    </w:p>
    <w:p w14:paraId="280D4E7A" w14:textId="4815FDA9" w:rsidR="0045115B" w:rsidRPr="008A28F2" w:rsidRDefault="0045115B" w:rsidP="0045115B">
      <w:r w:rsidRPr="0045115B">
        <w:rPr>
          <w:b/>
          <w:bCs/>
        </w:rPr>
        <w:lastRenderedPageBreak/>
        <w:t xml:space="preserve">Appendix 7. </w:t>
      </w:r>
      <w:r w:rsidR="00087E67" w:rsidRPr="00E547A4">
        <w:t>Sensitivity analysis of p</w:t>
      </w:r>
      <w:r w:rsidRPr="00E547A4">
        <w:t>roductivity</w:t>
      </w:r>
      <w:r w:rsidRPr="008A28F2">
        <w:t xml:space="preserve"> costs of parents and total productivity costs</w:t>
      </w:r>
      <w:r w:rsidR="00575646">
        <w:t xml:space="preserve"> associated with ILI-related reactive school closures</w:t>
      </w:r>
      <w:r w:rsidRPr="008A28F2">
        <w:t xml:space="preserve"> by </w:t>
      </w:r>
      <w:r w:rsidR="003E0FE2">
        <w:t xml:space="preserve">varying the fraction </w:t>
      </w:r>
      <w:r w:rsidRPr="008A28F2">
        <w:t xml:space="preserve">of parents missing work </w:t>
      </w:r>
      <w:r w:rsidR="007A703E">
        <w:t xml:space="preserve">(range: </w:t>
      </w:r>
      <w:r w:rsidR="009F0681">
        <w:t>10% to 45%</w:t>
      </w:r>
      <w:r w:rsidR="007A703E">
        <w:t>)</w:t>
      </w:r>
    </w:p>
    <w:tbl>
      <w:tblPr>
        <w:tblW w:w="9494" w:type="dxa"/>
        <w:tblLook w:val="04A0" w:firstRow="1" w:lastRow="0" w:firstColumn="1" w:lastColumn="0" w:noHBand="0" w:noVBand="1"/>
      </w:tblPr>
      <w:tblGrid>
        <w:gridCol w:w="1345"/>
        <w:gridCol w:w="1644"/>
        <w:gridCol w:w="1218"/>
        <w:gridCol w:w="1330"/>
        <w:gridCol w:w="1644"/>
        <w:gridCol w:w="1330"/>
        <w:gridCol w:w="1330"/>
      </w:tblGrid>
      <w:tr w:rsidR="00F20ACA" w:rsidRPr="00F20ACA" w14:paraId="5303EDE4" w14:textId="77777777" w:rsidTr="009B30CB">
        <w:trPr>
          <w:trHeight w:val="360"/>
        </w:trPr>
        <w:tc>
          <w:tcPr>
            <w:tcW w:w="1345" w:type="dxa"/>
            <w:tcBorders>
              <w:top w:val="single" w:sz="4" w:space="0" w:color="auto"/>
              <w:left w:val="single" w:sz="4" w:space="0" w:color="auto"/>
              <w:bottom w:val="nil"/>
              <w:right w:val="nil"/>
            </w:tcBorders>
            <w:shd w:val="clear" w:color="auto" w:fill="auto"/>
            <w:noWrap/>
            <w:vAlign w:val="center"/>
            <w:hideMark/>
          </w:tcPr>
          <w:p w14:paraId="1F34916E" w14:textId="77777777"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 </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BBDFCF" w14:textId="69DBFD73"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Productivity cost of parents</w:t>
            </w:r>
            <w:r w:rsidR="007A703E">
              <w:rPr>
                <w:rFonts w:ascii="Calibri" w:eastAsia="Times New Roman" w:hAnsi="Calibri" w:cs="Calibri"/>
                <w:color w:val="000000"/>
              </w:rPr>
              <w:t xml:space="preserve"> (2019 USD)</w:t>
            </w:r>
            <w:r w:rsidRPr="00F20ACA">
              <w:rPr>
                <w:rFonts w:ascii="Calibri" w:eastAsia="Times New Roman" w:hAnsi="Calibri" w:cs="Calibri"/>
                <w:color w:val="000000"/>
              </w:rPr>
              <w:t xml:space="preserve"> </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4885E08A" w14:textId="7C5522D1"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Total productivity costs*</w:t>
            </w:r>
            <w:r w:rsidR="007A703E">
              <w:rPr>
                <w:rFonts w:ascii="Calibri" w:eastAsia="Times New Roman" w:hAnsi="Calibri" w:cs="Calibri"/>
                <w:color w:val="000000"/>
              </w:rPr>
              <w:t xml:space="preserve"> (2019 USD)</w:t>
            </w:r>
          </w:p>
        </w:tc>
      </w:tr>
      <w:tr w:rsidR="00F20ACA" w:rsidRPr="00F20ACA" w14:paraId="4075AA0D" w14:textId="77777777" w:rsidTr="009B30CB">
        <w:trPr>
          <w:trHeight w:val="360"/>
        </w:trPr>
        <w:tc>
          <w:tcPr>
            <w:tcW w:w="1345" w:type="dxa"/>
            <w:tcBorders>
              <w:top w:val="nil"/>
              <w:left w:val="single" w:sz="4" w:space="0" w:color="auto"/>
              <w:bottom w:val="single" w:sz="4" w:space="0" w:color="auto"/>
              <w:right w:val="nil"/>
            </w:tcBorders>
            <w:shd w:val="clear" w:color="auto" w:fill="auto"/>
            <w:noWrap/>
            <w:vAlign w:val="center"/>
            <w:hideMark/>
          </w:tcPr>
          <w:p w14:paraId="58CA22E9" w14:textId="77777777"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School year</w:t>
            </w:r>
          </w:p>
        </w:tc>
        <w:tc>
          <w:tcPr>
            <w:tcW w:w="0" w:type="auto"/>
            <w:tcBorders>
              <w:top w:val="nil"/>
              <w:left w:val="single" w:sz="4" w:space="0" w:color="auto"/>
              <w:bottom w:val="single" w:sz="4" w:space="0" w:color="auto"/>
              <w:right w:val="nil"/>
            </w:tcBorders>
            <w:shd w:val="clear" w:color="auto" w:fill="auto"/>
            <w:noWrap/>
            <w:vAlign w:val="center"/>
            <w:hideMark/>
          </w:tcPr>
          <w:p w14:paraId="5DAA31BD"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Base case (20%)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30B7B"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LL (10%)</w:t>
            </w:r>
          </w:p>
        </w:tc>
        <w:tc>
          <w:tcPr>
            <w:tcW w:w="0" w:type="auto"/>
            <w:tcBorders>
              <w:top w:val="nil"/>
              <w:left w:val="nil"/>
              <w:bottom w:val="single" w:sz="4" w:space="0" w:color="auto"/>
              <w:right w:val="single" w:sz="4" w:space="0" w:color="auto"/>
            </w:tcBorders>
            <w:shd w:val="clear" w:color="auto" w:fill="auto"/>
            <w:noWrap/>
            <w:vAlign w:val="center"/>
            <w:hideMark/>
          </w:tcPr>
          <w:p w14:paraId="581C5622"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UL (45%)</w:t>
            </w:r>
          </w:p>
        </w:tc>
        <w:tc>
          <w:tcPr>
            <w:tcW w:w="0" w:type="auto"/>
            <w:tcBorders>
              <w:top w:val="nil"/>
              <w:left w:val="nil"/>
              <w:bottom w:val="single" w:sz="4" w:space="0" w:color="auto"/>
              <w:right w:val="nil"/>
            </w:tcBorders>
            <w:shd w:val="clear" w:color="auto" w:fill="auto"/>
            <w:noWrap/>
            <w:vAlign w:val="center"/>
            <w:hideMark/>
          </w:tcPr>
          <w:p w14:paraId="52213822"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Base case (20%)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34BC3"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LL (10%)</w:t>
            </w:r>
          </w:p>
        </w:tc>
        <w:tc>
          <w:tcPr>
            <w:tcW w:w="0" w:type="auto"/>
            <w:tcBorders>
              <w:top w:val="nil"/>
              <w:left w:val="nil"/>
              <w:bottom w:val="single" w:sz="4" w:space="0" w:color="auto"/>
              <w:right w:val="single" w:sz="4" w:space="0" w:color="auto"/>
            </w:tcBorders>
            <w:shd w:val="clear" w:color="auto" w:fill="auto"/>
            <w:noWrap/>
            <w:vAlign w:val="center"/>
            <w:hideMark/>
          </w:tcPr>
          <w:p w14:paraId="652E68C1" w14:textId="77777777" w:rsidR="00F20ACA" w:rsidRPr="00F20ACA" w:rsidRDefault="00F20ACA" w:rsidP="00F20ACA">
            <w:pPr>
              <w:spacing w:after="0" w:line="240" w:lineRule="auto"/>
              <w:jc w:val="center"/>
              <w:rPr>
                <w:rFonts w:ascii="Calibri" w:eastAsia="Times New Roman" w:hAnsi="Calibri" w:cs="Calibri"/>
                <w:color w:val="000000"/>
              </w:rPr>
            </w:pPr>
            <w:r w:rsidRPr="00F20ACA">
              <w:rPr>
                <w:rFonts w:ascii="Calibri" w:eastAsia="Times New Roman" w:hAnsi="Calibri" w:cs="Calibri"/>
                <w:color w:val="000000"/>
              </w:rPr>
              <w:t>UL (45%)</w:t>
            </w:r>
          </w:p>
        </w:tc>
      </w:tr>
      <w:tr w:rsidR="00F20ACA" w:rsidRPr="00F20ACA" w14:paraId="4448606F"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7D098AD0" w14:textId="6043AE08"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2011</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12</w:t>
            </w:r>
          </w:p>
        </w:tc>
        <w:tc>
          <w:tcPr>
            <w:tcW w:w="0" w:type="auto"/>
            <w:tcBorders>
              <w:top w:val="nil"/>
              <w:left w:val="single" w:sz="4" w:space="0" w:color="auto"/>
              <w:bottom w:val="nil"/>
              <w:right w:val="nil"/>
            </w:tcBorders>
            <w:shd w:val="clear" w:color="auto" w:fill="auto"/>
            <w:noWrap/>
            <w:vAlign w:val="center"/>
            <w:hideMark/>
          </w:tcPr>
          <w:p w14:paraId="721F4273"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1,347,761</w:t>
            </w:r>
          </w:p>
        </w:tc>
        <w:tc>
          <w:tcPr>
            <w:tcW w:w="0" w:type="auto"/>
            <w:tcBorders>
              <w:top w:val="nil"/>
              <w:left w:val="single" w:sz="4" w:space="0" w:color="auto"/>
              <w:bottom w:val="nil"/>
              <w:right w:val="single" w:sz="4" w:space="0" w:color="auto"/>
            </w:tcBorders>
            <w:shd w:val="clear" w:color="auto" w:fill="auto"/>
            <w:noWrap/>
            <w:vAlign w:val="center"/>
            <w:hideMark/>
          </w:tcPr>
          <w:p w14:paraId="34451D67"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673,880</w:t>
            </w:r>
          </w:p>
        </w:tc>
        <w:tc>
          <w:tcPr>
            <w:tcW w:w="0" w:type="auto"/>
            <w:tcBorders>
              <w:top w:val="nil"/>
              <w:left w:val="nil"/>
              <w:bottom w:val="nil"/>
              <w:right w:val="single" w:sz="4" w:space="0" w:color="auto"/>
            </w:tcBorders>
            <w:shd w:val="clear" w:color="auto" w:fill="auto"/>
            <w:noWrap/>
            <w:vAlign w:val="center"/>
            <w:hideMark/>
          </w:tcPr>
          <w:p w14:paraId="5A85DA59"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3,032,462</w:t>
            </w:r>
          </w:p>
        </w:tc>
        <w:tc>
          <w:tcPr>
            <w:tcW w:w="0" w:type="auto"/>
            <w:tcBorders>
              <w:top w:val="nil"/>
              <w:left w:val="nil"/>
              <w:bottom w:val="nil"/>
              <w:right w:val="nil"/>
            </w:tcBorders>
            <w:shd w:val="clear" w:color="auto" w:fill="auto"/>
            <w:noWrap/>
            <w:vAlign w:val="center"/>
            <w:hideMark/>
          </w:tcPr>
          <w:p w14:paraId="5C1671A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4,260,692</w:t>
            </w:r>
          </w:p>
        </w:tc>
        <w:tc>
          <w:tcPr>
            <w:tcW w:w="0" w:type="auto"/>
            <w:tcBorders>
              <w:top w:val="nil"/>
              <w:left w:val="single" w:sz="4" w:space="0" w:color="auto"/>
              <w:bottom w:val="nil"/>
              <w:right w:val="single" w:sz="4" w:space="0" w:color="auto"/>
            </w:tcBorders>
            <w:shd w:val="clear" w:color="auto" w:fill="auto"/>
            <w:noWrap/>
            <w:vAlign w:val="center"/>
            <w:hideMark/>
          </w:tcPr>
          <w:p w14:paraId="641408E2"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3,586,812</w:t>
            </w:r>
          </w:p>
        </w:tc>
        <w:tc>
          <w:tcPr>
            <w:tcW w:w="0" w:type="auto"/>
            <w:tcBorders>
              <w:top w:val="nil"/>
              <w:left w:val="nil"/>
              <w:bottom w:val="nil"/>
              <w:right w:val="single" w:sz="4" w:space="0" w:color="auto"/>
            </w:tcBorders>
            <w:shd w:val="clear" w:color="auto" w:fill="auto"/>
            <w:noWrap/>
            <w:vAlign w:val="center"/>
            <w:hideMark/>
          </w:tcPr>
          <w:p w14:paraId="6FA5BCC9"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5,945,393</w:t>
            </w:r>
          </w:p>
        </w:tc>
      </w:tr>
      <w:tr w:rsidR="00F20ACA" w:rsidRPr="00F20ACA" w14:paraId="454E8CAD"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27A84E14" w14:textId="1F784213"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2012</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13</w:t>
            </w:r>
          </w:p>
        </w:tc>
        <w:tc>
          <w:tcPr>
            <w:tcW w:w="0" w:type="auto"/>
            <w:tcBorders>
              <w:top w:val="nil"/>
              <w:left w:val="single" w:sz="4" w:space="0" w:color="auto"/>
              <w:bottom w:val="nil"/>
              <w:right w:val="nil"/>
            </w:tcBorders>
            <w:shd w:val="clear" w:color="auto" w:fill="auto"/>
            <w:noWrap/>
            <w:vAlign w:val="center"/>
            <w:hideMark/>
          </w:tcPr>
          <w:p w14:paraId="7EC8213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6,449,499</w:t>
            </w:r>
          </w:p>
        </w:tc>
        <w:tc>
          <w:tcPr>
            <w:tcW w:w="0" w:type="auto"/>
            <w:tcBorders>
              <w:top w:val="nil"/>
              <w:left w:val="single" w:sz="4" w:space="0" w:color="auto"/>
              <w:bottom w:val="nil"/>
              <w:right w:val="single" w:sz="4" w:space="0" w:color="auto"/>
            </w:tcBorders>
            <w:shd w:val="clear" w:color="auto" w:fill="auto"/>
            <w:noWrap/>
            <w:vAlign w:val="center"/>
            <w:hideMark/>
          </w:tcPr>
          <w:p w14:paraId="5EB02867"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3,224,750</w:t>
            </w:r>
          </w:p>
        </w:tc>
        <w:tc>
          <w:tcPr>
            <w:tcW w:w="0" w:type="auto"/>
            <w:tcBorders>
              <w:top w:val="nil"/>
              <w:left w:val="nil"/>
              <w:bottom w:val="nil"/>
              <w:right w:val="single" w:sz="4" w:space="0" w:color="auto"/>
            </w:tcBorders>
            <w:shd w:val="clear" w:color="auto" w:fill="auto"/>
            <w:noWrap/>
            <w:vAlign w:val="center"/>
            <w:hideMark/>
          </w:tcPr>
          <w:p w14:paraId="270AF26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14,511,373</w:t>
            </w:r>
          </w:p>
        </w:tc>
        <w:tc>
          <w:tcPr>
            <w:tcW w:w="0" w:type="auto"/>
            <w:tcBorders>
              <w:top w:val="nil"/>
              <w:left w:val="nil"/>
              <w:bottom w:val="nil"/>
              <w:right w:val="nil"/>
            </w:tcBorders>
            <w:shd w:val="clear" w:color="auto" w:fill="auto"/>
            <w:noWrap/>
            <w:vAlign w:val="center"/>
            <w:hideMark/>
          </w:tcPr>
          <w:p w14:paraId="6A01297C"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20,798,599</w:t>
            </w:r>
          </w:p>
        </w:tc>
        <w:tc>
          <w:tcPr>
            <w:tcW w:w="0" w:type="auto"/>
            <w:tcBorders>
              <w:top w:val="nil"/>
              <w:left w:val="single" w:sz="4" w:space="0" w:color="auto"/>
              <w:bottom w:val="nil"/>
              <w:right w:val="single" w:sz="4" w:space="0" w:color="auto"/>
            </w:tcBorders>
            <w:shd w:val="clear" w:color="auto" w:fill="auto"/>
            <w:noWrap/>
            <w:vAlign w:val="center"/>
            <w:hideMark/>
          </w:tcPr>
          <w:p w14:paraId="49A1675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17,573,849</w:t>
            </w:r>
          </w:p>
        </w:tc>
        <w:tc>
          <w:tcPr>
            <w:tcW w:w="0" w:type="auto"/>
            <w:tcBorders>
              <w:top w:val="nil"/>
              <w:left w:val="nil"/>
              <w:bottom w:val="nil"/>
              <w:right w:val="single" w:sz="4" w:space="0" w:color="auto"/>
            </w:tcBorders>
            <w:shd w:val="clear" w:color="auto" w:fill="auto"/>
            <w:noWrap/>
            <w:vAlign w:val="center"/>
            <w:hideMark/>
          </w:tcPr>
          <w:p w14:paraId="50075B83"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28,860,473</w:t>
            </w:r>
          </w:p>
        </w:tc>
      </w:tr>
      <w:tr w:rsidR="00F20ACA" w:rsidRPr="00F20ACA" w14:paraId="5EC3D472"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7177ABC0" w14:textId="638B8C38"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2013</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14</w:t>
            </w:r>
          </w:p>
        </w:tc>
        <w:tc>
          <w:tcPr>
            <w:tcW w:w="0" w:type="auto"/>
            <w:tcBorders>
              <w:top w:val="nil"/>
              <w:left w:val="single" w:sz="4" w:space="0" w:color="auto"/>
              <w:bottom w:val="nil"/>
              <w:right w:val="nil"/>
            </w:tcBorders>
            <w:shd w:val="clear" w:color="auto" w:fill="auto"/>
            <w:noWrap/>
            <w:vAlign w:val="center"/>
            <w:hideMark/>
          </w:tcPr>
          <w:p w14:paraId="1704DBF7"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86,766</w:t>
            </w:r>
          </w:p>
        </w:tc>
        <w:tc>
          <w:tcPr>
            <w:tcW w:w="0" w:type="auto"/>
            <w:tcBorders>
              <w:top w:val="nil"/>
              <w:left w:val="single" w:sz="4" w:space="0" w:color="auto"/>
              <w:bottom w:val="nil"/>
              <w:right w:val="single" w:sz="4" w:space="0" w:color="auto"/>
            </w:tcBorders>
            <w:shd w:val="clear" w:color="auto" w:fill="auto"/>
            <w:noWrap/>
            <w:vAlign w:val="center"/>
            <w:hideMark/>
          </w:tcPr>
          <w:p w14:paraId="307745E8"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43,383</w:t>
            </w:r>
          </w:p>
        </w:tc>
        <w:tc>
          <w:tcPr>
            <w:tcW w:w="0" w:type="auto"/>
            <w:tcBorders>
              <w:top w:val="nil"/>
              <w:left w:val="nil"/>
              <w:bottom w:val="nil"/>
              <w:right w:val="single" w:sz="4" w:space="0" w:color="auto"/>
            </w:tcBorders>
            <w:shd w:val="clear" w:color="auto" w:fill="auto"/>
            <w:noWrap/>
            <w:vAlign w:val="center"/>
            <w:hideMark/>
          </w:tcPr>
          <w:p w14:paraId="6AC1B17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195,224</w:t>
            </w:r>
          </w:p>
        </w:tc>
        <w:tc>
          <w:tcPr>
            <w:tcW w:w="0" w:type="auto"/>
            <w:tcBorders>
              <w:top w:val="nil"/>
              <w:left w:val="nil"/>
              <w:bottom w:val="nil"/>
              <w:right w:val="nil"/>
            </w:tcBorders>
            <w:shd w:val="clear" w:color="auto" w:fill="auto"/>
            <w:noWrap/>
            <w:vAlign w:val="center"/>
            <w:hideMark/>
          </w:tcPr>
          <w:p w14:paraId="23C125E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263,646</w:t>
            </w:r>
          </w:p>
        </w:tc>
        <w:tc>
          <w:tcPr>
            <w:tcW w:w="0" w:type="auto"/>
            <w:tcBorders>
              <w:top w:val="nil"/>
              <w:left w:val="single" w:sz="4" w:space="0" w:color="auto"/>
              <w:bottom w:val="nil"/>
              <w:right w:val="single" w:sz="4" w:space="0" w:color="auto"/>
            </w:tcBorders>
            <w:shd w:val="clear" w:color="auto" w:fill="auto"/>
            <w:noWrap/>
            <w:vAlign w:val="center"/>
            <w:hideMark/>
          </w:tcPr>
          <w:p w14:paraId="43D8C1D3"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220,263</w:t>
            </w:r>
          </w:p>
        </w:tc>
        <w:tc>
          <w:tcPr>
            <w:tcW w:w="0" w:type="auto"/>
            <w:tcBorders>
              <w:top w:val="nil"/>
              <w:left w:val="nil"/>
              <w:bottom w:val="nil"/>
              <w:right w:val="single" w:sz="4" w:space="0" w:color="auto"/>
            </w:tcBorders>
            <w:shd w:val="clear" w:color="auto" w:fill="auto"/>
            <w:noWrap/>
            <w:vAlign w:val="center"/>
            <w:hideMark/>
          </w:tcPr>
          <w:p w14:paraId="6D90957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372,104</w:t>
            </w:r>
          </w:p>
        </w:tc>
      </w:tr>
      <w:tr w:rsidR="00F20ACA" w:rsidRPr="00F20ACA" w14:paraId="35893CDD"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19B9F2F5" w14:textId="7B8F3ED2"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2014</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15</w:t>
            </w:r>
          </w:p>
        </w:tc>
        <w:tc>
          <w:tcPr>
            <w:tcW w:w="0" w:type="auto"/>
            <w:tcBorders>
              <w:top w:val="nil"/>
              <w:left w:val="single" w:sz="4" w:space="0" w:color="auto"/>
              <w:bottom w:val="nil"/>
              <w:right w:val="nil"/>
            </w:tcBorders>
            <w:shd w:val="clear" w:color="auto" w:fill="auto"/>
            <w:noWrap/>
            <w:vAlign w:val="center"/>
            <w:hideMark/>
          </w:tcPr>
          <w:p w14:paraId="0DAA56C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5,875,487</w:t>
            </w:r>
          </w:p>
        </w:tc>
        <w:tc>
          <w:tcPr>
            <w:tcW w:w="0" w:type="auto"/>
            <w:tcBorders>
              <w:top w:val="nil"/>
              <w:left w:val="single" w:sz="4" w:space="0" w:color="auto"/>
              <w:bottom w:val="nil"/>
              <w:right w:val="single" w:sz="4" w:space="0" w:color="auto"/>
            </w:tcBorders>
            <w:shd w:val="clear" w:color="auto" w:fill="auto"/>
            <w:noWrap/>
            <w:vAlign w:val="center"/>
            <w:hideMark/>
          </w:tcPr>
          <w:p w14:paraId="5AD0E058"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2,937,744</w:t>
            </w:r>
          </w:p>
        </w:tc>
        <w:tc>
          <w:tcPr>
            <w:tcW w:w="0" w:type="auto"/>
            <w:tcBorders>
              <w:top w:val="nil"/>
              <w:left w:val="nil"/>
              <w:bottom w:val="nil"/>
              <w:right w:val="single" w:sz="4" w:space="0" w:color="auto"/>
            </w:tcBorders>
            <w:shd w:val="clear" w:color="auto" w:fill="auto"/>
            <w:noWrap/>
            <w:vAlign w:val="center"/>
            <w:hideMark/>
          </w:tcPr>
          <w:p w14:paraId="1A3B8310"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13,219,847</w:t>
            </w:r>
          </w:p>
        </w:tc>
        <w:tc>
          <w:tcPr>
            <w:tcW w:w="0" w:type="auto"/>
            <w:tcBorders>
              <w:top w:val="nil"/>
              <w:left w:val="nil"/>
              <w:bottom w:val="nil"/>
              <w:right w:val="nil"/>
            </w:tcBorders>
            <w:shd w:val="clear" w:color="auto" w:fill="auto"/>
            <w:noWrap/>
            <w:vAlign w:val="center"/>
            <w:hideMark/>
          </w:tcPr>
          <w:p w14:paraId="781FB049"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17,821,303</w:t>
            </w:r>
          </w:p>
        </w:tc>
        <w:tc>
          <w:tcPr>
            <w:tcW w:w="0" w:type="auto"/>
            <w:tcBorders>
              <w:top w:val="nil"/>
              <w:left w:val="single" w:sz="4" w:space="0" w:color="auto"/>
              <w:bottom w:val="nil"/>
              <w:right w:val="single" w:sz="4" w:space="0" w:color="auto"/>
            </w:tcBorders>
            <w:shd w:val="clear" w:color="auto" w:fill="auto"/>
            <w:noWrap/>
            <w:vAlign w:val="center"/>
            <w:hideMark/>
          </w:tcPr>
          <w:p w14:paraId="72BAD88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14,883,559</w:t>
            </w:r>
          </w:p>
        </w:tc>
        <w:tc>
          <w:tcPr>
            <w:tcW w:w="0" w:type="auto"/>
            <w:tcBorders>
              <w:top w:val="nil"/>
              <w:left w:val="nil"/>
              <w:bottom w:val="nil"/>
              <w:right w:val="single" w:sz="4" w:space="0" w:color="auto"/>
            </w:tcBorders>
            <w:shd w:val="clear" w:color="auto" w:fill="auto"/>
            <w:noWrap/>
            <w:vAlign w:val="center"/>
            <w:hideMark/>
          </w:tcPr>
          <w:p w14:paraId="0512992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25,165,662</w:t>
            </w:r>
          </w:p>
        </w:tc>
      </w:tr>
      <w:tr w:rsidR="00F20ACA" w:rsidRPr="00F20ACA" w14:paraId="730EEDC6"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6CF0B4C3" w14:textId="4169EF82"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2015</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16</w:t>
            </w:r>
          </w:p>
        </w:tc>
        <w:tc>
          <w:tcPr>
            <w:tcW w:w="0" w:type="auto"/>
            <w:tcBorders>
              <w:top w:val="nil"/>
              <w:left w:val="single" w:sz="4" w:space="0" w:color="auto"/>
              <w:bottom w:val="nil"/>
              <w:right w:val="nil"/>
            </w:tcBorders>
            <w:shd w:val="clear" w:color="auto" w:fill="auto"/>
            <w:noWrap/>
            <w:vAlign w:val="center"/>
            <w:hideMark/>
          </w:tcPr>
          <w:p w14:paraId="69538BC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674,239</w:t>
            </w:r>
          </w:p>
        </w:tc>
        <w:tc>
          <w:tcPr>
            <w:tcW w:w="0" w:type="auto"/>
            <w:tcBorders>
              <w:top w:val="nil"/>
              <w:left w:val="single" w:sz="4" w:space="0" w:color="auto"/>
              <w:bottom w:val="nil"/>
              <w:right w:val="single" w:sz="4" w:space="0" w:color="auto"/>
            </w:tcBorders>
            <w:shd w:val="clear" w:color="auto" w:fill="auto"/>
            <w:noWrap/>
            <w:vAlign w:val="center"/>
            <w:hideMark/>
          </w:tcPr>
          <w:p w14:paraId="45275E7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337,120</w:t>
            </w:r>
          </w:p>
        </w:tc>
        <w:tc>
          <w:tcPr>
            <w:tcW w:w="0" w:type="auto"/>
            <w:tcBorders>
              <w:top w:val="nil"/>
              <w:left w:val="nil"/>
              <w:bottom w:val="nil"/>
              <w:right w:val="single" w:sz="4" w:space="0" w:color="auto"/>
            </w:tcBorders>
            <w:shd w:val="clear" w:color="auto" w:fill="auto"/>
            <w:noWrap/>
            <w:vAlign w:val="center"/>
            <w:hideMark/>
          </w:tcPr>
          <w:p w14:paraId="1260B688"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1,517,038</w:t>
            </w:r>
          </w:p>
        </w:tc>
        <w:tc>
          <w:tcPr>
            <w:tcW w:w="0" w:type="auto"/>
            <w:tcBorders>
              <w:top w:val="nil"/>
              <w:left w:val="nil"/>
              <w:bottom w:val="nil"/>
              <w:right w:val="nil"/>
            </w:tcBorders>
            <w:shd w:val="clear" w:color="auto" w:fill="auto"/>
            <w:noWrap/>
            <w:vAlign w:val="center"/>
            <w:hideMark/>
          </w:tcPr>
          <w:p w14:paraId="23474012"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2,162,261</w:t>
            </w:r>
          </w:p>
        </w:tc>
        <w:tc>
          <w:tcPr>
            <w:tcW w:w="0" w:type="auto"/>
            <w:tcBorders>
              <w:top w:val="nil"/>
              <w:left w:val="single" w:sz="4" w:space="0" w:color="auto"/>
              <w:bottom w:val="nil"/>
              <w:right w:val="single" w:sz="4" w:space="0" w:color="auto"/>
            </w:tcBorders>
            <w:shd w:val="clear" w:color="auto" w:fill="auto"/>
            <w:noWrap/>
            <w:vAlign w:val="center"/>
            <w:hideMark/>
          </w:tcPr>
          <w:p w14:paraId="7F71C302"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1,825,141</w:t>
            </w:r>
          </w:p>
        </w:tc>
        <w:tc>
          <w:tcPr>
            <w:tcW w:w="0" w:type="auto"/>
            <w:tcBorders>
              <w:top w:val="nil"/>
              <w:left w:val="nil"/>
              <w:bottom w:val="nil"/>
              <w:right w:val="single" w:sz="4" w:space="0" w:color="auto"/>
            </w:tcBorders>
            <w:shd w:val="clear" w:color="auto" w:fill="auto"/>
            <w:noWrap/>
            <w:vAlign w:val="center"/>
            <w:hideMark/>
          </w:tcPr>
          <w:p w14:paraId="4A532713"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3,005,059</w:t>
            </w:r>
          </w:p>
        </w:tc>
      </w:tr>
      <w:tr w:rsidR="00F20ACA" w:rsidRPr="00F20ACA" w14:paraId="3601242C"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1EC4B806" w14:textId="18161363"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2016</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17</w:t>
            </w:r>
          </w:p>
        </w:tc>
        <w:tc>
          <w:tcPr>
            <w:tcW w:w="0" w:type="auto"/>
            <w:tcBorders>
              <w:top w:val="nil"/>
              <w:left w:val="single" w:sz="4" w:space="0" w:color="auto"/>
              <w:bottom w:val="nil"/>
              <w:right w:val="nil"/>
            </w:tcBorders>
            <w:shd w:val="clear" w:color="auto" w:fill="auto"/>
            <w:noWrap/>
            <w:vAlign w:val="center"/>
            <w:hideMark/>
          </w:tcPr>
          <w:p w14:paraId="7BD471A7"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37,579,105</w:t>
            </w:r>
          </w:p>
        </w:tc>
        <w:tc>
          <w:tcPr>
            <w:tcW w:w="0" w:type="auto"/>
            <w:tcBorders>
              <w:top w:val="nil"/>
              <w:left w:val="single" w:sz="4" w:space="0" w:color="auto"/>
              <w:bottom w:val="nil"/>
              <w:right w:val="single" w:sz="4" w:space="0" w:color="auto"/>
            </w:tcBorders>
            <w:shd w:val="clear" w:color="auto" w:fill="auto"/>
            <w:noWrap/>
            <w:vAlign w:val="center"/>
            <w:hideMark/>
          </w:tcPr>
          <w:p w14:paraId="20190BB5"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18,789,553</w:t>
            </w:r>
          </w:p>
        </w:tc>
        <w:tc>
          <w:tcPr>
            <w:tcW w:w="0" w:type="auto"/>
            <w:tcBorders>
              <w:top w:val="nil"/>
              <w:left w:val="nil"/>
              <w:bottom w:val="nil"/>
              <w:right w:val="single" w:sz="4" w:space="0" w:color="auto"/>
            </w:tcBorders>
            <w:shd w:val="clear" w:color="auto" w:fill="auto"/>
            <w:noWrap/>
            <w:vAlign w:val="center"/>
            <w:hideMark/>
          </w:tcPr>
          <w:p w14:paraId="7BE2D1E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84,552,986</w:t>
            </w:r>
          </w:p>
        </w:tc>
        <w:tc>
          <w:tcPr>
            <w:tcW w:w="0" w:type="auto"/>
            <w:tcBorders>
              <w:top w:val="nil"/>
              <w:left w:val="nil"/>
              <w:bottom w:val="nil"/>
              <w:right w:val="nil"/>
            </w:tcBorders>
            <w:shd w:val="clear" w:color="auto" w:fill="auto"/>
            <w:noWrap/>
            <w:vAlign w:val="center"/>
            <w:hideMark/>
          </w:tcPr>
          <w:p w14:paraId="479C739F"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116,403,546</w:t>
            </w:r>
          </w:p>
        </w:tc>
        <w:tc>
          <w:tcPr>
            <w:tcW w:w="0" w:type="auto"/>
            <w:tcBorders>
              <w:top w:val="nil"/>
              <w:left w:val="single" w:sz="4" w:space="0" w:color="auto"/>
              <w:bottom w:val="nil"/>
              <w:right w:val="single" w:sz="4" w:space="0" w:color="auto"/>
            </w:tcBorders>
            <w:shd w:val="clear" w:color="auto" w:fill="auto"/>
            <w:noWrap/>
            <w:vAlign w:val="center"/>
            <w:hideMark/>
          </w:tcPr>
          <w:p w14:paraId="580C84C9"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97,613,994</w:t>
            </w:r>
          </w:p>
        </w:tc>
        <w:tc>
          <w:tcPr>
            <w:tcW w:w="0" w:type="auto"/>
            <w:tcBorders>
              <w:top w:val="nil"/>
              <w:left w:val="nil"/>
              <w:bottom w:val="nil"/>
              <w:right w:val="single" w:sz="4" w:space="0" w:color="auto"/>
            </w:tcBorders>
            <w:shd w:val="clear" w:color="auto" w:fill="auto"/>
            <w:noWrap/>
            <w:vAlign w:val="center"/>
            <w:hideMark/>
          </w:tcPr>
          <w:p w14:paraId="734EEDA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163,377,428</w:t>
            </w:r>
          </w:p>
        </w:tc>
      </w:tr>
      <w:tr w:rsidR="00F20ACA" w:rsidRPr="00F20ACA" w14:paraId="02E0E9A0" w14:textId="77777777" w:rsidTr="009B30CB">
        <w:trPr>
          <w:trHeight w:val="360"/>
        </w:trPr>
        <w:tc>
          <w:tcPr>
            <w:tcW w:w="1345" w:type="dxa"/>
            <w:tcBorders>
              <w:top w:val="nil"/>
              <w:left w:val="single" w:sz="4" w:space="0" w:color="auto"/>
              <w:bottom w:val="nil"/>
              <w:right w:val="nil"/>
            </w:tcBorders>
            <w:shd w:val="clear" w:color="auto" w:fill="auto"/>
            <w:noWrap/>
            <w:vAlign w:val="center"/>
            <w:hideMark/>
          </w:tcPr>
          <w:p w14:paraId="64D57E7A" w14:textId="21F2898B"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2017</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18</w:t>
            </w:r>
          </w:p>
        </w:tc>
        <w:tc>
          <w:tcPr>
            <w:tcW w:w="0" w:type="auto"/>
            <w:tcBorders>
              <w:top w:val="nil"/>
              <w:left w:val="single" w:sz="4" w:space="0" w:color="auto"/>
              <w:bottom w:val="nil"/>
              <w:right w:val="nil"/>
            </w:tcBorders>
            <w:shd w:val="clear" w:color="auto" w:fill="auto"/>
            <w:noWrap/>
            <w:vAlign w:val="center"/>
            <w:hideMark/>
          </w:tcPr>
          <w:p w14:paraId="6D620DFF"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48,778,766</w:t>
            </w:r>
          </w:p>
        </w:tc>
        <w:tc>
          <w:tcPr>
            <w:tcW w:w="0" w:type="auto"/>
            <w:tcBorders>
              <w:top w:val="nil"/>
              <w:left w:val="single" w:sz="4" w:space="0" w:color="auto"/>
              <w:bottom w:val="nil"/>
              <w:right w:val="single" w:sz="4" w:space="0" w:color="auto"/>
            </w:tcBorders>
            <w:shd w:val="clear" w:color="auto" w:fill="auto"/>
            <w:noWrap/>
            <w:vAlign w:val="center"/>
            <w:hideMark/>
          </w:tcPr>
          <w:p w14:paraId="65BFDD4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24,389,383</w:t>
            </w:r>
          </w:p>
        </w:tc>
        <w:tc>
          <w:tcPr>
            <w:tcW w:w="0" w:type="auto"/>
            <w:tcBorders>
              <w:top w:val="nil"/>
              <w:left w:val="nil"/>
              <w:bottom w:val="nil"/>
              <w:right w:val="single" w:sz="4" w:space="0" w:color="auto"/>
            </w:tcBorders>
            <w:shd w:val="clear" w:color="auto" w:fill="auto"/>
            <w:noWrap/>
            <w:vAlign w:val="center"/>
            <w:hideMark/>
          </w:tcPr>
          <w:p w14:paraId="0C97FCE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109,752,223</w:t>
            </w:r>
          </w:p>
        </w:tc>
        <w:tc>
          <w:tcPr>
            <w:tcW w:w="0" w:type="auto"/>
            <w:tcBorders>
              <w:top w:val="nil"/>
              <w:left w:val="nil"/>
              <w:bottom w:val="nil"/>
              <w:right w:val="nil"/>
            </w:tcBorders>
            <w:shd w:val="clear" w:color="auto" w:fill="auto"/>
            <w:noWrap/>
            <w:vAlign w:val="center"/>
            <w:hideMark/>
          </w:tcPr>
          <w:p w14:paraId="3DCEE2AB"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149,708,960</w:t>
            </w:r>
          </w:p>
        </w:tc>
        <w:tc>
          <w:tcPr>
            <w:tcW w:w="0" w:type="auto"/>
            <w:tcBorders>
              <w:top w:val="nil"/>
              <w:left w:val="single" w:sz="4" w:space="0" w:color="auto"/>
              <w:bottom w:val="nil"/>
              <w:right w:val="single" w:sz="4" w:space="0" w:color="auto"/>
            </w:tcBorders>
            <w:shd w:val="clear" w:color="auto" w:fill="auto"/>
            <w:noWrap/>
            <w:vAlign w:val="center"/>
            <w:hideMark/>
          </w:tcPr>
          <w:p w14:paraId="44DA9A67"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125,319,577</w:t>
            </w:r>
          </w:p>
        </w:tc>
        <w:tc>
          <w:tcPr>
            <w:tcW w:w="0" w:type="auto"/>
            <w:tcBorders>
              <w:top w:val="nil"/>
              <w:left w:val="nil"/>
              <w:bottom w:val="nil"/>
              <w:right w:val="single" w:sz="4" w:space="0" w:color="auto"/>
            </w:tcBorders>
            <w:shd w:val="clear" w:color="auto" w:fill="auto"/>
            <w:noWrap/>
            <w:vAlign w:val="center"/>
            <w:hideMark/>
          </w:tcPr>
          <w:p w14:paraId="11624AEC"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210,682,417</w:t>
            </w:r>
          </w:p>
        </w:tc>
      </w:tr>
      <w:tr w:rsidR="00F20ACA" w:rsidRPr="00F20ACA" w14:paraId="7157B167" w14:textId="77777777" w:rsidTr="009B30CB">
        <w:trPr>
          <w:trHeight w:val="360"/>
        </w:trPr>
        <w:tc>
          <w:tcPr>
            <w:tcW w:w="1345" w:type="dxa"/>
            <w:tcBorders>
              <w:top w:val="nil"/>
              <w:left w:val="single" w:sz="4" w:space="0" w:color="auto"/>
              <w:bottom w:val="single" w:sz="4" w:space="0" w:color="auto"/>
              <w:right w:val="nil"/>
            </w:tcBorders>
            <w:shd w:val="clear" w:color="auto" w:fill="auto"/>
            <w:noWrap/>
            <w:vAlign w:val="center"/>
            <w:hideMark/>
          </w:tcPr>
          <w:p w14:paraId="096F40D9" w14:textId="70936565"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2018</w:t>
            </w:r>
            <w:r w:rsidR="00E147C3">
              <w:rPr>
                <w:rFonts w:ascii="Calibri" w:eastAsia="Times New Roman" w:hAnsi="Calibri" w:cs="Calibri"/>
                <w:color w:val="000000"/>
              </w:rPr>
              <w:t>‒</w:t>
            </w:r>
            <w:r w:rsidR="00EC02CD">
              <w:rPr>
                <w:rFonts w:ascii="Calibri" w:eastAsia="Times New Roman" w:hAnsi="Calibri" w:cs="Calibri"/>
                <w:color w:val="000000"/>
              </w:rPr>
              <w:t>20</w:t>
            </w:r>
            <w:r w:rsidRPr="00F20ACA">
              <w:rPr>
                <w:rFonts w:ascii="Calibri" w:eastAsia="Times New Roman" w:hAnsi="Calibri" w:cs="Calibri"/>
                <w:color w:val="000000"/>
              </w:rPr>
              <w:t>19</w:t>
            </w:r>
          </w:p>
        </w:tc>
        <w:tc>
          <w:tcPr>
            <w:tcW w:w="0" w:type="auto"/>
            <w:tcBorders>
              <w:top w:val="nil"/>
              <w:left w:val="single" w:sz="4" w:space="0" w:color="auto"/>
              <w:bottom w:val="single" w:sz="4" w:space="0" w:color="auto"/>
              <w:right w:val="nil"/>
            </w:tcBorders>
            <w:shd w:val="clear" w:color="auto" w:fill="auto"/>
            <w:noWrap/>
            <w:vAlign w:val="center"/>
            <w:hideMark/>
          </w:tcPr>
          <w:p w14:paraId="0C176E46"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52,763,292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E28B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26,381,646</w:t>
            </w:r>
          </w:p>
        </w:tc>
        <w:tc>
          <w:tcPr>
            <w:tcW w:w="0" w:type="auto"/>
            <w:tcBorders>
              <w:top w:val="nil"/>
              <w:left w:val="nil"/>
              <w:bottom w:val="single" w:sz="4" w:space="0" w:color="auto"/>
              <w:right w:val="single" w:sz="4" w:space="0" w:color="auto"/>
            </w:tcBorders>
            <w:shd w:val="clear" w:color="auto" w:fill="auto"/>
            <w:noWrap/>
            <w:vAlign w:val="center"/>
            <w:hideMark/>
          </w:tcPr>
          <w:p w14:paraId="409C04D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118,717,407</w:t>
            </w:r>
          </w:p>
        </w:tc>
        <w:tc>
          <w:tcPr>
            <w:tcW w:w="0" w:type="auto"/>
            <w:tcBorders>
              <w:top w:val="nil"/>
              <w:left w:val="nil"/>
              <w:bottom w:val="single" w:sz="4" w:space="0" w:color="auto"/>
              <w:right w:val="nil"/>
            </w:tcBorders>
            <w:shd w:val="clear" w:color="auto" w:fill="auto"/>
            <w:noWrap/>
            <w:vAlign w:val="center"/>
            <w:hideMark/>
          </w:tcPr>
          <w:p w14:paraId="3C73814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165,029,256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274D4"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138,647,609</w:t>
            </w:r>
          </w:p>
        </w:tc>
        <w:tc>
          <w:tcPr>
            <w:tcW w:w="0" w:type="auto"/>
            <w:tcBorders>
              <w:top w:val="nil"/>
              <w:left w:val="nil"/>
              <w:bottom w:val="single" w:sz="4" w:space="0" w:color="auto"/>
              <w:right w:val="single" w:sz="4" w:space="0" w:color="auto"/>
            </w:tcBorders>
            <w:shd w:val="clear" w:color="auto" w:fill="auto"/>
            <w:noWrap/>
            <w:vAlign w:val="center"/>
            <w:hideMark/>
          </w:tcPr>
          <w:p w14:paraId="48B8B72A"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230,983,371</w:t>
            </w:r>
          </w:p>
        </w:tc>
      </w:tr>
      <w:tr w:rsidR="00F20ACA" w:rsidRPr="00F20ACA" w14:paraId="4BD4A799" w14:textId="77777777" w:rsidTr="009B30CB">
        <w:trPr>
          <w:trHeight w:val="360"/>
        </w:trPr>
        <w:tc>
          <w:tcPr>
            <w:tcW w:w="1345" w:type="dxa"/>
            <w:tcBorders>
              <w:top w:val="nil"/>
              <w:left w:val="single" w:sz="4" w:space="0" w:color="auto"/>
              <w:bottom w:val="single" w:sz="4" w:space="0" w:color="auto"/>
              <w:right w:val="nil"/>
            </w:tcBorders>
            <w:shd w:val="clear" w:color="auto" w:fill="auto"/>
            <w:noWrap/>
            <w:vAlign w:val="center"/>
            <w:hideMark/>
          </w:tcPr>
          <w:p w14:paraId="4C3DB2E1" w14:textId="77777777" w:rsidR="00F20ACA" w:rsidRPr="00F20ACA" w:rsidRDefault="00F20ACA" w:rsidP="00F20ACA">
            <w:pPr>
              <w:spacing w:after="0" w:line="240" w:lineRule="auto"/>
              <w:rPr>
                <w:rFonts w:ascii="Calibri" w:eastAsia="Times New Roman" w:hAnsi="Calibri" w:cs="Calibri"/>
                <w:color w:val="000000"/>
              </w:rPr>
            </w:pPr>
            <w:r w:rsidRPr="00F20ACA">
              <w:rPr>
                <w:rFonts w:ascii="Calibri" w:eastAsia="Times New Roman" w:hAnsi="Calibri" w:cs="Calibri"/>
                <w:color w:val="000000"/>
              </w:rPr>
              <w:t>Total</w:t>
            </w:r>
          </w:p>
        </w:tc>
        <w:tc>
          <w:tcPr>
            <w:tcW w:w="0" w:type="auto"/>
            <w:tcBorders>
              <w:top w:val="nil"/>
              <w:left w:val="single" w:sz="4" w:space="0" w:color="auto"/>
              <w:bottom w:val="single" w:sz="4" w:space="0" w:color="auto"/>
              <w:right w:val="nil"/>
            </w:tcBorders>
            <w:shd w:val="clear" w:color="auto" w:fill="auto"/>
            <w:noWrap/>
            <w:vAlign w:val="center"/>
            <w:hideMark/>
          </w:tcPr>
          <w:p w14:paraId="76044251"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153,554,916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122C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76,777,458</w:t>
            </w:r>
          </w:p>
        </w:tc>
        <w:tc>
          <w:tcPr>
            <w:tcW w:w="0" w:type="auto"/>
            <w:tcBorders>
              <w:top w:val="nil"/>
              <w:left w:val="nil"/>
              <w:bottom w:val="single" w:sz="4" w:space="0" w:color="auto"/>
              <w:right w:val="single" w:sz="4" w:space="0" w:color="auto"/>
            </w:tcBorders>
            <w:shd w:val="clear" w:color="auto" w:fill="auto"/>
            <w:noWrap/>
            <w:vAlign w:val="center"/>
            <w:hideMark/>
          </w:tcPr>
          <w:p w14:paraId="3B50D23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345,498,560</w:t>
            </w:r>
          </w:p>
        </w:tc>
        <w:tc>
          <w:tcPr>
            <w:tcW w:w="0" w:type="auto"/>
            <w:tcBorders>
              <w:top w:val="nil"/>
              <w:left w:val="nil"/>
              <w:bottom w:val="single" w:sz="4" w:space="0" w:color="auto"/>
              <w:right w:val="nil"/>
            </w:tcBorders>
            <w:shd w:val="clear" w:color="auto" w:fill="auto"/>
            <w:noWrap/>
            <w:vAlign w:val="center"/>
            <w:hideMark/>
          </w:tcPr>
          <w:p w14:paraId="269E37BE"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476,448,263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D35BD"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399,670,805</w:t>
            </w:r>
          </w:p>
        </w:tc>
        <w:tc>
          <w:tcPr>
            <w:tcW w:w="0" w:type="auto"/>
            <w:tcBorders>
              <w:top w:val="nil"/>
              <w:left w:val="nil"/>
              <w:bottom w:val="single" w:sz="4" w:space="0" w:color="auto"/>
              <w:right w:val="single" w:sz="4" w:space="0" w:color="auto"/>
            </w:tcBorders>
            <w:shd w:val="clear" w:color="auto" w:fill="auto"/>
            <w:noWrap/>
            <w:vAlign w:val="center"/>
            <w:hideMark/>
          </w:tcPr>
          <w:p w14:paraId="4193529A" w14:textId="77777777" w:rsidR="00F20ACA" w:rsidRPr="00F20ACA" w:rsidRDefault="00F20ACA" w:rsidP="00F20ACA">
            <w:pPr>
              <w:spacing w:after="0" w:line="240" w:lineRule="auto"/>
              <w:jc w:val="right"/>
              <w:rPr>
                <w:rFonts w:ascii="Calibri" w:eastAsia="Times New Roman" w:hAnsi="Calibri" w:cs="Calibri"/>
                <w:color w:val="000000"/>
              </w:rPr>
            </w:pPr>
            <w:r w:rsidRPr="00F20ACA">
              <w:rPr>
                <w:rFonts w:ascii="Calibri" w:eastAsia="Times New Roman" w:hAnsi="Calibri" w:cs="Calibri"/>
                <w:color w:val="000000"/>
              </w:rPr>
              <w:t>668,391,907</w:t>
            </w:r>
          </w:p>
        </w:tc>
      </w:tr>
    </w:tbl>
    <w:p w14:paraId="016924EC" w14:textId="238F8FBC" w:rsidR="00C75675" w:rsidRPr="00A600D7" w:rsidRDefault="00466949" w:rsidP="00A1699F">
      <w:pPr>
        <w:spacing w:after="0"/>
        <w:rPr>
          <w:sz w:val="20"/>
          <w:szCs w:val="20"/>
        </w:rPr>
      </w:pPr>
      <w:r w:rsidRPr="00A600D7">
        <w:rPr>
          <w:sz w:val="20"/>
          <w:szCs w:val="20"/>
        </w:rPr>
        <w:t xml:space="preserve">* Total productivity costs include </w:t>
      </w:r>
      <w:r w:rsidR="00145C12" w:rsidRPr="00A600D7">
        <w:rPr>
          <w:sz w:val="20"/>
          <w:szCs w:val="20"/>
        </w:rPr>
        <w:t xml:space="preserve">productivity costs </w:t>
      </w:r>
      <w:r w:rsidR="00B01F29" w:rsidRPr="00A600D7">
        <w:rPr>
          <w:sz w:val="20"/>
          <w:szCs w:val="20"/>
        </w:rPr>
        <w:t xml:space="preserve">of parents, teachers, and non-teaching school staff. </w:t>
      </w:r>
    </w:p>
    <w:p w14:paraId="3A5A2B88" w14:textId="59CF72BA" w:rsidR="00B01F29" w:rsidRPr="00A600D7" w:rsidRDefault="00A600D7" w:rsidP="00466949">
      <w:pPr>
        <w:rPr>
          <w:sz w:val="20"/>
          <w:szCs w:val="20"/>
        </w:rPr>
      </w:pPr>
      <w:r w:rsidRPr="00920110">
        <w:rPr>
          <w:sz w:val="20"/>
          <w:szCs w:val="20"/>
        </w:rPr>
        <w:t xml:space="preserve">ILI, </w:t>
      </w:r>
      <w:proofErr w:type="gramStart"/>
      <w:r w:rsidRPr="00920110">
        <w:rPr>
          <w:sz w:val="20"/>
          <w:szCs w:val="20"/>
        </w:rPr>
        <w:t>influenza</w:t>
      </w:r>
      <w:proofErr w:type="gramEnd"/>
      <w:r w:rsidRPr="00920110">
        <w:rPr>
          <w:sz w:val="20"/>
          <w:szCs w:val="20"/>
        </w:rPr>
        <w:t xml:space="preserve"> or influenza-like illness</w:t>
      </w:r>
      <w:r>
        <w:rPr>
          <w:sz w:val="20"/>
          <w:szCs w:val="20"/>
        </w:rPr>
        <w:t xml:space="preserve">; </w:t>
      </w:r>
      <w:r w:rsidR="00B01F29" w:rsidRPr="00A600D7">
        <w:rPr>
          <w:sz w:val="20"/>
          <w:szCs w:val="20"/>
        </w:rPr>
        <w:t>LL, lower</w:t>
      </w:r>
      <w:r w:rsidR="007A703E" w:rsidRPr="00A600D7">
        <w:rPr>
          <w:sz w:val="20"/>
          <w:szCs w:val="20"/>
        </w:rPr>
        <w:t>-</w:t>
      </w:r>
      <w:r w:rsidR="00897A77" w:rsidRPr="00A600D7">
        <w:rPr>
          <w:sz w:val="20"/>
          <w:szCs w:val="20"/>
        </w:rPr>
        <w:t>l</w:t>
      </w:r>
      <w:r w:rsidR="007A703E" w:rsidRPr="00A600D7">
        <w:rPr>
          <w:sz w:val="20"/>
          <w:szCs w:val="20"/>
        </w:rPr>
        <w:t>evel; UL, upper-level</w:t>
      </w:r>
    </w:p>
    <w:p w14:paraId="61097014" w14:textId="77777777" w:rsidR="00466949" w:rsidRDefault="00466949">
      <w:pPr>
        <w:rPr>
          <w:b/>
          <w:bCs/>
        </w:rPr>
      </w:pPr>
      <w:r>
        <w:rPr>
          <w:b/>
          <w:bCs/>
        </w:rPr>
        <w:br w:type="page"/>
      </w:r>
    </w:p>
    <w:p w14:paraId="3D17B4FA" w14:textId="3A995BD8" w:rsidR="00526A3C" w:rsidRDefault="00526A3C">
      <w:r w:rsidRPr="00526A3C">
        <w:rPr>
          <w:b/>
          <w:bCs/>
        </w:rPr>
        <w:lastRenderedPageBreak/>
        <w:t xml:space="preserve">Appendix </w:t>
      </w:r>
      <w:r w:rsidR="008536DA">
        <w:rPr>
          <w:b/>
          <w:bCs/>
        </w:rPr>
        <w:t>8</w:t>
      </w:r>
      <w:r w:rsidRPr="00526A3C">
        <w:rPr>
          <w:b/>
          <w:bCs/>
        </w:rPr>
        <w:t xml:space="preserve">. </w:t>
      </w:r>
      <w:r w:rsidR="00A600D7">
        <w:t>Mean</w:t>
      </w:r>
      <w:r w:rsidRPr="00526A3C">
        <w:t xml:space="preserve"> number of ILI-related </w:t>
      </w:r>
      <w:r w:rsidR="00A600D7">
        <w:t xml:space="preserve">reactive </w:t>
      </w:r>
      <w:r w:rsidRPr="00526A3C">
        <w:t xml:space="preserve">school closures </w:t>
      </w:r>
      <w:r w:rsidR="00FE1D63">
        <w:t xml:space="preserve">per year </w:t>
      </w:r>
      <w:r w:rsidRPr="00526A3C">
        <w:t xml:space="preserve">and the </w:t>
      </w:r>
      <w:r w:rsidR="00A600D7">
        <w:t>mean</w:t>
      </w:r>
      <w:r w:rsidR="00FE1D63">
        <w:t xml:space="preserve"> total</w:t>
      </w:r>
      <w:r w:rsidRPr="00526A3C">
        <w:t xml:space="preserve"> productivity cost</w:t>
      </w:r>
      <w:r w:rsidR="00FE1D63">
        <w:t xml:space="preserve"> per year</w:t>
      </w:r>
      <w:r w:rsidRPr="00526A3C">
        <w:t xml:space="preserve">, by state and by </w:t>
      </w:r>
      <w:r w:rsidR="00FE1D63">
        <w:t xml:space="preserve">study </w:t>
      </w:r>
      <w:r w:rsidRPr="00526A3C">
        <w:t>period</w:t>
      </w:r>
    </w:p>
    <w:tbl>
      <w:tblPr>
        <w:tblW w:w="9313" w:type="dxa"/>
        <w:tblInd w:w="-5" w:type="dxa"/>
        <w:tblCellMar>
          <w:left w:w="101" w:type="dxa"/>
          <w:right w:w="101" w:type="dxa"/>
        </w:tblCellMar>
        <w:tblLook w:val="04A0" w:firstRow="1" w:lastRow="0" w:firstColumn="1" w:lastColumn="0" w:noHBand="0" w:noVBand="1"/>
      </w:tblPr>
      <w:tblGrid>
        <w:gridCol w:w="666"/>
        <w:gridCol w:w="1404"/>
        <w:gridCol w:w="1153"/>
        <w:gridCol w:w="1355"/>
        <w:gridCol w:w="1596"/>
        <w:gridCol w:w="1604"/>
        <w:gridCol w:w="1535"/>
      </w:tblGrid>
      <w:tr w:rsidR="00F10157" w:rsidRPr="00F10157" w14:paraId="7C3E16C9" w14:textId="77777777" w:rsidTr="0041206F">
        <w:trPr>
          <w:trHeight w:val="288"/>
        </w:trPr>
        <w:tc>
          <w:tcPr>
            <w:tcW w:w="666" w:type="dxa"/>
            <w:tcBorders>
              <w:top w:val="single" w:sz="4" w:space="0" w:color="auto"/>
              <w:left w:val="single" w:sz="4" w:space="0" w:color="auto"/>
              <w:bottom w:val="nil"/>
              <w:right w:val="nil"/>
            </w:tcBorders>
            <w:shd w:val="clear" w:color="auto" w:fill="auto"/>
            <w:noWrap/>
            <w:vAlign w:val="center"/>
            <w:hideMark/>
          </w:tcPr>
          <w:p w14:paraId="7FA8DC1A" w14:textId="77777777" w:rsidR="0016504E" w:rsidRPr="0016504E" w:rsidRDefault="0016504E" w:rsidP="0016504E">
            <w:pPr>
              <w:spacing w:after="0" w:line="240" w:lineRule="auto"/>
              <w:rPr>
                <w:rFonts w:ascii="Calibri" w:eastAsia="Times New Roman" w:hAnsi="Calibri" w:cs="Calibri"/>
                <w:color w:val="000000"/>
                <w:sz w:val="20"/>
                <w:szCs w:val="20"/>
              </w:rPr>
            </w:pPr>
            <w:r w:rsidRPr="0016504E">
              <w:rPr>
                <w:rFonts w:ascii="Calibri" w:eastAsia="Times New Roman" w:hAnsi="Calibri" w:cs="Calibri"/>
                <w:color w:val="000000"/>
                <w:sz w:val="20"/>
                <w:szCs w:val="20"/>
              </w:rPr>
              <w:t> </w:t>
            </w:r>
          </w:p>
        </w:tc>
        <w:tc>
          <w:tcPr>
            <w:tcW w:w="391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D2A0" w14:textId="72662BDB" w:rsidR="0016504E" w:rsidRPr="0016504E" w:rsidRDefault="0016504E" w:rsidP="0016504E">
            <w:pPr>
              <w:spacing w:after="0" w:line="240" w:lineRule="auto"/>
              <w:jc w:val="center"/>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Average number of closures per year</w:t>
            </w:r>
            <w:r w:rsidR="0041206F">
              <w:rPr>
                <w:rFonts w:ascii="Calibri" w:eastAsia="Times New Roman" w:hAnsi="Calibri" w:cs="Calibri"/>
                <w:b/>
                <w:bCs/>
                <w:color w:val="000000"/>
                <w:sz w:val="20"/>
                <w:szCs w:val="20"/>
              </w:rPr>
              <w:t xml:space="preserve"> (n)</w:t>
            </w:r>
          </w:p>
        </w:tc>
        <w:tc>
          <w:tcPr>
            <w:tcW w:w="473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6CFD4B" w14:textId="67F51D4C" w:rsidR="0016504E" w:rsidRPr="0016504E" w:rsidRDefault="0016504E" w:rsidP="0016504E">
            <w:pPr>
              <w:spacing w:after="0" w:line="240" w:lineRule="auto"/>
              <w:jc w:val="center"/>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 xml:space="preserve">Average </w:t>
            </w:r>
            <w:r w:rsidR="003C37B3" w:rsidRPr="0041206F">
              <w:rPr>
                <w:rFonts w:ascii="Calibri" w:eastAsia="Times New Roman" w:hAnsi="Calibri" w:cs="Calibri"/>
                <w:b/>
                <w:bCs/>
                <w:color w:val="000000"/>
                <w:sz w:val="20"/>
                <w:szCs w:val="20"/>
              </w:rPr>
              <w:t xml:space="preserve">total </w:t>
            </w:r>
            <w:r w:rsidRPr="0016504E">
              <w:rPr>
                <w:rFonts w:ascii="Calibri" w:eastAsia="Times New Roman" w:hAnsi="Calibri" w:cs="Calibri"/>
                <w:b/>
                <w:bCs/>
                <w:color w:val="000000"/>
                <w:sz w:val="20"/>
                <w:szCs w:val="20"/>
              </w:rPr>
              <w:t>productivity cost per year</w:t>
            </w:r>
            <w:r w:rsidR="0041206F">
              <w:rPr>
                <w:rFonts w:ascii="Calibri" w:eastAsia="Times New Roman" w:hAnsi="Calibri" w:cs="Calibri"/>
                <w:b/>
                <w:bCs/>
                <w:color w:val="000000"/>
                <w:sz w:val="20"/>
                <w:szCs w:val="20"/>
              </w:rPr>
              <w:t xml:space="preserve"> (2019 USD)</w:t>
            </w:r>
          </w:p>
        </w:tc>
      </w:tr>
      <w:tr w:rsidR="00F10157" w:rsidRPr="00F10157" w14:paraId="309625CD" w14:textId="77777777" w:rsidTr="0041206F">
        <w:trPr>
          <w:trHeight w:val="288"/>
        </w:trPr>
        <w:tc>
          <w:tcPr>
            <w:tcW w:w="666" w:type="dxa"/>
            <w:tcBorders>
              <w:top w:val="nil"/>
              <w:left w:val="single" w:sz="4" w:space="0" w:color="auto"/>
              <w:bottom w:val="single" w:sz="4" w:space="0" w:color="auto"/>
              <w:right w:val="nil"/>
            </w:tcBorders>
            <w:shd w:val="clear" w:color="auto" w:fill="auto"/>
            <w:noWrap/>
            <w:vAlign w:val="center"/>
            <w:hideMark/>
          </w:tcPr>
          <w:p w14:paraId="74FD16A0" w14:textId="77777777" w:rsidR="0016504E" w:rsidRPr="0016504E" w:rsidRDefault="0016504E" w:rsidP="0016504E">
            <w:pPr>
              <w:spacing w:after="0" w:line="240" w:lineRule="auto"/>
              <w:jc w:val="center"/>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State</w:t>
            </w:r>
          </w:p>
        </w:tc>
        <w:tc>
          <w:tcPr>
            <w:tcW w:w="1404" w:type="dxa"/>
            <w:tcBorders>
              <w:top w:val="nil"/>
              <w:left w:val="single" w:sz="4" w:space="0" w:color="auto"/>
              <w:bottom w:val="single" w:sz="4" w:space="0" w:color="auto"/>
              <w:right w:val="nil"/>
            </w:tcBorders>
            <w:shd w:val="clear" w:color="auto" w:fill="auto"/>
            <w:noWrap/>
            <w:vAlign w:val="center"/>
            <w:hideMark/>
          </w:tcPr>
          <w:p w14:paraId="2C59F0D6" w14:textId="3C65994B"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2011/12</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2015/16</w:t>
            </w:r>
          </w:p>
        </w:tc>
        <w:tc>
          <w:tcPr>
            <w:tcW w:w="1153" w:type="dxa"/>
            <w:tcBorders>
              <w:top w:val="nil"/>
              <w:left w:val="nil"/>
              <w:bottom w:val="single" w:sz="4" w:space="0" w:color="auto"/>
              <w:right w:val="nil"/>
            </w:tcBorders>
            <w:shd w:val="clear" w:color="auto" w:fill="auto"/>
            <w:noWrap/>
            <w:vAlign w:val="center"/>
            <w:hideMark/>
          </w:tcPr>
          <w:p w14:paraId="11790D33" w14:textId="36609200"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2016/17</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2018/19</w:t>
            </w:r>
          </w:p>
        </w:tc>
        <w:tc>
          <w:tcPr>
            <w:tcW w:w="1355" w:type="dxa"/>
            <w:tcBorders>
              <w:top w:val="nil"/>
              <w:left w:val="nil"/>
              <w:bottom w:val="single" w:sz="4" w:space="0" w:color="auto"/>
              <w:right w:val="single" w:sz="4" w:space="0" w:color="auto"/>
            </w:tcBorders>
            <w:shd w:val="clear" w:color="auto" w:fill="auto"/>
            <w:noWrap/>
            <w:vAlign w:val="center"/>
            <w:hideMark/>
          </w:tcPr>
          <w:p w14:paraId="6BFC0DA1" w14:textId="3EBF4DEA"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2011/12</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2018/19</w:t>
            </w:r>
          </w:p>
        </w:tc>
        <w:tc>
          <w:tcPr>
            <w:tcW w:w="1596" w:type="dxa"/>
            <w:tcBorders>
              <w:top w:val="nil"/>
              <w:left w:val="nil"/>
              <w:bottom w:val="single" w:sz="4" w:space="0" w:color="auto"/>
              <w:right w:val="nil"/>
            </w:tcBorders>
            <w:shd w:val="clear" w:color="auto" w:fill="auto"/>
            <w:noWrap/>
            <w:vAlign w:val="center"/>
            <w:hideMark/>
          </w:tcPr>
          <w:p w14:paraId="3FA3CADB" w14:textId="085E500A"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2011/12</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2015/16</w:t>
            </w:r>
          </w:p>
        </w:tc>
        <w:tc>
          <w:tcPr>
            <w:tcW w:w="1604" w:type="dxa"/>
            <w:tcBorders>
              <w:top w:val="nil"/>
              <w:left w:val="nil"/>
              <w:bottom w:val="single" w:sz="4" w:space="0" w:color="auto"/>
              <w:right w:val="nil"/>
            </w:tcBorders>
            <w:shd w:val="clear" w:color="auto" w:fill="auto"/>
            <w:noWrap/>
            <w:vAlign w:val="center"/>
            <w:hideMark/>
          </w:tcPr>
          <w:p w14:paraId="09AA06A8" w14:textId="6C0290B3"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2016/17</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2018/19</w:t>
            </w:r>
          </w:p>
        </w:tc>
        <w:tc>
          <w:tcPr>
            <w:tcW w:w="1535" w:type="dxa"/>
            <w:tcBorders>
              <w:top w:val="nil"/>
              <w:left w:val="nil"/>
              <w:bottom w:val="single" w:sz="4" w:space="0" w:color="auto"/>
              <w:right w:val="single" w:sz="4" w:space="0" w:color="auto"/>
            </w:tcBorders>
            <w:shd w:val="clear" w:color="auto" w:fill="auto"/>
            <w:noWrap/>
            <w:vAlign w:val="center"/>
            <w:hideMark/>
          </w:tcPr>
          <w:p w14:paraId="5ACE1F5D" w14:textId="7F4478E0" w:rsidR="0016504E" w:rsidRPr="0016504E" w:rsidRDefault="0016504E" w:rsidP="00F10157">
            <w:pPr>
              <w:spacing w:after="0" w:line="240" w:lineRule="auto"/>
              <w:jc w:val="right"/>
              <w:rPr>
                <w:rFonts w:ascii="Calibri" w:eastAsia="Times New Roman" w:hAnsi="Calibri" w:cs="Calibri"/>
                <w:b/>
                <w:bCs/>
                <w:color w:val="000000"/>
                <w:sz w:val="20"/>
                <w:szCs w:val="20"/>
              </w:rPr>
            </w:pPr>
            <w:r w:rsidRPr="0016504E">
              <w:rPr>
                <w:rFonts w:ascii="Calibri" w:eastAsia="Times New Roman" w:hAnsi="Calibri" w:cs="Calibri"/>
                <w:b/>
                <w:bCs/>
                <w:color w:val="000000"/>
                <w:sz w:val="20"/>
                <w:szCs w:val="20"/>
              </w:rPr>
              <w:t>2011/12</w:t>
            </w:r>
            <w:r w:rsidR="00F10157" w:rsidRPr="0041206F">
              <w:rPr>
                <w:rFonts w:ascii="Calibri" w:eastAsia="Times New Roman" w:hAnsi="Calibri" w:cs="Calibri"/>
                <w:b/>
                <w:bCs/>
                <w:color w:val="000000"/>
                <w:sz w:val="20"/>
                <w:szCs w:val="20"/>
              </w:rPr>
              <w:t>‒</w:t>
            </w:r>
            <w:r w:rsidRPr="0016504E">
              <w:rPr>
                <w:rFonts w:ascii="Calibri" w:eastAsia="Times New Roman" w:hAnsi="Calibri" w:cs="Calibri"/>
                <w:b/>
                <w:bCs/>
                <w:color w:val="000000"/>
                <w:sz w:val="20"/>
                <w:szCs w:val="20"/>
              </w:rPr>
              <w:t>2018/19</w:t>
            </w:r>
          </w:p>
        </w:tc>
      </w:tr>
      <w:tr w:rsidR="00F10157" w:rsidRPr="00F10157" w14:paraId="549D511E"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B34FC59"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TN</w:t>
            </w:r>
          </w:p>
        </w:tc>
        <w:tc>
          <w:tcPr>
            <w:tcW w:w="1404" w:type="dxa"/>
            <w:tcBorders>
              <w:top w:val="nil"/>
              <w:left w:val="single" w:sz="4" w:space="0" w:color="auto"/>
              <w:bottom w:val="nil"/>
              <w:right w:val="nil"/>
            </w:tcBorders>
            <w:shd w:val="clear" w:color="auto" w:fill="auto"/>
            <w:noWrap/>
            <w:vAlign w:val="center"/>
            <w:hideMark/>
          </w:tcPr>
          <w:p w14:paraId="0AC191C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51.0</w:t>
            </w:r>
          </w:p>
        </w:tc>
        <w:tc>
          <w:tcPr>
            <w:tcW w:w="1153" w:type="dxa"/>
            <w:tcBorders>
              <w:top w:val="nil"/>
              <w:left w:val="nil"/>
              <w:bottom w:val="nil"/>
              <w:right w:val="nil"/>
            </w:tcBorders>
            <w:shd w:val="clear" w:color="auto" w:fill="auto"/>
            <w:noWrap/>
            <w:vAlign w:val="center"/>
            <w:hideMark/>
          </w:tcPr>
          <w:p w14:paraId="3F01BED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820.0</w:t>
            </w:r>
          </w:p>
        </w:tc>
        <w:tc>
          <w:tcPr>
            <w:tcW w:w="1355" w:type="dxa"/>
            <w:tcBorders>
              <w:top w:val="nil"/>
              <w:left w:val="nil"/>
              <w:bottom w:val="nil"/>
              <w:right w:val="single" w:sz="4" w:space="0" w:color="auto"/>
            </w:tcBorders>
            <w:shd w:val="clear" w:color="auto" w:fill="auto"/>
            <w:noWrap/>
            <w:vAlign w:val="center"/>
            <w:hideMark/>
          </w:tcPr>
          <w:p w14:paraId="4103A94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339.4</w:t>
            </w:r>
          </w:p>
        </w:tc>
        <w:tc>
          <w:tcPr>
            <w:tcW w:w="1596" w:type="dxa"/>
            <w:tcBorders>
              <w:top w:val="nil"/>
              <w:left w:val="nil"/>
              <w:bottom w:val="nil"/>
              <w:right w:val="nil"/>
            </w:tcBorders>
            <w:shd w:val="clear" w:color="auto" w:fill="auto"/>
            <w:noWrap/>
            <w:vAlign w:val="center"/>
            <w:hideMark/>
          </w:tcPr>
          <w:p w14:paraId="4482F5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2,947,167</w:t>
            </w:r>
          </w:p>
        </w:tc>
        <w:tc>
          <w:tcPr>
            <w:tcW w:w="1604" w:type="dxa"/>
            <w:tcBorders>
              <w:top w:val="nil"/>
              <w:left w:val="nil"/>
              <w:bottom w:val="nil"/>
              <w:right w:val="nil"/>
            </w:tcBorders>
            <w:shd w:val="clear" w:color="auto" w:fill="auto"/>
            <w:noWrap/>
            <w:vAlign w:val="center"/>
            <w:hideMark/>
          </w:tcPr>
          <w:p w14:paraId="6F1877C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82,609,824</w:t>
            </w:r>
          </w:p>
        </w:tc>
        <w:tc>
          <w:tcPr>
            <w:tcW w:w="1535" w:type="dxa"/>
            <w:tcBorders>
              <w:top w:val="nil"/>
              <w:left w:val="nil"/>
              <w:bottom w:val="nil"/>
              <w:right w:val="single" w:sz="4" w:space="0" w:color="auto"/>
            </w:tcBorders>
            <w:shd w:val="clear" w:color="auto" w:fill="auto"/>
            <w:noWrap/>
            <w:vAlign w:val="center"/>
            <w:hideMark/>
          </w:tcPr>
          <w:p w14:paraId="18B78C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32,820,664</w:t>
            </w:r>
          </w:p>
        </w:tc>
      </w:tr>
      <w:tr w:rsidR="00F10157" w:rsidRPr="00F10157" w14:paraId="39CB4E7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23DDE8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KY</w:t>
            </w:r>
          </w:p>
        </w:tc>
        <w:tc>
          <w:tcPr>
            <w:tcW w:w="1404" w:type="dxa"/>
            <w:tcBorders>
              <w:top w:val="nil"/>
              <w:left w:val="single" w:sz="4" w:space="0" w:color="auto"/>
              <w:bottom w:val="nil"/>
              <w:right w:val="nil"/>
            </w:tcBorders>
            <w:shd w:val="clear" w:color="auto" w:fill="auto"/>
            <w:noWrap/>
            <w:vAlign w:val="center"/>
            <w:hideMark/>
          </w:tcPr>
          <w:p w14:paraId="0A8F2A8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52.0</w:t>
            </w:r>
          </w:p>
        </w:tc>
        <w:tc>
          <w:tcPr>
            <w:tcW w:w="1153" w:type="dxa"/>
            <w:tcBorders>
              <w:top w:val="nil"/>
              <w:left w:val="nil"/>
              <w:bottom w:val="nil"/>
              <w:right w:val="nil"/>
            </w:tcBorders>
            <w:shd w:val="clear" w:color="auto" w:fill="auto"/>
            <w:noWrap/>
            <w:vAlign w:val="center"/>
            <w:hideMark/>
          </w:tcPr>
          <w:p w14:paraId="315F411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282.7</w:t>
            </w:r>
          </w:p>
        </w:tc>
        <w:tc>
          <w:tcPr>
            <w:tcW w:w="1355" w:type="dxa"/>
            <w:tcBorders>
              <w:top w:val="nil"/>
              <w:left w:val="nil"/>
              <w:bottom w:val="nil"/>
              <w:right w:val="single" w:sz="4" w:space="0" w:color="auto"/>
            </w:tcBorders>
            <w:shd w:val="clear" w:color="auto" w:fill="auto"/>
            <w:noWrap/>
            <w:vAlign w:val="center"/>
            <w:hideMark/>
          </w:tcPr>
          <w:p w14:paraId="2E50736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138.5</w:t>
            </w:r>
          </w:p>
        </w:tc>
        <w:tc>
          <w:tcPr>
            <w:tcW w:w="1596" w:type="dxa"/>
            <w:tcBorders>
              <w:top w:val="nil"/>
              <w:left w:val="nil"/>
              <w:bottom w:val="nil"/>
              <w:right w:val="nil"/>
            </w:tcBorders>
            <w:shd w:val="clear" w:color="auto" w:fill="auto"/>
            <w:noWrap/>
            <w:vAlign w:val="center"/>
            <w:hideMark/>
          </w:tcPr>
          <w:p w14:paraId="5F68402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3,468,643</w:t>
            </w:r>
          </w:p>
        </w:tc>
        <w:tc>
          <w:tcPr>
            <w:tcW w:w="1604" w:type="dxa"/>
            <w:tcBorders>
              <w:top w:val="nil"/>
              <w:left w:val="nil"/>
              <w:bottom w:val="nil"/>
              <w:right w:val="nil"/>
            </w:tcBorders>
            <w:shd w:val="clear" w:color="auto" w:fill="auto"/>
            <w:noWrap/>
            <w:vAlign w:val="center"/>
            <w:hideMark/>
          </w:tcPr>
          <w:p w14:paraId="3D71530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27,944,236</w:t>
            </w:r>
          </w:p>
        </w:tc>
        <w:tc>
          <w:tcPr>
            <w:tcW w:w="1535" w:type="dxa"/>
            <w:tcBorders>
              <w:top w:val="nil"/>
              <w:left w:val="nil"/>
              <w:bottom w:val="nil"/>
              <w:right w:val="single" w:sz="4" w:space="0" w:color="auto"/>
            </w:tcBorders>
            <w:shd w:val="clear" w:color="auto" w:fill="auto"/>
            <w:noWrap/>
            <w:vAlign w:val="center"/>
            <w:hideMark/>
          </w:tcPr>
          <w:p w14:paraId="3F8A5AD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12,646,990</w:t>
            </w:r>
          </w:p>
        </w:tc>
      </w:tr>
      <w:tr w:rsidR="00F10157" w:rsidRPr="00F10157" w14:paraId="68A7AC9F"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478DB75E"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TX</w:t>
            </w:r>
          </w:p>
        </w:tc>
        <w:tc>
          <w:tcPr>
            <w:tcW w:w="1404" w:type="dxa"/>
            <w:tcBorders>
              <w:top w:val="nil"/>
              <w:left w:val="single" w:sz="4" w:space="0" w:color="auto"/>
              <w:bottom w:val="nil"/>
              <w:right w:val="nil"/>
            </w:tcBorders>
            <w:shd w:val="clear" w:color="auto" w:fill="auto"/>
            <w:noWrap/>
            <w:vAlign w:val="center"/>
            <w:hideMark/>
          </w:tcPr>
          <w:p w14:paraId="22C07B5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0.6</w:t>
            </w:r>
          </w:p>
        </w:tc>
        <w:tc>
          <w:tcPr>
            <w:tcW w:w="1153" w:type="dxa"/>
            <w:tcBorders>
              <w:top w:val="nil"/>
              <w:left w:val="nil"/>
              <w:bottom w:val="nil"/>
              <w:right w:val="nil"/>
            </w:tcBorders>
            <w:shd w:val="clear" w:color="auto" w:fill="auto"/>
            <w:noWrap/>
            <w:vAlign w:val="center"/>
            <w:hideMark/>
          </w:tcPr>
          <w:p w14:paraId="4D47E16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123.3</w:t>
            </w:r>
          </w:p>
        </w:tc>
        <w:tc>
          <w:tcPr>
            <w:tcW w:w="1355" w:type="dxa"/>
            <w:tcBorders>
              <w:top w:val="nil"/>
              <w:left w:val="nil"/>
              <w:bottom w:val="nil"/>
              <w:right w:val="single" w:sz="4" w:space="0" w:color="auto"/>
            </w:tcBorders>
            <w:shd w:val="clear" w:color="auto" w:fill="auto"/>
            <w:noWrap/>
            <w:vAlign w:val="center"/>
            <w:hideMark/>
          </w:tcPr>
          <w:p w14:paraId="599E82A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46.6</w:t>
            </w:r>
          </w:p>
        </w:tc>
        <w:tc>
          <w:tcPr>
            <w:tcW w:w="1596" w:type="dxa"/>
            <w:tcBorders>
              <w:top w:val="nil"/>
              <w:left w:val="nil"/>
              <w:bottom w:val="nil"/>
              <w:right w:val="nil"/>
            </w:tcBorders>
            <w:shd w:val="clear" w:color="auto" w:fill="auto"/>
            <w:noWrap/>
            <w:vAlign w:val="center"/>
            <w:hideMark/>
          </w:tcPr>
          <w:p w14:paraId="310846B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25,358</w:t>
            </w:r>
          </w:p>
        </w:tc>
        <w:tc>
          <w:tcPr>
            <w:tcW w:w="1604" w:type="dxa"/>
            <w:tcBorders>
              <w:top w:val="nil"/>
              <w:left w:val="nil"/>
              <w:bottom w:val="nil"/>
              <w:right w:val="nil"/>
            </w:tcBorders>
            <w:shd w:val="clear" w:color="auto" w:fill="auto"/>
            <w:noWrap/>
            <w:vAlign w:val="center"/>
            <w:hideMark/>
          </w:tcPr>
          <w:p w14:paraId="258ED8B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6,502,554</w:t>
            </w:r>
          </w:p>
        </w:tc>
        <w:tc>
          <w:tcPr>
            <w:tcW w:w="1535" w:type="dxa"/>
            <w:tcBorders>
              <w:top w:val="nil"/>
              <w:left w:val="nil"/>
              <w:bottom w:val="nil"/>
              <w:right w:val="single" w:sz="4" w:space="0" w:color="auto"/>
            </w:tcBorders>
            <w:shd w:val="clear" w:color="auto" w:fill="auto"/>
            <w:noWrap/>
            <w:vAlign w:val="center"/>
            <w:hideMark/>
          </w:tcPr>
          <w:p w14:paraId="741BC6D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2,454,307</w:t>
            </w:r>
          </w:p>
        </w:tc>
      </w:tr>
      <w:tr w:rsidR="00F10157" w:rsidRPr="00F10157" w14:paraId="4052695C"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396487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MI</w:t>
            </w:r>
          </w:p>
        </w:tc>
        <w:tc>
          <w:tcPr>
            <w:tcW w:w="1404" w:type="dxa"/>
            <w:tcBorders>
              <w:top w:val="nil"/>
              <w:left w:val="single" w:sz="4" w:space="0" w:color="auto"/>
              <w:bottom w:val="nil"/>
              <w:right w:val="nil"/>
            </w:tcBorders>
            <w:shd w:val="clear" w:color="auto" w:fill="auto"/>
            <w:noWrap/>
            <w:vAlign w:val="center"/>
            <w:hideMark/>
          </w:tcPr>
          <w:p w14:paraId="3767155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11.2</w:t>
            </w:r>
          </w:p>
        </w:tc>
        <w:tc>
          <w:tcPr>
            <w:tcW w:w="1153" w:type="dxa"/>
            <w:tcBorders>
              <w:top w:val="nil"/>
              <w:left w:val="nil"/>
              <w:bottom w:val="nil"/>
              <w:right w:val="nil"/>
            </w:tcBorders>
            <w:shd w:val="clear" w:color="auto" w:fill="auto"/>
            <w:noWrap/>
            <w:vAlign w:val="center"/>
            <w:hideMark/>
          </w:tcPr>
          <w:p w14:paraId="08AA53B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95.7</w:t>
            </w:r>
          </w:p>
        </w:tc>
        <w:tc>
          <w:tcPr>
            <w:tcW w:w="1355" w:type="dxa"/>
            <w:tcBorders>
              <w:top w:val="nil"/>
              <w:left w:val="nil"/>
              <w:bottom w:val="nil"/>
              <w:right w:val="single" w:sz="4" w:space="0" w:color="auto"/>
            </w:tcBorders>
            <w:shd w:val="clear" w:color="auto" w:fill="auto"/>
            <w:noWrap/>
            <w:vAlign w:val="center"/>
            <w:hideMark/>
          </w:tcPr>
          <w:p w14:paraId="095B6F2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42.9</w:t>
            </w:r>
          </w:p>
        </w:tc>
        <w:tc>
          <w:tcPr>
            <w:tcW w:w="1596" w:type="dxa"/>
            <w:tcBorders>
              <w:top w:val="nil"/>
              <w:left w:val="nil"/>
              <w:bottom w:val="nil"/>
              <w:right w:val="nil"/>
            </w:tcBorders>
            <w:shd w:val="clear" w:color="auto" w:fill="auto"/>
            <w:noWrap/>
            <w:vAlign w:val="center"/>
            <w:hideMark/>
          </w:tcPr>
          <w:p w14:paraId="13C3D77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419,307</w:t>
            </w:r>
          </w:p>
        </w:tc>
        <w:tc>
          <w:tcPr>
            <w:tcW w:w="1604" w:type="dxa"/>
            <w:tcBorders>
              <w:top w:val="nil"/>
              <w:left w:val="nil"/>
              <w:bottom w:val="nil"/>
              <w:right w:val="nil"/>
            </w:tcBorders>
            <w:shd w:val="clear" w:color="auto" w:fill="auto"/>
            <w:noWrap/>
            <w:vAlign w:val="center"/>
            <w:hideMark/>
          </w:tcPr>
          <w:p w14:paraId="5B2D3E0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5,075,112</w:t>
            </w:r>
          </w:p>
        </w:tc>
        <w:tc>
          <w:tcPr>
            <w:tcW w:w="1535" w:type="dxa"/>
            <w:tcBorders>
              <w:top w:val="nil"/>
              <w:left w:val="nil"/>
              <w:bottom w:val="nil"/>
              <w:right w:val="single" w:sz="4" w:space="0" w:color="auto"/>
            </w:tcBorders>
            <w:shd w:val="clear" w:color="auto" w:fill="auto"/>
            <w:noWrap/>
            <w:vAlign w:val="center"/>
            <w:hideMark/>
          </w:tcPr>
          <w:p w14:paraId="71B177E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2,165,234</w:t>
            </w:r>
          </w:p>
        </w:tc>
      </w:tr>
      <w:tr w:rsidR="00F10157" w:rsidRPr="00F10157" w14:paraId="600971D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4A0B2FB"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OK</w:t>
            </w:r>
          </w:p>
        </w:tc>
        <w:tc>
          <w:tcPr>
            <w:tcW w:w="1404" w:type="dxa"/>
            <w:tcBorders>
              <w:top w:val="nil"/>
              <w:left w:val="single" w:sz="4" w:space="0" w:color="auto"/>
              <w:bottom w:val="nil"/>
              <w:right w:val="nil"/>
            </w:tcBorders>
            <w:shd w:val="clear" w:color="auto" w:fill="auto"/>
            <w:noWrap/>
            <w:vAlign w:val="center"/>
            <w:hideMark/>
          </w:tcPr>
          <w:p w14:paraId="13FF28B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15.0</w:t>
            </w:r>
          </w:p>
        </w:tc>
        <w:tc>
          <w:tcPr>
            <w:tcW w:w="1153" w:type="dxa"/>
            <w:tcBorders>
              <w:top w:val="nil"/>
              <w:left w:val="nil"/>
              <w:bottom w:val="nil"/>
              <w:right w:val="nil"/>
            </w:tcBorders>
            <w:shd w:val="clear" w:color="auto" w:fill="auto"/>
            <w:noWrap/>
            <w:vAlign w:val="center"/>
            <w:hideMark/>
          </w:tcPr>
          <w:p w14:paraId="3ECAC78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77.7</w:t>
            </w:r>
          </w:p>
        </w:tc>
        <w:tc>
          <w:tcPr>
            <w:tcW w:w="1355" w:type="dxa"/>
            <w:tcBorders>
              <w:top w:val="nil"/>
              <w:left w:val="nil"/>
              <w:bottom w:val="nil"/>
              <w:right w:val="single" w:sz="4" w:space="0" w:color="auto"/>
            </w:tcBorders>
            <w:shd w:val="clear" w:color="auto" w:fill="auto"/>
            <w:noWrap/>
            <w:vAlign w:val="center"/>
            <w:hideMark/>
          </w:tcPr>
          <w:p w14:paraId="0455835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38.5</w:t>
            </w:r>
          </w:p>
        </w:tc>
        <w:tc>
          <w:tcPr>
            <w:tcW w:w="1596" w:type="dxa"/>
            <w:tcBorders>
              <w:top w:val="nil"/>
              <w:left w:val="nil"/>
              <w:bottom w:val="nil"/>
              <w:right w:val="nil"/>
            </w:tcBorders>
            <w:shd w:val="clear" w:color="auto" w:fill="auto"/>
            <w:noWrap/>
            <w:vAlign w:val="center"/>
            <w:hideMark/>
          </w:tcPr>
          <w:p w14:paraId="5F9BD59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462,395</w:t>
            </w:r>
          </w:p>
        </w:tc>
        <w:tc>
          <w:tcPr>
            <w:tcW w:w="1604" w:type="dxa"/>
            <w:tcBorders>
              <w:top w:val="nil"/>
              <w:left w:val="nil"/>
              <w:bottom w:val="nil"/>
              <w:right w:val="nil"/>
            </w:tcBorders>
            <w:shd w:val="clear" w:color="auto" w:fill="auto"/>
            <w:noWrap/>
            <w:vAlign w:val="center"/>
            <w:hideMark/>
          </w:tcPr>
          <w:p w14:paraId="785E559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3,324,601</w:t>
            </w:r>
          </w:p>
        </w:tc>
        <w:tc>
          <w:tcPr>
            <w:tcW w:w="1535" w:type="dxa"/>
            <w:tcBorders>
              <w:top w:val="nil"/>
              <w:left w:val="nil"/>
              <w:bottom w:val="nil"/>
              <w:right w:val="single" w:sz="4" w:space="0" w:color="auto"/>
            </w:tcBorders>
            <w:shd w:val="clear" w:color="auto" w:fill="auto"/>
            <w:noWrap/>
            <w:vAlign w:val="center"/>
            <w:hideMark/>
          </w:tcPr>
          <w:p w14:paraId="5606DAE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1,535,722</w:t>
            </w:r>
          </w:p>
        </w:tc>
      </w:tr>
      <w:tr w:rsidR="00F10157" w:rsidRPr="00F10157" w14:paraId="3E0FEFA3"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5602FD9"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AL</w:t>
            </w:r>
          </w:p>
        </w:tc>
        <w:tc>
          <w:tcPr>
            <w:tcW w:w="1404" w:type="dxa"/>
            <w:tcBorders>
              <w:top w:val="nil"/>
              <w:left w:val="single" w:sz="4" w:space="0" w:color="auto"/>
              <w:bottom w:val="nil"/>
              <w:right w:val="nil"/>
            </w:tcBorders>
            <w:shd w:val="clear" w:color="auto" w:fill="auto"/>
            <w:noWrap/>
            <w:vAlign w:val="center"/>
            <w:hideMark/>
          </w:tcPr>
          <w:p w14:paraId="3618784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63CA99C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47.3</w:t>
            </w:r>
          </w:p>
        </w:tc>
        <w:tc>
          <w:tcPr>
            <w:tcW w:w="1355" w:type="dxa"/>
            <w:tcBorders>
              <w:top w:val="nil"/>
              <w:left w:val="nil"/>
              <w:bottom w:val="nil"/>
              <w:right w:val="single" w:sz="4" w:space="0" w:color="auto"/>
            </w:tcBorders>
            <w:shd w:val="clear" w:color="auto" w:fill="auto"/>
            <w:noWrap/>
            <w:vAlign w:val="center"/>
            <w:hideMark/>
          </w:tcPr>
          <w:p w14:paraId="6E7A2F4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17.9</w:t>
            </w:r>
          </w:p>
        </w:tc>
        <w:tc>
          <w:tcPr>
            <w:tcW w:w="1596" w:type="dxa"/>
            <w:tcBorders>
              <w:top w:val="nil"/>
              <w:left w:val="nil"/>
              <w:bottom w:val="nil"/>
              <w:right w:val="nil"/>
            </w:tcBorders>
            <w:shd w:val="clear" w:color="auto" w:fill="auto"/>
            <w:noWrap/>
            <w:vAlign w:val="center"/>
            <w:hideMark/>
          </w:tcPr>
          <w:p w14:paraId="607565C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26,155</w:t>
            </w:r>
          </w:p>
        </w:tc>
        <w:tc>
          <w:tcPr>
            <w:tcW w:w="1604" w:type="dxa"/>
            <w:tcBorders>
              <w:top w:val="nil"/>
              <w:left w:val="nil"/>
              <w:bottom w:val="nil"/>
              <w:right w:val="nil"/>
            </w:tcBorders>
            <w:shd w:val="clear" w:color="auto" w:fill="auto"/>
            <w:noWrap/>
            <w:vAlign w:val="center"/>
            <w:hideMark/>
          </w:tcPr>
          <w:p w14:paraId="12CF589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3,685,264</w:t>
            </w:r>
          </w:p>
        </w:tc>
        <w:tc>
          <w:tcPr>
            <w:tcW w:w="1535" w:type="dxa"/>
            <w:tcBorders>
              <w:top w:val="nil"/>
              <w:left w:val="nil"/>
              <w:bottom w:val="nil"/>
              <w:right w:val="single" w:sz="4" w:space="0" w:color="auto"/>
            </w:tcBorders>
            <w:shd w:val="clear" w:color="auto" w:fill="auto"/>
            <w:noWrap/>
            <w:vAlign w:val="center"/>
            <w:hideMark/>
          </w:tcPr>
          <w:p w14:paraId="3786810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1,398,321</w:t>
            </w:r>
          </w:p>
        </w:tc>
      </w:tr>
      <w:tr w:rsidR="00F10157" w:rsidRPr="00F10157" w14:paraId="75019464"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46905C1"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AR</w:t>
            </w:r>
          </w:p>
        </w:tc>
        <w:tc>
          <w:tcPr>
            <w:tcW w:w="1404" w:type="dxa"/>
            <w:tcBorders>
              <w:top w:val="nil"/>
              <w:left w:val="single" w:sz="4" w:space="0" w:color="auto"/>
              <w:bottom w:val="nil"/>
              <w:right w:val="nil"/>
            </w:tcBorders>
            <w:shd w:val="clear" w:color="auto" w:fill="auto"/>
            <w:noWrap/>
            <w:vAlign w:val="center"/>
            <w:hideMark/>
          </w:tcPr>
          <w:p w14:paraId="4C0E5FC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w:t>
            </w:r>
          </w:p>
        </w:tc>
        <w:tc>
          <w:tcPr>
            <w:tcW w:w="1153" w:type="dxa"/>
            <w:tcBorders>
              <w:top w:val="nil"/>
              <w:left w:val="nil"/>
              <w:bottom w:val="nil"/>
              <w:right w:val="nil"/>
            </w:tcBorders>
            <w:shd w:val="clear" w:color="auto" w:fill="auto"/>
            <w:noWrap/>
            <w:vAlign w:val="center"/>
            <w:hideMark/>
          </w:tcPr>
          <w:p w14:paraId="5E7E3F7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50.0</w:t>
            </w:r>
          </w:p>
        </w:tc>
        <w:tc>
          <w:tcPr>
            <w:tcW w:w="1355" w:type="dxa"/>
            <w:tcBorders>
              <w:top w:val="nil"/>
              <w:left w:val="nil"/>
              <w:bottom w:val="nil"/>
              <w:right w:val="single" w:sz="4" w:space="0" w:color="auto"/>
            </w:tcBorders>
            <w:shd w:val="clear" w:color="auto" w:fill="auto"/>
            <w:noWrap/>
            <w:vAlign w:val="center"/>
            <w:hideMark/>
          </w:tcPr>
          <w:p w14:paraId="2C56C6E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20.5</w:t>
            </w:r>
          </w:p>
        </w:tc>
        <w:tc>
          <w:tcPr>
            <w:tcW w:w="1596" w:type="dxa"/>
            <w:tcBorders>
              <w:top w:val="nil"/>
              <w:left w:val="nil"/>
              <w:bottom w:val="nil"/>
              <w:right w:val="nil"/>
            </w:tcBorders>
            <w:shd w:val="clear" w:color="auto" w:fill="auto"/>
            <w:noWrap/>
            <w:vAlign w:val="center"/>
            <w:hideMark/>
          </w:tcPr>
          <w:p w14:paraId="181A392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161,684</w:t>
            </w:r>
          </w:p>
        </w:tc>
        <w:tc>
          <w:tcPr>
            <w:tcW w:w="1604" w:type="dxa"/>
            <w:tcBorders>
              <w:top w:val="nil"/>
              <w:left w:val="nil"/>
              <w:bottom w:val="nil"/>
              <w:right w:val="nil"/>
            </w:tcBorders>
            <w:shd w:val="clear" w:color="auto" w:fill="auto"/>
            <w:noWrap/>
            <w:vAlign w:val="center"/>
            <w:hideMark/>
          </w:tcPr>
          <w:p w14:paraId="410E885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2,850,305</w:t>
            </w:r>
          </w:p>
        </w:tc>
        <w:tc>
          <w:tcPr>
            <w:tcW w:w="1535" w:type="dxa"/>
            <w:tcBorders>
              <w:top w:val="nil"/>
              <w:left w:val="nil"/>
              <w:bottom w:val="nil"/>
              <w:right w:val="single" w:sz="4" w:space="0" w:color="auto"/>
            </w:tcBorders>
            <w:shd w:val="clear" w:color="auto" w:fill="auto"/>
            <w:noWrap/>
            <w:vAlign w:val="center"/>
            <w:hideMark/>
          </w:tcPr>
          <w:p w14:paraId="659089C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1,169,917</w:t>
            </w:r>
          </w:p>
        </w:tc>
      </w:tr>
      <w:tr w:rsidR="00F10157" w:rsidRPr="00F10157" w14:paraId="29CE2268"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58A6B404"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GA</w:t>
            </w:r>
          </w:p>
        </w:tc>
        <w:tc>
          <w:tcPr>
            <w:tcW w:w="1404" w:type="dxa"/>
            <w:tcBorders>
              <w:top w:val="nil"/>
              <w:left w:val="single" w:sz="4" w:space="0" w:color="auto"/>
              <w:bottom w:val="nil"/>
              <w:right w:val="nil"/>
            </w:tcBorders>
            <w:shd w:val="clear" w:color="auto" w:fill="auto"/>
            <w:noWrap/>
            <w:vAlign w:val="center"/>
            <w:hideMark/>
          </w:tcPr>
          <w:p w14:paraId="0E54E8A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3.8</w:t>
            </w:r>
          </w:p>
        </w:tc>
        <w:tc>
          <w:tcPr>
            <w:tcW w:w="1153" w:type="dxa"/>
            <w:tcBorders>
              <w:top w:val="nil"/>
              <w:left w:val="nil"/>
              <w:bottom w:val="nil"/>
              <w:right w:val="nil"/>
            </w:tcBorders>
            <w:shd w:val="clear" w:color="auto" w:fill="auto"/>
            <w:noWrap/>
            <w:vAlign w:val="center"/>
            <w:hideMark/>
          </w:tcPr>
          <w:p w14:paraId="6A6F0BE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11.7</w:t>
            </w:r>
          </w:p>
        </w:tc>
        <w:tc>
          <w:tcPr>
            <w:tcW w:w="1355" w:type="dxa"/>
            <w:tcBorders>
              <w:top w:val="nil"/>
              <w:left w:val="nil"/>
              <w:bottom w:val="nil"/>
              <w:right w:val="single" w:sz="4" w:space="0" w:color="auto"/>
            </w:tcBorders>
            <w:shd w:val="clear" w:color="auto" w:fill="auto"/>
            <w:noWrap/>
            <w:vAlign w:val="center"/>
            <w:hideMark/>
          </w:tcPr>
          <w:p w14:paraId="4128EC6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6.8</w:t>
            </w:r>
          </w:p>
        </w:tc>
        <w:tc>
          <w:tcPr>
            <w:tcW w:w="1596" w:type="dxa"/>
            <w:tcBorders>
              <w:top w:val="nil"/>
              <w:left w:val="nil"/>
              <w:bottom w:val="nil"/>
              <w:right w:val="nil"/>
            </w:tcBorders>
            <w:shd w:val="clear" w:color="auto" w:fill="auto"/>
            <w:noWrap/>
            <w:vAlign w:val="center"/>
            <w:hideMark/>
          </w:tcPr>
          <w:p w14:paraId="5A01B71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478,402</w:t>
            </w:r>
          </w:p>
        </w:tc>
        <w:tc>
          <w:tcPr>
            <w:tcW w:w="1604" w:type="dxa"/>
            <w:tcBorders>
              <w:top w:val="nil"/>
              <w:left w:val="nil"/>
              <w:bottom w:val="nil"/>
              <w:right w:val="nil"/>
            </w:tcBorders>
            <w:shd w:val="clear" w:color="auto" w:fill="auto"/>
            <w:noWrap/>
            <w:vAlign w:val="center"/>
            <w:hideMark/>
          </w:tcPr>
          <w:p w14:paraId="0EDA6D8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1,761,701</w:t>
            </w:r>
          </w:p>
        </w:tc>
        <w:tc>
          <w:tcPr>
            <w:tcW w:w="1535" w:type="dxa"/>
            <w:tcBorders>
              <w:top w:val="nil"/>
              <w:left w:val="nil"/>
              <w:bottom w:val="nil"/>
              <w:right w:val="single" w:sz="4" w:space="0" w:color="auto"/>
            </w:tcBorders>
            <w:shd w:val="clear" w:color="auto" w:fill="auto"/>
            <w:noWrap/>
            <w:vAlign w:val="center"/>
            <w:hideMark/>
          </w:tcPr>
          <w:p w14:paraId="6CA8FBB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959,639</w:t>
            </w:r>
          </w:p>
        </w:tc>
      </w:tr>
      <w:tr w:rsidR="00F10157" w:rsidRPr="00F10157" w14:paraId="6C11FAE6"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40AB1CB"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MO</w:t>
            </w:r>
          </w:p>
        </w:tc>
        <w:tc>
          <w:tcPr>
            <w:tcW w:w="1404" w:type="dxa"/>
            <w:tcBorders>
              <w:top w:val="nil"/>
              <w:left w:val="single" w:sz="4" w:space="0" w:color="auto"/>
              <w:bottom w:val="nil"/>
              <w:right w:val="nil"/>
            </w:tcBorders>
            <w:shd w:val="clear" w:color="auto" w:fill="auto"/>
            <w:noWrap/>
            <w:vAlign w:val="center"/>
            <w:hideMark/>
          </w:tcPr>
          <w:p w14:paraId="0953939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7.2</w:t>
            </w:r>
          </w:p>
        </w:tc>
        <w:tc>
          <w:tcPr>
            <w:tcW w:w="1153" w:type="dxa"/>
            <w:tcBorders>
              <w:top w:val="nil"/>
              <w:left w:val="nil"/>
              <w:bottom w:val="nil"/>
              <w:right w:val="nil"/>
            </w:tcBorders>
            <w:shd w:val="clear" w:color="auto" w:fill="auto"/>
            <w:noWrap/>
            <w:vAlign w:val="center"/>
            <w:hideMark/>
          </w:tcPr>
          <w:p w14:paraId="6650B47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38.0</w:t>
            </w:r>
          </w:p>
        </w:tc>
        <w:tc>
          <w:tcPr>
            <w:tcW w:w="1355" w:type="dxa"/>
            <w:tcBorders>
              <w:top w:val="nil"/>
              <w:left w:val="nil"/>
              <w:bottom w:val="nil"/>
              <w:right w:val="single" w:sz="4" w:space="0" w:color="auto"/>
            </w:tcBorders>
            <w:shd w:val="clear" w:color="auto" w:fill="auto"/>
            <w:noWrap/>
            <w:vAlign w:val="center"/>
            <w:hideMark/>
          </w:tcPr>
          <w:p w14:paraId="4128C33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2.6</w:t>
            </w:r>
          </w:p>
        </w:tc>
        <w:tc>
          <w:tcPr>
            <w:tcW w:w="1596" w:type="dxa"/>
            <w:tcBorders>
              <w:top w:val="nil"/>
              <w:left w:val="nil"/>
              <w:bottom w:val="nil"/>
              <w:right w:val="nil"/>
            </w:tcBorders>
            <w:shd w:val="clear" w:color="auto" w:fill="auto"/>
            <w:noWrap/>
            <w:vAlign w:val="center"/>
            <w:hideMark/>
          </w:tcPr>
          <w:p w14:paraId="53D65B2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261,630</w:t>
            </w:r>
          </w:p>
        </w:tc>
        <w:tc>
          <w:tcPr>
            <w:tcW w:w="1604" w:type="dxa"/>
            <w:tcBorders>
              <w:top w:val="nil"/>
              <w:left w:val="nil"/>
              <w:bottom w:val="nil"/>
              <w:right w:val="nil"/>
            </w:tcBorders>
            <w:shd w:val="clear" w:color="auto" w:fill="auto"/>
            <w:noWrap/>
            <w:vAlign w:val="center"/>
            <w:hideMark/>
          </w:tcPr>
          <w:p w14:paraId="617444F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1,805,814</w:t>
            </w:r>
          </w:p>
        </w:tc>
        <w:tc>
          <w:tcPr>
            <w:tcW w:w="1535" w:type="dxa"/>
            <w:tcBorders>
              <w:top w:val="nil"/>
              <w:left w:val="nil"/>
              <w:bottom w:val="nil"/>
              <w:right w:val="single" w:sz="4" w:space="0" w:color="auto"/>
            </w:tcBorders>
            <w:shd w:val="clear" w:color="auto" w:fill="auto"/>
            <w:noWrap/>
            <w:vAlign w:val="center"/>
            <w:hideMark/>
          </w:tcPr>
          <w:p w14:paraId="448637A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840,699</w:t>
            </w:r>
          </w:p>
        </w:tc>
      </w:tr>
      <w:tr w:rsidR="00F10157" w:rsidRPr="00F10157" w14:paraId="5FCE5EA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8D345B7"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ID</w:t>
            </w:r>
          </w:p>
        </w:tc>
        <w:tc>
          <w:tcPr>
            <w:tcW w:w="1404" w:type="dxa"/>
            <w:tcBorders>
              <w:top w:val="nil"/>
              <w:left w:val="single" w:sz="4" w:space="0" w:color="auto"/>
              <w:bottom w:val="nil"/>
              <w:right w:val="nil"/>
            </w:tcBorders>
            <w:shd w:val="clear" w:color="auto" w:fill="auto"/>
            <w:noWrap/>
            <w:vAlign w:val="center"/>
            <w:hideMark/>
          </w:tcPr>
          <w:p w14:paraId="2C26303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1.8</w:t>
            </w:r>
          </w:p>
        </w:tc>
        <w:tc>
          <w:tcPr>
            <w:tcW w:w="1153" w:type="dxa"/>
            <w:tcBorders>
              <w:top w:val="nil"/>
              <w:left w:val="nil"/>
              <w:bottom w:val="nil"/>
              <w:right w:val="nil"/>
            </w:tcBorders>
            <w:shd w:val="clear" w:color="auto" w:fill="auto"/>
            <w:noWrap/>
            <w:vAlign w:val="center"/>
            <w:hideMark/>
          </w:tcPr>
          <w:p w14:paraId="501439F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32.3</w:t>
            </w:r>
          </w:p>
        </w:tc>
        <w:tc>
          <w:tcPr>
            <w:tcW w:w="1355" w:type="dxa"/>
            <w:tcBorders>
              <w:top w:val="nil"/>
              <w:left w:val="nil"/>
              <w:bottom w:val="nil"/>
              <w:right w:val="single" w:sz="4" w:space="0" w:color="auto"/>
            </w:tcBorders>
            <w:shd w:val="clear" w:color="auto" w:fill="auto"/>
            <w:noWrap/>
            <w:vAlign w:val="center"/>
            <w:hideMark/>
          </w:tcPr>
          <w:p w14:paraId="3300BB5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13.3</w:t>
            </w:r>
          </w:p>
        </w:tc>
        <w:tc>
          <w:tcPr>
            <w:tcW w:w="1596" w:type="dxa"/>
            <w:tcBorders>
              <w:top w:val="nil"/>
              <w:left w:val="nil"/>
              <w:bottom w:val="nil"/>
              <w:right w:val="nil"/>
            </w:tcBorders>
            <w:shd w:val="clear" w:color="auto" w:fill="auto"/>
            <w:noWrap/>
            <w:vAlign w:val="center"/>
            <w:hideMark/>
          </w:tcPr>
          <w:p w14:paraId="3E1F765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35,110</w:t>
            </w:r>
          </w:p>
        </w:tc>
        <w:tc>
          <w:tcPr>
            <w:tcW w:w="1604" w:type="dxa"/>
            <w:tcBorders>
              <w:top w:val="nil"/>
              <w:left w:val="nil"/>
              <w:bottom w:val="nil"/>
              <w:right w:val="nil"/>
            </w:tcBorders>
            <w:shd w:val="clear" w:color="auto" w:fill="auto"/>
            <w:noWrap/>
            <w:vAlign w:val="center"/>
            <w:hideMark/>
          </w:tcPr>
          <w:p w14:paraId="580C700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1,548,790</w:t>
            </w:r>
          </w:p>
        </w:tc>
        <w:tc>
          <w:tcPr>
            <w:tcW w:w="1535" w:type="dxa"/>
            <w:tcBorders>
              <w:top w:val="nil"/>
              <w:left w:val="nil"/>
              <w:bottom w:val="nil"/>
              <w:right w:val="single" w:sz="4" w:space="0" w:color="auto"/>
            </w:tcBorders>
            <w:shd w:val="clear" w:color="auto" w:fill="auto"/>
            <w:noWrap/>
            <w:vAlign w:val="center"/>
            <w:hideMark/>
          </w:tcPr>
          <w:p w14:paraId="703296C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602,740</w:t>
            </w:r>
          </w:p>
        </w:tc>
      </w:tr>
      <w:tr w:rsidR="00F10157" w:rsidRPr="00F10157" w14:paraId="102C9DD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B110B5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OH</w:t>
            </w:r>
          </w:p>
        </w:tc>
        <w:tc>
          <w:tcPr>
            <w:tcW w:w="1404" w:type="dxa"/>
            <w:tcBorders>
              <w:top w:val="nil"/>
              <w:left w:val="single" w:sz="4" w:space="0" w:color="auto"/>
              <w:bottom w:val="nil"/>
              <w:right w:val="nil"/>
            </w:tcBorders>
            <w:shd w:val="clear" w:color="auto" w:fill="auto"/>
            <w:noWrap/>
            <w:vAlign w:val="center"/>
            <w:hideMark/>
          </w:tcPr>
          <w:p w14:paraId="27ED2C6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4.2</w:t>
            </w:r>
          </w:p>
        </w:tc>
        <w:tc>
          <w:tcPr>
            <w:tcW w:w="1153" w:type="dxa"/>
            <w:tcBorders>
              <w:top w:val="nil"/>
              <w:left w:val="nil"/>
              <w:bottom w:val="nil"/>
              <w:right w:val="nil"/>
            </w:tcBorders>
            <w:shd w:val="clear" w:color="auto" w:fill="auto"/>
            <w:noWrap/>
            <w:vAlign w:val="center"/>
            <w:hideMark/>
          </w:tcPr>
          <w:p w14:paraId="50CD217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14.3</w:t>
            </w:r>
          </w:p>
        </w:tc>
        <w:tc>
          <w:tcPr>
            <w:tcW w:w="1355" w:type="dxa"/>
            <w:tcBorders>
              <w:top w:val="nil"/>
              <w:left w:val="nil"/>
              <w:bottom w:val="nil"/>
              <w:right w:val="single" w:sz="4" w:space="0" w:color="auto"/>
            </w:tcBorders>
            <w:shd w:val="clear" w:color="auto" w:fill="auto"/>
            <w:noWrap/>
            <w:vAlign w:val="center"/>
            <w:hideMark/>
          </w:tcPr>
          <w:p w14:paraId="6888C47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8.0</w:t>
            </w:r>
          </w:p>
        </w:tc>
        <w:tc>
          <w:tcPr>
            <w:tcW w:w="1596" w:type="dxa"/>
            <w:tcBorders>
              <w:top w:val="nil"/>
              <w:left w:val="nil"/>
              <w:bottom w:val="nil"/>
              <w:right w:val="nil"/>
            </w:tcBorders>
            <w:shd w:val="clear" w:color="auto" w:fill="auto"/>
            <w:noWrap/>
            <w:vAlign w:val="center"/>
            <w:hideMark/>
          </w:tcPr>
          <w:p w14:paraId="61E5EFF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165,256</w:t>
            </w:r>
          </w:p>
        </w:tc>
        <w:tc>
          <w:tcPr>
            <w:tcW w:w="1604" w:type="dxa"/>
            <w:tcBorders>
              <w:top w:val="nil"/>
              <w:left w:val="nil"/>
              <w:bottom w:val="nil"/>
              <w:right w:val="nil"/>
            </w:tcBorders>
            <w:shd w:val="clear" w:color="auto" w:fill="auto"/>
            <w:noWrap/>
            <w:vAlign w:val="center"/>
            <w:hideMark/>
          </w:tcPr>
          <w:p w14:paraId="4D3364F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1,063,443</w:t>
            </w:r>
          </w:p>
        </w:tc>
        <w:tc>
          <w:tcPr>
            <w:tcW w:w="1535" w:type="dxa"/>
            <w:tcBorders>
              <w:top w:val="nil"/>
              <w:left w:val="nil"/>
              <w:bottom w:val="nil"/>
              <w:right w:val="single" w:sz="4" w:space="0" w:color="auto"/>
            </w:tcBorders>
            <w:shd w:val="clear" w:color="auto" w:fill="auto"/>
            <w:noWrap/>
            <w:vAlign w:val="center"/>
            <w:hideMark/>
          </w:tcPr>
          <w:p w14:paraId="47B5453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502,076</w:t>
            </w:r>
          </w:p>
        </w:tc>
      </w:tr>
      <w:tr w:rsidR="00F10157" w:rsidRPr="00F10157" w14:paraId="4AC53D43"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AAFA1DD"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VA</w:t>
            </w:r>
          </w:p>
        </w:tc>
        <w:tc>
          <w:tcPr>
            <w:tcW w:w="1404" w:type="dxa"/>
            <w:tcBorders>
              <w:top w:val="nil"/>
              <w:left w:val="single" w:sz="4" w:space="0" w:color="auto"/>
              <w:bottom w:val="nil"/>
              <w:right w:val="nil"/>
            </w:tcBorders>
            <w:shd w:val="clear" w:color="auto" w:fill="auto"/>
            <w:noWrap/>
            <w:vAlign w:val="center"/>
            <w:hideMark/>
          </w:tcPr>
          <w:p w14:paraId="5EE1589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060FEF9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15.7</w:t>
            </w:r>
          </w:p>
        </w:tc>
        <w:tc>
          <w:tcPr>
            <w:tcW w:w="1355" w:type="dxa"/>
            <w:tcBorders>
              <w:top w:val="nil"/>
              <w:left w:val="nil"/>
              <w:bottom w:val="nil"/>
              <w:right w:val="single" w:sz="4" w:space="0" w:color="auto"/>
            </w:tcBorders>
            <w:shd w:val="clear" w:color="auto" w:fill="auto"/>
            <w:noWrap/>
            <w:vAlign w:val="center"/>
            <w:hideMark/>
          </w:tcPr>
          <w:p w14:paraId="2C668AA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6.0</w:t>
            </w:r>
          </w:p>
        </w:tc>
        <w:tc>
          <w:tcPr>
            <w:tcW w:w="1596" w:type="dxa"/>
            <w:tcBorders>
              <w:top w:val="nil"/>
              <w:left w:val="nil"/>
              <w:bottom w:val="nil"/>
              <w:right w:val="nil"/>
            </w:tcBorders>
            <w:shd w:val="clear" w:color="auto" w:fill="auto"/>
            <w:noWrap/>
            <w:vAlign w:val="center"/>
            <w:hideMark/>
          </w:tcPr>
          <w:p w14:paraId="74E227F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1,435</w:t>
            </w:r>
          </w:p>
        </w:tc>
        <w:tc>
          <w:tcPr>
            <w:tcW w:w="1604" w:type="dxa"/>
            <w:tcBorders>
              <w:top w:val="nil"/>
              <w:left w:val="nil"/>
              <w:bottom w:val="nil"/>
              <w:right w:val="nil"/>
            </w:tcBorders>
            <w:shd w:val="clear" w:color="auto" w:fill="auto"/>
            <w:noWrap/>
            <w:vAlign w:val="center"/>
            <w:hideMark/>
          </w:tcPr>
          <w:p w14:paraId="2324463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1,112,024</w:t>
            </w:r>
          </w:p>
        </w:tc>
        <w:tc>
          <w:tcPr>
            <w:tcW w:w="1535" w:type="dxa"/>
            <w:tcBorders>
              <w:top w:val="nil"/>
              <w:left w:val="nil"/>
              <w:bottom w:val="nil"/>
              <w:right w:val="single" w:sz="4" w:space="0" w:color="auto"/>
            </w:tcBorders>
            <w:shd w:val="clear" w:color="auto" w:fill="auto"/>
            <w:noWrap/>
            <w:vAlign w:val="center"/>
            <w:hideMark/>
          </w:tcPr>
          <w:p w14:paraId="41A7506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417,906</w:t>
            </w:r>
          </w:p>
        </w:tc>
      </w:tr>
      <w:tr w:rsidR="00F10157" w:rsidRPr="00F10157" w14:paraId="2B4E8B9E"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BCC211D"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LA</w:t>
            </w:r>
          </w:p>
        </w:tc>
        <w:tc>
          <w:tcPr>
            <w:tcW w:w="1404" w:type="dxa"/>
            <w:tcBorders>
              <w:top w:val="nil"/>
              <w:left w:val="single" w:sz="4" w:space="0" w:color="auto"/>
              <w:bottom w:val="nil"/>
              <w:right w:val="nil"/>
            </w:tcBorders>
            <w:shd w:val="clear" w:color="auto" w:fill="auto"/>
            <w:noWrap/>
            <w:vAlign w:val="center"/>
            <w:hideMark/>
          </w:tcPr>
          <w:p w14:paraId="311F0CF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0F41E2E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17.0</w:t>
            </w:r>
          </w:p>
        </w:tc>
        <w:tc>
          <w:tcPr>
            <w:tcW w:w="1355" w:type="dxa"/>
            <w:tcBorders>
              <w:top w:val="nil"/>
              <w:left w:val="nil"/>
              <w:bottom w:val="nil"/>
              <w:right w:val="single" w:sz="4" w:space="0" w:color="auto"/>
            </w:tcBorders>
            <w:shd w:val="clear" w:color="auto" w:fill="auto"/>
            <w:noWrap/>
            <w:vAlign w:val="center"/>
            <w:hideMark/>
          </w:tcPr>
          <w:p w14:paraId="6DAAC36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6.5</w:t>
            </w:r>
          </w:p>
        </w:tc>
        <w:tc>
          <w:tcPr>
            <w:tcW w:w="1596" w:type="dxa"/>
            <w:tcBorders>
              <w:top w:val="nil"/>
              <w:left w:val="nil"/>
              <w:bottom w:val="nil"/>
              <w:right w:val="nil"/>
            </w:tcBorders>
            <w:shd w:val="clear" w:color="auto" w:fill="auto"/>
            <w:noWrap/>
            <w:vAlign w:val="center"/>
            <w:hideMark/>
          </w:tcPr>
          <w:p w14:paraId="4B185B6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7,348</w:t>
            </w:r>
          </w:p>
        </w:tc>
        <w:tc>
          <w:tcPr>
            <w:tcW w:w="1604" w:type="dxa"/>
            <w:tcBorders>
              <w:top w:val="nil"/>
              <w:left w:val="nil"/>
              <w:bottom w:val="nil"/>
              <w:right w:val="nil"/>
            </w:tcBorders>
            <w:shd w:val="clear" w:color="auto" w:fill="auto"/>
            <w:noWrap/>
            <w:vAlign w:val="center"/>
            <w:hideMark/>
          </w:tcPr>
          <w:p w14:paraId="007775C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733,123</w:t>
            </w:r>
          </w:p>
        </w:tc>
        <w:tc>
          <w:tcPr>
            <w:tcW w:w="1535" w:type="dxa"/>
            <w:tcBorders>
              <w:top w:val="nil"/>
              <w:left w:val="nil"/>
              <w:bottom w:val="nil"/>
              <w:right w:val="single" w:sz="4" w:space="0" w:color="auto"/>
            </w:tcBorders>
            <w:shd w:val="clear" w:color="auto" w:fill="auto"/>
            <w:noWrap/>
            <w:vAlign w:val="center"/>
            <w:hideMark/>
          </w:tcPr>
          <w:p w14:paraId="01EE3AB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279,514</w:t>
            </w:r>
          </w:p>
        </w:tc>
      </w:tr>
      <w:tr w:rsidR="00F10157" w:rsidRPr="00F10157" w14:paraId="0CCB021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7F4F0046"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NC</w:t>
            </w:r>
          </w:p>
        </w:tc>
        <w:tc>
          <w:tcPr>
            <w:tcW w:w="1404" w:type="dxa"/>
            <w:tcBorders>
              <w:top w:val="nil"/>
              <w:left w:val="single" w:sz="4" w:space="0" w:color="auto"/>
              <w:bottom w:val="nil"/>
              <w:right w:val="nil"/>
            </w:tcBorders>
            <w:shd w:val="clear" w:color="auto" w:fill="auto"/>
            <w:noWrap/>
            <w:vAlign w:val="center"/>
            <w:hideMark/>
          </w:tcPr>
          <w:p w14:paraId="14CA871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3.2</w:t>
            </w:r>
          </w:p>
        </w:tc>
        <w:tc>
          <w:tcPr>
            <w:tcW w:w="1153" w:type="dxa"/>
            <w:tcBorders>
              <w:top w:val="nil"/>
              <w:left w:val="nil"/>
              <w:bottom w:val="nil"/>
              <w:right w:val="nil"/>
            </w:tcBorders>
            <w:shd w:val="clear" w:color="auto" w:fill="auto"/>
            <w:noWrap/>
            <w:vAlign w:val="center"/>
            <w:hideMark/>
          </w:tcPr>
          <w:p w14:paraId="38AE213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12.7</w:t>
            </w:r>
          </w:p>
        </w:tc>
        <w:tc>
          <w:tcPr>
            <w:tcW w:w="1355" w:type="dxa"/>
            <w:tcBorders>
              <w:top w:val="nil"/>
              <w:left w:val="nil"/>
              <w:bottom w:val="nil"/>
              <w:right w:val="single" w:sz="4" w:space="0" w:color="auto"/>
            </w:tcBorders>
            <w:shd w:val="clear" w:color="auto" w:fill="auto"/>
            <w:noWrap/>
            <w:vAlign w:val="center"/>
            <w:hideMark/>
          </w:tcPr>
          <w:p w14:paraId="0B3C8E2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6.8</w:t>
            </w:r>
          </w:p>
        </w:tc>
        <w:tc>
          <w:tcPr>
            <w:tcW w:w="1596" w:type="dxa"/>
            <w:tcBorders>
              <w:top w:val="nil"/>
              <w:left w:val="nil"/>
              <w:bottom w:val="nil"/>
              <w:right w:val="nil"/>
            </w:tcBorders>
            <w:shd w:val="clear" w:color="auto" w:fill="auto"/>
            <w:noWrap/>
            <w:vAlign w:val="center"/>
            <w:hideMark/>
          </w:tcPr>
          <w:p w14:paraId="2D27165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90,152</w:t>
            </w:r>
          </w:p>
        </w:tc>
        <w:tc>
          <w:tcPr>
            <w:tcW w:w="1604" w:type="dxa"/>
            <w:tcBorders>
              <w:top w:val="nil"/>
              <w:left w:val="nil"/>
              <w:bottom w:val="nil"/>
              <w:right w:val="nil"/>
            </w:tcBorders>
            <w:shd w:val="clear" w:color="auto" w:fill="auto"/>
            <w:noWrap/>
            <w:vAlign w:val="center"/>
            <w:hideMark/>
          </w:tcPr>
          <w:p w14:paraId="4F91A23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510,638</w:t>
            </w:r>
          </w:p>
        </w:tc>
        <w:tc>
          <w:tcPr>
            <w:tcW w:w="1535" w:type="dxa"/>
            <w:tcBorders>
              <w:top w:val="nil"/>
              <w:left w:val="nil"/>
              <w:bottom w:val="nil"/>
              <w:right w:val="single" w:sz="4" w:space="0" w:color="auto"/>
            </w:tcBorders>
            <w:shd w:val="clear" w:color="auto" w:fill="auto"/>
            <w:noWrap/>
            <w:vAlign w:val="center"/>
            <w:hideMark/>
          </w:tcPr>
          <w:p w14:paraId="2109B75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247,834</w:t>
            </w:r>
          </w:p>
        </w:tc>
      </w:tr>
      <w:tr w:rsidR="00F10157" w:rsidRPr="00F10157" w14:paraId="5DD48D6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31ACC8B"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IL</w:t>
            </w:r>
          </w:p>
        </w:tc>
        <w:tc>
          <w:tcPr>
            <w:tcW w:w="1404" w:type="dxa"/>
            <w:tcBorders>
              <w:top w:val="nil"/>
              <w:left w:val="single" w:sz="4" w:space="0" w:color="auto"/>
              <w:bottom w:val="nil"/>
              <w:right w:val="nil"/>
            </w:tcBorders>
            <w:shd w:val="clear" w:color="auto" w:fill="auto"/>
            <w:noWrap/>
            <w:vAlign w:val="center"/>
            <w:hideMark/>
          </w:tcPr>
          <w:p w14:paraId="1625DB3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0.8</w:t>
            </w:r>
          </w:p>
        </w:tc>
        <w:tc>
          <w:tcPr>
            <w:tcW w:w="1153" w:type="dxa"/>
            <w:tcBorders>
              <w:top w:val="nil"/>
              <w:left w:val="nil"/>
              <w:bottom w:val="nil"/>
              <w:right w:val="nil"/>
            </w:tcBorders>
            <w:shd w:val="clear" w:color="auto" w:fill="auto"/>
            <w:noWrap/>
            <w:vAlign w:val="center"/>
            <w:hideMark/>
          </w:tcPr>
          <w:p w14:paraId="4556D9D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7.7</w:t>
            </w:r>
          </w:p>
        </w:tc>
        <w:tc>
          <w:tcPr>
            <w:tcW w:w="1355" w:type="dxa"/>
            <w:tcBorders>
              <w:top w:val="nil"/>
              <w:left w:val="nil"/>
              <w:bottom w:val="nil"/>
              <w:right w:val="single" w:sz="4" w:space="0" w:color="auto"/>
            </w:tcBorders>
            <w:shd w:val="clear" w:color="auto" w:fill="auto"/>
            <w:noWrap/>
            <w:vAlign w:val="center"/>
            <w:hideMark/>
          </w:tcPr>
          <w:p w14:paraId="2FEEF9C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3.4</w:t>
            </w:r>
          </w:p>
        </w:tc>
        <w:tc>
          <w:tcPr>
            <w:tcW w:w="1596" w:type="dxa"/>
            <w:tcBorders>
              <w:top w:val="nil"/>
              <w:left w:val="nil"/>
              <w:bottom w:val="nil"/>
              <w:right w:val="nil"/>
            </w:tcBorders>
            <w:shd w:val="clear" w:color="auto" w:fill="auto"/>
            <w:noWrap/>
            <w:vAlign w:val="center"/>
            <w:hideMark/>
          </w:tcPr>
          <w:p w14:paraId="7DF1DCE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62,002</w:t>
            </w:r>
          </w:p>
        </w:tc>
        <w:tc>
          <w:tcPr>
            <w:tcW w:w="1604" w:type="dxa"/>
            <w:tcBorders>
              <w:top w:val="nil"/>
              <w:left w:val="nil"/>
              <w:bottom w:val="nil"/>
              <w:right w:val="nil"/>
            </w:tcBorders>
            <w:shd w:val="clear" w:color="auto" w:fill="auto"/>
            <w:noWrap/>
            <w:vAlign w:val="center"/>
            <w:hideMark/>
          </w:tcPr>
          <w:p w14:paraId="42B462E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395,937</w:t>
            </w:r>
          </w:p>
        </w:tc>
        <w:tc>
          <w:tcPr>
            <w:tcW w:w="1535" w:type="dxa"/>
            <w:tcBorders>
              <w:top w:val="nil"/>
              <w:left w:val="nil"/>
              <w:bottom w:val="nil"/>
              <w:right w:val="single" w:sz="4" w:space="0" w:color="auto"/>
            </w:tcBorders>
            <w:shd w:val="clear" w:color="auto" w:fill="auto"/>
            <w:noWrap/>
            <w:vAlign w:val="center"/>
            <w:hideMark/>
          </w:tcPr>
          <w:p w14:paraId="1D443C9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187,227</w:t>
            </w:r>
          </w:p>
        </w:tc>
      </w:tr>
      <w:tr w:rsidR="00F10157" w:rsidRPr="00F10157" w14:paraId="2D4C8857"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E414C29"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MS</w:t>
            </w:r>
          </w:p>
        </w:tc>
        <w:tc>
          <w:tcPr>
            <w:tcW w:w="1404" w:type="dxa"/>
            <w:tcBorders>
              <w:top w:val="nil"/>
              <w:left w:val="single" w:sz="4" w:space="0" w:color="auto"/>
              <w:bottom w:val="nil"/>
              <w:right w:val="nil"/>
            </w:tcBorders>
            <w:shd w:val="clear" w:color="auto" w:fill="auto"/>
            <w:noWrap/>
            <w:vAlign w:val="center"/>
            <w:hideMark/>
          </w:tcPr>
          <w:p w14:paraId="6A138D0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153" w:type="dxa"/>
            <w:tcBorders>
              <w:top w:val="nil"/>
              <w:left w:val="nil"/>
              <w:bottom w:val="nil"/>
              <w:right w:val="nil"/>
            </w:tcBorders>
            <w:shd w:val="clear" w:color="auto" w:fill="auto"/>
            <w:noWrap/>
            <w:vAlign w:val="center"/>
            <w:hideMark/>
          </w:tcPr>
          <w:p w14:paraId="0B15E7A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6.3</w:t>
            </w:r>
          </w:p>
        </w:tc>
        <w:tc>
          <w:tcPr>
            <w:tcW w:w="1355" w:type="dxa"/>
            <w:tcBorders>
              <w:top w:val="nil"/>
              <w:left w:val="nil"/>
              <w:bottom w:val="nil"/>
              <w:right w:val="single" w:sz="4" w:space="0" w:color="auto"/>
            </w:tcBorders>
            <w:shd w:val="clear" w:color="auto" w:fill="auto"/>
            <w:noWrap/>
            <w:vAlign w:val="center"/>
            <w:hideMark/>
          </w:tcPr>
          <w:p w14:paraId="6264247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2.6</w:t>
            </w:r>
          </w:p>
        </w:tc>
        <w:tc>
          <w:tcPr>
            <w:tcW w:w="1596" w:type="dxa"/>
            <w:tcBorders>
              <w:top w:val="nil"/>
              <w:left w:val="nil"/>
              <w:bottom w:val="nil"/>
              <w:right w:val="nil"/>
            </w:tcBorders>
            <w:shd w:val="clear" w:color="auto" w:fill="auto"/>
            <w:noWrap/>
            <w:vAlign w:val="center"/>
            <w:hideMark/>
          </w:tcPr>
          <w:p w14:paraId="36D8CC2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36,370</w:t>
            </w:r>
          </w:p>
        </w:tc>
        <w:tc>
          <w:tcPr>
            <w:tcW w:w="1604" w:type="dxa"/>
            <w:tcBorders>
              <w:top w:val="nil"/>
              <w:left w:val="nil"/>
              <w:bottom w:val="nil"/>
              <w:right w:val="nil"/>
            </w:tcBorders>
            <w:shd w:val="clear" w:color="auto" w:fill="auto"/>
            <w:noWrap/>
            <w:vAlign w:val="center"/>
            <w:hideMark/>
          </w:tcPr>
          <w:p w14:paraId="361D51A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321,805</w:t>
            </w:r>
          </w:p>
        </w:tc>
        <w:tc>
          <w:tcPr>
            <w:tcW w:w="1535" w:type="dxa"/>
            <w:tcBorders>
              <w:top w:val="nil"/>
              <w:left w:val="nil"/>
              <w:bottom w:val="nil"/>
              <w:right w:val="single" w:sz="4" w:space="0" w:color="auto"/>
            </w:tcBorders>
            <w:shd w:val="clear" w:color="auto" w:fill="auto"/>
            <w:noWrap/>
            <w:vAlign w:val="center"/>
            <w:hideMark/>
          </w:tcPr>
          <w:p w14:paraId="1DD2712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143,408</w:t>
            </w:r>
          </w:p>
        </w:tc>
      </w:tr>
      <w:tr w:rsidR="00F10157" w:rsidRPr="00F10157" w14:paraId="30998F73"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C1745E6"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KS</w:t>
            </w:r>
          </w:p>
        </w:tc>
        <w:tc>
          <w:tcPr>
            <w:tcW w:w="1404" w:type="dxa"/>
            <w:tcBorders>
              <w:top w:val="nil"/>
              <w:left w:val="single" w:sz="4" w:space="0" w:color="auto"/>
              <w:bottom w:val="nil"/>
              <w:right w:val="nil"/>
            </w:tcBorders>
            <w:shd w:val="clear" w:color="auto" w:fill="auto"/>
            <w:noWrap/>
            <w:vAlign w:val="center"/>
            <w:hideMark/>
          </w:tcPr>
          <w:p w14:paraId="53E16FA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0A85577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11.3</w:t>
            </w:r>
          </w:p>
        </w:tc>
        <w:tc>
          <w:tcPr>
            <w:tcW w:w="1355" w:type="dxa"/>
            <w:tcBorders>
              <w:top w:val="nil"/>
              <w:left w:val="nil"/>
              <w:bottom w:val="nil"/>
              <w:right w:val="single" w:sz="4" w:space="0" w:color="auto"/>
            </w:tcBorders>
            <w:shd w:val="clear" w:color="auto" w:fill="auto"/>
            <w:noWrap/>
            <w:vAlign w:val="center"/>
            <w:hideMark/>
          </w:tcPr>
          <w:p w14:paraId="387995D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4.3</w:t>
            </w:r>
          </w:p>
        </w:tc>
        <w:tc>
          <w:tcPr>
            <w:tcW w:w="1596" w:type="dxa"/>
            <w:tcBorders>
              <w:top w:val="nil"/>
              <w:left w:val="nil"/>
              <w:bottom w:val="nil"/>
              <w:right w:val="nil"/>
            </w:tcBorders>
            <w:shd w:val="clear" w:color="auto" w:fill="auto"/>
            <w:noWrap/>
            <w:vAlign w:val="center"/>
            <w:hideMark/>
          </w:tcPr>
          <w:p w14:paraId="2B75837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56412E7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348,436</w:t>
            </w:r>
          </w:p>
        </w:tc>
        <w:tc>
          <w:tcPr>
            <w:tcW w:w="1535" w:type="dxa"/>
            <w:tcBorders>
              <w:top w:val="nil"/>
              <w:left w:val="nil"/>
              <w:bottom w:val="nil"/>
              <w:right w:val="single" w:sz="4" w:space="0" w:color="auto"/>
            </w:tcBorders>
            <w:shd w:val="clear" w:color="auto" w:fill="auto"/>
            <w:noWrap/>
            <w:vAlign w:val="center"/>
            <w:hideMark/>
          </w:tcPr>
          <w:p w14:paraId="1DA07AF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130,664</w:t>
            </w:r>
          </w:p>
        </w:tc>
      </w:tr>
      <w:tr w:rsidR="00F10157" w:rsidRPr="00F10157" w14:paraId="5DB4032D"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E20FA1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NJ</w:t>
            </w:r>
          </w:p>
        </w:tc>
        <w:tc>
          <w:tcPr>
            <w:tcW w:w="1404" w:type="dxa"/>
            <w:tcBorders>
              <w:top w:val="nil"/>
              <w:left w:val="single" w:sz="4" w:space="0" w:color="auto"/>
              <w:bottom w:val="nil"/>
              <w:right w:val="nil"/>
            </w:tcBorders>
            <w:shd w:val="clear" w:color="auto" w:fill="auto"/>
            <w:noWrap/>
            <w:vAlign w:val="center"/>
            <w:hideMark/>
          </w:tcPr>
          <w:p w14:paraId="2226C02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0.8</w:t>
            </w:r>
          </w:p>
        </w:tc>
        <w:tc>
          <w:tcPr>
            <w:tcW w:w="1153" w:type="dxa"/>
            <w:tcBorders>
              <w:top w:val="nil"/>
              <w:left w:val="nil"/>
              <w:bottom w:val="nil"/>
              <w:right w:val="nil"/>
            </w:tcBorders>
            <w:shd w:val="clear" w:color="auto" w:fill="auto"/>
            <w:noWrap/>
            <w:vAlign w:val="center"/>
            <w:hideMark/>
          </w:tcPr>
          <w:p w14:paraId="43A6B82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w:t>
            </w:r>
          </w:p>
        </w:tc>
        <w:tc>
          <w:tcPr>
            <w:tcW w:w="1355" w:type="dxa"/>
            <w:tcBorders>
              <w:top w:val="nil"/>
              <w:left w:val="nil"/>
              <w:bottom w:val="nil"/>
              <w:right w:val="single" w:sz="4" w:space="0" w:color="auto"/>
            </w:tcBorders>
            <w:shd w:val="clear" w:color="auto" w:fill="auto"/>
            <w:noWrap/>
            <w:vAlign w:val="center"/>
            <w:hideMark/>
          </w:tcPr>
          <w:p w14:paraId="6DF30F5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w:t>
            </w:r>
          </w:p>
        </w:tc>
        <w:tc>
          <w:tcPr>
            <w:tcW w:w="1596" w:type="dxa"/>
            <w:tcBorders>
              <w:top w:val="nil"/>
              <w:left w:val="nil"/>
              <w:bottom w:val="nil"/>
              <w:right w:val="nil"/>
            </w:tcBorders>
            <w:shd w:val="clear" w:color="auto" w:fill="auto"/>
            <w:noWrap/>
            <w:vAlign w:val="center"/>
            <w:hideMark/>
          </w:tcPr>
          <w:p w14:paraId="20A0B41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55,570</w:t>
            </w:r>
          </w:p>
        </w:tc>
        <w:tc>
          <w:tcPr>
            <w:tcW w:w="1604" w:type="dxa"/>
            <w:tcBorders>
              <w:top w:val="nil"/>
              <w:left w:val="nil"/>
              <w:bottom w:val="nil"/>
              <w:right w:val="nil"/>
            </w:tcBorders>
            <w:shd w:val="clear" w:color="auto" w:fill="auto"/>
            <w:noWrap/>
            <w:vAlign w:val="center"/>
            <w:hideMark/>
          </w:tcPr>
          <w:p w14:paraId="502A438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246,436</w:t>
            </w:r>
          </w:p>
        </w:tc>
        <w:tc>
          <w:tcPr>
            <w:tcW w:w="1535" w:type="dxa"/>
            <w:tcBorders>
              <w:top w:val="nil"/>
              <w:left w:val="nil"/>
              <w:bottom w:val="nil"/>
              <w:right w:val="single" w:sz="4" w:space="0" w:color="auto"/>
            </w:tcBorders>
            <w:shd w:val="clear" w:color="auto" w:fill="auto"/>
            <w:noWrap/>
            <w:vAlign w:val="center"/>
            <w:hideMark/>
          </w:tcPr>
          <w:p w14:paraId="006C819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127,145</w:t>
            </w:r>
          </w:p>
        </w:tc>
      </w:tr>
      <w:tr w:rsidR="00F10157" w:rsidRPr="00F10157" w14:paraId="4768670D"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5DEAAB37"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WI</w:t>
            </w:r>
          </w:p>
        </w:tc>
        <w:tc>
          <w:tcPr>
            <w:tcW w:w="1404" w:type="dxa"/>
            <w:tcBorders>
              <w:top w:val="nil"/>
              <w:left w:val="single" w:sz="4" w:space="0" w:color="auto"/>
              <w:bottom w:val="nil"/>
              <w:right w:val="nil"/>
            </w:tcBorders>
            <w:shd w:val="clear" w:color="auto" w:fill="auto"/>
            <w:noWrap/>
            <w:vAlign w:val="center"/>
            <w:hideMark/>
          </w:tcPr>
          <w:p w14:paraId="0EB7486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0.6</w:t>
            </w:r>
          </w:p>
        </w:tc>
        <w:tc>
          <w:tcPr>
            <w:tcW w:w="1153" w:type="dxa"/>
            <w:tcBorders>
              <w:top w:val="nil"/>
              <w:left w:val="nil"/>
              <w:bottom w:val="nil"/>
              <w:right w:val="nil"/>
            </w:tcBorders>
            <w:shd w:val="clear" w:color="auto" w:fill="auto"/>
            <w:noWrap/>
            <w:vAlign w:val="center"/>
            <w:hideMark/>
          </w:tcPr>
          <w:p w14:paraId="2862699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7.0</w:t>
            </w:r>
          </w:p>
        </w:tc>
        <w:tc>
          <w:tcPr>
            <w:tcW w:w="1355" w:type="dxa"/>
            <w:tcBorders>
              <w:top w:val="nil"/>
              <w:left w:val="nil"/>
              <w:bottom w:val="nil"/>
              <w:right w:val="single" w:sz="4" w:space="0" w:color="auto"/>
            </w:tcBorders>
            <w:shd w:val="clear" w:color="auto" w:fill="auto"/>
            <w:noWrap/>
            <w:vAlign w:val="center"/>
            <w:hideMark/>
          </w:tcPr>
          <w:p w14:paraId="6278D61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3.0</w:t>
            </w:r>
          </w:p>
        </w:tc>
        <w:tc>
          <w:tcPr>
            <w:tcW w:w="1596" w:type="dxa"/>
            <w:tcBorders>
              <w:top w:val="nil"/>
              <w:left w:val="nil"/>
              <w:bottom w:val="nil"/>
              <w:right w:val="nil"/>
            </w:tcBorders>
            <w:shd w:val="clear" w:color="auto" w:fill="auto"/>
            <w:noWrap/>
            <w:vAlign w:val="center"/>
            <w:hideMark/>
          </w:tcPr>
          <w:p w14:paraId="50B8FD5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8,767</w:t>
            </w:r>
          </w:p>
        </w:tc>
        <w:tc>
          <w:tcPr>
            <w:tcW w:w="1604" w:type="dxa"/>
            <w:tcBorders>
              <w:top w:val="nil"/>
              <w:left w:val="nil"/>
              <w:bottom w:val="nil"/>
              <w:right w:val="nil"/>
            </w:tcBorders>
            <w:shd w:val="clear" w:color="auto" w:fill="auto"/>
            <w:noWrap/>
            <w:vAlign w:val="center"/>
            <w:hideMark/>
          </w:tcPr>
          <w:p w14:paraId="63DC41D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278,577</w:t>
            </w:r>
          </w:p>
        </w:tc>
        <w:tc>
          <w:tcPr>
            <w:tcW w:w="1535" w:type="dxa"/>
            <w:tcBorders>
              <w:top w:val="nil"/>
              <w:left w:val="nil"/>
              <w:bottom w:val="nil"/>
              <w:right w:val="single" w:sz="4" w:space="0" w:color="auto"/>
            </w:tcBorders>
            <w:shd w:val="clear" w:color="auto" w:fill="auto"/>
            <w:noWrap/>
            <w:vAlign w:val="center"/>
            <w:hideMark/>
          </w:tcPr>
          <w:p w14:paraId="13D7586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109,946</w:t>
            </w:r>
          </w:p>
        </w:tc>
      </w:tr>
      <w:tr w:rsidR="00F10157" w:rsidRPr="00F10157" w14:paraId="381E961C"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B463791"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WV</w:t>
            </w:r>
          </w:p>
        </w:tc>
        <w:tc>
          <w:tcPr>
            <w:tcW w:w="1404" w:type="dxa"/>
            <w:tcBorders>
              <w:top w:val="nil"/>
              <w:left w:val="single" w:sz="4" w:space="0" w:color="auto"/>
              <w:bottom w:val="nil"/>
              <w:right w:val="nil"/>
            </w:tcBorders>
            <w:shd w:val="clear" w:color="auto" w:fill="auto"/>
            <w:noWrap/>
            <w:vAlign w:val="center"/>
            <w:hideMark/>
          </w:tcPr>
          <w:p w14:paraId="1FCE60F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2.2</w:t>
            </w:r>
          </w:p>
        </w:tc>
        <w:tc>
          <w:tcPr>
            <w:tcW w:w="1153" w:type="dxa"/>
            <w:tcBorders>
              <w:top w:val="nil"/>
              <w:left w:val="nil"/>
              <w:bottom w:val="nil"/>
              <w:right w:val="nil"/>
            </w:tcBorders>
            <w:shd w:val="clear" w:color="auto" w:fill="auto"/>
            <w:noWrap/>
            <w:vAlign w:val="center"/>
            <w:hideMark/>
          </w:tcPr>
          <w:p w14:paraId="4B6B7CF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3.0</w:t>
            </w:r>
          </w:p>
        </w:tc>
        <w:tc>
          <w:tcPr>
            <w:tcW w:w="1355" w:type="dxa"/>
            <w:tcBorders>
              <w:top w:val="nil"/>
              <w:left w:val="nil"/>
              <w:bottom w:val="nil"/>
              <w:right w:val="single" w:sz="4" w:space="0" w:color="auto"/>
            </w:tcBorders>
            <w:shd w:val="clear" w:color="auto" w:fill="auto"/>
            <w:noWrap/>
            <w:vAlign w:val="center"/>
            <w:hideMark/>
          </w:tcPr>
          <w:p w14:paraId="75A4D16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2.5</w:t>
            </w:r>
          </w:p>
        </w:tc>
        <w:tc>
          <w:tcPr>
            <w:tcW w:w="1596" w:type="dxa"/>
            <w:tcBorders>
              <w:top w:val="nil"/>
              <w:left w:val="nil"/>
              <w:bottom w:val="nil"/>
              <w:right w:val="nil"/>
            </w:tcBorders>
            <w:shd w:val="clear" w:color="auto" w:fill="auto"/>
            <w:noWrap/>
            <w:vAlign w:val="center"/>
            <w:hideMark/>
          </w:tcPr>
          <w:p w14:paraId="4F029B4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97,232</w:t>
            </w:r>
          </w:p>
        </w:tc>
        <w:tc>
          <w:tcPr>
            <w:tcW w:w="1604" w:type="dxa"/>
            <w:tcBorders>
              <w:top w:val="nil"/>
              <w:left w:val="nil"/>
              <w:bottom w:val="nil"/>
              <w:right w:val="nil"/>
            </w:tcBorders>
            <w:shd w:val="clear" w:color="auto" w:fill="auto"/>
            <w:noWrap/>
            <w:vAlign w:val="center"/>
            <w:hideMark/>
          </w:tcPr>
          <w:p w14:paraId="320B256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127,939</w:t>
            </w:r>
          </w:p>
        </w:tc>
        <w:tc>
          <w:tcPr>
            <w:tcW w:w="1535" w:type="dxa"/>
            <w:tcBorders>
              <w:top w:val="nil"/>
              <w:left w:val="nil"/>
              <w:bottom w:val="nil"/>
              <w:right w:val="single" w:sz="4" w:space="0" w:color="auto"/>
            </w:tcBorders>
            <w:shd w:val="clear" w:color="auto" w:fill="auto"/>
            <w:noWrap/>
            <w:vAlign w:val="center"/>
            <w:hideMark/>
          </w:tcPr>
          <w:p w14:paraId="70A6552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108,747</w:t>
            </w:r>
          </w:p>
        </w:tc>
      </w:tr>
      <w:tr w:rsidR="00F10157" w:rsidRPr="00F10157" w14:paraId="5690F05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871864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CO</w:t>
            </w:r>
          </w:p>
        </w:tc>
        <w:tc>
          <w:tcPr>
            <w:tcW w:w="1404" w:type="dxa"/>
            <w:tcBorders>
              <w:top w:val="nil"/>
              <w:left w:val="single" w:sz="4" w:space="0" w:color="auto"/>
              <w:bottom w:val="nil"/>
              <w:right w:val="nil"/>
            </w:tcBorders>
            <w:shd w:val="clear" w:color="auto" w:fill="auto"/>
            <w:noWrap/>
            <w:vAlign w:val="center"/>
            <w:hideMark/>
          </w:tcPr>
          <w:p w14:paraId="0638AD3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w:t>
            </w:r>
          </w:p>
        </w:tc>
        <w:tc>
          <w:tcPr>
            <w:tcW w:w="1153" w:type="dxa"/>
            <w:tcBorders>
              <w:top w:val="nil"/>
              <w:left w:val="nil"/>
              <w:bottom w:val="nil"/>
              <w:right w:val="nil"/>
            </w:tcBorders>
            <w:shd w:val="clear" w:color="auto" w:fill="auto"/>
            <w:noWrap/>
            <w:vAlign w:val="center"/>
            <w:hideMark/>
          </w:tcPr>
          <w:p w14:paraId="475A71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4.3</w:t>
            </w:r>
          </w:p>
        </w:tc>
        <w:tc>
          <w:tcPr>
            <w:tcW w:w="1355" w:type="dxa"/>
            <w:tcBorders>
              <w:top w:val="nil"/>
              <w:left w:val="nil"/>
              <w:bottom w:val="nil"/>
              <w:right w:val="single" w:sz="4" w:space="0" w:color="auto"/>
            </w:tcBorders>
            <w:shd w:val="clear" w:color="auto" w:fill="auto"/>
            <w:noWrap/>
            <w:vAlign w:val="center"/>
            <w:hideMark/>
          </w:tcPr>
          <w:p w14:paraId="73C89B8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2.3</w:t>
            </w:r>
          </w:p>
        </w:tc>
        <w:tc>
          <w:tcPr>
            <w:tcW w:w="1596" w:type="dxa"/>
            <w:tcBorders>
              <w:top w:val="nil"/>
              <w:left w:val="nil"/>
              <w:bottom w:val="nil"/>
              <w:right w:val="nil"/>
            </w:tcBorders>
            <w:shd w:val="clear" w:color="auto" w:fill="auto"/>
            <w:noWrap/>
            <w:vAlign w:val="center"/>
            <w:hideMark/>
          </w:tcPr>
          <w:p w14:paraId="72031F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12,838</w:t>
            </w:r>
          </w:p>
        </w:tc>
        <w:tc>
          <w:tcPr>
            <w:tcW w:w="1604" w:type="dxa"/>
            <w:tcBorders>
              <w:top w:val="nil"/>
              <w:left w:val="nil"/>
              <w:bottom w:val="nil"/>
              <w:right w:val="nil"/>
            </w:tcBorders>
            <w:shd w:val="clear" w:color="auto" w:fill="auto"/>
            <w:noWrap/>
            <w:vAlign w:val="center"/>
            <w:hideMark/>
          </w:tcPr>
          <w:p w14:paraId="7CE3DC8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226,404</w:t>
            </w:r>
          </w:p>
        </w:tc>
        <w:tc>
          <w:tcPr>
            <w:tcW w:w="1535" w:type="dxa"/>
            <w:tcBorders>
              <w:top w:val="nil"/>
              <w:left w:val="nil"/>
              <w:bottom w:val="nil"/>
              <w:right w:val="single" w:sz="4" w:space="0" w:color="auto"/>
            </w:tcBorders>
            <w:shd w:val="clear" w:color="auto" w:fill="auto"/>
            <w:noWrap/>
            <w:vAlign w:val="center"/>
            <w:hideMark/>
          </w:tcPr>
          <w:p w14:paraId="4C904AC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92,925</w:t>
            </w:r>
          </w:p>
        </w:tc>
      </w:tr>
      <w:tr w:rsidR="00F10157" w:rsidRPr="00F10157" w14:paraId="4B196594"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160D063"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MN</w:t>
            </w:r>
          </w:p>
        </w:tc>
        <w:tc>
          <w:tcPr>
            <w:tcW w:w="1404" w:type="dxa"/>
            <w:tcBorders>
              <w:top w:val="nil"/>
              <w:left w:val="single" w:sz="4" w:space="0" w:color="auto"/>
              <w:bottom w:val="nil"/>
              <w:right w:val="nil"/>
            </w:tcBorders>
            <w:shd w:val="clear" w:color="auto" w:fill="auto"/>
            <w:noWrap/>
            <w:vAlign w:val="center"/>
            <w:hideMark/>
          </w:tcPr>
          <w:p w14:paraId="4A2721D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1.2</w:t>
            </w:r>
          </w:p>
        </w:tc>
        <w:tc>
          <w:tcPr>
            <w:tcW w:w="1153" w:type="dxa"/>
            <w:tcBorders>
              <w:top w:val="nil"/>
              <w:left w:val="nil"/>
              <w:bottom w:val="nil"/>
              <w:right w:val="nil"/>
            </w:tcBorders>
            <w:shd w:val="clear" w:color="auto" w:fill="auto"/>
            <w:noWrap/>
            <w:vAlign w:val="center"/>
            <w:hideMark/>
          </w:tcPr>
          <w:p w14:paraId="5A49C73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w:t>
            </w:r>
          </w:p>
        </w:tc>
        <w:tc>
          <w:tcPr>
            <w:tcW w:w="1355" w:type="dxa"/>
            <w:tcBorders>
              <w:top w:val="nil"/>
              <w:left w:val="nil"/>
              <w:bottom w:val="nil"/>
              <w:right w:val="single" w:sz="4" w:space="0" w:color="auto"/>
            </w:tcBorders>
            <w:shd w:val="clear" w:color="auto" w:fill="auto"/>
            <w:noWrap/>
            <w:vAlign w:val="center"/>
            <w:hideMark/>
          </w:tcPr>
          <w:p w14:paraId="5B6D475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1.5</w:t>
            </w:r>
          </w:p>
        </w:tc>
        <w:tc>
          <w:tcPr>
            <w:tcW w:w="1596" w:type="dxa"/>
            <w:tcBorders>
              <w:top w:val="nil"/>
              <w:left w:val="nil"/>
              <w:bottom w:val="nil"/>
              <w:right w:val="nil"/>
            </w:tcBorders>
            <w:shd w:val="clear" w:color="auto" w:fill="auto"/>
            <w:noWrap/>
            <w:vAlign w:val="center"/>
            <w:hideMark/>
          </w:tcPr>
          <w:p w14:paraId="0A57198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38,187</w:t>
            </w:r>
          </w:p>
        </w:tc>
        <w:tc>
          <w:tcPr>
            <w:tcW w:w="1604" w:type="dxa"/>
            <w:tcBorders>
              <w:top w:val="nil"/>
              <w:left w:val="nil"/>
              <w:bottom w:val="nil"/>
              <w:right w:val="nil"/>
            </w:tcBorders>
            <w:shd w:val="clear" w:color="auto" w:fill="auto"/>
            <w:noWrap/>
            <w:vAlign w:val="center"/>
            <w:hideMark/>
          </w:tcPr>
          <w:p w14:paraId="4A7AC44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141,137</w:t>
            </w:r>
          </w:p>
        </w:tc>
        <w:tc>
          <w:tcPr>
            <w:tcW w:w="1535" w:type="dxa"/>
            <w:tcBorders>
              <w:top w:val="nil"/>
              <w:left w:val="nil"/>
              <w:bottom w:val="nil"/>
              <w:right w:val="single" w:sz="4" w:space="0" w:color="auto"/>
            </w:tcBorders>
            <w:shd w:val="clear" w:color="auto" w:fill="auto"/>
            <w:noWrap/>
            <w:vAlign w:val="center"/>
            <w:hideMark/>
          </w:tcPr>
          <w:p w14:paraId="62C8C42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76,793</w:t>
            </w:r>
          </w:p>
        </w:tc>
      </w:tr>
      <w:tr w:rsidR="00F10157" w:rsidRPr="00F10157" w14:paraId="1A1D8A3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285ACA11"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IN</w:t>
            </w:r>
          </w:p>
        </w:tc>
        <w:tc>
          <w:tcPr>
            <w:tcW w:w="1404" w:type="dxa"/>
            <w:tcBorders>
              <w:top w:val="nil"/>
              <w:left w:val="single" w:sz="4" w:space="0" w:color="auto"/>
              <w:bottom w:val="nil"/>
              <w:right w:val="nil"/>
            </w:tcBorders>
            <w:shd w:val="clear" w:color="auto" w:fill="auto"/>
            <w:noWrap/>
            <w:vAlign w:val="center"/>
            <w:hideMark/>
          </w:tcPr>
          <w:p w14:paraId="3E06A5D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20154E1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3.0</w:t>
            </w:r>
          </w:p>
        </w:tc>
        <w:tc>
          <w:tcPr>
            <w:tcW w:w="1355" w:type="dxa"/>
            <w:tcBorders>
              <w:top w:val="nil"/>
              <w:left w:val="nil"/>
              <w:bottom w:val="nil"/>
              <w:right w:val="single" w:sz="4" w:space="0" w:color="auto"/>
            </w:tcBorders>
            <w:shd w:val="clear" w:color="auto" w:fill="auto"/>
            <w:noWrap/>
            <w:vAlign w:val="center"/>
            <w:hideMark/>
          </w:tcPr>
          <w:p w14:paraId="6C61EDD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w:t>
            </w:r>
          </w:p>
        </w:tc>
        <w:tc>
          <w:tcPr>
            <w:tcW w:w="1596" w:type="dxa"/>
            <w:tcBorders>
              <w:top w:val="nil"/>
              <w:left w:val="nil"/>
              <w:bottom w:val="nil"/>
              <w:right w:val="nil"/>
            </w:tcBorders>
            <w:shd w:val="clear" w:color="auto" w:fill="auto"/>
            <w:noWrap/>
            <w:vAlign w:val="center"/>
            <w:hideMark/>
          </w:tcPr>
          <w:p w14:paraId="03EF673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11,338</w:t>
            </w:r>
          </w:p>
        </w:tc>
        <w:tc>
          <w:tcPr>
            <w:tcW w:w="1604" w:type="dxa"/>
            <w:tcBorders>
              <w:top w:val="nil"/>
              <w:left w:val="nil"/>
              <w:bottom w:val="nil"/>
              <w:right w:val="nil"/>
            </w:tcBorders>
            <w:shd w:val="clear" w:color="auto" w:fill="auto"/>
            <w:noWrap/>
            <w:vAlign w:val="center"/>
            <w:hideMark/>
          </w:tcPr>
          <w:p w14:paraId="125795B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148,329</w:t>
            </w:r>
          </w:p>
        </w:tc>
        <w:tc>
          <w:tcPr>
            <w:tcW w:w="1535" w:type="dxa"/>
            <w:tcBorders>
              <w:top w:val="nil"/>
              <w:left w:val="nil"/>
              <w:bottom w:val="nil"/>
              <w:right w:val="single" w:sz="4" w:space="0" w:color="auto"/>
            </w:tcBorders>
            <w:shd w:val="clear" w:color="auto" w:fill="auto"/>
            <w:noWrap/>
            <w:vAlign w:val="center"/>
            <w:hideMark/>
          </w:tcPr>
          <w:p w14:paraId="4516E35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62,710</w:t>
            </w:r>
          </w:p>
        </w:tc>
      </w:tr>
      <w:tr w:rsidR="00F10157" w:rsidRPr="00F10157" w14:paraId="1D57296D"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7A4BCCCC"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NM</w:t>
            </w:r>
          </w:p>
        </w:tc>
        <w:tc>
          <w:tcPr>
            <w:tcW w:w="1404" w:type="dxa"/>
            <w:tcBorders>
              <w:top w:val="nil"/>
              <w:left w:val="single" w:sz="4" w:space="0" w:color="auto"/>
              <w:bottom w:val="nil"/>
              <w:right w:val="nil"/>
            </w:tcBorders>
            <w:shd w:val="clear" w:color="auto" w:fill="auto"/>
            <w:noWrap/>
            <w:vAlign w:val="center"/>
            <w:hideMark/>
          </w:tcPr>
          <w:p w14:paraId="48FC9B2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1DD825E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6.7</w:t>
            </w:r>
          </w:p>
        </w:tc>
        <w:tc>
          <w:tcPr>
            <w:tcW w:w="1355" w:type="dxa"/>
            <w:tcBorders>
              <w:top w:val="nil"/>
              <w:left w:val="nil"/>
              <w:bottom w:val="nil"/>
              <w:right w:val="single" w:sz="4" w:space="0" w:color="auto"/>
            </w:tcBorders>
            <w:shd w:val="clear" w:color="auto" w:fill="auto"/>
            <w:noWrap/>
            <w:vAlign w:val="center"/>
            <w:hideMark/>
          </w:tcPr>
          <w:p w14:paraId="0833758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2.5</w:t>
            </w:r>
          </w:p>
        </w:tc>
        <w:tc>
          <w:tcPr>
            <w:tcW w:w="1596" w:type="dxa"/>
            <w:tcBorders>
              <w:top w:val="nil"/>
              <w:left w:val="nil"/>
              <w:bottom w:val="nil"/>
              <w:right w:val="nil"/>
            </w:tcBorders>
            <w:shd w:val="clear" w:color="auto" w:fill="auto"/>
            <w:noWrap/>
            <w:vAlign w:val="center"/>
            <w:hideMark/>
          </w:tcPr>
          <w:p w14:paraId="3931592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3535BFC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166,287</w:t>
            </w:r>
          </w:p>
        </w:tc>
        <w:tc>
          <w:tcPr>
            <w:tcW w:w="1535" w:type="dxa"/>
            <w:tcBorders>
              <w:top w:val="nil"/>
              <w:left w:val="nil"/>
              <w:bottom w:val="nil"/>
              <w:right w:val="single" w:sz="4" w:space="0" w:color="auto"/>
            </w:tcBorders>
            <w:shd w:val="clear" w:color="auto" w:fill="auto"/>
            <w:noWrap/>
            <w:vAlign w:val="center"/>
            <w:hideMark/>
          </w:tcPr>
          <w:p w14:paraId="6A0A046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62,358</w:t>
            </w:r>
          </w:p>
        </w:tc>
      </w:tr>
      <w:tr w:rsidR="00F10157" w:rsidRPr="00F10157" w14:paraId="6FE36BD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3DCFDCF"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NE</w:t>
            </w:r>
          </w:p>
        </w:tc>
        <w:tc>
          <w:tcPr>
            <w:tcW w:w="1404" w:type="dxa"/>
            <w:tcBorders>
              <w:top w:val="nil"/>
              <w:left w:val="single" w:sz="4" w:space="0" w:color="auto"/>
              <w:bottom w:val="nil"/>
              <w:right w:val="nil"/>
            </w:tcBorders>
            <w:shd w:val="clear" w:color="auto" w:fill="auto"/>
            <w:noWrap/>
            <w:vAlign w:val="center"/>
            <w:hideMark/>
          </w:tcPr>
          <w:p w14:paraId="4001C56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0.6</w:t>
            </w:r>
          </w:p>
        </w:tc>
        <w:tc>
          <w:tcPr>
            <w:tcW w:w="1153" w:type="dxa"/>
            <w:tcBorders>
              <w:top w:val="nil"/>
              <w:left w:val="nil"/>
              <w:bottom w:val="nil"/>
              <w:right w:val="nil"/>
            </w:tcBorders>
            <w:shd w:val="clear" w:color="auto" w:fill="auto"/>
            <w:noWrap/>
            <w:vAlign w:val="center"/>
            <w:hideMark/>
          </w:tcPr>
          <w:p w14:paraId="1EFF5DD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3.7</w:t>
            </w:r>
          </w:p>
        </w:tc>
        <w:tc>
          <w:tcPr>
            <w:tcW w:w="1355" w:type="dxa"/>
            <w:tcBorders>
              <w:top w:val="nil"/>
              <w:left w:val="nil"/>
              <w:bottom w:val="nil"/>
              <w:right w:val="single" w:sz="4" w:space="0" w:color="auto"/>
            </w:tcBorders>
            <w:shd w:val="clear" w:color="auto" w:fill="auto"/>
            <w:noWrap/>
            <w:vAlign w:val="center"/>
            <w:hideMark/>
          </w:tcPr>
          <w:p w14:paraId="45BF848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1.8</w:t>
            </w:r>
          </w:p>
        </w:tc>
        <w:tc>
          <w:tcPr>
            <w:tcW w:w="1596" w:type="dxa"/>
            <w:tcBorders>
              <w:top w:val="nil"/>
              <w:left w:val="nil"/>
              <w:bottom w:val="nil"/>
              <w:right w:val="nil"/>
            </w:tcBorders>
            <w:shd w:val="clear" w:color="auto" w:fill="auto"/>
            <w:noWrap/>
            <w:vAlign w:val="center"/>
            <w:hideMark/>
          </w:tcPr>
          <w:p w14:paraId="5F4CFC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24,522</w:t>
            </w:r>
          </w:p>
        </w:tc>
        <w:tc>
          <w:tcPr>
            <w:tcW w:w="1604" w:type="dxa"/>
            <w:tcBorders>
              <w:top w:val="nil"/>
              <w:left w:val="nil"/>
              <w:bottom w:val="nil"/>
              <w:right w:val="nil"/>
            </w:tcBorders>
            <w:shd w:val="clear" w:color="auto" w:fill="auto"/>
            <w:noWrap/>
            <w:vAlign w:val="center"/>
            <w:hideMark/>
          </w:tcPr>
          <w:p w14:paraId="278732F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102,175</w:t>
            </w:r>
          </w:p>
        </w:tc>
        <w:tc>
          <w:tcPr>
            <w:tcW w:w="1535" w:type="dxa"/>
            <w:tcBorders>
              <w:top w:val="nil"/>
              <w:left w:val="nil"/>
              <w:bottom w:val="nil"/>
              <w:right w:val="single" w:sz="4" w:space="0" w:color="auto"/>
            </w:tcBorders>
            <w:shd w:val="clear" w:color="auto" w:fill="auto"/>
            <w:noWrap/>
            <w:vAlign w:val="center"/>
            <w:hideMark/>
          </w:tcPr>
          <w:p w14:paraId="08BA588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53,642</w:t>
            </w:r>
          </w:p>
        </w:tc>
      </w:tr>
      <w:tr w:rsidR="00F10157" w:rsidRPr="00F10157" w14:paraId="3F9B873F"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2AC07EC"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SC</w:t>
            </w:r>
          </w:p>
        </w:tc>
        <w:tc>
          <w:tcPr>
            <w:tcW w:w="1404" w:type="dxa"/>
            <w:tcBorders>
              <w:top w:val="nil"/>
              <w:left w:val="single" w:sz="4" w:space="0" w:color="auto"/>
              <w:bottom w:val="nil"/>
              <w:right w:val="nil"/>
            </w:tcBorders>
            <w:shd w:val="clear" w:color="auto" w:fill="auto"/>
            <w:noWrap/>
            <w:vAlign w:val="center"/>
            <w:hideMark/>
          </w:tcPr>
          <w:p w14:paraId="1CB897D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70A6DCC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w:t>
            </w:r>
          </w:p>
        </w:tc>
        <w:tc>
          <w:tcPr>
            <w:tcW w:w="1355" w:type="dxa"/>
            <w:tcBorders>
              <w:top w:val="nil"/>
              <w:left w:val="nil"/>
              <w:bottom w:val="nil"/>
              <w:right w:val="single" w:sz="4" w:space="0" w:color="auto"/>
            </w:tcBorders>
            <w:shd w:val="clear" w:color="auto" w:fill="auto"/>
            <w:noWrap/>
            <w:vAlign w:val="center"/>
            <w:hideMark/>
          </w:tcPr>
          <w:p w14:paraId="4C712A9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0.9</w:t>
            </w:r>
          </w:p>
        </w:tc>
        <w:tc>
          <w:tcPr>
            <w:tcW w:w="1596" w:type="dxa"/>
            <w:tcBorders>
              <w:top w:val="nil"/>
              <w:left w:val="nil"/>
              <w:bottom w:val="nil"/>
              <w:right w:val="nil"/>
            </w:tcBorders>
            <w:shd w:val="clear" w:color="auto" w:fill="auto"/>
            <w:noWrap/>
            <w:vAlign w:val="center"/>
            <w:hideMark/>
          </w:tcPr>
          <w:p w14:paraId="2C7CC55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14,386</w:t>
            </w:r>
          </w:p>
        </w:tc>
        <w:tc>
          <w:tcPr>
            <w:tcW w:w="1604" w:type="dxa"/>
            <w:tcBorders>
              <w:top w:val="nil"/>
              <w:left w:val="nil"/>
              <w:bottom w:val="nil"/>
              <w:right w:val="nil"/>
            </w:tcBorders>
            <w:shd w:val="clear" w:color="auto" w:fill="auto"/>
            <w:noWrap/>
            <w:vAlign w:val="center"/>
            <w:hideMark/>
          </w:tcPr>
          <w:p w14:paraId="49AB818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97,568</w:t>
            </w:r>
          </w:p>
        </w:tc>
        <w:tc>
          <w:tcPr>
            <w:tcW w:w="1535" w:type="dxa"/>
            <w:tcBorders>
              <w:top w:val="nil"/>
              <w:left w:val="nil"/>
              <w:bottom w:val="nil"/>
              <w:right w:val="single" w:sz="4" w:space="0" w:color="auto"/>
            </w:tcBorders>
            <w:shd w:val="clear" w:color="auto" w:fill="auto"/>
            <w:noWrap/>
            <w:vAlign w:val="center"/>
            <w:hideMark/>
          </w:tcPr>
          <w:p w14:paraId="5396147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45,579</w:t>
            </w:r>
          </w:p>
        </w:tc>
      </w:tr>
      <w:tr w:rsidR="00F10157" w:rsidRPr="00F10157" w14:paraId="41481BAB"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4CA0654F"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NY</w:t>
            </w:r>
          </w:p>
        </w:tc>
        <w:tc>
          <w:tcPr>
            <w:tcW w:w="1404" w:type="dxa"/>
            <w:tcBorders>
              <w:top w:val="nil"/>
              <w:left w:val="single" w:sz="4" w:space="0" w:color="auto"/>
              <w:bottom w:val="nil"/>
              <w:right w:val="nil"/>
            </w:tcBorders>
            <w:shd w:val="clear" w:color="auto" w:fill="auto"/>
            <w:noWrap/>
            <w:vAlign w:val="center"/>
            <w:hideMark/>
          </w:tcPr>
          <w:p w14:paraId="405B775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0FFE372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2.3</w:t>
            </w:r>
          </w:p>
        </w:tc>
        <w:tc>
          <w:tcPr>
            <w:tcW w:w="1355" w:type="dxa"/>
            <w:tcBorders>
              <w:top w:val="nil"/>
              <w:left w:val="nil"/>
              <w:bottom w:val="nil"/>
              <w:right w:val="single" w:sz="4" w:space="0" w:color="auto"/>
            </w:tcBorders>
            <w:shd w:val="clear" w:color="auto" w:fill="auto"/>
            <w:noWrap/>
            <w:vAlign w:val="center"/>
            <w:hideMark/>
          </w:tcPr>
          <w:p w14:paraId="2697626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w:t>
            </w:r>
          </w:p>
        </w:tc>
        <w:tc>
          <w:tcPr>
            <w:tcW w:w="1596" w:type="dxa"/>
            <w:tcBorders>
              <w:top w:val="nil"/>
              <w:left w:val="nil"/>
              <w:bottom w:val="nil"/>
              <w:right w:val="nil"/>
            </w:tcBorders>
            <w:shd w:val="clear" w:color="auto" w:fill="auto"/>
            <w:noWrap/>
            <w:vAlign w:val="center"/>
            <w:hideMark/>
          </w:tcPr>
          <w:p w14:paraId="18A71E4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3,832</w:t>
            </w:r>
          </w:p>
        </w:tc>
        <w:tc>
          <w:tcPr>
            <w:tcW w:w="1604" w:type="dxa"/>
            <w:tcBorders>
              <w:top w:val="nil"/>
              <w:left w:val="nil"/>
              <w:bottom w:val="nil"/>
              <w:right w:val="nil"/>
            </w:tcBorders>
            <w:shd w:val="clear" w:color="auto" w:fill="auto"/>
            <w:noWrap/>
            <w:vAlign w:val="center"/>
            <w:hideMark/>
          </w:tcPr>
          <w:p w14:paraId="5E4246B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112,110</w:t>
            </w:r>
          </w:p>
        </w:tc>
        <w:tc>
          <w:tcPr>
            <w:tcW w:w="1535" w:type="dxa"/>
            <w:tcBorders>
              <w:top w:val="nil"/>
              <w:left w:val="nil"/>
              <w:bottom w:val="nil"/>
              <w:right w:val="single" w:sz="4" w:space="0" w:color="auto"/>
            </w:tcBorders>
            <w:shd w:val="clear" w:color="auto" w:fill="auto"/>
            <w:noWrap/>
            <w:vAlign w:val="center"/>
            <w:hideMark/>
          </w:tcPr>
          <w:p w14:paraId="2FA0A78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44,436</w:t>
            </w:r>
          </w:p>
        </w:tc>
      </w:tr>
      <w:tr w:rsidR="00F10157" w:rsidRPr="00F10157" w14:paraId="2E2ABFE6"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65A545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FL</w:t>
            </w:r>
          </w:p>
        </w:tc>
        <w:tc>
          <w:tcPr>
            <w:tcW w:w="1404" w:type="dxa"/>
            <w:tcBorders>
              <w:top w:val="nil"/>
              <w:left w:val="single" w:sz="4" w:space="0" w:color="auto"/>
              <w:bottom w:val="nil"/>
              <w:right w:val="nil"/>
            </w:tcBorders>
            <w:shd w:val="clear" w:color="auto" w:fill="auto"/>
            <w:noWrap/>
            <w:vAlign w:val="center"/>
            <w:hideMark/>
          </w:tcPr>
          <w:p w14:paraId="5262C36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153" w:type="dxa"/>
            <w:tcBorders>
              <w:top w:val="nil"/>
              <w:left w:val="nil"/>
              <w:bottom w:val="nil"/>
              <w:right w:val="nil"/>
            </w:tcBorders>
            <w:shd w:val="clear" w:color="auto" w:fill="auto"/>
            <w:noWrap/>
            <w:vAlign w:val="center"/>
            <w:hideMark/>
          </w:tcPr>
          <w:p w14:paraId="31EE536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w:t>
            </w:r>
          </w:p>
        </w:tc>
        <w:tc>
          <w:tcPr>
            <w:tcW w:w="1355" w:type="dxa"/>
            <w:tcBorders>
              <w:top w:val="nil"/>
              <w:left w:val="nil"/>
              <w:bottom w:val="nil"/>
              <w:right w:val="single" w:sz="4" w:space="0" w:color="auto"/>
            </w:tcBorders>
            <w:shd w:val="clear" w:color="auto" w:fill="auto"/>
            <w:noWrap/>
            <w:vAlign w:val="center"/>
            <w:hideMark/>
          </w:tcPr>
          <w:p w14:paraId="1F02773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0.9</w:t>
            </w:r>
          </w:p>
        </w:tc>
        <w:tc>
          <w:tcPr>
            <w:tcW w:w="1596" w:type="dxa"/>
            <w:tcBorders>
              <w:top w:val="nil"/>
              <w:left w:val="nil"/>
              <w:bottom w:val="nil"/>
              <w:right w:val="nil"/>
            </w:tcBorders>
            <w:shd w:val="clear" w:color="auto" w:fill="auto"/>
            <w:noWrap/>
            <w:vAlign w:val="center"/>
            <w:hideMark/>
          </w:tcPr>
          <w:p w14:paraId="3CA4B99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14,516</w:t>
            </w:r>
          </w:p>
        </w:tc>
        <w:tc>
          <w:tcPr>
            <w:tcW w:w="1604" w:type="dxa"/>
            <w:tcBorders>
              <w:top w:val="nil"/>
              <w:left w:val="nil"/>
              <w:bottom w:val="nil"/>
              <w:right w:val="nil"/>
            </w:tcBorders>
            <w:shd w:val="clear" w:color="auto" w:fill="auto"/>
            <w:noWrap/>
            <w:vAlign w:val="center"/>
            <w:hideMark/>
          </w:tcPr>
          <w:p w14:paraId="1671E28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72,301</w:t>
            </w:r>
          </w:p>
        </w:tc>
        <w:tc>
          <w:tcPr>
            <w:tcW w:w="1535" w:type="dxa"/>
            <w:tcBorders>
              <w:top w:val="nil"/>
              <w:left w:val="nil"/>
              <w:bottom w:val="nil"/>
              <w:right w:val="single" w:sz="4" w:space="0" w:color="auto"/>
            </w:tcBorders>
            <w:shd w:val="clear" w:color="auto" w:fill="auto"/>
            <w:noWrap/>
            <w:vAlign w:val="center"/>
            <w:hideMark/>
          </w:tcPr>
          <w:p w14:paraId="2A0C1FC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36,185</w:t>
            </w:r>
          </w:p>
        </w:tc>
      </w:tr>
      <w:tr w:rsidR="00F10157" w:rsidRPr="00F10157" w14:paraId="25AE280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910A868"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WA</w:t>
            </w:r>
          </w:p>
        </w:tc>
        <w:tc>
          <w:tcPr>
            <w:tcW w:w="1404" w:type="dxa"/>
            <w:tcBorders>
              <w:top w:val="nil"/>
              <w:left w:val="single" w:sz="4" w:space="0" w:color="auto"/>
              <w:bottom w:val="nil"/>
              <w:right w:val="nil"/>
            </w:tcBorders>
            <w:shd w:val="clear" w:color="auto" w:fill="auto"/>
            <w:noWrap/>
            <w:vAlign w:val="center"/>
            <w:hideMark/>
          </w:tcPr>
          <w:p w14:paraId="4F196D0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w:t>
            </w:r>
          </w:p>
        </w:tc>
        <w:tc>
          <w:tcPr>
            <w:tcW w:w="1153" w:type="dxa"/>
            <w:tcBorders>
              <w:top w:val="nil"/>
              <w:left w:val="nil"/>
              <w:bottom w:val="nil"/>
              <w:right w:val="nil"/>
            </w:tcBorders>
            <w:shd w:val="clear" w:color="auto" w:fill="auto"/>
            <w:noWrap/>
            <w:vAlign w:val="center"/>
            <w:hideMark/>
          </w:tcPr>
          <w:p w14:paraId="1D7992AC" w14:textId="286530FB" w:rsidR="0016504E" w:rsidRPr="0016504E" w:rsidRDefault="003540B2" w:rsidP="0016504E">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5BFC892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0.6</w:t>
            </w:r>
          </w:p>
        </w:tc>
        <w:tc>
          <w:tcPr>
            <w:tcW w:w="1596" w:type="dxa"/>
            <w:tcBorders>
              <w:top w:val="nil"/>
              <w:left w:val="nil"/>
              <w:bottom w:val="nil"/>
              <w:right w:val="nil"/>
            </w:tcBorders>
            <w:shd w:val="clear" w:color="auto" w:fill="auto"/>
            <w:noWrap/>
            <w:vAlign w:val="center"/>
            <w:hideMark/>
          </w:tcPr>
          <w:p w14:paraId="02259D1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56,705</w:t>
            </w:r>
          </w:p>
        </w:tc>
        <w:tc>
          <w:tcPr>
            <w:tcW w:w="1604" w:type="dxa"/>
            <w:tcBorders>
              <w:top w:val="nil"/>
              <w:left w:val="nil"/>
              <w:bottom w:val="nil"/>
              <w:right w:val="nil"/>
            </w:tcBorders>
            <w:shd w:val="clear" w:color="auto" w:fill="auto"/>
            <w:noWrap/>
            <w:vAlign w:val="center"/>
            <w:hideMark/>
          </w:tcPr>
          <w:p w14:paraId="7809517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18879D6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35,441</w:t>
            </w:r>
          </w:p>
        </w:tc>
      </w:tr>
      <w:tr w:rsidR="00F10157" w:rsidRPr="00F10157" w14:paraId="205EC9D4"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25414897"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MD</w:t>
            </w:r>
          </w:p>
        </w:tc>
        <w:tc>
          <w:tcPr>
            <w:tcW w:w="1404" w:type="dxa"/>
            <w:tcBorders>
              <w:top w:val="nil"/>
              <w:left w:val="single" w:sz="4" w:space="0" w:color="auto"/>
              <w:bottom w:val="nil"/>
              <w:right w:val="nil"/>
            </w:tcBorders>
            <w:shd w:val="clear" w:color="auto" w:fill="auto"/>
            <w:noWrap/>
            <w:vAlign w:val="center"/>
            <w:hideMark/>
          </w:tcPr>
          <w:p w14:paraId="548A925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631DB48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w:t>
            </w:r>
          </w:p>
        </w:tc>
        <w:tc>
          <w:tcPr>
            <w:tcW w:w="1355" w:type="dxa"/>
            <w:tcBorders>
              <w:top w:val="nil"/>
              <w:left w:val="nil"/>
              <w:bottom w:val="nil"/>
              <w:right w:val="single" w:sz="4" w:space="0" w:color="auto"/>
            </w:tcBorders>
            <w:shd w:val="clear" w:color="auto" w:fill="auto"/>
            <w:noWrap/>
            <w:vAlign w:val="center"/>
            <w:hideMark/>
          </w:tcPr>
          <w:p w14:paraId="05A3887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596" w:type="dxa"/>
            <w:tcBorders>
              <w:top w:val="nil"/>
              <w:left w:val="nil"/>
              <w:bottom w:val="nil"/>
              <w:right w:val="nil"/>
            </w:tcBorders>
            <w:shd w:val="clear" w:color="auto" w:fill="auto"/>
            <w:noWrap/>
            <w:vAlign w:val="center"/>
            <w:hideMark/>
          </w:tcPr>
          <w:p w14:paraId="6DB72CD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2741599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84,814</w:t>
            </w:r>
          </w:p>
        </w:tc>
        <w:tc>
          <w:tcPr>
            <w:tcW w:w="1535" w:type="dxa"/>
            <w:tcBorders>
              <w:top w:val="nil"/>
              <w:left w:val="nil"/>
              <w:bottom w:val="nil"/>
              <w:right w:val="single" w:sz="4" w:space="0" w:color="auto"/>
            </w:tcBorders>
            <w:shd w:val="clear" w:color="auto" w:fill="auto"/>
            <w:noWrap/>
            <w:vAlign w:val="center"/>
            <w:hideMark/>
          </w:tcPr>
          <w:p w14:paraId="1116524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31,805</w:t>
            </w:r>
          </w:p>
        </w:tc>
      </w:tr>
      <w:tr w:rsidR="00F10157" w:rsidRPr="00F10157" w14:paraId="01DFB7F0"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F719CA9"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PA</w:t>
            </w:r>
          </w:p>
        </w:tc>
        <w:tc>
          <w:tcPr>
            <w:tcW w:w="1404" w:type="dxa"/>
            <w:tcBorders>
              <w:top w:val="nil"/>
              <w:left w:val="single" w:sz="4" w:space="0" w:color="auto"/>
              <w:bottom w:val="nil"/>
              <w:right w:val="nil"/>
            </w:tcBorders>
            <w:shd w:val="clear" w:color="auto" w:fill="auto"/>
            <w:noWrap/>
            <w:vAlign w:val="center"/>
            <w:hideMark/>
          </w:tcPr>
          <w:p w14:paraId="7493E6A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69042D7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0.7</w:t>
            </w:r>
          </w:p>
        </w:tc>
        <w:tc>
          <w:tcPr>
            <w:tcW w:w="1355" w:type="dxa"/>
            <w:tcBorders>
              <w:top w:val="nil"/>
              <w:left w:val="nil"/>
              <w:bottom w:val="nil"/>
              <w:right w:val="single" w:sz="4" w:space="0" w:color="auto"/>
            </w:tcBorders>
            <w:shd w:val="clear" w:color="auto" w:fill="auto"/>
            <w:noWrap/>
            <w:vAlign w:val="center"/>
            <w:hideMark/>
          </w:tcPr>
          <w:p w14:paraId="6051333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596" w:type="dxa"/>
            <w:tcBorders>
              <w:top w:val="nil"/>
              <w:left w:val="nil"/>
              <w:bottom w:val="nil"/>
              <w:right w:val="nil"/>
            </w:tcBorders>
            <w:shd w:val="clear" w:color="auto" w:fill="auto"/>
            <w:noWrap/>
            <w:vAlign w:val="center"/>
            <w:hideMark/>
          </w:tcPr>
          <w:p w14:paraId="262721B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4,738</w:t>
            </w:r>
          </w:p>
        </w:tc>
        <w:tc>
          <w:tcPr>
            <w:tcW w:w="1604" w:type="dxa"/>
            <w:tcBorders>
              <w:top w:val="nil"/>
              <w:left w:val="nil"/>
              <w:bottom w:val="nil"/>
              <w:right w:val="nil"/>
            </w:tcBorders>
            <w:shd w:val="clear" w:color="auto" w:fill="auto"/>
            <w:noWrap/>
            <w:vAlign w:val="center"/>
            <w:hideMark/>
          </w:tcPr>
          <w:p w14:paraId="46456E0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70,533</w:t>
            </w:r>
          </w:p>
        </w:tc>
        <w:tc>
          <w:tcPr>
            <w:tcW w:w="1535" w:type="dxa"/>
            <w:tcBorders>
              <w:top w:val="nil"/>
              <w:left w:val="nil"/>
              <w:bottom w:val="nil"/>
              <w:right w:val="single" w:sz="4" w:space="0" w:color="auto"/>
            </w:tcBorders>
            <w:shd w:val="clear" w:color="auto" w:fill="auto"/>
            <w:noWrap/>
            <w:vAlign w:val="center"/>
            <w:hideMark/>
          </w:tcPr>
          <w:p w14:paraId="709AE8B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29,411</w:t>
            </w:r>
          </w:p>
        </w:tc>
      </w:tr>
      <w:tr w:rsidR="00F10157" w:rsidRPr="00F10157" w14:paraId="330F1714"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7EA02FD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IA</w:t>
            </w:r>
          </w:p>
        </w:tc>
        <w:tc>
          <w:tcPr>
            <w:tcW w:w="1404" w:type="dxa"/>
            <w:tcBorders>
              <w:top w:val="nil"/>
              <w:left w:val="single" w:sz="4" w:space="0" w:color="auto"/>
              <w:bottom w:val="nil"/>
              <w:right w:val="nil"/>
            </w:tcBorders>
            <w:shd w:val="clear" w:color="auto" w:fill="auto"/>
            <w:noWrap/>
            <w:vAlign w:val="center"/>
            <w:hideMark/>
          </w:tcPr>
          <w:p w14:paraId="6258AAD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7E9EF98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w:t>
            </w:r>
          </w:p>
        </w:tc>
        <w:tc>
          <w:tcPr>
            <w:tcW w:w="1355" w:type="dxa"/>
            <w:tcBorders>
              <w:top w:val="nil"/>
              <w:left w:val="nil"/>
              <w:bottom w:val="nil"/>
              <w:right w:val="single" w:sz="4" w:space="0" w:color="auto"/>
            </w:tcBorders>
            <w:shd w:val="clear" w:color="auto" w:fill="auto"/>
            <w:noWrap/>
            <w:vAlign w:val="center"/>
            <w:hideMark/>
          </w:tcPr>
          <w:p w14:paraId="33D8BBA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0.8</w:t>
            </w:r>
          </w:p>
        </w:tc>
        <w:tc>
          <w:tcPr>
            <w:tcW w:w="1596" w:type="dxa"/>
            <w:tcBorders>
              <w:top w:val="nil"/>
              <w:left w:val="nil"/>
              <w:bottom w:val="nil"/>
              <w:right w:val="nil"/>
            </w:tcBorders>
            <w:shd w:val="clear" w:color="auto" w:fill="auto"/>
            <w:noWrap/>
            <w:vAlign w:val="center"/>
            <w:hideMark/>
          </w:tcPr>
          <w:p w14:paraId="1CA444F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10,369</w:t>
            </w:r>
          </w:p>
        </w:tc>
        <w:tc>
          <w:tcPr>
            <w:tcW w:w="1604" w:type="dxa"/>
            <w:tcBorders>
              <w:top w:val="nil"/>
              <w:left w:val="nil"/>
              <w:bottom w:val="nil"/>
              <w:right w:val="nil"/>
            </w:tcBorders>
            <w:shd w:val="clear" w:color="auto" w:fill="auto"/>
            <w:noWrap/>
            <w:vAlign w:val="center"/>
            <w:hideMark/>
          </w:tcPr>
          <w:p w14:paraId="64F7B51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58,798</w:t>
            </w:r>
          </w:p>
        </w:tc>
        <w:tc>
          <w:tcPr>
            <w:tcW w:w="1535" w:type="dxa"/>
            <w:tcBorders>
              <w:top w:val="nil"/>
              <w:left w:val="nil"/>
              <w:bottom w:val="nil"/>
              <w:right w:val="single" w:sz="4" w:space="0" w:color="auto"/>
            </w:tcBorders>
            <w:shd w:val="clear" w:color="auto" w:fill="auto"/>
            <w:noWrap/>
            <w:vAlign w:val="center"/>
            <w:hideMark/>
          </w:tcPr>
          <w:p w14:paraId="0DEC088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28,529</w:t>
            </w:r>
          </w:p>
        </w:tc>
      </w:tr>
      <w:tr w:rsidR="00F10157" w:rsidRPr="00F10157" w14:paraId="7014689D"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4F5286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OR</w:t>
            </w:r>
          </w:p>
        </w:tc>
        <w:tc>
          <w:tcPr>
            <w:tcW w:w="1404" w:type="dxa"/>
            <w:tcBorders>
              <w:top w:val="nil"/>
              <w:left w:val="single" w:sz="4" w:space="0" w:color="auto"/>
              <w:bottom w:val="nil"/>
              <w:right w:val="nil"/>
            </w:tcBorders>
            <w:shd w:val="clear" w:color="auto" w:fill="auto"/>
            <w:noWrap/>
            <w:vAlign w:val="center"/>
            <w:hideMark/>
          </w:tcPr>
          <w:p w14:paraId="2C1C55A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560EDE2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0.7</w:t>
            </w:r>
          </w:p>
        </w:tc>
        <w:tc>
          <w:tcPr>
            <w:tcW w:w="1355" w:type="dxa"/>
            <w:tcBorders>
              <w:top w:val="nil"/>
              <w:left w:val="nil"/>
              <w:bottom w:val="nil"/>
              <w:right w:val="single" w:sz="4" w:space="0" w:color="auto"/>
            </w:tcBorders>
            <w:shd w:val="clear" w:color="auto" w:fill="auto"/>
            <w:noWrap/>
            <w:vAlign w:val="center"/>
            <w:hideMark/>
          </w:tcPr>
          <w:p w14:paraId="136C788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596" w:type="dxa"/>
            <w:tcBorders>
              <w:top w:val="nil"/>
              <w:left w:val="nil"/>
              <w:bottom w:val="nil"/>
              <w:right w:val="nil"/>
            </w:tcBorders>
            <w:shd w:val="clear" w:color="auto" w:fill="auto"/>
            <w:noWrap/>
            <w:vAlign w:val="center"/>
            <w:hideMark/>
          </w:tcPr>
          <w:p w14:paraId="4357782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20,078</w:t>
            </w:r>
          </w:p>
        </w:tc>
        <w:tc>
          <w:tcPr>
            <w:tcW w:w="1604" w:type="dxa"/>
            <w:tcBorders>
              <w:top w:val="nil"/>
              <w:left w:val="nil"/>
              <w:bottom w:val="nil"/>
              <w:right w:val="nil"/>
            </w:tcBorders>
            <w:shd w:val="clear" w:color="auto" w:fill="auto"/>
            <w:noWrap/>
            <w:vAlign w:val="center"/>
            <w:hideMark/>
          </w:tcPr>
          <w:p w14:paraId="0DAA409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42,588</w:t>
            </w:r>
          </w:p>
        </w:tc>
        <w:tc>
          <w:tcPr>
            <w:tcW w:w="1535" w:type="dxa"/>
            <w:tcBorders>
              <w:top w:val="nil"/>
              <w:left w:val="nil"/>
              <w:bottom w:val="nil"/>
              <w:right w:val="single" w:sz="4" w:space="0" w:color="auto"/>
            </w:tcBorders>
            <w:shd w:val="clear" w:color="auto" w:fill="auto"/>
            <w:noWrap/>
            <w:vAlign w:val="center"/>
            <w:hideMark/>
          </w:tcPr>
          <w:p w14:paraId="577CF6C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28,520</w:t>
            </w:r>
          </w:p>
        </w:tc>
      </w:tr>
      <w:tr w:rsidR="00F10157" w:rsidRPr="00F10157" w14:paraId="73B362E4"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59FE48F1"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VT</w:t>
            </w:r>
          </w:p>
        </w:tc>
        <w:tc>
          <w:tcPr>
            <w:tcW w:w="1404" w:type="dxa"/>
            <w:tcBorders>
              <w:top w:val="nil"/>
              <w:left w:val="single" w:sz="4" w:space="0" w:color="auto"/>
              <w:bottom w:val="nil"/>
              <w:right w:val="nil"/>
            </w:tcBorders>
            <w:shd w:val="clear" w:color="auto" w:fill="auto"/>
            <w:noWrap/>
            <w:vAlign w:val="center"/>
            <w:hideMark/>
          </w:tcPr>
          <w:p w14:paraId="0B4133C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5F6BEDD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w:t>
            </w:r>
          </w:p>
        </w:tc>
        <w:tc>
          <w:tcPr>
            <w:tcW w:w="1355" w:type="dxa"/>
            <w:tcBorders>
              <w:top w:val="nil"/>
              <w:left w:val="nil"/>
              <w:bottom w:val="nil"/>
              <w:right w:val="single" w:sz="4" w:space="0" w:color="auto"/>
            </w:tcBorders>
            <w:shd w:val="clear" w:color="auto" w:fill="auto"/>
            <w:noWrap/>
            <w:vAlign w:val="center"/>
            <w:hideMark/>
          </w:tcPr>
          <w:p w14:paraId="4A8F88A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0.5</w:t>
            </w:r>
          </w:p>
        </w:tc>
        <w:tc>
          <w:tcPr>
            <w:tcW w:w="1596" w:type="dxa"/>
            <w:tcBorders>
              <w:top w:val="nil"/>
              <w:left w:val="nil"/>
              <w:bottom w:val="nil"/>
              <w:right w:val="nil"/>
            </w:tcBorders>
            <w:shd w:val="clear" w:color="auto" w:fill="auto"/>
            <w:noWrap/>
            <w:vAlign w:val="center"/>
            <w:hideMark/>
          </w:tcPr>
          <w:p w14:paraId="7F7A2FB4" w14:textId="4D14D9E9"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0D84FFB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52,341</w:t>
            </w:r>
          </w:p>
        </w:tc>
        <w:tc>
          <w:tcPr>
            <w:tcW w:w="1535" w:type="dxa"/>
            <w:tcBorders>
              <w:top w:val="nil"/>
              <w:left w:val="nil"/>
              <w:bottom w:val="nil"/>
              <w:right w:val="single" w:sz="4" w:space="0" w:color="auto"/>
            </w:tcBorders>
            <w:shd w:val="clear" w:color="auto" w:fill="auto"/>
            <w:noWrap/>
            <w:vAlign w:val="center"/>
            <w:hideMark/>
          </w:tcPr>
          <w:p w14:paraId="42528B3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19,628</w:t>
            </w:r>
          </w:p>
        </w:tc>
      </w:tr>
      <w:tr w:rsidR="00F10157" w:rsidRPr="00F10157" w14:paraId="1DDA7CC2"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43E5C19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MA</w:t>
            </w:r>
          </w:p>
        </w:tc>
        <w:tc>
          <w:tcPr>
            <w:tcW w:w="1404" w:type="dxa"/>
            <w:tcBorders>
              <w:top w:val="nil"/>
              <w:left w:val="single" w:sz="4" w:space="0" w:color="auto"/>
              <w:bottom w:val="nil"/>
              <w:right w:val="nil"/>
            </w:tcBorders>
            <w:shd w:val="clear" w:color="auto" w:fill="auto"/>
            <w:noWrap/>
            <w:vAlign w:val="center"/>
            <w:hideMark/>
          </w:tcPr>
          <w:p w14:paraId="60405B9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153" w:type="dxa"/>
            <w:tcBorders>
              <w:top w:val="nil"/>
              <w:left w:val="nil"/>
              <w:bottom w:val="nil"/>
              <w:right w:val="nil"/>
            </w:tcBorders>
            <w:shd w:val="clear" w:color="auto" w:fill="auto"/>
            <w:noWrap/>
            <w:vAlign w:val="center"/>
            <w:hideMark/>
          </w:tcPr>
          <w:p w14:paraId="2007010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47C0555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596" w:type="dxa"/>
            <w:tcBorders>
              <w:top w:val="nil"/>
              <w:left w:val="nil"/>
              <w:bottom w:val="nil"/>
              <w:right w:val="nil"/>
            </w:tcBorders>
            <w:shd w:val="clear" w:color="auto" w:fill="auto"/>
            <w:noWrap/>
            <w:vAlign w:val="center"/>
            <w:hideMark/>
          </w:tcPr>
          <w:p w14:paraId="3895FF7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28,374</w:t>
            </w:r>
          </w:p>
        </w:tc>
        <w:tc>
          <w:tcPr>
            <w:tcW w:w="1604" w:type="dxa"/>
            <w:tcBorders>
              <w:top w:val="nil"/>
              <w:left w:val="nil"/>
              <w:bottom w:val="nil"/>
              <w:right w:val="nil"/>
            </w:tcBorders>
            <w:shd w:val="clear" w:color="auto" w:fill="auto"/>
            <w:noWrap/>
            <w:vAlign w:val="center"/>
            <w:hideMark/>
          </w:tcPr>
          <w:p w14:paraId="6D760F1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652D81D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17,734</w:t>
            </w:r>
          </w:p>
        </w:tc>
      </w:tr>
      <w:tr w:rsidR="00F10157" w:rsidRPr="00F10157" w14:paraId="457136BB"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1F0D0AD"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SD</w:t>
            </w:r>
          </w:p>
        </w:tc>
        <w:tc>
          <w:tcPr>
            <w:tcW w:w="1404" w:type="dxa"/>
            <w:tcBorders>
              <w:top w:val="nil"/>
              <w:left w:val="single" w:sz="4" w:space="0" w:color="auto"/>
              <w:bottom w:val="nil"/>
              <w:right w:val="nil"/>
            </w:tcBorders>
            <w:shd w:val="clear" w:color="auto" w:fill="auto"/>
            <w:noWrap/>
            <w:vAlign w:val="center"/>
            <w:hideMark/>
          </w:tcPr>
          <w:p w14:paraId="6E82718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1D49815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3.0</w:t>
            </w:r>
          </w:p>
        </w:tc>
        <w:tc>
          <w:tcPr>
            <w:tcW w:w="1355" w:type="dxa"/>
            <w:tcBorders>
              <w:top w:val="nil"/>
              <w:left w:val="nil"/>
              <w:bottom w:val="nil"/>
              <w:right w:val="single" w:sz="4" w:space="0" w:color="auto"/>
            </w:tcBorders>
            <w:shd w:val="clear" w:color="auto" w:fill="auto"/>
            <w:noWrap/>
            <w:vAlign w:val="center"/>
            <w:hideMark/>
          </w:tcPr>
          <w:p w14:paraId="27F2A1E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1.1</w:t>
            </w:r>
          </w:p>
        </w:tc>
        <w:tc>
          <w:tcPr>
            <w:tcW w:w="1596" w:type="dxa"/>
            <w:tcBorders>
              <w:top w:val="nil"/>
              <w:left w:val="nil"/>
              <w:bottom w:val="nil"/>
              <w:right w:val="nil"/>
            </w:tcBorders>
            <w:shd w:val="clear" w:color="auto" w:fill="auto"/>
            <w:noWrap/>
            <w:vAlign w:val="center"/>
            <w:hideMark/>
          </w:tcPr>
          <w:p w14:paraId="223A95A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3C8B127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34,879</w:t>
            </w:r>
          </w:p>
        </w:tc>
        <w:tc>
          <w:tcPr>
            <w:tcW w:w="1535" w:type="dxa"/>
            <w:tcBorders>
              <w:top w:val="nil"/>
              <w:left w:val="nil"/>
              <w:bottom w:val="nil"/>
              <w:right w:val="single" w:sz="4" w:space="0" w:color="auto"/>
            </w:tcBorders>
            <w:shd w:val="clear" w:color="auto" w:fill="auto"/>
            <w:noWrap/>
            <w:vAlign w:val="center"/>
            <w:hideMark/>
          </w:tcPr>
          <w:p w14:paraId="3E51067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13,080</w:t>
            </w:r>
          </w:p>
        </w:tc>
      </w:tr>
      <w:tr w:rsidR="00F10157" w:rsidRPr="00F10157" w14:paraId="7449ADDC"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234D6C51"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CA</w:t>
            </w:r>
          </w:p>
        </w:tc>
        <w:tc>
          <w:tcPr>
            <w:tcW w:w="1404" w:type="dxa"/>
            <w:tcBorders>
              <w:top w:val="nil"/>
              <w:left w:val="single" w:sz="4" w:space="0" w:color="auto"/>
              <w:bottom w:val="nil"/>
              <w:right w:val="nil"/>
            </w:tcBorders>
            <w:shd w:val="clear" w:color="auto" w:fill="auto"/>
            <w:noWrap/>
            <w:vAlign w:val="center"/>
            <w:hideMark/>
          </w:tcPr>
          <w:p w14:paraId="6C4124B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0.2</w:t>
            </w:r>
          </w:p>
        </w:tc>
        <w:tc>
          <w:tcPr>
            <w:tcW w:w="1153" w:type="dxa"/>
            <w:tcBorders>
              <w:top w:val="nil"/>
              <w:left w:val="nil"/>
              <w:bottom w:val="nil"/>
              <w:right w:val="nil"/>
            </w:tcBorders>
            <w:shd w:val="clear" w:color="auto" w:fill="auto"/>
            <w:noWrap/>
            <w:vAlign w:val="center"/>
            <w:hideMark/>
          </w:tcPr>
          <w:p w14:paraId="1A2B1AD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355" w:type="dxa"/>
            <w:tcBorders>
              <w:top w:val="nil"/>
              <w:left w:val="nil"/>
              <w:bottom w:val="nil"/>
              <w:right w:val="single" w:sz="4" w:space="0" w:color="auto"/>
            </w:tcBorders>
            <w:shd w:val="clear" w:color="auto" w:fill="auto"/>
            <w:noWrap/>
            <w:vAlign w:val="center"/>
            <w:hideMark/>
          </w:tcPr>
          <w:p w14:paraId="02B0613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596" w:type="dxa"/>
            <w:tcBorders>
              <w:top w:val="nil"/>
              <w:left w:val="nil"/>
              <w:bottom w:val="nil"/>
              <w:right w:val="nil"/>
            </w:tcBorders>
            <w:shd w:val="clear" w:color="auto" w:fill="auto"/>
            <w:noWrap/>
            <w:vAlign w:val="center"/>
            <w:hideMark/>
          </w:tcPr>
          <w:p w14:paraId="438EA25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2,136</w:t>
            </w:r>
          </w:p>
        </w:tc>
        <w:tc>
          <w:tcPr>
            <w:tcW w:w="1604" w:type="dxa"/>
            <w:tcBorders>
              <w:top w:val="nil"/>
              <w:left w:val="nil"/>
              <w:bottom w:val="nil"/>
              <w:right w:val="nil"/>
            </w:tcBorders>
            <w:shd w:val="clear" w:color="auto" w:fill="auto"/>
            <w:noWrap/>
            <w:vAlign w:val="center"/>
            <w:hideMark/>
          </w:tcPr>
          <w:p w14:paraId="51F7E81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22,824</w:t>
            </w:r>
          </w:p>
        </w:tc>
        <w:tc>
          <w:tcPr>
            <w:tcW w:w="1535" w:type="dxa"/>
            <w:tcBorders>
              <w:top w:val="nil"/>
              <w:left w:val="nil"/>
              <w:bottom w:val="nil"/>
              <w:right w:val="single" w:sz="4" w:space="0" w:color="auto"/>
            </w:tcBorders>
            <w:shd w:val="clear" w:color="auto" w:fill="auto"/>
            <w:noWrap/>
            <w:vAlign w:val="center"/>
            <w:hideMark/>
          </w:tcPr>
          <w:p w14:paraId="2E90639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9,894</w:t>
            </w:r>
          </w:p>
        </w:tc>
      </w:tr>
      <w:tr w:rsidR="00F10157" w:rsidRPr="00F10157" w14:paraId="0385052F"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499FC37D"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NH</w:t>
            </w:r>
          </w:p>
        </w:tc>
        <w:tc>
          <w:tcPr>
            <w:tcW w:w="1404" w:type="dxa"/>
            <w:tcBorders>
              <w:top w:val="nil"/>
              <w:left w:val="single" w:sz="4" w:space="0" w:color="auto"/>
              <w:bottom w:val="nil"/>
              <w:right w:val="nil"/>
            </w:tcBorders>
            <w:shd w:val="clear" w:color="auto" w:fill="auto"/>
            <w:noWrap/>
            <w:vAlign w:val="center"/>
            <w:hideMark/>
          </w:tcPr>
          <w:p w14:paraId="111B61E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6287F6C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355" w:type="dxa"/>
            <w:tcBorders>
              <w:top w:val="nil"/>
              <w:left w:val="nil"/>
              <w:bottom w:val="nil"/>
              <w:right w:val="single" w:sz="4" w:space="0" w:color="auto"/>
            </w:tcBorders>
            <w:shd w:val="clear" w:color="auto" w:fill="auto"/>
            <w:noWrap/>
            <w:vAlign w:val="center"/>
            <w:hideMark/>
          </w:tcPr>
          <w:p w14:paraId="1512B63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0.1</w:t>
            </w:r>
          </w:p>
        </w:tc>
        <w:tc>
          <w:tcPr>
            <w:tcW w:w="1596" w:type="dxa"/>
            <w:tcBorders>
              <w:top w:val="nil"/>
              <w:left w:val="nil"/>
              <w:bottom w:val="nil"/>
              <w:right w:val="nil"/>
            </w:tcBorders>
            <w:shd w:val="clear" w:color="auto" w:fill="auto"/>
            <w:noWrap/>
            <w:vAlign w:val="center"/>
            <w:hideMark/>
          </w:tcPr>
          <w:p w14:paraId="09E51CD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3591560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13,139</w:t>
            </w:r>
          </w:p>
        </w:tc>
        <w:tc>
          <w:tcPr>
            <w:tcW w:w="1535" w:type="dxa"/>
            <w:tcBorders>
              <w:top w:val="nil"/>
              <w:left w:val="nil"/>
              <w:bottom w:val="nil"/>
              <w:right w:val="single" w:sz="4" w:space="0" w:color="auto"/>
            </w:tcBorders>
            <w:shd w:val="clear" w:color="auto" w:fill="auto"/>
            <w:noWrap/>
            <w:vAlign w:val="center"/>
            <w:hideMark/>
          </w:tcPr>
          <w:p w14:paraId="239E1B2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4,927</w:t>
            </w:r>
          </w:p>
        </w:tc>
      </w:tr>
      <w:tr w:rsidR="00F10157" w:rsidRPr="00F10157" w14:paraId="690DE9EC"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2124974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ME</w:t>
            </w:r>
          </w:p>
        </w:tc>
        <w:tc>
          <w:tcPr>
            <w:tcW w:w="1404" w:type="dxa"/>
            <w:tcBorders>
              <w:top w:val="nil"/>
              <w:left w:val="single" w:sz="4" w:space="0" w:color="auto"/>
              <w:bottom w:val="nil"/>
              <w:right w:val="nil"/>
            </w:tcBorders>
            <w:shd w:val="clear" w:color="auto" w:fill="auto"/>
            <w:noWrap/>
            <w:vAlign w:val="center"/>
            <w:hideMark/>
          </w:tcPr>
          <w:p w14:paraId="13CBF89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130BF65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355" w:type="dxa"/>
            <w:tcBorders>
              <w:top w:val="nil"/>
              <w:left w:val="nil"/>
              <w:bottom w:val="nil"/>
              <w:right w:val="single" w:sz="4" w:space="0" w:color="auto"/>
            </w:tcBorders>
            <w:shd w:val="clear" w:color="auto" w:fill="auto"/>
            <w:noWrap/>
            <w:vAlign w:val="center"/>
            <w:hideMark/>
          </w:tcPr>
          <w:p w14:paraId="4CF5763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0.1</w:t>
            </w:r>
          </w:p>
        </w:tc>
        <w:tc>
          <w:tcPr>
            <w:tcW w:w="1596" w:type="dxa"/>
            <w:tcBorders>
              <w:top w:val="nil"/>
              <w:left w:val="nil"/>
              <w:bottom w:val="nil"/>
              <w:right w:val="nil"/>
            </w:tcBorders>
            <w:shd w:val="clear" w:color="auto" w:fill="auto"/>
            <w:noWrap/>
            <w:vAlign w:val="center"/>
            <w:hideMark/>
          </w:tcPr>
          <w:p w14:paraId="7FC5E2D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659B51E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8,459</w:t>
            </w:r>
          </w:p>
        </w:tc>
        <w:tc>
          <w:tcPr>
            <w:tcW w:w="1535" w:type="dxa"/>
            <w:tcBorders>
              <w:top w:val="nil"/>
              <w:left w:val="nil"/>
              <w:bottom w:val="nil"/>
              <w:right w:val="single" w:sz="4" w:space="0" w:color="auto"/>
            </w:tcBorders>
            <w:shd w:val="clear" w:color="auto" w:fill="auto"/>
            <w:noWrap/>
            <w:vAlign w:val="center"/>
            <w:hideMark/>
          </w:tcPr>
          <w:p w14:paraId="12A1ED0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3,172</w:t>
            </w:r>
          </w:p>
        </w:tc>
      </w:tr>
      <w:tr w:rsidR="00F10157" w:rsidRPr="00F10157" w14:paraId="674613B2"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55D3E32B"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lastRenderedPageBreak/>
              <w:t>CT</w:t>
            </w:r>
          </w:p>
        </w:tc>
        <w:tc>
          <w:tcPr>
            <w:tcW w:w="1404" w:type="dxa"/>
            <w:tcBorders>
              <w:top w:val="nil"/>
              <w:left w:val="single" w:sz="4" w:space="0" w:color="auto"/>
              <w:bottom w:val="nil"/>
              <w:right w:val="nil"/>
            </w:tcBorders>
            <w:shd w:val="clear" w:color="auto" w:fill="auto"/>
            <w:noWrap/>
            <w:vAlign w:val="center"/>
            <w:hideMark/>
          </w:tcPr>
          <w:p w14:paraId="3CBEB9B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7BE6A9A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355" w:type="dxa"/>
            <w:tcBorders>
              <w:top w:val="nil"/>
              <w:left w:val="nil"/>
              <w:bottom w:val="nil"/>
              <w:right w:val="single" w:sz="4" w:space="0" w:color="auto"/>
            </w:tcBorders>
            <w:shd w:val="clear" w:color="auto" w:fill="auto"/>
            <w:noWrap/>
            <w:vAlign w:val="center"/>
            <w:hideMark/>
          </w:tcPr>
          <w:p w14:paraId="5B07F45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0.1</w:t>
            </w:r>
          </w:p>
        </w:tc>
        <w:tc>
          <w:tcPr>
            <w:tcW w:w="1596" w:type="dxa"/>
            <w:tcBorders>
              <w:top w:val="nil"/>
              <w:left w:val="nil"/>
              <w:bottom w:val="nil"/>
              <w:right w:val="nil"/>
            </w:tcBorders>
            <w:shd w:val="clear" w:color="auto" w:fill="auto"/>
            <w:noWrap/>
            <w:vAlign w:val="center"/>
            <w:hideMark/>
          </w:tcPr>
          <w:p w14:paraId="5B34902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0A8C1CD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7,142</w:t>
            </w:r>
          </w:p>
        </w:tc>
        <w:tc>
          <w:tcPr>
            <w:tcW w:w="1535" w:type="dxa"/>
            <w:tcBorders>
              <w:top w:val="nil"/>
              <w:left w:val="nil"/>
              <w:bottom w:val="nil"/>
              <w:right w:val="single" w:sz="4" w:space="0" w:color="auto"/>
            </w:tcBorders>
            <w:shd w:val="clear" w:color="auto" w:fill="auto"/>
            <w:noWrap/>
            <w:vAlign w:val="center"/>
            <w:hideMark/>
          </w:tcPr>
          <w:p w14:paraId="3C3C103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2,678</w:t>
            </w:r>
          </w:p>
        </w:tc>
      </w:tr>
      <w:tr w:rsidR="00F10157" w:rsidRPr="00F10157" w14:paraId="4FEC81D7"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066E8316"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AZ</w:t>
            </w:r>
          </w:p>
        </w:tc>
        <w:tc>
          <w:tcPr>
            <w:tcW w:w="1404" w:type="dxa"/>
            <w:tcBorders>
              <w:top w:val="nil"/>
              <w:left w:val="single" w:sz="4" w:space="0" w:color="auto"/>
              <w:bottom w:val="nil"/>
              <w:right w:val="nil"/>
            </w:tcBorders>
            <w:shd w:val="clear" w:color="auto" w:fill="auto"/>
            <w:noWrap/>
            <w:vAlign w:val="center"/>
            <w:hideMark/>
          </w:tcPr>
          <w:p w14:paraId="58A79A4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30D6E4A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0.3</w:t>
            </w:r>
          </w:p>
        </w:tc>
        <w:tc>
          <w:tcPr>
            <w:tcW w:w="1355" w:type="dxa"/>
            <w:tcBorders>
              <w:top w:val="nil"/>
              <w:left w:val="nil"/>
              <w:bottom w:val="nil"/>
              <w:right w:val="single" w:sz="4" w:space="0" w:color="auto"/>
            </w:tcBorders>
            <w:shd w:val="clear" w:color="auto" w:fill="auto"/>
            <w:noWrap/>
            <w:vAlign w:val="center"/>
            <w:hideMark/>
          </w:tcPr>
          <w:p w14:paraId="3F0F618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0.1</w:t>
            </w:r>
          </w:p>
        </w:tc>
        <w:tc>
          <w:tcPr>
            <w:tcW w:w="1596" w:type="dxa"/>
            <w:tcBorders>
              <w:top w:val="nil"/>
              <w:left w:val="nil"/>
              <w:bottom w:val="nil"/>
              <w:right w:val="nil"/>
            </w:tcBorders>
            <w:shd w:val="clear" w:color="auto" w:fill="auto"/>
            <w:noWrap/>
            <w:vAlign w:val="center"/>
            <w:hideMark/>
          </w:tcPr>
          <w:p w14:paraId="4C1CE64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0BBB567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5,534</w:t>
            </w:r>
          </w:p>
        </w:tc>
        <w:tc>
          <w:tcPr>
            <w:tcW w:w="1535" w:type="dxa"/>
            <w:tcBorders>
              <w:top w:val="nil"/>
              <w:left w:val="nil"/>
              <w:bottom w:val="nil"/>
              <w:right w:val="single" w:sz="4" w:space="0" w:color="auto"/>
            </w:tcBorders>
            <w:shd w:val="clear" w:color="auto" w:fill="auto"/>
            <w:noWrap/>
            <w:vAlign w:val="center"/>
            <w:hideMark/>
          </w:tcPr>
          <w:p w14:paraId="2CF1B65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2,075</w:t>
            </w:r>
          </w:p>
        </w:tc>
      </w:tr>
      <w:tr w:rsidR="00F10157" w:rsidRPr="00F10157" w14:paraId="67F62B6A"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3F3E0054"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MT</w:t>
            </w:r>
          </w:p>
        </w:tc>
        <w:tc>
          <w:tcPr>
            <w:tcW w:w="1404" w:type="dxa"/>
            <w:tcBorders>
              <w:top w:val="nil"/>
              <w:left w:val="single" w:sz="4" w:space="0" w:color="auto"/>
              <w:bottom w:val="nil"/>
              <w:right w:val="nil"/>
            </w:tcBorders>
            <w:shd w:val="clear" w:color="auto" w:fill="auto"/>
            <w:noWrap/>
            <w:vAlign w:val="center"/>
            <w:hideMark/>
          </w:tcPr>
          <w:p w14:paraId="489F6D9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0.6</w:t>
            </w:r>
          </w:p>
        </w:tc>
        <w:tc>
          <w:tcPr>
            <w:tcW w:w="1153" w:type="dxa"/>
            <w:tcBorders>
              <w:top w:val="nil"/>
              <w:left w:val="nil"/>
              <w:bottom w:val="nil"/>
              <w:right w:val="nil"/>
            </w:tcBorders>
            <w:shd w:val="clear" w:color="auto" w:fill="auto"/>
            <w:noWrap/>
            <w:vAlign w:val="center"/>
            <w:hideMark/>
          </w:tcPr>
          <w:p w14:paraId="273BC98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3BAEA55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0.4</w:t>
            </w:r>
          </w:p>
        </w:tc>
        <w:tc>
          <w:tcPr>
            <w:tcW w:w="1596" w:type="dxa"/>
            <w:tcBorders>
              <w:top w:val="nil"/>
              <w:left w:val="nil"/>
              <w:bottom w:val="nil"/>
              <w:right w:val="nil"/>
            </w:tcBorders>
            <w:shd w:val="clear" w:color="auto" w:fill="auto"/>
            <w:noWrap/>
            <w:vAlign w:val="center"/>
            <w:hideMark/>
          </w:tcPr>
          <w:p w14:paraId="360AEDE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3,150</w:t>
            </w:r>
          </w:p>
        </w:tc>
        <w:tc>
          <w:tcPr>
            <w:tcW w:w="1604" w:type="dxa"/>
            <w:tcBorders>
              <w:top w:val="nil"/>
              <w:left w:val="nil"/>
              <w:bottom w:val="nil"/>
              <w:right w:val="nil"/>
            </w:tcBorders>
            <w:shd w:val="clear" w:color="auto" w:fill="auto"/>
            <w:noWrap/>
            <w:vAlign w:val="center"/>
            <w:hideMark/>
          </w:tcPr>
          <w:p w14:paraId="5C54855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318C21B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1,969</w:t>
            </w:r>
          </w:p>
        </w:tc>
      </w:tr>
      <w:tr w:rsidR="00F10157" w:rsidRPr="00F10157" w14:paraId="1277F17E"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69EC7BB7"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AK</w:t>
            </w:r>
          </w:p>
        </w:tc>
        <w:tc>
          <w:tcPr>
            <w:tcW w:w="1404" w:type="dxa"/>
            <w:tcBorders>
              <w:top w:val="nil"/>
              <w:left w:val="single" w:sz="4" w:space="0" w:color="auto"/>
              <w:bottom w:val="nil"/>
              <w:right w:val="nil"/>
            </w:tcBorders>
            <w:shd w:val="clear" w:color="auto" w:fill="auto"/>
            <w:noWrap/>
            <w:vAlign w:val="center"/>
            <w:hideMark/>
          </w:tcPr>
          <w:p w14:paraId="3052FF2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7B12AB8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164AE3F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521720C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5C50C9F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226186A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6545060B"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E781810"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DC</w:t>
            </w:r>
          </w:p>
        </w:tc>
        <w:tc>
          <w:tcPr>
            <w:tcW w:w="1404" w:type="dxa"/>
            <w:tcBorders>
              <w:top w:val="nil"/>
              <w:left w:val="single" w:sz="4" w:space="0" w:color="auto"/>
              <w:bottom w:val="nil"/>
              <w:right w:val="nil"/>
            </w:tcBorders>
            <w:shd w:val="clear" w:color="auto" w:fill="auto"/>
            <w:noWrap/>
            <w:vAlign w:val="center"/>
            <w:hideMark/>
          </w:tcPr>
          <w:p w14:paraId="003FD484"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2BC86FF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437D4B4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38BDA92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5F0F062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5E6BB67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4FB96646"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2405C10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DE</w:t>
            </w:r>
          </w:p>
        </w:tc>
        <w:tc>
          <w:tcPr>
            <w:tcW w:w="1404" w:type="dxa"/>
            <w:tcBorders>
              <w:top w:val="nil"/>
              <w:left w:val="single" w:sz="4" w:space="0" w:color="auto"/>
              <w:bottom w:val="nil"/>
              <w:right w:val="nil"/>
            </w:tcBorders>
            <w:shd w:val="clear" w:color="auto" w:fill="auto"/>
            <w:noWrap/>
            <w:vAlign w:val="center"/>
            <w:hideMark/>
          </w:tcPr>
          <w:p w14:paraId="0BCA9B4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76B4EBE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15CB04B1"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287FB2E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45FDF42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3A8D09B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2C1E0743"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6957442"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HI</w:t>
            </w:r>
          </w:p>
        </w:tc>
        <w:tc>
          <w:tcPr>
            <w:tcW w:w="1404" w:type="dxa"/>
            <w:tcBorders>
              <w:top w:val="nil"/>
              <w:left w:val="single" w:sz="4" w:space="0" w:color="auto"/>
              <w:bottom w:val="nil"/>
              <w:right w:val="nil"/>
            </w:tcBorders>
            <w:shd w:val="clear" w:color="auto" w:fill="auto"/>
            <w:noWrap/>
            <w:vAlign w:val="center"/>
            <w:hideMark/>
          </w:tcPr>
          <w:p w14:paraId="7E99BFD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6B62BB2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45B3C69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1CD5E0C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541CF0E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7553D4F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7191AF65"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7094ED0"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ND</w:t>
            </w:r>
          </w:p>
        </w:tc>
        <w:tc>
          <w:tcPr>
            <w:tcW w:w="1404" w:type="dxa"/>
            <w:tcBorders>
              <w:top w:val="nil"/>
              <w:left w:val="single" w:sz="4" w:space="0" w:color="auto"/>
              <w:bottom w:val="nil"/>
              <w:right w:val="nil"/>
            </w:tcBorders>
            <w:shd w:val="clear" w:color="auto" w:fill="auto"/>
            <w:noWrap/>
            <w:vAlign w:val="center"/>
            <w:hideMark/>
          </w:tcPr>
          <w:p w14:paraId="5B21414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25D11D3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625AFFE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581825D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3170C30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4DF6010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22CFD136"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7D02B7B0"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NV</w:t>
            </w:r>
          </w:p>
        </w:tc>
        <w:tc>
          <w:tcPr>
            <w:tcW w:w="1404" w:type="dxa"/>
            <w:tcBorders>
              <w:top w:val="nil"/>
              <w:left w:val="single" w:sz="4" w:space="0" w:color="auto"/>
              <w:bottom w:val="nil"/>
              <w:right w:val="nil"/>
            </w:tcBorders>
            <w:shd w:val="clear" w:color="auto" w:fill="auto"/>
            <w:noWrap/>
            <w:vAlign w:val="center"/>
            <w:hideMark/>
          </w:tcPr>
          <w:p w14:paraId="6C4DE0D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02B73C00"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4A857FC6"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7E83BC7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1EE2743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7091C21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2AC9E813"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999CAFA"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RI</w:t>
            </w:r>
          </w:p>
        </w:tc>
        <w:tc>
          <w:tcPr>
            <w:tcW w:w="1404" w:type="dxa"/>
            <w:tcBorders>
              <w:top w:val="nil"/>
              <w:left w:val="single" w:sz="4" w:space="0" w:color="auto"/>
              <w:bottom w:val="nil"/>
              <w:right w:val="nil"/>
            </w:tcBorders>
            <w:shd w:val="clear" w:color="auto" w:fill="auto"/>
            <w:noWrap/>
            <w:vAlign w:val="center"/>
            <w:hideMark/>
          </w:tcPr>
          <w:p w14:paraId="3C0CA1CD"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4BA80C2A"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08E7872B"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35394348"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70D6DFA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7E4EA98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7D4AE4ED" w14:textId="77777777" w:rsidTr="0041206F">
        <w:trPr>
          <w:trHeight w:val="288"/>
        </w:trPr>
        <w:tc>
          <w:tcPr>
            <w:tcW w:w="666" w:type="dxa"/>
            <w:tcBorders>
              <w:top w:val="nil"/>
              <w:left w:val="single" w:sz="4" w:space="0" w:color="auto"/>
              <w:bottom w:val="nil"/>
              <w:right w:val="nil"/>
            </w:tcBorders>
            <w:shd w:val="clear" w:color="auto" w:fill="auto"/>
            <w:noWrap/>
            <w:vAlign w:val="center"/>
            <w:hideMark/>
          </w:tcPr>
          <w:p w14:paraId="1ED8E085"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UT</w:t>
            </w:r>
          </w:p>
        </w:tc>
        <w:tc>
          <w:tcPr>
            <w:tcW w:w="1404" w:type="dxa"/>
            <w:tcBorders>
              <w:top w:val="nil"/>
              <w:left w:val="single" w:sz="4" w:space="0" w:color="auto"/>
              <w:bottom w:val="nil"/>
              <w:right w:val="nil"/>
            </w:tcBorders>
            <w:shd w:val="clear" w:color="auto" w:fill="auto"/>
            <w:noWrap/>
            <w:vAlign w:val="center"/>
            <w:hideMark/>
          </w:tcPr>
          <w:p w14:paraId="012A09F7"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nil"/>
              <w:right w:val="nil"/>
            </w:tcBorders>
            <w:shd w:val="clear" w:color="auto" w:fill="auto"/>
            <w:noWrap/>
            <w:vAlign w:val="center"/>
            <w:hideMark/>
          </w:tcPr>
          <w:p w14:paraId="44CCEC5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nil"/>
              <w:right w:val="single" w:sz="4" w:space="0" w:color="auto"/>
            </w:tcBorders>
            <w:shd w:val="clear" w:color="auto" w:fill="auto"/>
            <w:noWrap/>
            <w:vAlign w:val="center"/>
            <w:hideMark/>
          </w:tcPr>
          <w:p w14:paraId="0492EA59"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nil"/>
              <w:right w:val="nil"/>
            </w:tcBorders>
            <w:shd w:val="clear" w:color="auto" w:fill="auto"/>
            <w:noWrap/>
            <w:vAlign w:val="center"/>
            <w:hideMark/>
          </w:tcPr>
          <w:p w14:paraId="13350E2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nil"/>
              <w:right w:val="nil"/>
            </w:tcBorders>
            <w:shd w:val="clear" w:color="auto" w:fill="auto"/>
            <w:noWrap/>
            <w:vAlign w:val="center"/>
            <w:hideMark/>
          </w:tcPr>
          <w:p w14:paraId="756BF1D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nil"/>
              <w:right w:val="single" w:sz="4" w:space="0" w:color="auto"/>
            </w:tcBorders>
            <w:shd w:val="clear" w:color="auto" w:fill="auto"/>
            <w:noWrap/>
            <w:vAlign w:val="center"/>
            <w:hideMark/>
          </w:tcPr>
          <w:p w14:paraId="492A780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r w:rsidR="00F10157" w:rsidRPr="00F10157" w14:paraId="5776BD26" w14:textId="77777777" w:rsidTr="0041206F">
        <w:trPr>
          <w:trHeight w:val="288"/>
        </w:trPr>
        <w:tc>
          <w:tcPr>
            <w:tcW w:w="666" w:type="dxa"/>
            <w:tcBorders>
              <w:top w:val="nil"/>
              <w:left w:val="single" w:sz="4" w:space="0" w:color="auto"/>
              <w:bottom w:val="single" w:sz="4" w:space="0" w:color="auto"/>
              <w:right w:val="nil"/>
            </w:tcBorders>
            <w:shd w:val="clear" w:color="auto" w:fill="auto"/>
            <w:noWrap/>
            <w:vAlign w:val="center"/>
            <w:hideMark/>
          </w:tcPr>
          <w:p w14:paraId="3D3D5022" w14:textId="77777777" w:rsidR="0016504E" w:rsidRPr="0016504E" w:rsidRDefault="0016504E" w:rsidP="0016504E">
            <w:pPr>
              <w:spacing w:after="0" w:line="240" w:lineRule="auto"/>
              <w:jc w:val="center"/>
              <w:rPr>
                <w:rFonts w:ascii="Calibri" w:eastAsia="Times New Roman" w:hAnsi="Calibri" w:cs="Calibri"/>
                <w:sz w:val="20"/>
                <w:szCs w:val="20"/>
              </w:rPr>
            </w:pPr>
            <w:r w:rsidRPr="0016504E">
              <w:rPr>
                <w:rFonts w:ascii="Calibri" w:eastAsia="Times New Roman" w:hAnsi="Calibri" w:cs="Calibri"/>
                <w:sz w:val="20"/>
                <w:szCs w:val="20"/>
              </w:rPr>
              <w:t>WY</w:t>
            </w:r>
          </w:p>
        </w:tc>
        <w:tc>
          <w:tcPr>
            <w:tcW w:w="1404" w:type="dxa"/>
            <w:tcBorders>
              <w:top w:val="nil"/>
              <w:left w:val="single" w:sz="4" w:space="0" w:color="auto"/>
              <w:bottom w:val="single" w:sz="4" w:space="0" w:color="auto"/>
              <w:right w:val="nil"/>
            </w:tcBorders>
            <w:shd w:val="clear" w:color="auto" w:fill="auto"/>
            <w:noWrap/>
            <w:vAlign w:val="center"/>
            <w:hideMark/>
          </w:tcPr>
          <w:p w14:paraId="743801E3"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153" w:type="dxa"/>
            <w:tcBorders>
              <w:top w:val="nil"/>
              <w:left w:val="nil"/>
              <w:bottom w:val="single" w:sz="4" w:space="0" w:color="auto"/>
              <w:right w:val="nil"/>
            </w:tcBorders>
            <w:shd w:val="clear" w:color="auto" w:fill="auto"/>
            <w:noWrap/>
            <w:vAlign w:val="center"/>
            <w:hideMark/>
          </w:tcPr>
          <w:p w14:paraId="23AD63FE"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355" w:type="dxa"/>
            <w:tcBorders>
              <w:top w:val="nil"/>
              <w:left w:val="nil"/>
              <w:bottom w:val="single" w:sz="4" w:space="0" w:color="auto"/>
              <w:right w:val="single" w:sz="4" w:space="0" w:color="auto"/>
            </w:tcBorders>
            <w:shd w:val="clear" w:color="auto" w:fill="auto"/>
            <w:noWrap/>
            <w:vAlign w:val="center"/>
            <w:hideMark/>
          </w:tcPr>
          <w:p w14:paraId="4DE1CAEF"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NR</w:t>
            </w:r>
          </w:p>
        </w:tc>
        <w:tc>
          <w:tcPr>
            <w:tcW w:w="1596" w:type="dxa"/>
            <w:tcBorders>
              <w:top w:val="nil"/>
              <w:left w:val="nil"/>
              <w:bottom w:val="single" w:sz="4" w:space="0" w:color="auto"/>
              <w:right w:val="nil"/>
            </w:tcBorders>
            <w:shd w:val="clear" w:color="auto" w:fill="auto"/>
            <w:noWrap/>
            <w:vAlign w:val="center"/>
            <w:hideMark/>
          </w:tcPr>
          <w:p w14:paraId="6A330D7C"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604" w:type="dxa"/>
            <w:tcBorders>
              <w:top w:val="nil"/>
              <w:left w:val="nil"/>
              <w:bottom w:val="single" w:sz="4" w:space="0" w:color="auto"/>
              <w:right w:val="nil"/>
            </w:tcBorders>
            <w:shd w:val="clear" w:color="auto" w:fill="auto"/>
            <w:noWrap/>
            <w:vAlign w:val="center"/>
            <w:hideMark/>
          </w:tcPr>
          <w:p w14:paraId="43994602"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c>
          <w:tcPr>
            <w:tcW w:w="1535" w:type="dxa"/>
            <w:tcBorders>
              <w:top w:val="nil"/>
              <w:left w:val="nil"/>
              <w:bottom w:val="single" w:sz="4" w:space="0" w:color="auto"/>
              <w:right w:val="single" w:sz="4" w:space="0" w:color="auto"/>
            </w:tcBorders>
            <w:shd w:val="clear" w:color="auto" w:fill="auto"/>
            <w:noWrap/>
            <w:vAlign w:val="center"/>
            <w:hideMark/>
          </w:tcPr>
          <w:p w14:paraId="6A1F8D25" w14:textId="77777777" w:rsidR="0016504E" w:rsidRPr="0016504E" w:rsidRDefault="0016504E" w:rsidP="0016504E">
            <w:pPr>
              <w:spacing w:after="0" w:line="240" w:lineRule="auto"/>
              <w:jc w:val="right"/>
              <w:rPr>
                <w:rFonts w:ascii="Calibri" w:eastAsia="Times New Roman" w:hAnsi="Calibri" w:cs="Calibri"/>
                <w:color w:val="000000"/>
                <w:sz w:val="20"/>
                <w:szCs w:val="20"/>
              </w:rPr>
            </w:pPr>
            <w:r w:rsidRPr="0016504E">
              <w:rPr>
                <w:rFonts w:ascii="Calibri" w:eastAsia="Times New Roman" w:hAnsi="Calibri" w:cs="Calibri"/>
                <w:color w:val="000000"/>
                <w:sz w:val="20"/>
                <w:szCs w:val="20"/>
              </w:rPr>
              <w:t>0</w:t>
            </w:r>
          </w:p>
        </w:tc>
      </w:tr>
    </w:tbl>
    <w:p w14:paraId="24274131" w14:textId="531FEF8E" w:rsidR="00A05AEC" w:rsidRDefault="00526A3C" w:rsidP="00526A3C">
      <w:pPr>
        <w:spacing w:before="60" w:after="0"/>
        <w:rPr>
          <w:rFonts w:ascii="Calibri" w:eastAsia="Times New Roman" w:hAnsi="Calibri" w:cs="Calibri"/>
          <w:sz w:val="20"/>
          <w:szCs w:val="20"/>
        </w:rPr>
      </w:pPr>
      <w:r>
        <w:rPr>
          <w:rFonts w:ascii="Calibri" w:eastAsia="Times New Roman" w:hAnsi="Calibri" w:cs="Calibri"/>
          <w:sz w:val="20"/>
          <w:szCs w:val="20"/>
        </w:rPr>
        <w:t xml:space="preserve">ILI, </w:t>
      </w:r>
      <w:proofErr w:type="gramStart"/>
      <w:r>
        <w:rPr>
          <w:rFonts w:ascii="Calibri" w:eastAsia="Times New Roman" w:hAnsi="Calibri" w:cs="Calibri"/>
          <w:sz w:val="20"/>
          <w:szCs w:val="20"/>
        </w:rPr>
        <w:t>influenza</w:t>
      </w:r>
      <w:proofErr w:type="gramEnd"/>
      <w:r>
        <w:rPr>
          <w:rFonts w:ascii="Calibri" w:eastAsia="Times New Roman" w:hAnsi="Calibri" w:cs="Calibri"/>
          <w:sz w:val="20"/>
          <w:szCs w:val="20"/>
        </w:rPr>
        <w:t xml:space="preserve"> or influenza-like illness; </w:t>
      </w:r>
      <w:r w:rsidRPr="00526A3C">
        <w:rPr>
          <w:rFonts w:ascii="Calibri" w:eastAsia="Times New Roman" w:hAnsi="Calibri" w:cs="Calibri"/>
          <w:sz w:val="20"/>
          <w:szCs w:val="20"/>
        </w:rPr>
        <w:t>NR, not reported</w:t>
      </w:r>
    </w:p>
    <w:p w14:paraId="0B35F10F" w14:textId="77777777" w:rsidR="00A05AEC" w:rsidRDefault="00A05AEC">
      <w:pPr>
        <w:rPr>
          <w:rFonts w:ascii="Calibri" w:eastAsia="Times New Roman" w:hAnsi="Calibri" w:cs="Calibri"/>
          <w:sz w:val="20"/>
          <w:szCs w:val="20"/>
        </w:rPr>
      </w:pPr>
      <w:r>
        <w:rPr>
          <w:rFonts w:ascii="Calibri" w:eastAsia="Times New Roman" w:hAnsi="Calibri" w:cs="Calibri"/>
          <w:sz w:val="20"/>
          <w:szCs w:val="20"/>
        </w:rPr>
        <w:br w:type="page"/>
      </w:r>
    </w:p>
    <w:p w14:paraId="5955FEE1" w14:textId="6294799D" w:rsidR="00526A3C" w:rsidRDefault="00A05AEC" w:rsidP="00526A3C">
      <w:pPr>
        <w:spacing w:before="60" w:after="0"/>
      </w:pPr>
      <w:r w:rsidRPr="00730779">
        <w:rPr>
          <w:b/>
          <w:bCs/>
        </w:rPr>
        <w:lastRenderedPageBreak/>
        <w:t xml:space="preserve">Appendix </w:t>
      </w:r>
      <w:r w:rsidR="008536DA">
        <w:rPr>
          <w:b/>
          <w:bCs/>
        </w:rPr>
        <w:t>9</w:t>
      </w:r>
      <w:r w:rsidRPr="00730779">
        <w:rPr>
          <w:b/>
          <w:bCs/>
        </w:rPr>
        <w:t>.</w:t>
      </w:r>
      <w:r>
        <w:t xml:space="preserve"> </w:t>
      </w:r>
      <w:r w:rsidR="0029185F">
        <w:t>A</w:t>
      </w:r>
      <w:r>
        <w:t xml:space="preserve">nnual </w:t>
      </w:r>
      <w:r w:rsidR="00096746">
        <w:t xml:space="preserve">total </w:t>
      </w:r>
      <w:r>
        <w:t>productivity cost per student among school</w:t>
      </w:r>
      <w:r w:rsidR="00730779">
        <w:t>s</w:t>
      </w:r>
      <w:r>
        <w:t xml:space="preserve"> with ILI-related </w:t>
      </w:r>
      <w:r w:rsidR="00E74935">
        <w:t xml:space="preserve">reactive </w:t>
      </w:r>
      <w:r>
        <w:t xml:space="preserve">closures from </w:t>
      </w:r>
      <w:r w:rsidR="00730779" w:rsidRPr="00730779">
        <w:t>2016‒</w:t>
      </w:r>
      <w:r w:rsidR="00FF6E5E">
        <w:t>20</w:t>
      </w:r>
      <w:r w:rsidR="00730779" w:rsidRPr="00730779">
        <w:t>17 to 2018‒</w:t>
      </w:r>
      <w:r w:rsidR="00FF6E5E">
        <w:t>20</w:t>
      </w:r>
      <w:r w:rsidR="00730779" w:rsidRPr="00730779">
        <w:t>19</w:t>
      </w:r>
      <w:r w:rsidR="00350625">
        <w:t xml:space="preserve"> (2019 USD)</w:t>
      </w:r>
    </w:p>
    <w:tbl>
      <w:tblPr>
        <w:tblW w:w="0" w:type="auto"/>
        <w:tblLayout w:type="fixed"/>
        <w:tblLook w:val="04A0" w:firstRow="1" w:lastRow="0" w:firstColumn="1" w:lastColumn="0" w:noHBand="0" w:noVBand="1"/>
      </w:tblPr>
      <w:tblGrid>
        <w:gridCol w:w="1905"/>
        <w:gridCol w:w="1060"/>
        <w:gridCol w:w="1080"/>
        <w:gridCol w:w="1234"/>
        <w:gridCol w:w="1080"/>
        <w:gridCol w:w="1084"/>
      </w:tblGrid>
      <w:tr w:rsidR="00A05AEC" w:rsidRPr="00A05AEC" w14:paraId="64057FEE" w14:textId="77777777" w:rsidTr="007C3D43">
        <w:trPr>
          <w:trHeight w:val="331"/>
        </w:trPr>
        <w:tc>
          <w:tcPr>
            <w:tcW w:w="1905" w:type="dxa"/>
            <w:tcBorders>
              <w:top w:val="single" w:sz="4" w:space="0" w:color="auto"/>
              <w:left w:val="single" w:sz="4" w:space="0" w:color="auto"/>
              <w:bottom w:val="nil"/>
              <w:right w:val="nil"/>
            </w:tcBorders>
            <w:shd w:val="clear" w:color="auto" w:fill="auto"/>
            <w:noWrap/>
            <w:vAlign w:val="center"/>
            <w:hideMark/>
          </w:tcPr>
          <w:p w14:paraId="3C342BD5" w14:textId="77777777" w:rsidR="00A05AEC" w:rsidRPr="00A05AEC" w:rsidRDefault="00A05AEC" w:rsidP="00A05AEC">
            <w:pPr>
              <w:spacing w:after="0" w:line="240" w:lineRule="auto"/>
              <w:rPr>
                <w:rFonts w:ascii="Calibri" w:eastAsia="Times New Roman" w:hAnsi="Calibri" w:cs="Calibri"/>
                <w:b/>
                <w:bCs/>
                <w:color w:val="000000"/>
              </w:rPr>
            </w:pPr>
            <w:r w:rsidRPr="00A05AEC">
              <w:rPr>
                <w:rFonts w:ascii="Calibri" w:eastAsia="Times New Roman" w:hAnsi="Calibri" w:cs="Calibri"/>
                <w:b/>
                <w:bCs/>
                <w:color w:val="000000"/>
              </w:rPr>
              <w:t>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8259E1" w14:textId="77777777" w:rsidR="00A05AEC" w:rsidRPr="00A05AEC" w:rsidRDefault="00A05AEC" w:rsidP="00A05AEC">
            <w:pPr>
              <w:spacing w:after="0" w:line="240" w:lineRule="auto"/>
              <w:jc w:val="center"/>
              <w:rPr>
                <w:rFonts w:ascii="Calibri" w:eastAsia="Times New Roman" w:hAnsi="Calibri" w:cs="Calibri"/>
                <w:b/>
                <w:bCs/>
                <w:color w:val="000000"/>
              </w:rPr>
            </w:pPr>
            <w:r w:rsidRPr="00A05AEC">
              <w:rPr>
                <w:rFonts w:ascii="Calibri" w:eastAsia="Times New Roman" w:hAnsi="Calibri" w:cs="Calibri"/>
                <w:b/>
                <w:bCs/>
                <w:color w:val="000000"/>
              </w:rPr>
              <w:t>Overall</w:t>
            </w:r>
          </w:p>
        </w:tc>
        <w:tc>
          <w:tcPr>
            <w:tcW w:w="447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BBEDBDC" w14:textId="77777777" w:rsidR="00A05AEC" w:rsidRPr="00A05AEC" w:rsidRDefault="00A05AEC" w:rsidP="00A05AEC">
            <w:pPr>
              <w:spacing w:after="0" w:line="240" w:lineRule="auto"/>
              <w:jc w:val="center"/>
              <w:rPr>
                <w:rFonts w:ascii="Calibri" w:eastAsia="Times New Roman" w:hAnsi="Calibri" w:cs="Calibri"/>
                <w:b/>
                <w:bCs/>
                <w:color w:val="000000"/>
              </w:rPr>
            </w:pPr>
            <w:r w:rsidRPr="00A05AEC">
              <w:rPr>
                <w:rFonts w:ascii="Calibri" w:eastAsia="Times New Roman" w:hAnsi="Calibri" w:cs="Calibri"/>
                <w:b/>
                <w:bCs/>
                <w:color w:val="000000"/>
              </w:rPr>
              <w:t>By urbanicity of school location</w:t>
            </w:r>
          </w:p>
        </w:tc>
      </w:tr>
      <w:tr w:rsidR="00A05AEC" w:rsidRPr="00A05AEC" w14:paraId="484DEA70" w14:textId="77777777" w:rsidTr="007F0D99">
        <w:trPr>
          <w:trHeight w:val="331"/>
        </w:trPr>
        <w:tc>
          <w:tcPr>
            <w:tcW w:w="1905" w:type="dxa"/>
            <w:tcBorders>
              <w:top w:val="nil"/>
              <w:left w:val="single" w:sz="4" w:space="0" w:color="auto"/>
              <w:bottom w:val="single" w:sz="4" w:space="0" w:color="auto"/>
              <w:right w:val="nil"/>
            </w:tcBorders>
            <w:shd w:val="clear" w:color="auto" w:fill="auto"/>
            <w:noWrap/>
            <w:vAlign w:val="center"/>
            <w:hideMark/>
          </w:tcPr>
          <w:p w14:paraId="4209B4CA" w14:textId="72EF50F8" w:rsidR="00A05AEC" w:rsidRPr="00A05AEC" w:rsidRDefault="00241F3D" w:rsidP="00A05AEC">
            <w:pPr>
              <w:spacing w:after="0" w:line="240" w:lineRule="auto"/>
              <w:rPr>
                <w:rFonts w:ascii="Calibri" w:eastAsia="Times New Roman" w:hAnsi="Calibri" w:cs="Calibri"/>
                <w:b/>
                <w:bCs/>
                <w:color w:val="000000"/>
              </w:rPr>
            </w:pPr>
            <w:r w:rsidRPr="00FC45AC">
              <w:rPr>
                <w:rFonts w:ascii="Calibri" w:eastAsia="Times New Roman" w:hAnsi="Calibri" w:cs="Calibri"/>
                <w:b/>
                <w:bCs/>
                <w:color w:val="000000"/>
              </w:rPr>
              <w:t>Estimates</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09696F5F" w14:textId="77777777" w:rsidR="00A05AEC" w:rsidRPr="00A05AEC" w:rsidRDefault="00A05AEC" w:rsidP="00A05AEC">
            <w:pPr>
              <w:spacing w:after="0" w:line="240" w:lineRule="auto"/>
              <w:rPr>
                <w:rFonts w:ascii="Calibri" w:eastAsia="Times New Roman" w:hAnsi="Calibri" w:cs="Calibri"/>
                <w:b/>
                <w:bCs/>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CE235A7" w14:textId="77777777" w:rsidR="00A05AEC" w:rsidRPr="00A05AEC" w:rsidRDefault="00A05AEC" w:rsidP="00A05AEC">
            <w:pPr>
              <w:spacing w:after="0" w:line="240" w:lineRule="auto"/>
              <w:jc w:val="right"/>
              <w:rPr>
                <w:rFonts w:ascii="Calibri" w:eastAsia="Times New Roman" w:hAnsi="Calibri" w:cs="Calibri"/>
                <w:b/>
                <w:bCs/>
                <w:color w:val="000000"/>
              </w:rPr>
            </w:pPr>
            <w:r w:rsidRPr="00A05AEC">
              <w:rPr>
                <w:rFonts w:ascii="Calibri" w:eastAsia="Times New Roman" w:hAnsi="Calibri" w:cs="Calibri"/>
                <w:b/>
                <w:bCs/>
                <w:color w:val="000000"/>
              </w:rPr>
              <w:t xml:space="preserve">City </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0C99" w14:textId="77777777" w:rsidR="00A05AEC" w:rsidRPr="00A05AEC" w:rsidRDefault="00A05AEC" w:rsidP="00A05AEC">
            <w:pPr>
              <w:spacing w:after="0" w:line="240" w:lineRule="auto"/>
              <w:jc w:val="right"/>
              <w:rPr>
                <w:rFonts w:ascii="Calibri" w:eastAsia="Times New Roman" w:hAnsi="Calibri" w:cs="Calibri"/>
                <w:b/>
                <w:bCs/>
                <w:color w:val="000000"/>
              </w:rPr>
            </w:pPr>
            <w:r w:rsidRPr="00A05AEC">
              <w:rPr>
                <w:rFonts w:ascii="Calibri" w:eastAsia="Times New Roman" w:hAnsi="Calibri" w:cs="Calibri"/>
                <w:b/>
                <w:bCs/>
                <w:color w:val="000000"/>
              </w:rPr>
              <w:t>Suburban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4DFB" w14:textId="77777777" w:rsidR="00A05AEC" w:rsidRPr="00A05AEC" w:rsidRDefault="00A05AEC" w:rsidP="00A05AEC">
            <w:pPr>
              <w:spacing w:after="0" w:line="240" w:lineRule="auto"/>
              <w:jc w:val="right"/>
              <w:rPr>
                <w:rFonts w:ascii="Calibri" w:eastAsia="Times New Roman" w:hAnsi="Calibri" w:cs="Calibri"/>
                <w:b/>
                <w:bCs/>
                <w:color w:val="000000"/>
              </w:rPr>
            </w:pPr>
            <w:r w:rsidRPr="00A05AEC">
              <w:rPr>
                <w:rFonts w:ascii="Calibri" w:eastAsia="Times New Roman" w:hAnsi="Calibri" w:cs="Calibri"/>
                <w:b/>
                <w:bCs/>
                <w:color w:val="000000"/>
              </w:rPr>
              <w:t>Town</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56E86" w14:textId="77777777" w:rsidR="00A05AEC" w:rsidRPr="00A05AEC" w:rsidRDefault="00A05AEC" w:rsidP="00A05AEC">
            <w:pPr>
              <w:spacing w:after="0" w:line="240" w:lineRule="auto"/>
              <w:jc w:val="right"/>
              <w:rPr>
                <w:rFonts w:ascii="Calibri" w:eastAsia="Times New Roman" w:hAnsi="Calibri" w:cs="Calibri"/>
                <w:b/>
                <w:bCs/>
                <w:color w:val="000000"/>
              </w:rPr>
            </w:pPr>
            <w:r w:rsidRPr="00A05AEC">
              <w:rPr>
                <w:rFonts w:ascii="Calibri" w:eastAsia="Times New Roman" w:hAnsi="Calibri" w:cs="Calibri"/>
                <w:b/>
                <w:bCs/>
                <w:color w:val="000000"/>
              </w:rPr>
              <w:t>Rural</w:t>
            </w:r>
          </w:p>
        </w:tc>
      </w:tr>
      <w:tr w:rsidR="00A05AEC" w:rsidRPr="00A05AEC" w14:paraId="0B2F543F" w14:textId="77777777" w:rsidTr="007F0D99">
        <w:trPr>
          <w:trHeight w:val="331"/>
        </w:trPr>
        <w:tc>
          <w:tcPr>
            <w:tcW w:w="1905" w:type="dxa"/>
            <w:tcBorders>
              <w:top w:val="nil"/>
              <w:left w:val="single" w:sz="4" w:space="0" w:color="auto"/>
              <w:bottom w:val="single" w:sz="4" w:space="0" w:color="auto"/>
              <w:right w:val="nil"/>
            </w:tcBorders>
            <w:shd w:val="clear" w:color="auto" w:fill="auto"/>
            <w:noWrap/>
            <w:vAlign w:val="center"/>
            <w:hideMark/>
          </w:tcPr>
          <w:p w14:paraId="7027A9C5" w14:textId="77777777" w:rsidR="00A05AEC" w:rsidRPr="00A05AEC" w:rsidRDefault="00A05AEC" w:rsidP="00A05AEC">
            <w:pPr>
              <w:spacing w:after="0" w:line="240" w:lineRule="auto"/>
              <w:rPr>
                <w:rFonts w:ascii="Calibri" w:eastAsia="Times New Roman" w:hAnsi="Calibri" w:cs="Calibri"/>
                <w:color w:val="000000"/>
              </w:rPr>
            </w:pPr>
            <w:r w:rsidRPr="00A05AEC">
              <w:rPr>
                <w:rFonts w:ascii="Calibri" w:eastAsia="Times New Roman" w:hAnsi="Calibri" w:cs="Calibri"/>
                <w:color w:val="000000"/>
              </w:rPr>
              <w:t>Minimum</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CA8D7AA"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17.3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665A38"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24.3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FD86E"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25.9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D5BD"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22.2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B570"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17.3</w:t>
            </w:r>
          </w:p>
        </w:tc>
      </w:tr>
      <w:tr w:rsidR="00A05AEC" w:rsidRPr="00A05AEC" w14:paraId="768C342A" w14:textId="77777777" w:rsidTr="007F0D99">
        <w:trPr>
          <w:trHeight w:val="331"/>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31BF9E19" w14:textId="77777777" w:rsidR="00A05AEC" w:rsidRPr="00A05AEC" w:rsidRDefault="00A05AEC" w:rsidP="00A05AEC">
            <w:pPr>
              <w:spacing w:after="0" w:line="240" w:lineRule="auto"/>
              <w:rPr>
                <w:rFonts w:ascii="Calibri" w:eastAsia="Times New Roman" w:hAnsi="Calibri" w:cs="Calibri"/>
                <w:color w:val="000000"/>
              </w:rPr>
            </w:pPr>
            <w:r w:rsidRPr="00A05AEC">
              <w:rPr>
                <w:rFonts w:ascii="Calibri" w:eastAsia="Times New Roman" w:hAnsi="Calibri" w:cs="Calibri"/>
                <w:color w:val="000000"/>
              </w:rPr>
              <w:t>25th percentile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FB2D"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34.0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F50BBDF"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31.3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41A3"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57.8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EC12"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37.2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50EB"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36.7</w:t>
            </w:r>
          </w:p>
        </w:tc>
      </w:tr>
      <w:tr w:rsidR="00A05AEC" w:rsidRPr="00A05AEC" w14:paraId="103390A9" w14:textId="77777777" w:rsidTr="007F0D99">
        <w:trPr>
          <w:trHeight w:val="331"/>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7BBA2591" w14:textId="77777777" w:rsidR="00A05AEC" w:rsidRPr="00A05AEC" w:rsidRDefault="00A05AEC" w:rsidP="00A05AEC">
            <w:pPr>
              <w:spacing w:after="0" w:line="240" w:lineRule="auto"/>
              <w:rPr>
                <w:rFonts w:ascii="Calibri" w:eastAsia="Times New Roman" w:hAnsi="Calibri" w:cs="Calibri"/>
                <w:color w:val="000000"/>
              </w:rPr>
            </w:pPr>
            <w:r w:rsidRPr="00A05AEC">
              <w:rPr>
                <w:rFonts w:ascii="Calibri" w:eastAsia="Times New Roman" w:hAnsi="Calibri" w:cs="Calibri"/>
                <w:color w:val="000000"/>
              </w:rPr>
              <w:t>Median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24B0"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66.3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CC34E6"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39.4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647E7"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85.8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356B"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67.5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B352C"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66.9</w:t>
            </w:r>
          </w:p>
        </w:tc>
      </w:tr>
      <w:tr w:rsidR="00A05AEC" w:rsidRPr="00A05AEC" w14:paraId="11375AD3" w14:textId="77777777" w:rsidTr="007F0D99">
        <w:trPr>
          <w:trHeight w:val="331"/>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2541554C" w14:textId="77777777" w:rsidR="00A05AEC" w:rsidRPr="004550BA" w:rsidRDefault="00A05AEC" w:rsidP="00A05AEC">
            <w:pPr>
              <w:spacing w:after="0" w:line="240" w:lineRule="auto"/>
              <w:rPr>
                <w:rFonts w:ascii="Calibri" w:eastAsia="Times New Roman" w:hAnsi="Calibri" w:cs="Calibri"/>
                <w:b/>
                <w:bCs/>
                <w:color w:val="000000"/>
              </w:rPr>
            </w:pPr>
            <w:r w:rsidRPr="004550BA">
              <w:rPr>
                <w:rFonts w:ascii="Calibri" w:eastAsia="Times New Roman" w:hAnsi="Calibri" w:cs="Calibri"/>
                <w:b/>
                <w:bCs/>
                <w:color w:val="000000"/>
              </w:rPr>
              <w:t>Mean</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21D66" w14:textId="77777777" w:rsidR="00A05AEC" w:rsidRPr="004550BA" w:rsidRDefault="00A05AEC" w:rsidP="00A05AEC">
            <w:pPr>
              <w:spacing w:after="0" w:line="240" w:lineRule="auto"/>
              <w:jc w:val="right"/>
              <w:rPr>
                <w:rFonts w:ascii="Calibri" w:eastAsia="Times New Roman" w:hAnsi="Calibri" w:cs="Calibri"/>
                <w:b/>
                <w:bCs/>
                <w:color w:val="000000"/>
              </w:rPr>
            </w:pPr>
            <w:r w:rsidRPr="004550BA">
              <w:rPr>
                <w:rFonts w:ascii="Calibri" w:eastAsia="Times New Roman" w:hAnsi="Calibri" w:cs="Calibri"/>
                <w:b/>
                <w:bCs/>
                <w:color w:val="000000"/>
              </w:rPr>
              <w:t>99.8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DEB542" w14:textId="77777777" w:rsidR="00A05AEC" w:rsidRPr="004550BA" w:rsidRDefault="00A05AEC" w:rsidP="00A05AEC">
            <w:pPr>
              <w:spacing w:after="0" w:line="240" w:lineRule="auto"/>
              <w:jc w:val="right"/>
              <w:rPr>
                <w:rFonts w:ascii="Calibri" w:eastAsia="Times New Roman" w:hAnsi="Calibri" w:cs="Calibri"/>
                <w:b/>
                <w:bCs/>
                <w:color w:val="000000"/>
              </w:rPr>
            </w:pPr>
            <w:r w:rsidRPr="004550BA">
              <w:rPr>
                <w:rFonts w:ascii="Calibri" w:eastAsia="Times New Roman" w:hAnsi="Calibri" w:cs="Calibri"/>
                <w:b/>
                <w:bCs/>
                <w:color w:val="000000"/>
              </w:rPr>
              <w:t>98.6</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91B2" w14:textId="77777777" w:rsidR="00A05AEC" w:rsidRPr="004550BA" w:rsidRDefault="00A05AEC" w:rsidP="00A05AEC">
            <w:pPr>
              <w:spacing w:after="0" w:line="240" w:lineRule="auto"/>
              <w:jc w:val="right"/>
              <w:rPr>
                <w:rFonts w:ascii="Calibri" w:eastAsia="Times New Roman" w:hAnsi="Calibri" w:cs="Calibri"/>
                <w:b/>
                <w:bCs/>
                <w:color w:val="000000"/>
              </w:rPr>
            </w:pPr>
            <w:r w:rsidRPr="004550BA">
              <w:rPr>
                <w:rFonts w:ascii="Calibri" w:eastAsia="Times New Roman" w:hAnsi="Calibri" w:cs="Calibri"/>
                <w:b/>
                <w:bCs/>
                <w:color w:val="000000"/>
              </w:rPr>
              <w:t>112.7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4914" w14:textId="77777777" w:rsidR="00A05AEC" w:rsidRPr="004550BA" w:rsidRDefault="00A05AEC" w:rsidP="00A05AEC">
            <w:pPr>
              <w:spacing w:after="0" w:line="240" w:lineRule="auto"/>
              <w:jc w:val="right"/>
              <w:rPr>
                <w:rFonts w:ascii="Calibri" w:eastAsia="Times New Roman" w:hAnsi="Calibri" w:cs="Calibri"/>
                <w:b/>
                <w:bCs/>
                <w:color w:val="000000"/>
              </w:rPr>
            </w:pPr>
            <w:r w:rsidRPr="004550BA">
              <w:rPr>
                <w:rFonts w:ascii="Calibri" w:eastAsia="Times New Roman" w:hAnsi="Calibri" w:cs="Calibri"/>
                <w:b/>
                <w:bCs/>
                <w:color w:val="000000"/>
              </w:rPr>
              <w:t>99.2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884B" w14:textId="77777777" w:rsidR="00A05AEC" w:rsidRPr="004550BA" w:rsidRDefault="00A05AEC" w:rsidP="00A05AEC">
            <w:pPr>
              <w:spacing w:after="0" w:line="240" w:lineRule="auto"/>
              <w:jc w:val="right"/>
              <w:rPr>
                <w:rFonts w:ascii="Calibri" w:eastAsia="Times New Roman" w:hAnsi="Calibri" w:cs="Calibri"/>
                <w:b/>
                <w:bCs/>
                <w:color w:val="000000"/>
              </w:rPr>
            </w:pPr>
            <w:r w:rsidRPr="004550BA">
              <w:rPr>
                <w:rFonts w:ascii="Calibri" w:eastAsia="Times New Roman" w:hAnsi="Calibri" w:cs="Calibri"/>
                <w:b/>
                <w:bCs/>
                <w:color w:val="000000"/>
              </w:rPr>
              <w:t>98.1</w:t>
            </w:r>
          </w:p>
        </w:tc>
      </w:tr>
      <w:tr w:rsidR="00A05AEC" w:rsidRPr="00A05AEC" w14:paraId="0B18352C" w14:textId="77777777" w:rsidTr="007F0D99">
        <w:trPr>
          <w:trHeight w:val="331"/>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13A3FF43" w14:textId="77777777" w:rsidR="00A05AEC" w:rsidRPr="00A05AEC" w:rsidRDefault="00A05AEC" w:rsidP="00A05AEC">
            <w:pPr>
              <w:spacing w:after="0" w:line="240" w:lineRule="auto"/>
              <w:rPr>
                <w:rFonts w:ascii="Calibri" w:eastAsia="Times New Roman" w:hAnsi="Calibri" w:cs="Calibri"/>
                <w:color w:val="000000"/>
              </w:rPr>
            </w:pPr>
            <w:r w:rsidRPr="00A05AEC">
              <w:rPr>
                <w:rFonts w:ascii="Calibri" w:eastAsia="Times New Roman" w:hAnsi="Calibri" w:cs="Calibri"/>
                <w:color w:val="000000"/>
              </w:rPr>
              <w:t>75th percentile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6012"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122.4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26644E5"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95.6</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BB10"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118.3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45A8"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128.4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306C9"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124.0</w:t>
            </w:r>
          </w:p>
        </w:tc>
      </w:tr>
      <w:tr w:rsidR="00A05AEC" w:rsidRPr="00A05AEC" w14:paraId="64E795F7" w14:textId="77777777" w:rsidTr="007F0D99">
        <w:trPr>
          <w:trHeight w:val="331"/>
        </w:trPr>
        <w:tc>
          <w:tcPr>
            <w:tcW w:w="1905" w:type="dxa"/>
            <w:tcBorders>
              <w:top w:val="single" w:sz="4" w:space="0" w:color="auto"/>
              <w:left w:val="single" w:sz="4" w:space="0" w:color="auto"/>
              <w:bottom w:val="single" w:sz="4" w:space="0" w:color="auto"/>
              <w:right w:val="nil"/>
            </w:tcBorders>
            <w:shd w:val="clear" w:color="auto" w:fill="auto"/>
            <w:noWrap/>
            <w:vAlign w:val="center"/>
            <w:hideMark/>
          </w:tcPr>
          <w:p w14:paraId="3ABC9EE5" w14:textId="07A54534" w:rsidR="00A05AEC" w:rsidRPr="00A05AEC" w:rsidRDefault="00A05AEC" w:rsidP="00A05AEC">
            <w:pPr>
              <w:spacing w:after="0" w:line="240" w:lineRule="auto"/>
              <w:rPr>
                <w:rFonts w:ascii="Calibri" w:eastAsia="Times New Roman" w:hAnsi="Calibri" w:cs="Calibri"/>
                <w:color w:val="000000"/>
              </w:rPr>
            </w:pPr>
            <w:r w:rsidRPr="00A05AEC">
              <w:rPr>
                <w:rFonts w:ascii="Calibri" w:eastAsia="Times New Roman" w:hAnsi="Calibri" w:cs="Calibri"/>
                <w:color w:val="000000"/>
              </w:rPr>
              <w:t>I</w:t>
            </w:r>
            <w:r>
              <w:rPr>
                <w:rFonts w:ascii="Calibri" w:eastAsia="Times New Roman" w:hAnsi="Calibri" w:cs="Calibri"/>
                <w:color w:val="000000"/>
              </w:rPr>
              <w:t>nterquartile range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7CB9"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88.4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945B4A0"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64.4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F3BDC"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60.5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849AE"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91.2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5B20" w14:textId="77777777" w:rsidR="00A05AEC" w:rsidRPr="00A05AEC" w:rsidRDefault="00A05AEC" w:rsidP="00A05AEC">
            <w:pPr>
              <w:spacing w:after="0" w:line="240" w:lineRule="auto"/>
              <w:jc w:val="right"/>
              <w:rPr>
                <w:rFonts w:ascii="Calibri" w:eastAsia="Times New Roman" w:hAnsi="Calibri" w:cs="Calibri"/>
                <w:color w:val="000000"/>
              </w:rPr>
            </w:pPr>
            <w:r w:rsidRPr="00A05AEC">
              <w:rPr>
                <w:rFonts w:ascii="Calibri" w:eastAsia="Times New Roman" w:hAnsi="Calibri" w:cs="Calibri"/>
                <w:color w:val="000000"/>
              </w:rPr>
              <w:t>87.3</w:t>
            </w:r>
          </w:p>
        </w:tc>
      </w:tr>
    </w:tbl>
    <w:p w14:paraId="10A7B8F0" w14:textId="23E13A57" w:rsidR="007E0E12" w:rsidRDefault="007F0D99" w:rsidP="00526A3C">
      <w:pPr>
        <w:spacing w:before="60" w:after="0"/>
        <w:rPr>
          <w:rFonts w:ascii="Calibri" w:eastAsia="Times New Roman" w:hAnsi="Calibri" w:cs="Calibri"/>
          <w:sz w:val="20"/>
          <w:szCs w:val="20"/>
        </w:rPr>
      </w:pPr>
      <w:r>
        <w:rPr>
          <w:rFonts w:ascii="Calibri" w:eastAsia="Times New Roman" w:hAnsi="Calibri" w:cs="Calibri"/>
          <w:sz w:val="20"/>
          <w:szCs w:val="20"/>
        </w:rPr>
        <w:t xml:space="preserve">ILI, </w:t>
      </w:r>
      <w:proofErr w:type="gramStart"/>
      <w:r>
        <w:rPr>
          <w:rFonts w:ascii="Calibri" w:eastAsia="Times New Roman" w:hAnsi="Calibri" w:cs="Calibri"/>
          <w:sz w:val="20"/>
          <w:szCs w:val="20"/>
        </w:rPr>
        <w:t>influenza</w:t>
      </w:r>
      <w:proofErr w:type="gramEnd"/>
      <w:r>
        <w:rPr>
          <w:rFonts w:ascii="Calibri" w:eastAsia="Times New Roman" w:hAnsi="Calibri" w:cs="Calibri"/>
          <w:sz w:val="20"/>
          <w:szCs w:val="20"/>
        </w:rPr>
        <w:t xml:space="preserve"> or influenza-like illness</w:t>
      </w:r>
    </w:p>
    <w:p w14:paraId="1287DF1E" w14:textId="77777777" w:rsidR="007E0E12" w:rsidRDefault="007E0E12">
      <w:pPr>
        <w:rPr>
          <w:rFonts w:ascii="Calibri" w:eastAsia="Times New Roman" w:hAnsi="Calibri" w:cs="Calibri"/>
          <w:sz w:val="20"/>
          <w:szCs w:val="20"/>
        </w:rPr>
      </w:pPr>
      <w:r>
        <w:rPr>
          <w:rFonts w:ascii="Calibri" w:eastAsia="Times New Roman" w:hAnsi="Calibri" w:cs="Calibri"/>
          <w:sz w:val="20"/>
          <w:szCs w:val="20"/>
        </w:rPr>
        <w:br w:type="page"/>
      </w:r>
    </w:p>
    <w:p w14:paraId="2517FA12" w14:textId="6BF0B60F" w:rsidR="00A05AEC" w:rsidRDefault="007E0E12" w:rsidP="00E547A4">
      <w:pPr>
        <w:spacing w:before="60"/>
      </w:pPr>
      <w:r w:rsidRPr="00FB50BA">
        <w:rPr>
          <w:b/>
          <w:bCs/>
        </w:rPr>
        <w:lastRenderedPageBreak/>
        <w:t xml:space="preserve">Appendix </w:t>
      </w:r>
      <w:r w:rsidR="008536DA">
        <w:rPr>
          <w:b/>
          <w:bCs/>
        </w:rPr>
        <w:t>10</w:t>
      </w:r>
      <w:r>
        <w:t xml:space="preserve">. </w:t>
      </w:r>
      <w:r w:rsidR="0058697A">
        <w:t>Total productivity costs associated with ILI-related reactive school closures</w:t>
      </w:r>
      <w:r w:rsidR="00FB50BA">
        <w:t xml:space="preserve"> from 2011</w:t>
      </w:r>
      <w:r w:rsidR="00FB50BA">
        <w:rPr>
          <w:rFonts w:cstheme="minorHAnsi"/>
        </w:rPr>
        <w:t>‒</w:t>
      </w:r>
      <w:r w:rsidR="00FF6E5E">
        <w:rPr>
          <w:rFonts w:cstheme="minorHAnsi"/>
        </w:rPr>
        <w:t>20</w:t>
      </w:r>
      <w:r w:rsidR="00FB50BA">
        <w:t>12 to 2018</w:t>
      </w:r>
      <w:r w:rsidR="00FB50BA">
        <w:rPr>
          <w:rFonts w:cstheme="minorHAnsi"/>
        </w:rPr>
        <w:t>‒</w:t>
      </w:r>
      <w:r w:rsidR="00FF6E5E">
        <w:rPr>
          <w:rFonts w:cstheme="minorHAnsi"/>
        </w:rPr>
        <w:t>20</w:t>
      </w:r>
      <w:r w:rsidR="00FB50BA">
        <w:rPr>
          <w:rFonts w:cstheme="minorHAnsi"/>
        </w:rPr>
        <w:t>19</w:t>
      </w:r>
      <w:r w:rsidR="0058697A">
        <w:t xml:space="preserve"> among public schools and </w:t>
      </w:r>
      <w:r w:rsidR="00884519">
        <w:t>total</w:t>
      </w:r>
      <w:r w:rsidR="00C415CB">
        <w:t xml:space="preserve"> </w:t>
      </w:r>
      <w:r w:rsidR="0058697A">
        <w:t>number of students in U.S. public schools</w:t>
      </w:r>
      <w:r w:rsidR="00C415CB">
        <w:t xml:space="preserve"> in 2015</w:t>
      </w:r>
      <w:r w:rsidR="00C415CB">
        <w:rPr>
          <w:rFonts w:cstheme="minorHAnsi"/>
        </w:rPr>
        <w:t>‒</w:t>
      </w:r>
      <w:r w:rsidR="00FF6E5E">
        <w:rPr>
          <w:rFonts w:cstheme="minorHAnsi"/>
        </w:rPr>
        <w:t>20</w:t>
      </w:r>
      <w:r w:rsidR="00C415CB">
        <w:rPr>
          <w:rFonts w:cstheme="minorHAnsi"/>
        </w:rPr>
        <w:t>16</w:t>
      </w:r>
    </w:p>
    <w:tbl>
      <w:tblPr>
        <w:tblW w:w="10040" w:type="dxa"/>
        <w:tblLook w:val="04A0" w:firstRow="1" w:lastRow="0" w:firstColumn="1" w:lastColumn="0" w:noHBand="0" w:noVBand="1"/>
      </w:tblPr>
      <w:tblGrid>
        <w:gridCol w:w="2155"/>
        <w:gridCol w:w="1532"/>
        <w:gridCol w:w="1551"/>
        <w:gridCol w:w="1416"/>
        <w:gridCol w:w="1638"/>
        <w:gridCol w:w="1748"/>
      </w:tblGrid>
      <w:tr w:rsidR="00676AE2" w:rsidRPr="00577A0E" w14:paraId="23DE8D52" w14:textId="77777777" w:rsidTr="0056196E">
        <w:trPr>
          <w:trHeight w:val="360"/>
        </w:trPr>
        <w:tc>
          <w:tcPr>
            <w:tcW w:w="0" w:type="auto"/>
            <w:tcBorders>
              <w:top w:val="single" w:sz="4" w:space="0" w:color="auto"/>
              <w:left w:val="single" w:sz="4" w:space="0" w:color="auto"/>
              <w:bottom w:val="nil"/>
              <w:right w:val="nil"/>
            </w:tcBorders>
            <w:shd w:val="clear" w:color="auto" w:fill="auto"/>
            <w:noWrap/>
            <w:vAlign w:val="center"/>
            <w:hideMark/>
          </w:tcPr>
          <w:p w14:paraId="2D7BF9BF" w14:textId="77777777" w:rsidR="00676AE2" w:rsidRPr="00577A0E" w:rsidRDefault="00676AE2"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 </w:t>
            </w:r>
          </w:p>
        </w:tc>
        <w:tc>
          <w:tcPr>
            <w:tcW w:w="1532" w:type="dxa"/>
            <w:vMerge w:val="restart"/>
            <w:tcBorders>
              <w:top w:val="single" w:sz="4" w:space="0" w:color="auto"/>
              <w:left w:val="single" w:sz="4" w:space="0" w:color="auto"/>
              <w:right w:val="single" w:sz="4" w:space="0" w:color="auto"/>
            </w:tcBorders>
            <w:shd w:val="clear" w:color="auto" w:fill="auto"/>
            <w:noWrap/>
            <w:vAlign w:val="center"/>
            <w:hideMark/>
          </w:tcPr>
          <w:p w14:paraId="0828EEFB" w14:textId="3F18B361" w:rsidR="00676AE2" w:rsidRPr="00577A0E" w:rsidRDefault="00676AE2" w:rsidP="00676AE2">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Overall</w:t>
            </w:r>
          </w:p>
        </w:tc>
        <w:tc>
          <w:tcPr>
            <w:tcW w:w="63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64B773" w14:textId="77777777" w:rsidR="00676AE2" w:rsidRPr="00577A0E" w:rsidRDefault="00676AE2" w:rsidP="00577A0E">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By urbanicity of school location</w:t>
            </w:r>
          </w:p>
        </w:tc>
      </w:tr>
      <w:tr w:rsidR="00676AE2" w:rsidRPr="00577A0E" w14:paraId="1E677DCB" w14:textId="77777777" w:rsidTr="0056196E">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2BE054C3" w14:textId="77777777" w:rsidR="00676AE2" w:rsidRPr="00577A0E" w:rsidRDefault="00676AE2" w:rsidP="00577A0E">
            <w:pPr>
              <w:spacing w:after="0" w:line="240" w:lineRule="auto"/>
              <w:rPr>
                <w:rFonts w:ascii="Calibri" w:eastAsia="Times New Roman" w:hAnsi="Calibri" w:cs="Calibri"/>
                <w:color w:val="000000"/>
              </w:rPr>
            </w:pPr>
            <w:r w:rsidRPr="00577A0E">
              <w:rPr>
                <w:rFonts w:ascii="Calibri" w:eastAsia="Times New Roman" w:hAnsi="Calibri" w:cs="Calibri"/>
                <w:color w:val="000000"/>
              </w:rPr>
              <w:t> </w:t>
            </w:r>
          </w:p>
        </w:tc>
        <w:tc>
          <w:tcPr>
            <w:tcW w:w="1532" w:type="dxa"/>
            <w:vMerge/>
            <w:tcBorders>
              <w:left w:val="single" w:sz="4" w:space="0" w:color="auto"/>
              <w:bottom w:val="single" w:sz="4" w:space="0" w:color="auto"/>
              <w:right w:val="single" w:sz="4" w:space="0" w:color="auto"/>
            </w:tcBorders>
            <w:shd w:val="clear" w:color="auto" w:fill="auto"/>
            <w:noWrap/>
            <w:vAlign w:val="center"/>
            <w:hideMark/>
          </w:tcPr>
          <w:p w14:paraId="58208BBD" w14:textId="0D96EDCC" w:rsidR="00676AE2" w:rsidRPr="00577A0E" w:rsidRDefault="00676AE2" w:rsidP="00577A0E">
            <w:pPr>
              <w:spacing w:after="0" w:line="240" w:lineRule="auto"/>
              <w:jc w:val="center"/>
              <w:rPr>
                <w:rFonts w:ascii="Calibri" w:eastAsia="Times New Roman" w:hAnsi="Calibri" w:cs="Calibri"/>
                <w:color w:val="000000"/>
              </w:rPr>
            </w:pPr>
          </w:p>
        </w:tc>
        <w:tc>
          <w:tcPr>
            <w:tcW w:w="1551" w:type="dxa"/>
            <w:tcBorders>
              <w:top w:val="single" w:sz="4" w:space="0" w:color="auto"/>
              <w:left w:val="nil"/>
              <w:bottom w:val="single" w:sz="4" w:space="0" w:color="auto"/>
              <w:right w:val="nil"/>
            </w:tcBorders>
            <w:shd w:val="clear" w:color="auto" w:fill="auto"/>
            <w:noWrap/>
            <w:vAlign w:val="center"/>
            <w:hideMark/>
          </w:tcPr>
          <w:p w14:paraId="739DB5C3" w14:textId="77777777" w:rsidR="00676AE2" w:rsidRPr="00577A0E" w:rsidRDefault="00676AE2" w:rsidP="00577A0E">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City</w:t>
            </w:r>
          </w:p>
        </w:tc>
        <w:tc>
          <w:tcPr>
            <w:tcW w:w="1416" w:type="dxa"/>
            <w:tcBorders>
              <w:top w:val="single" w:sz="4" w:space="0" w:color="auto"/>
              <w:left w:val="nil"/>
              <w:bottom w:val="single" w:sz="4" w:space="0" w:color="auto"/>
              <w:right w:val="nil"/>
            </w:tcBorders>
            <w:shd w:val="clear" w:color="auto" w:fill="auto"/>
            <w:noWrap/>
            <w:vAlign w:val="center"/>
            <w:hideMark/>
          </w:tcPr>
          <w:p w14:paraId="0452ED75" w14:textId="77777777" w:rsidR="00676AE2" w:rsidRPr="00577A0E" w:rsidRDefault="00676AE2" w:rsidP="00577A0E">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Suburban</w:t>
            </w:r>
          </w:p>
        </w:tc>
        <w:tc>
          <w:tcPr>
            <w:tcW w:w="1638" w:type="dxa"/>
            <w:tcBorders>
              <w:top w:val="single" w:sz="4" w:space="0" w:color="auto"/>
              <w:left w:val="nil"/>
              <w:bottom w:val="single" w:sz="4" w:space="0" w:color="auto"/>
              <w:right w:val="nil"/>
            </w:tcBorders>
            <w:shd w:val="clear" w:color="auto" w:fill="auto"/>
            <w:noWrap/>
            <w:vAlign w:val="center"/>
            <w:hideMark/>
          </w:tcPr>
          <w:p w14:paraId="7C6C5F77" w14:textId="77777777" w:rsidR="00676AE2" w:rsidRPr="00577A0E" w:rsidRDefault="00676AE2" w:rsidP="00577A0E">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Town</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49760BF" w14:textId="77777777" w:rsidR="00676AE2" w:rsidRPr="00577A0E" w:rsidRDefault="00676AE2" w:rsidP="00577A0E">
            <w:pPr>
              <w:spacing w:after="0" w:line="240" w:lineRule="auto"/>
              <w:jc w:val="center"/>
              <w:rPr>
                <w:rFonts w:ascii="Calibri" w:eastAsia="Times New Roman" w:hAnsi="Calibri" w:cs="Calibri"/>
                <w:color w:val="000000"/>
              </w:rPr>
            </w:pPr>
            <w:r w:rsidRPr="00577A0E">
              <w:rPr>
                <w:rFonts w:ascii="Calibri" w:eastAsia="Times New Roman" w:hAnsi="Calibri" w:cs="Calibri"/>
                <w:color w:val="000000"/>
              </w:rPr>
              <w:t>Rural</w:t>
            </w:r>
          </w:p>
        </w:tc>
      </w:tr>
      <w:tr w:rsidR="002D4377" w:rsidRPr="00577A0E" w14:paraId="31A58617" w14:textId="77777777" w:rsidTr="00676AE2">
        <w:trPr>
          <w:trHeight w:val="360"/>
        </w:trPr>
        <w:tc>
          <w:tcPr>
            <w:tcW w:w="10040" w:type="dxa"/>
            <w:gridSpan w:val="6"/>
            <w:tcBorders>
              <w:top w:val="nil"/>
              <w:left w:val="single" w:sz="4" w:space="0" w:color="auto"/>
              <w:bottom w:val="nil"/>
              <w:right w:val="single" w:sz="4" w:space="0" w:color="auto"/>
            </w:tcBorders>
            <w:shd w:val="clear" w:color="auto" w:fill="DEEAF6" w:themeFill="accent5" w:themeFillTint="33"/>
            <w:noWrap/>
            <w:vAlign w:val="center"/>
            <w:hideMark/>
          </w:tcPr>
          <w:p w14:paraId="7BD1909B" w14:textId="65A900BC" w:rsidR="002D4377" w:rsidRPr="00577A0E" w:rsidRDefault="002D4377" w:rsidP="002D4377">
            <w:pPr>
              <w:spacing w:after="0" w:line="240" w:lineRule="auto"/>
              <w:rPr>
                <w:rFonts w:ascii="Calibri" w:eastAsia="Times New Roman" w:hAnsi="Calibri" w:cs="Calibri"/>
                <w:color w:val="000000"/>
              </w:rPr>
            </w:pPr>
            <w:r w:rsidRPr="00577A0E">
              <w:rPr>
                <w:rFonts w:ascii="Calibri" w:eastAsia="Times New Roman" w:hAnsi="Calibri" w:cs="Calibri"/>
                <w:color w:val="000000"/>
              </w:rPr>
              <w:t xml:space="preserve">Total </w:t>
            </w:r>
            <w:r w:rsidRPr="00577A0E">
              <w:rPr>
                <w:rFonts w:ascii="Calibri" w:eastAsia="Times New Roman" w:hAnsi="Calibri" w:cs="Calibri"/>
                <w:color w:val="000000"/>
                <w:shd w:val="clear" w:color="auto" w:fill="DEEAF6" w:themeFill="accent5" w:themeFillTint="33"/>
              </w:rPr>
              <w:t xml:space="preserve">productivity costs </w:t>
            </w:r>
            <w:r w:rsidR="00EC65DD">
              <w:rPr>
                <w:rFonts w:ascii="Calibri" w:eastAsia="Times New Roman" w:hAnsi="Calibri" w:cs="Calibri"/>
                <w:color w:val="000000"/>
                <w:shd w:val="clear" w:color="auto" w:fill="DEEAF6" w:themeFill="accent5" w:themeFillTint="33"/>
              </w:rPr>
              <w:t>among public schools with ILI-related closures</w:t>
            </w:r>
            <w:r w:rsidR="007C213E">
              <w:rPr>
                <w:rFonts w:ascii="Calibri" w:eastAsia="Times New Roman" w:hAnsi="Calibri" w:cs="Calibri"/>
                <w:color w:val="000000"/>
                <w:shd w:val="clear" w:color="auto" w:fill="DEEAF6" w:themeFill="accent5" w:themeFillTint="33"/>
              </w:rPr>
              <w:t xml:space="preserve">, </w:t>
            </w:r>
            <w:r w:rsidRPr="00577A0E">
              <w:rPr>
                <w:rFonts w:ascii="Calibri" w:eastAsia="Times New Roman" w:hAnsi="Calibri" w:cs="Calibri"/>
                <w:color w:val="000000"/>
                <w:shd w:val="clear" w:color="auto" w:fill="DEEAF6" w:themeFill="accent5" w:themeFillTint="33"/>
              </w:rPr>
              <w:t>2011-</w:t>
            </w:r>
            <w:r w:rsidR="00016F46">
              <w:rPr>
                <w:rFonts w:ascii="Calibri" w:eastAsia="Times New Roman" w:hAnsi="Calibri" w:cs="Calibri"/>
                <w:color w:val="000000"/>
                <w:shd w:val="clear" w:color="auto" w:fill="DEEAF6" w:themeFill="accent5" w:themeFillTint="33"/>
              </w:rPr>
              <w:t>20</w:t>
            </w:r>
            <w:r w:rsidRPr="00577A0E">
              <w:rPr>
                <w:rFonts w:ascii="Calibri" w:eastAsia="Times New Roman" w:hAnsi="Calibri" w:cs="Calibri"/>
                <w:color w:val="000000"/>
                <w:shd w:val="clear" w:color="auto" w:fill="DEEAF6" w:themeFill="accent5" w:themeFillTint="33"/>
              </w:rPr>
              <w:t>12 to 2018-</w:t>
            </w:r>
            <w:r w:rsidR="00016F46">
              <w:rPr>
                <w:rFonts w:ascii="Calibri" w:eastAsia="Times New Roman" w:hAnsi="Calibri" w:cs="Calibri"/>
                <w:color w:val="000000"/>
                <w:shd w:val="clear" w:color="auto" w:fill="DEEAF6" w:themeFill="accent5" w:themeFillTint="33"/>
              </w:rPr>
              <w:t>20</w:t>
            </w:r>
            <w:r w:rsidRPr="00577A0E">
              <w:rPr>
                <w:rFonts w:ascii="Calibri" w:eastAsia="Times New Roman" w:hAnsi="Calibri" w:cs="Calibri"/>
                <w:color w:val="000000"/>
                <w:shd w:val="clear" w:color="auto" w:fill="DEEAF6" w:themeFill="accent5" w:themeFillTint="33"/>
              </w:rPr>
              <w:t>19 (2019 USD)</w:t>
            </w:r>
          </w:p>
        </w:tc>
      </w:tr>
      <w:tr w:rsidR="00676AE2" w:rsidRPr="00577A0E" w14:paraId="72261CB0"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3615FCE5" w14:textId="77777777" w:rsidR="00577A0E" w:rsidRPr="00577A0E" w:rsidRDefault="00577A0E" w:rsidP="00577A0E">
            <w:pPr>
              <w:spacing w:after="0" w:line="240" w:lineRule="auto"/>
              <w:rPr>
                <w:rFonts w:ascii="Calibri" w:eastAsia="Times New Roman" w:hAnsi="Calibri" w:cs="Calibri"/>
                <w:color w:val="000000"/>
              </w:rPr>
            </w:pPr>
            <w:r w:rsidRPr="00577A0E">
              <w:rPr>
                <w:rFonts w:ascii="Calibri" w:eastAsia="Times New Roman" w:hAnsi="Calibri" w:cs="Calibri"/>
                <w:color w:val="000000"/>
              </w:rPr>
              <w:t xml:space="preserve">All public schools </w:t>
            </w:r>
          </w:p>
        </w:tc>
        <w:tc>
          <w:tcPr>
            <w:tcW w:w="1532" w:type="dxa"/>
            <w:tcBorders>
              <w:top w:val="nil"/>
              <w:left w:val="single" w:sz="4" w:space="0" w:color="auto"/>
              <w:bottom w:val="nil"/>
              <w:right w:val="single" w:sz="4" w:space="0" w:color="auto"/>
            </w:tcBorders>
            <w:shd w:val="clear" w:color="auto" w:fill="auto"/>
            <w:noWrap/>
            <w:vAlign w:val="center"/>
            <w:hideMark/>
          </w:tcPr>
          <w:p w14:paraId="04939D2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460,599,747</w:t>
            </w:r>
          </w:p>
        </w:tc>
        <w:tc>
          <w:tcPr>
            <w:tcW w:w="1551" w:type="dxa"/>
            <w:tcBorders>
              <w:top w:val="nil"/>
              <w:left w:val="nil"/>
              <w:bottom w:val="nil"/>
              <w:right w:val="nil"/>
            </w:tcBorders>
            <w:shd w:val="clear" w:color="auto" w:fill="auto"/>
            <w:noWrap/>
            <w:vAlign w:val="center"/>
            <w:hideMark/>
          </w:tcPr>
          <w:p w14:paraId="2E01CC32"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62,149,629</w:t>
            </w:r>
          </w:p>
        </w:tc>
        <w:tc>
          <w:tcPr>
            <w:tcW w:w="1416" w:type="dxa"/>
            <w:tcBorders>
              <w:top w:val="nil"/>
              <w:left w:val="nil"/>
              <w:bottom w:val="nil"/>
              <w:right w:val="nil"/>
            </w:tcBorders>
            <w:shd w:val="clear" w:color="auto" w:fill="auto"/>
            <w:noWrap/>
            <w:vAlign w:val="center"/>
            <w:hideMark/>
          </w:tcPr>
          <w:p w14:paraId="160375E1"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69,812,689</w:t>
            </w:r>
          </w:p>
        </w:tc>
        <w:tc>
          <w:tcPr>
            <w:tcW w:w="1638" w:type="dxa"/>
            <w:tcBorders>
              <w:top w:val="nil"/>
              <w:left w:val="nil"/>
              <w:bottom w:val="nil"/>
              <w:right w:val="nil"/>
            </w:tcBorders>
            <w:shd w:val="clear" w:color="auto" w:fill="auto"/>
            <w:noWrap/>
            <w:vAlign w:val="center"/>
            <w:hideMark/>
          </w:tcPr>
          <w:p w14:paraId="1DCDF8C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112,376,093</w:t>
            </w:r>
          </w:p>
        </w:tc>
        <w:tc>
          <w:tcPr>
            <w:tcW w:w="1748" w:type="dxa"/>
            <w:tcBorders>
              <w:top w:val="nil"/>
              <w:left w:val="nil"/>
              <w:bottom w:val="nil"/>
              <w:right w:val="single" w:sz="4" w:space="0" w:color="auto"/>
            </w:tcBorders>
            <w:shd w:val="clear" w:color="auto" w:fill="auto"/>
            <w:noWrap/>
            <w:vAlign w:val="center"/>
            <w:hideMark/>
          </w:tcPr>
          <w:p w14:paraId="01CEB5E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216,261,335</w:t>
            </w:r>
          </w:p>
        </w:tc>
      </w:tr>
      <w:tr w:rsidR="00676AE2" w:rsidRPr="00577A0E" w14:paraId="3867A311"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3B2772BE"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Tennessee</w:t>
            </w:r>
          </w:p>
        </w:tc>
        <w:tc>
          <w:tcPr>
            <w:tcW w:w="1532" w:type="dxa"/>
            <w:tcBorders>
              <w:top w:val="nil"/>
              <w:left w:val="single" w:sz="4" w:space="0" w:color="auto"/>
              <w:bottom w:val="nil"/>
              <w:right w:val="single" w:sz="4" w:space="0" w:color="auto"/>
            </w:tcBorders>
            <w:shd w:val="clear" w:color="auto" w:fill="auto"/>
            <w:noWrap/>
            <w:vAlign w:val="center"/>
            <w:hideMark/>
          </w:tcPr>
          <w:p w14:paraId="7369B5AB"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257,862,754</w:t>
            </w:r>
          </w:p>
        </w:tc>
        <w:tc>
          <w:tcPr>
            <w:tcW w:w="1551" w:type="dxa"/>
            <w:tcBorders>
              <w:top w:val="nil"/>
              <w:left w:val="nil"/>
              <w:bottom w:val="nil"/>
              <w:right w:val="nil"/>
            </w:tcBorders>
            <w:shd w:val="clear" w:color="auto" w:fill="auto"/>
            <w:noWrap/>
            <w:vAlign w:val="center"/>
            <w:hideMark/>
          </w:tcPr>
          <w:p w14:paraId="396B485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44,485,510</w:t>
            </w:r>
          </w:p>
        </w:tc>
        <w:tc>
          <w:tcPr>
            <w:tcW w:w="1416" w:type="dxa"/>
            <w:tcBorders>
              <w:top w:val="nil"/>
              <w:left w:val="nil"/>
              <w:bottom w:val="nil"/>
              <w:right w:val="nil"/>
            </w:tcBorders>
            <w:shd w:val="clear" w:color="auto" w:fill="auto"/>
            <w:noWrap/>
            <w:vAlign w:val="center"/>
            <w:hideMark/>
          </w:tcPr>
          <w:p w14:paraId="63C44A0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57,512,449</w:t>
            </w:r>
          </w:p>
        </w:tc>
        <w:tc>
          <w:tcPr>
            <w:tcW w:w="1638" w:type="dxa"/>
            <w:tcBorders>
              <w:top w:val="nil"/>
              <w:left w:val="nil"/>
              <w:bottom w:val="nil"/>
              <w:right w:val="nil"/>
            </w:tcBorders>
            <w:shd w:val="clear" w:color="auto" w:fill="auto"/>
            <w:noWrap/>
            <w:vAlign w:val="center"/>
            <w:hideMark/>
          </w:tcPr>
          <w:p w14:paraId="7C59403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54,250,622</w:t>
            </w:r>
          </w:p>
        </w:tc>
        <w:tc>
          <w:tcPr>
            <w:tcW w:w="1748" w:type="dxa"/>
            <w:tcBorders>
              <w:top w:val="nil"/>
              <w:left w:val="nil"/>
              <w:bottom w:val="nil"/>
              <w:right w:val="single" w:sz="4" w:space="0" w:color="auto"/>
            </w:tcBorders>
            <w:shd w:val="clear" w:color="auto" w:fill="auto"/>
            <w:noWrap/>
            <w:vAlign w:val="center"/>
            <w:hideMark/>
          </w:tcPr>
          <w:p w14:paraId="07007A7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101,614,173</w:t>
            </w:r>
          </w:p>
        </w:tc>
      </w:tr>
      <w:tr w:rsidR="00676AE2" w:rsidRPr="00577A0E" w14:paraId="7C4AC0A6"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7AE7899B"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Kentucky</w:t>
            </w:r>
          </w:p>
        </w:tc>
        <w:tc>
          <w:tcPr>
            <w:tcW w:w="1532" w:type="dxa"/>
            <w:tcBorders>
              <w:top w:val="nil"/>
              <w:left w:val="single" w:sz="4" w:space="0" w:color="auto"/>
              <w:bottom w:val="nil"/>
              <w:right w:val="single" w:sz="4" w:space="0" w:color="auto"/>
            </w:tcBorders>
            <w:shd w:val="clear" w:color="auto" w:fill="auto"/>
            <w:noWrap/>
            <w:vAlign w:val="center"/>
            <w:hideMark/>
          </w:tcPr>
          <w:p w14:paraId="1F96F59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100,574,776</w:t>
            </w:r>
          </w:p>
        </w:tc>
        <w:tc>
          <w:tcPr>
            <w:tcW w:w="1551" w:type="dxa"/>
            <w:tcBorders>
              <w:top w:val="nil"/>
              <w:left w:val="nil"/>
              <w:bottom w:val="nil"/>
              <w:right w:val="nil"/>
            </w:tcBorders>
            <w:shd w:val="clear" w:color="auto" w:fill="auto"/>
            <w:noWrap/>
            <w:vAlign w:val="center"/>
            <w:hideMark/>
          </w:tcPr>
          <w:p w14:paraId="7D59A767"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6,279,838</w:t>
            </w:r>
          </w:p>
        </w:tc>
        <w:tc>
          <w:tcPr>
            <w:tcW w:w="1416" w:type="dxa"/>
            <w:tcBorders>
              <w:top w:val="nil"/>
              <w:left w:val="nil"/>
              <w:bottom w:val="nil"/>
              <w:right w:val="nil"/>
            </w:tcBorders>
            <w:shd w:val="clear" w:color="auto" w:fill="auto"/>
            <w:noWrap/>
            <w:vAlign w:val="center"/>
            <w:hideMark/>
          </w:tcPr>
          <w:p w14:paraId="73782808"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3,608,591</w:t>
            </w:r>
          </w:p>
        </w:tc>
        <w:tc>
          <w:tcPr>
            <w:tcW w:w="1638" w:type="dxa"/>
            <w:tcBorders>
              <w:top w:val="nil"/>
              <w:left w:val="nil"/>
              <w:bottom w:val="nil"/>
              <w:right w:val="nil"/>
            </w:tcBorders>
            <w:shd w:val="clear" w:color="auto" w:fill="auto"/>
            <w:noWrap/>
            <w:vAlign w:val="center"/>
            <w:hideMark/>
          </w:tcPr>
          <w:p w14:paraId="63A4A06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30,200,798</w:t>
            </w:r>
          </w:p>
        </w:tc>
        <w:tc>
          <w:tcPr>
            <w:tcW w:w="1748" w:type="dxa"/>
            <w:tcBorders>
              <w:top w:val="nil"/>
              <w:left w:val="nil"/>
              <w:bottom w:val="nil"/>
              <w:right w:val="single" w:sz="4" w:space="0" w:color="auto"/>
            </w:tcBorders>
            <w:shd w:val="clear" w:color="auto" w:fill="auto"/>
            <w:noWrap/>
            <w:vAlign w:val="center"/>
            <w:hideMark/>
          </w:tcPr>
          <w:p w14:paraId="3DABA0F6"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60,590,412</w:t>
            </w:r>
          </w:p>
        </w:tc>
      </w:tr>
      <w:tr w:rsidR="00676AE2" w:rsidRPr="00577A0E" w14:paraId="42F520CF"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5ACDA4DA"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Arkansas</w:t>
            </w:r>
          </w:p>
        </w:tc>
        <w:tc>
          <w:tcPr>
            <w:tcW w:w="1532" w:type="dxa"/>
            <w:tcBorders>
              <w:top w:val="nil"/>
              <w:left w:val="single" w:sz="4" w:space="0" w:color="auto"/>
              <w:bottom w:val="nil"/>
              <w:right w:val="single" w:sz="4" w:space="0" w:color="auto"/>
            </w:tcBorders>
            <w:shd w:val="clear" w:color="auto" w:fill="auto"/>
            <w:noWrap/>
            <w:vAlign w:val="center"/>
            <w:hideMark/>
          </w:tcPr>
          <w:p w14:paraId="1E3A257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9,359,337</w:t>
            </w:r>
          </w:p>
        </w:tc>
        <w:tc>
          <w:tcPr>
            <w:tcW w:w="1551" w:type="dxa"/>
            <w:tcBorders>
              <w:top w:val="nil"/>
              <w:left w:val="nil"/>
              <w:bottom w:val="nil"/>
              <w:right w:val="nil"/>
            </w:tcBorders>
            <w:shd w:val="clear" w:color="auto" w:fill="auto"/>
            <w:noWrap/>
            <w:vAlign w:val="center"/>
            <w:hideMark/>
          </w:tcPr>
          <w:p w14:paraId="37BC6A7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0</w:t>
            </w:r>
          </w:p>
        </w:tc>
        <w:tc>
          <w:tcPr>
            <w:tcW w:w="1416" w:type="dxa"/>
            <w:tcBorders>
              <w:top w:val="nil"/>
              <w:left w:val="nil"/>
              <w:bottom w:val="nil"/>
              <w:right w:val="nil"/>
            </w:tcBorders>
            <w:shd w:val="clear" w:color="auto" w:fill="auto"/>
            <w:noWrap/>
            <w:vAlign w:val="center"/>
            <w:hideMark/>
          </w:tcPr>
          <w:p w14:paraId="524D83C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1,053,703</w:t>
            </w:r>
          </w:p>
        </w:tc>
        <w:tc>
          <w:tcPr>
            <w:tcW w:w="1638" w:type="dxa"/>
            <w:tcBorders>
              <w:top w:val="nil"/>
              <w:left w:val="nil"/>
              <w:bottom w:val="nil"/>
              <w:right w:val="nil"/>
            </w:tcBorders>
            <w:shd w:val="clear" w:color="auto" w:fill="auto"/>
            <w:noWrap/>
            <w:vAlign w:val="center"/>
            <w:hideMark/>
          </w:tcPr>
          <w:p w14:paraId="02C5C27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4,004,342</w:t>
            </w:r>
          </w:p>
        </w:tc>
        <w:tc>
          <w:tcPr>
            <w:tcW w:w="1748" w:type="dxa"/>
            <w:tcBorders>
              <w:top w:val="nil"/>
              <w:left w:val="nil"/>
              <w:bottom w:val="nil"/>
              <w:right w:val="single" w:sz="4" w:space="0" w:color="auto"/>
            </w:tcBorders>
            <w:shd w:val="clear" w:color="auto" w:fill="auto"/>
            <w:noWrap/>
            <w:vAlign w:val="center"/>
            <w:hideMark/>
          </w:tcPr>
          <w:p w14:paraId="77C1054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4,301,292</w:t>
            </w:r>
          </w:p>
        </w:tc>
      </w:tr>
      <w:tr w:rsidR="00676AE2" w:rsidRPr="00577A0E" w14:paraId="06F79E94"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50F87AD7"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Oklahoma</w:t>
            </w:r>
          </w:p>
        </w:tc>
        <w:tc>
          <w:tcPr>
            <w:tcW w:w="1532" w:type="dxa"/>
            <w:tcBorders>
              <w:top w:val="nil"/>
              <w:left w:val="single" w:sz="4" w:space="0" w:color="auto"/>
              <w:bottom w:val="nil"/>
              <w:right w:val="single" w:sz="4" w:space="0" w:color="auto"/>
            </w:tcBorders>
            <w:shd w:val="clear" w:color="auto" w:fill="auto"/>
            <w:noWrap/>
            <w:vAlign w:val="center"/>
            <w:hideMark/>
          </w:tcPr>
          <w:p w14:paraId="678D7B8B"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12,191,411</w:t>
            </w:r>
          </w:p>
        </w:tc>
        <w:tc>
          <w:tcPr>
            <w:tcW w:w="1551" w:type="dxa"/>
            <w:tcBorders>
              <w:top w:val="nil"/>
              <w:left w:val="nil"/>
              <w:bottom w:val="nil"/>
              <w:right w:val="nil"/>
            </w:tcBorders>
            <w:shd w:val="clear" w:color="auto" w:fill="auto"/>
            <w:noWrap/>
            <w:vAlign w:val="center"/>
            <w:hideMark/>
          </w:tcPr>
          <w:p w14:paraId="39C983D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1,661,003</w:t>
            </w:r>
          </w:p>
        </w:tc>
        <w:tc>
          <w:tcPr>
            <w:tcW w:w="1416" w:type="dxa"/>
            <w:tcBorders>
              <w:top w:val="nil"/>
              <w:left w:val="nil"/>
              <w:bottom w:val="nil"/>
              <w:right w:val="nil"/>
            </w:tcBorders>
            <w:shd w:val="clear" w:color="auto" w:fill="auto"/>
            <w:noWrap/>
            <w:vAlign w:val="center"/>
            <w:hideMark/>
          </w:tcPr>
          <w:p w14:paraId="02D3FB72"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154,842</w:t>
            </w:r>
          </w:p>
        </w:tc>
        <w:tc>
          <w:tcPr>
            <w:tcW w:w="1638" w:type="dxa"/>
            <w:tcBorders>
              <w:top w:val="nil"/>
              <w:left w:val="nil"/>
              <w:bottom w:val="nil"/>
              <w:right w:val="nil"/>
            </w:tcBorders>
            <w:shd w:val="clear" w:color="auto" w:fill="auto"/>
            <w:noWrap/>
            <w:vAlign w:val="center"/>
            <w:hideMark/>
          </w:tcPr>
          <w:p w14:paraId="1961EF33"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2,718,244</w:t>
            </w:r>
          </w:p>
        </w:tc>
        <w:tc>
          <w:tcPr>
            <w:tcW w:w="1748" w:type="dxa"/>
            <w:tcBorders>
              <w:top w:val="nil"/>
              <w:left w:val="nil"/>
              <w:bottom w:val="nil"/>
              <w:right w:val="single" w:sz="4" w:space="0" w:color="auto"/>
            </w:tcBorders>
            <w:shd w:val="clear" w:color="auto" w:fill="auto"/>
            <w:noWrap/>
            <w:vAlign w:val="center"/>
            <w:hideMark/>
          </w:tcPr>
          <w:p w14:paraId="5D224681"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7,657,322</w:t>
            </w:r>
          </w:p>
        </w:tc>
      </w:tr>
      <w:tr w:rsidR="00676AE2" w:rsidRPr="00577A0E" w14:paraId="58237766"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648B53D4"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Idaho</w:t>
            </w:r>
          </w:p>
        </w:tc>
        <w:tc>
          <w:tcPr>
            <w:tcW w:w="1532" w:type="dxa"/>
            <w:tcBorders>
              <w:top w:val="nil"/>
              <w:left w:val="single" w:sz="4" w:space="0" w:color="auto"/>
              <w:bottom w:val="nil"/>
              <w:right w:val="single" w:sz="4" w:space="0" w:color="auto"/>
            </w:tcBorders>
            <w:shd w:val="clear" w:color="auto" w:fill="auto"/>
            <w:noWrap/>
            <w:vAlign w:val="center"/>
            <w:hideMark/>
          </w:tcPr>
          <w:p w14:paraId="501BD178"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4,810,672</w:t>
            </w:r>
          </w:p>
        </w:tc>
        <w:tc>
          <w:tcPr>
            <w:tcW w:w="1551" w:type="dxa"/>
            <w:tcBorders>
              <w:top w:val="nil"/>
              <w:left w:val="nil"/>
              <w:bottom w:val="nil"/>
              <w:right w:val="nil"/>
            </w:tcBorders>
            <w:shd w:val="clear" w:color="auto" w:fill="auto"/>
            <w:noWrap/>
            <w:vAlign w:val="center"/>
            <w:hideMark/>
          </w:tcPr>
          <w:p w14:paraId="563FC02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11,248</w:t>
            </w:r>
          </w:p>
        </w:tc>
        <w:tc>
          <w:tcPr>
            <w:tcW w:w="1416" w:type="dxa"/>
            <w:tcBorders>
              <w:top w:val="nil"/>
              <w:left w:val="nil"/>
              <w:bottom w:val="nil"/>
              <w:right w:val="nil"/>
            </w:tcBorders>
            <w:shd w:val="clear" w:color="auto" w:fill="auto"/>
            <w:noWrap/>
            <w:vAlign w:val="center"/>
            <w:hideMark/>
          </w:tcPr>
          <w:p w14:paraId="66BCB1E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90,824</w:t>
            </w:r>
          </w:p>
        </w:tc>
        <w:tc>
          <w:tcPr>
            <w:tcW w:w="1638" w:type="dxa"/>
            <w:tcBorders>
              <w:top w:val="nil"/>
              <w:left w:val="nil"/>
              <w:bottom w:val="nil"/>
              <w:right w:val="nil"/>
            </w:tcBorders>
            <w:shd w:val="clear" w:color="auto" w:fill="auto"/>
            <w:noWrap/>
            <w:vAlign w:val="center"/>
            <w:hideMark/>
          </w:tcPr>
          <w:p w14:paraId="7000C04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1,453,958</w:t>
            </w:r>
          </w:p>
        </w:tc>
        <w:tc>
          <w:tcPr>
            <w:tcW w:w="1748" w:type="dxa"/>
            <w:tcBorders>
              <w:top w:val="nil"/>
              <w:left w:val="nil"/>
              <w:bottom w:val="nil"/>
              <w:right w:val="single" w:sz="4" w:space="0" w:color="auto"/>
            </w:tcBorders>
            <w:shd w:val="clear" w:color="auto" w:fill="auto"/>
            <w:noWrap/>
            <w:vAlign w:val="center"/>
            <w:hideMark/>
          </w:tcPr>
          <w:p w14:paraId="67DE59A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3,265,889</w:t>
            </w:r>
          </w:p>
        </w:tc>
      </w:tr>
      <w:tr w:rsidR="00676AE2" w:rsidRPr="00577A0E" w14:paraId="554F8CB9" w14:textId="77777777" w:rsidTr="00676AE2">
        <w:trPr>
          <w:trHeight w:val="360"/>
        </w:trPr>
        <w:tc>
          <w:tcPr>
            <w:tcW w:w="0" w:type="auto"/>
            <w:tcBorders>
              <w:top w:val="nil"/>
              <w:left w:val="single" w:sz="4" w:space="0" w:color="auto"/>
              <w:right w:val="nil"/>
            </w:tcBorders>
            <w:shd w:val="clear" w:color="auto" w:fill="auto"/>
            <w:noWrap/>
            <w:vAlign w:val="center"/>
            <w:hideMark/>
          </w:tcPr>
          <w:p w14:paraId="63A86250"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Others (46 states)</w:t>
            </w:r>
          </w:p>
        </w:tc>
        <w:tc>
          <w:tcPr>
            <w:tcW w:w="1532" w:type="dxa"/>
            <w:tcBorders>
              <w:top w:val="nil"/>
              <w:left w:val="single" w:sz="4" w:space="0" w:color="auto"/>
              <w:right w:val="single" w:sz="4" w:space="0" w:color="auto"/>
            </w:tcBorders>
            <w:shd w:val="clear" w:color="auto" w:fill="auto"/>
            <w:noWrap/>
            <w:vAlign w:val="center"/>
            <w:hideMark/>
          </w:tcPr>
          <w:p w14:paraId="4DD0843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75,800,797</w:t>
            </w:r>
          </w:p>
        </w:tc>
        <w:tc>
          <w:tcPr>
            <w:tcW w:w="1551" w:type="dxa"/>
            <w:tcBorders>
              <w:top w:val="nil"/>
              <w:left w:val="nil"/>
              <w:right w:val="nil"/>
            </w:tcBorders>
            <w:shd w:val="clear" w:color="auto" w:fill="auto"/>
            <w:noWrap/>
            <w:vAlign w:val="center"/>
            <w:hideMark/>
          </w:tcPr>
          <w:p w14:paraId="536DBE3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9,712,031</w:t>
            </w:r>
          </w:p>
        </w:tc>
        <w:tc>
          <w:tcPr>
            <w:tcW w:w="1416" w:type="dxa"/>
            <w:tcBorders>
              <w:top w:val="nil"/>
              <w:left w:val="nil"/>
              <w:right w:val="nil"/>
            </w:tcBorders>
            <w:shd w:val="clear" w:color="auto" w:fill="auto"/>
            <w:noWrap/>
            <w:vAlign w:val="center"/>
            <w:hideMark/>
          </w:tcPr>
          <w:p w14:paraId="3427750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7,392,280</w:t>
            </w:r>
          </w:p>
        </w:tc>
        <w:tc>
          <w:tcPr>
            <w:tcW w:w="1638" w:type="dxa"/>
            <w:tcBorders>
              <w:top w:val="nil"/>
              <w:left w:val="nil"/>
              <w:right w:val="nil"/>
            </w:tcBorders>
            <w:shd w:val="clear" w:color="auto" w:fill="auto"/>
            <w:noWrap/>
            <w:vAlign w:val="center"/>
            <w:hideMark/>
          </w:tcPr>
          <w:p w14:paraId="68C1BC6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19,748,128</w:t>
            </w:r>
          </w:p>
        </w:tc>
        <w:tc>
          <w:tcPr>
            <w:tcW w:w="1748" w:type="dxa"/>
            <w:tcBorders>
              <w:top w:val="nil"/>
              <w:left w:val="nil"/>
              <w:right w:val="single" w:sz="4" w:space="0" w:color="auto"/>
            </w:tcBorders>
            <w:shd w:val="clear" w:color="auto" w:fill="auto"/>
            <w:noWrap/>
            <w:vAlign w:val="center"/>
            <w:hideMark/>
          </w:tcPr>
          <w:p w14:paraId="6B66797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38,832,248</w:t>
            </w:r>
          </w:p>
        </w:tc>
      </w:tr>
      <w:tr w:rsidR="002D4377" w:rsidRPr="00577A0E" w14:paraId="72258F1E" w14:textId="77777777" w:rsidTr="00676AE2">
        <w:trPr>
          <w:trHeight w:val="360"/>
        </w:trPr>
        <w:tc>
          <w:tcPr>
            <w:tcW w:w="10040" w:type="dxa"/>
            <w:gridSpan w:val="6"/>
            <w:tcBorders>
              <w:top w:val="nil"/>
              <w:left w:val="single" w:sz="4" w:space="0" w:color="auto"/>
              <w:bottom w:val="nil"/>
              <w:right w:val="single" w:sz="4" w:space="0" w:color="auto"/>
            </w:tcBorders>
            <w:shd w:val="clear" w:color="auto" w:fill="DEEAF6" w:themeFill="accent5" w:themeFillTint="33"/>
            <w:noWrap/>
            <w:vAlign w:val="center"/>
            <w:hideMark/>
          </w:tcPr>
          <w:p w14:paraId="51D84D98" w14:textId="28FE0253" w:rsidR="002D4377" w:rsidRPr="00577A0E" w:rsidRDefault="002D4377" w:rsidP="002D4377">
            <w:pPr>
              <w:spacing w:after="0" w:line="240" w:lineRule="auto"/>
              <w:rPr>
                <w:rFonts w:ascii="Calibri" w:eastAsia="Times New Roman" w:hAnsi="Calibri" w:cs="Calibri"/>
                <w:color w:val="000000"/>
              </w:rPr>
            </w:pPr>
            <w:r w:rsidRPr="00577A0E">
              <w:rPr>
                <w:rFonts w:ascii="Calibri" w:eastAsia="Times New Roman" w:hAnsi="Calibri" w:cs="Calibri"/>
                <w:color w:val="000000"/>
              </w:rPr>
              <w:t>Number of students in the U.S. public schools, 2015-</w:t>
            </w:r>
            <w:r w:rsidR="00016F46">
              <w:rPr>
                <w:rFonts w:ascii="Calibri" w:eastAsia="Times New Roman" w:hAnsi="Calibri" w:cs="Calibri"/>
                <w:color w:val="000000"/>
              </w:rPr>
              <w:t>20</w:t>
            </w:r>
            <w:r w:rsidRPr="00577A0E">
              <w:rPr>
                <w:rFonts w:ascii="Calibri" w:eastAsia="Times New Roman" w:hAnsi="Calibri" w:cs="Calibri"/>
                <w:color w:val="000000"/>
              </w:rPr>
              <w:t>16 (n)</w:t>
            </w:r>
            <w:r w:rsidR="00DC53AE">
              <w:rPr>
                <w:rFonts w:ascii="Calibri" w:eastAsia="Times New Roman" w:hAnsi="Calibri" w:cs="Calibri"/>
                <w:color w:val="000000"/>
              </w:rPr>
              <w:t>*</w:t>
            </w:r>
          </w:p>
        </w:tc>
      </w:tr>
      <w:tr w:rsidR="00676AE2" w:rsidRPr="00577A0E" w14:paraId="711FD2DC"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25F05601" w14:textId="77777777" w:rsidR="00577A0E" w:rsidRPr="00577A0E" w:rsidRDefault="00577A0E" w:rsidP="00577A0E">
            <w:pPr>
              <w:spacing w:after="0" w:line="240" w:lineRule="auto"/>
              <w:rPr>
                <w:rFonts w:ascii="Calibri" w:eastAsia="Times New Roman" w:hAnsi="Calibri" w:cs="Calibri"/>
                <w:color w:val="000000"/>
              </w:rPr>
            </w:pPr>
            <w:r w:rsidRPr="00577A0E">
              <w:rPr>
                <w:rFonts w:ascii="Calibri" w:eastAsia="Times New Roman" w:hAnsi="Calibri" w:cs="Calibri"/>
                <w:color w:val="000000"/>
              </w:rPr>
              <w:t xml:space="preserve">All U.S. public schools </w:t>
            </w:r>
          </w:p>
        </w:tc>
        <w:tc>
          <w:tcPr>
            <w:tcW w:w="1532" w:type="dxa"/>
            <w:tcBorders>
              <w:top w:val="nil"/>
              <w:left w:val="single" w:sz="4" w:space="0" w:color="auto"/>
              <w:bottom w:val="nil"/>
              <w:right w:val="single" w:sz="4" w:space="0" w:color="auto"/>
            </w:tcBorders>
            <w:shd w:val="clear" w:color="auto" w:fill="auto"/>
            <w:noWrap/>
            <w:vAlign w:val="center"/>
            <w:hideMark/>
          </w:tcPr>
          <w:p w14:paraId="1020319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49,312,454</w:t>
            </w:r>
          </w:p>
        </w:tc>
        <w:tc>
          <w:tcPr>
            <w:tcW w:w="1551" w:type="dxa"/>
            <w:tcBorders>
              <w:top w:val="nil"/>
              <w:left w:val="nil"/>
              <w:bottom w:val="nil"/>
              <w:right w:val="nil"/>
            </w:tcBorders>
            <w:shd w:val="clear" w:color="auto" w:fill="auto"/>
            <w:noWrap/>
            <w:vAlign w:val="center"/>
            <w:hideMark/>
          </w:tcPr>
          <w:p w14:paraId="3E1C384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14,892,361</w:t>
            </w:r>
          </w:p>
        </w:tc>
        <w:tc>
          <w:tcPr>
            <w:tcW w:w="1416" w:type="dxa"/>
            <w:tcBorders>
              <w:top w:val="nil"/>
              <w:left w:val="nil"/>
              <w:bottom w:val="nil"/>
              <w:right w:val="nil"/>
            </w:tcBorders>
            <w:shd w:val="clear" w:color="auto" w:fill="auto"/>
            <w:noWrap/>
            <w:vAlign w:val="center"/>
            <w:hideMark/>
          </w:tcPr>
          <w:p w14:paraId="5BA84A12"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19,577,044</w:t>
            </w:r>
          </w:p>
        </w:tc>
        <w:tc>
          <w:tcPr>
            <w:tcW w:w="1638" w:type="dxa"/>
            <w:tcBorders>
              <w:top w:val="nil"/>
              <w:left w:val="nil"/>
              <w:bottom w:val="nil"/>
              <w:right w:val="nil"/>
            </w:tcBorders>
            <w:shd w:val="clear" w:color="auto" w:fill="auto"/>
            <w:noWrap/>
            <w:vAlign w:val="center"/>
            <w:hideMark/>
          </w:tcPr>
          <w:p w14:paraId="622E708D"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5,572,307</w:t>
            </w:r>
          </w:p>
        </w:tc>
        <w:tc>
          <w:tcPr>
            <w:tcW w:w="1748" w:type="dxa"/>
            <w:tcBorders>
              <w:top w:val="nil"/>
              <w:left w:val="nil"/>
              <w:bottom w:val="nil"/>
              <w:right w:val="single" w:sz="4" w:space="0" w:color="auto"/>
            </w:tcBorders>
            <w:shd w:val="clear" w:color="auto" w:fill="auto"/>
            <w:noWrap/>
            <w:vAlign w:val="center"/>
            <w:hideMark/>
          </w:tcPr>
          <w:p w14:paraId="2AA0AD2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9,221,429</w:t>
            </w:r>
          </w:p>
        </w:tc>
      </w:tr>
      <w:tr w:rsidR="00676AE2" w:rsidRPr="00577A0E" w14:paraId="2F2C23BD"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6CE9415F"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Tennessee</w:t>
            </w:r>
          </w:p>
        </w:tc>
        <w:tc>
          <w:tcPr>
            <w:tcW w:w="1532" w:type="dxa"/>
            <w:tcBorders>
              <w:top w:val="nil"/>
              <w:left w:val="single" w:sz="4" w:space="0" w:color="auto"/>
              <w:bottom w:val="nil"/>
              <w:right w:val="single" w:sz="4" w:space="0" w:color="auto"/>
            </w:tcBorders>
            <w:shd w:val="clear" w:color="auto" w:fill="auto"/>
            <w:noWrap/>
            <w:vAlign w:val="center"/>
            <w:hideMark/>
          </w:tcPr>
          <w:p w14:paraId="4B7DD8A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991,648</w:t>
            </w:r>
          </w:p>
        </w:tc>
        <w:tc>
          <w:tcPr>
            <w:tcW w:w="1551" w:type="dxa"/>
            <w:tcBorders>
              <w:top w:val="nil"/>
              <w:left w:val="nil"/>
              <w:bottom w:val="nil"/>
              <w:right w:val="nil"/>
            </w:tcBorders>
            <w:shd w:val="clear" w:color="auto" w:fill="auto"/>
            <w:noWrap/>
            <w:vAlign w:val="center"/>
            <w:hideMark/>
          </w:tcPr>
          <w:p w14:paraId="35EDD50A"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322,286</w:t>
            </w:r>
          </w:p>
        </w:tc>
        <w:tc>
          <w:tcPr>
            <w:tcW w:w="1416" w:type="dxa"/>
            <w:tcBorders>
              <w:top w:val="nil"/>
              <w:left w:val="nil"/>
              <w:bottom w:val="nil"/>
              <w:right w:val="nil"/>
            </w:tcBorders>
            <w:shd w:val="clear" w:color="auto" w:fill="auto"/>
            <w:noWrap/>
            <w:vAlign w:val="center"/>
            <w:hideMark/>
          </w:tcPr>
          <w:p w14:paraId="0012ADF7"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203,288</w:t>
            </w:r>
          </w:p>
        </w:tc>
        <w:tc>
          <w:tcPr>
            <w:tcW w:w="1638" w:type="dxa"/>
            <w:tcBorders>
              <w:top w:val="nil"/>
              <w:left w:val="nil"/>
              <w:bottom w:val="nil"/>
              <w:right w:val="nil"/>
            </w:tcBorders>
            <w:shd w:val="clear" w:color="auto" w:fill="auto"/>
            <w:noWrap/>
            <w:vAlign w:val="center"/>
            <w:hideMark/>
          </w:tcPr>
          <w:p w14:paraId="67A87B3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164,614</w:t>
            </w:r>
          </w:p>
        </w:tc>
        <w:tc>
          <w:tcPr>
            <w:tcW w:w="1748" w:type="dxa"/>
            <w:tcBorders>
              <w:top w:val="nil"/>
              <w:left w:val="nil"/>
              <w:bottom w:val="nil"/>
              <w:right w:val="single" w:sz="4" w:space="0" w:color="auto"/>
            </w:tcBorders>
            <w:shd w:val="clear" w:color="auto" w:fill="auto"/>
            <w:noWrap/>
            <w:vAlign w:val="center"/>
            <w:hideMark/>
          </w:tcPr>
          <w:p w14:paraId="458C3723"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300,469</w:t>
            </w:r>
          </w:p>
        </w:tc>
      </w:tr>
      <w:tr w:rsidR="00676AE2" w:rsidRPr="00577A0E" w14:paraId="2CD64130"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4B63E453"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Kentucky</w:t>
            </w:r>
          </w:p>
        </w:tc>
        <w:tc>
          <w:tcPr>
            <w:tcW w:w="1532" w:type="dxa"/>
            <w:tcBorders>
              <w:top w:val="nil"/>
              <w:left w:val="single" w:sz="4" w:space="0" w:color="auto"/>
              <w:bottom w:val="nil"/>
              <w:right w:val="single" w:sz="4" w:space="0" w:color="auto"/>
            </w:tcBorders>
            <w:shd w:val="clear" w:color="auto" w:fill="auto"/>
            <w:noWrap/>
            <w:vAlign w:val="center"/>
            <w:hideMark/>
          </w:tcPr>
          <w:p w14:paraId="523B15C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676,793</w:t>
            </w:r>
          </w:p>
        </w:tc>
        <w:tc>
          <w:tcPr>
            <w:tcW w:w="1551" w:type="dxa"/>
            <w:tcBorders>
              <w:top w:val="nil"/>
              <w:left w:val="nil"/>
              <w:bottom w:val="nil"/>
              <w:right w:val="nil"/>
            </w:tcBorders>
            <w:shd w:val="clear" w:color="auto" w:fill="auto"/>
            <w:noWrap/>
            <w:vAlign w:val="center"/>
            <w:hideMark/>
          </w:tcPr>
          <w:p w14:paraId="3FBE392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108,287</w:t>
            </w:r>
          </w:p>
        </w:tc>
        <w:tc>
          <w:tcPr>
            <w:tcW w:w="1416" w:type="dxa"/>
            <w:tcBorders>
              <w:top w:val="nil"/>
              <w:left w:val="nil"/>
              <w:bottom w:val="nil"/>
              <w:right w:val="nil"/>
            </w:tcBorders>
            <w:shd w:val="clear" w:color="auto" w:fill="auto"/>
            <w:noWrap/>
            <w:vAlign w:val="center"/>
            <w:hideMark/>
          </w:tcPr>
          <w:p w14:paraId="7FA41F54"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149,571</w:t>
            </w:r>
          </w:p>
        </w:tc>
        <w:tc>
          <w:tcPr>
            <w:tcW w:w="1638" w:type="dxa"/>
            <w:tcBorders>
              <w:top w:val="nil"/>
              <w:left w:val="nil"/>
              <w:bottom w:val="nil"/>
              <w:right w:val="nil"/>
            </w:tcBorders>
            <w:shd w:val="clear" w:color="auto" w:fill="auto"/>
            <w:noWrap/>
            <w:vAlign w:val="center"/>
            <w:hideMark/>
          </w:tcPr>
          <w:p w14:paraId="5652CB41"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172,582</w:t>
            </w:r>
          </w:p>
        </w:tc>
        <w:tc>
          <w:tcPr>
            <w:tcW w:w="1748" w:type="dxa"/>
            <w:tcBorders>
              <w:top w:val="nil"/>
              <w:left w:val="nil"/>
              <w:bottom w:val="nil"/>
              <w:right w:val="single" w:sz="4" w:space="0" w:color="auto"/>
            </w:tcBorders>
            <w:shd w:val="clear" w:color="auto" w:fill="auto"/>
            <w:noWrap/>
            <w:vAlign w:val="center"/>
            <w:hideMark/>
          </w:tcPr>
          <w:p w14:paraId="414C72A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247,029</w:t>
            </w:r>
          </w:p>
        </w:tc>
      </w:tr>
      <w:tr w:rsidR="00676AE2" w:rsidRPr="00577A0E" w14:paraId="4AC7673B"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328F98D8"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Arkansas</w:t>
            </w:r>
          </w:p>
        </w:tc>
        <w:tc>
          <w:tcPr>
            <w:tcW w:w="1532" w:type="dxa"/>
            <w:tcBorders>
              <w:top w:val="nil"/>
              <w:left w:val="single" w:sz="4" w:space="0" w:color="auto"/>
              <w:bottom w:val="nil"/>
              <w:right w:val="single" w:sz="4" w:space="0" w:color="auto"/>
            </w:tcBorders>
            <w:shd w:val="clear" w:color="auto" w:fill="auto"/>
            <w:noWrap/>
            <w:vAlign w:val="center"/>
            <w:hideMark/>
          </w:tcPr>
          <w:p w14:paraId="49E7581B"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491,390</w:t>
            </w:r>
          </w:p>
        </w:tc>
        <w:tc>
          <w:tcPr>
            <w:tcW w:w="1551" w:type="dxa"/>
            <w:tcBorders>
              <w:top w:val="nil"/>
              <w:left w:val="nil"/>
              <w:bottom w:val="nil"/>
              <w:right w:val="nil"/>
            </w:tcBorders>
            <w:shd w:val="clear" w:color="auto" w:fill="auto"/>
            <w:noWrap/>
            <w:vAlign w:val="center"/>
            <w:hideMark/>
          </w:tcPr>
          <w:p w14:paraId="4B2BE225"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140,538</w:t>
            </w:r>
          </w:p>
        </w:tc>
        <w:tc>
          <w:tcPr>
            <w:tcW w:w="1416" w:type="dxa"/>
            <w:tcBorders>
              <w:top w:val="nil"/>
              <w:left w:val="nil"/>
              <w:bottom w:val="nil"/>
              <w:right w:val="nil"/>
            </w:tcBorders>
            <w:shd w:val="clear" w:color="auto" w:fill="auto"/>
            <w:noWrap/>
            <w:vAlign w:val="center"/>
            <w:hideMark/>
          </w:tcPr>
          <w:p w14:paraId="6D8F7337"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69,777</w:t>
            </w:r>
          </w:p>
        </w:tc>
        <w:tc>
          <w:tcPr>
            <w:tcW w:w="1638" w:type="dxa"/>
            <w:tcBorders>
              <w:top w:val="nil"/>
              <w:left w:val="nil"/>
              <w:bottom w:val="nil"/>
              <w:right w:val="nil"/>
            </w:tcBorders>
            <w:shd w:val="clear" w:color="auto" w:fill="auto"/>
            <w:noWrap/>
            <w:vAlign w:val="center"/>
            <w:hideMark/>
          </w:tcPr>
          <w:p w14:paraId="3343F3A7"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115,968</w:t>
            </w:r>
          </w:p>
        </w:tc>
        <w:tc>
          <w:tcPr>
            <w:tcW w:w="1748" w:type="dxa"/>
            <w:tcBorders>
              <w:top w:val="nil"/>
              <w:left w:val="nil"/>
              <w:bottom w:val="nil"/>
              <w:right w:val="single" w:sz="4" w:space="0" w:color="auto"/>
            </w:tcBorders>
            <w:shd w:val="clear" w:color="auto" w:fill="auto"/>
            <w:noWrap/>
            <w:vAlign w:val="center"/>
            <w:hideMark/>
          </w:tcPr>
          <w:p w14:paraId="50E70C15"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165,107</w:t>
            </w:r>
          </w:p>
        </w:tc>
      </w:tr>
      <w:tr w:rsidR="00676AE2" w:rsidRPr="00577A0E" w14:paraId="016E1362"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5ED027F6"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Oklahoma</w:t>
            </w:r>
          </w:p>
        </w:tc>
        <w:tc>
          <w:tcPr>
            <w:tcW w:w="1532" w:type="dxa"/>
            <w:tcBorders>
              <w:top w:val="nil"/>
              <w:left w:val="single" w:sz="4" w:space="0" w:color="auto"/>
              <w:bottom w:val="nil"/>
              <w:right w:val="single" w:sz="4" w:space="0" w:color="auto"/>
            </w:tcBorders>
            <w:shd w:val="clear" w:color="auto" w:fill="auto"/>
            <w:noWrap/>
            <w:vAlign w:val="center"/>
            <w:hideMark/>
          </w:tcPr>
          <w:p w14:paraId="7299E6ED"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692,546</w:t>
            </w:r>
          </w:p>
        </w:tc>
        <w:tc>
          <w:tcPr>
            <w:tcW w:w="1551" w:type="dxa"/>
            <w:tcBorders>
              <w:top w:val="nil"/>
              <w:left w:val="nil"/>
              <w:bottom w:val="nil"/>
              <w:right w:val="nil"/>
            </w:tcBorders>
            <w:shd w:val="clear" w:color="auto" w:fill="auto"/>
            <w:noWrap/>
            <w:vAlign w:val="center"/>
            <w:hideMark/>
          </w:tcPr>
          <w:p w14:paraId="153CF4C8"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164,133</w:t>
            </w:r>
          </w:p>
        </w:tc>
        <w:tc>
          <w:tcPr>
            <w:tcW w:w="1416" w:type="dxa"/>
            <w:tcBorders>
              <w:top w:val="nil"/>
              <w:left w:val="nil"/>
              <w:bottom w:val="nil"/>
              <w:right w:val="nil"/>
            </w:tcBorders>
            <w:shd w:val="clear" w:color="auto" w:fill="auto"/>
            <w:noWrap/>
            <w:vAlign w:val="center"/>
            <w:hideMark/>
          </w:tcPr>
          <w:p w14:paraId="5E8758A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153,745</w:t>
            </w:r>
          </w:p>
        </w:tc>
        <w:tc>
          <w:tcPr>
            <w:tcW w:w="1638" w:type="dxa"/>
            <w:tcBorders>
              <w:top w:val="nil"/>
              <w:left w:val="nil"/>
              <w:bottom w:val="nil"/>
              <w:right w:val="nil"/>
            </w:tcBorders>
            <w:shd w:val="clear" w:color="auto" w:fill="auto"/>
            <w:noWrap/>
            <w:vAlign w:val="center"/>
            <w:hideMark/>
          </w:tcPr>
          <w:p w14:paraId="0961AB49"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163,441</w:t>
            </w:r>
          </w:p>
        </w:tc>
        <w:tc>
          <w:tcPr>
            <w:tcW w:w="1748" w:type="dxa"/>
            <w:tcBorders>
              <w:top w:val="nil"/>
              <w:left w:val="nil"/>
              <w:bottom w:val="nil"/>
              <w:right w:val="single" w:sz="4" w:space="0" w:color="auto"/>
            </w:tcBorders>
            <w:shd w:val="clear" w:color="auto" w:fill="auto"/>
            <w:noWrap/>
            <w:vAlign w:val="center"/>
            <w:hideMark/>
          </w:tcPr>
          <w:p w14:paraId="02F4B91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211,227</w:t>
            </w:r>
          </w:p>
        </w:tc>
      </w:tr>
      <w:tr w:rsidR="00676AE2" w:rsidRPr="00577A0E" w14:paraId="60FE20D1" w14:textId="77777777" w:rsidTr="00676AE2">
        <w:trPr>
          <w:trHeight w:val="360"/>
        </w:trPr>
        <w:tc>
          <w:tcPr>
            <w:tcW w:w="0" w:type="auto"/>
            <w:tcBorders>
              <w:top w:val="nil"/>
              <w:left w:val="single" w:sz="4" w:space="0" w:color="auto"/>
              <w:bottom w:val="nil"/>
              <w:right w:val="nil"/>
            </w:tcBorders>
            <w:shd w:val="clear" w:color="auto" w:fill="auto"/>
            <w:noWrap/>
            <w:vAlign w:val="center"/>
            <w:hideMark/>
          </w:tcPr>
          <w:p w14:paraId="76EA5085"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Idaho</w:t>
            </w:r>
          </w:p>
        </w:tc>
        <w:tc>
          <w:tcPr>
            <w:tcW w:w="1532" w:type="dxa"/>
            <w:tcBorders>
              <w:top w:val="nil"/>
              <w:left w:val="single" w:sz="4" w:space="0" w:color="auto"/>
              <w:bottom w:val="nil"/>
              <w:right w:val="single" w:sz="4" w:space="0" w:color="auto"/>
            </w:tcBorders>
            <w:shd w:val="clear" w:color="auto" w:fill="auto"/>
            <w:noWrap/>
            <w:vAlign w:val="center"/>
            <w:hideMark/>
          </w:tcPr>
          <w:p w14:paraId="161FFED1"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286,447</w:t>
            </w:r>
          </w:p>
        </w:tc>
        <w:tc>
          <w:tcPr>
            <w:tcW w:w="1551" w:type="dxa"/>
            <w:tcBorders>
              <w:top w:val="nil"/>
              <w:left w:val="nil"/>
              <w:bottom w:val="nil"/>
              <w:right w:val="nil"/>
            </w:tcBorders>
            <w:shd w:val="clear" w:color="auto" w:fill="auto"/>
            <w:noWrap/>
            <w:vAlign w:val="center"/>
            <w:hideMark/>
          </w:tcPr>
          <w:p w14:paraId="647F4C00"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66,742</w:t>
            </w:r>
          </w:p>
        </w:tc>
        <w:tc>
          <w:tcPr>
            <w:tcW w:w="1416" w:type="dxa"/>
            <w:tcBorders>
              <w:top w:val="nil"/>
              <w:left w:val="nil"/>
              <w:bottom w:val="nil"/>
              <w:right w:val="nil"/>
            </w:tcBorders>
            <w:shd w:val="clear" w:color="auto" w:fill="auto"/>
            <w:noWrap/>
            <w:vAlign w:val="center"/>
            <w:hideMark/>
          </w:tcPr>
          <w:p w14:paraId="02937F0F"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79,632</w:t>
            </w:r>
          </w:p>
        </w:tc>
        <w:tc>
          <w:tcPr>
            <w:tcW w:w="1638" w:type="dxa"/>
            <w:tcBorders>
              <w:top w:val="nil"/>
              <w:left w:val="nil"/>
              <w:bottom w:val="nil"/>
              <w:right w:val="nil"/>
            </w:tcBorders>
            <w:shd w:val="clear" w:color="auto" w:fill="auto"/>
            <w:noWrap/>
            <w:vAlign w:val="center"/>
            <w:hideMark/>
          </w:tcPr>
          <w:p w14:paraId="6F7E1AD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68,461</w:t>
            </w:r>
          </w:p>
        </w:tc>
        <w:tc>
          <w:tcPr>
            <w:tcW w:w="1748" w:type="dxa"/>
            <w:tcBorders>
              <w:top w:val="nil"/>
              <w:left w:val="nil"/>
              <w:bottom w:val="nil"/>
              <w:right w:val="single" w:sz="4" w:space="0" w:color="auto"/>
            </w:tcBorders>
            <w:shd w:val="clear" w:color="auto" w:fill="auto"/>
            <w:noWrap/>
            <w:vAlign w:val="center"/>
            <w:hideMark/>
          </w:tcPr>
          <w:p w14:paraId="53D9AE3C"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71,039</w:t>
            </w:r>
          </w:p>
        </w:tc>
      </w:tr>
      <w:tr w:rsidR="00676AE2" w:rsidRPr="00577A0E" w14:paraId="312F44D5" w14:textId="77777777" w:rsidTr="00676AE2">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03DD6C8" w14:textId="77777777" w:rsidR="00577A0E" w:rsidRPr="00577A0E" w:rsidRDefault="00577A0E" w:rsidP="00577A0E">
            <w:pPr>
              <w:spacing w:after="0" w:line="240" w:lineRule="auto"/>
              <w:ind w:firstLineChars="100" w:firstLine="220"/>
              <w:rPr>
                <w:rFonts w:ascii="Calibri" w:eastAsia="Times New Roman" w:hAnsi="Calibri" w:cs="Calibri"/>
                <w:color w:val="000000"/>
              </w:rPr>
            </w:pPr>
            <w:r w:rsidRPr="00577A0E">
              <w:rPr>
                <w:rFonts w:ascii="Calibri" w:eastAsia="Times New Roman" w:hAnsi="Calibri" w:cs="Calibri"/>
                <w:color w:val="000000"/>
              </w:rPr>
              <w:t>Others (46 states)</w:t>
            </w:r>
          </w:p>
        </w:tc>
        <w:tc>
          <w:tcPr>
            <w:tcW w:w="1532" w:type="dxa"/>
            <w:tcBorders>
              <w:top w:val="nil"/>
              <w:left w:val="single" w:sz="4" w:space="0" w:color="auto"/>
              <w:bottom w:val="single" w:sz="4" w:space="0" w:color="auto"/>
              <w:right w:val="single" w:sz="4" w:space="0" w:color="auto"/>
            </w:tcBorders>
            <w:shd w:val="clear" w:color="auto" w:fill="auto"/>
            <w:noWrap/>
            <w:vAlign w:val="center"/>
            <w:hideMark/>
          </w:tcPr>
          <w:p w14:paraId="2F657CDE"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46,173,630</w:t>
            </w:r>
          </w:p>
        </w:tc>
        <w:tc>
          <w:tcPr>
            <w:tcW w:w="1551" w:type="dxa"/>
            <w:tcBorders>
              <w:top w:val="nil"/>
              <w:left w:val="nil"/>
              <w:bottom w:val="single" w:sz="4" w:space="0" w:color="auto"/>
              <w:right w:val="nil"/>
            </w:tcBorders>
            <w:shd w:val="clear" w:color="auto" w:fill="auto"/>
            <w:noWrap/>
            <w:vAlign w:val="center"/>
            <w:hideMark/>
          </w:tcPr>
          <w:p w14:paraId="63740BB1"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14,090,376</w:t>
            </w:r>
          </w:p>
        </w:tc>
        <w:tc>
          <w:tcPr>
            <w:tcW w:w="1416" w:type="dxa"/>
            <w:tcBorders>
              <w:top w:val="nil"/>
              <w:left w:val="nil"/>
              <w:bottom w:val="single" w:sz="4" w:space="0" w:color="auto"/>
              <w:right w:val="nil"/>
            </w:tcBorders>
            <w:shd w:val="clear" w:color="auto" w:fill="auto"/>
            <w:noWrap/>
            <w:vAlign w:val="center"/>
            <w:hideMark/>
          </w:tcPr>
          <w:p w14:paraId="75F1643B"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18,921,030</w:t>
            </w:r>
          </w:p>
        </w:tc>
        <w:tc>
          <w:tcPr>
            <w:tcW w:w="1638" w:type="dxa"/>
            <w:tcBorders>
              <w:top w:val="nil"/>
              <w:left w:val="nil"/>
              <w:bottom w:val="single" w:sz="4" w:space="0" w:color="auto"/>
              <w:right w:val="nil"/>
            </w:tcBorders>
            <w:shd w:val="clear" w:color="auto" w:fill="auto"/>
            <w:noWrap/>
            <w:vAlign w:val="center"/>
            <w:hideMark/>
          </w:tcPr>
          <w:p w14:paraId="489F30F5"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4,887,242</w:t>
            </w:r>
          </w:p>
        </w:tc>
        <w:tc>
          <w:tcPr>
            <w:tcW w:w="1748" w:type="dxa"/>
            <w:tcBorders>
              <w:top w:val="nil"/>
              <w:left w:val="nil"/>
              <w:bottom w:val="single" w:sz="4" w:space="0" w:color="auto"/>
              <w:right w:val="single" w:sz="4" w:space="0" w:color="auto"/>
            </w:tcBorders>
            <w:shd w:val="clear" w:color="auto" w:fill="auto"/>
            <w:noWrap/>
            <w:vAlign w:val="center"/>
            <w:hideMark/>
          </w:tcPr>
          <w:p w14:paraId="1E25F4DB" w14:textId="77777777" w:rsidR="00577A0E" w:rsidRPr="00577A0E" w:rsidRDefault="00577A0E" w:rsidP="00577A0E">
            <w:pPr>
              <w:spacing w:after="0" w:line="240" w:lineRule="auto"/>
              <w:jc w:val="right"/>
              <w:rPr>
                <w:rFonts w:ascii="Calibri" w:eastAsia="Times New Roman" w:hAnsi="Calibri" w:cs="Calibri"/>
                <w:color w:val="000000"/>
              </w:rPr>
            </w:pPr>
            <w:r w:rsidRPr="00577A0E">
              <w:rPr>
                <w:rFonts w:ascii="Calibri" w:eastAsia="Times New Roman" w:hAnsi="Calibri" w:cs="Calibri"/>
                <w:color w:val="000000"/>
              </w:rPr>
              <w:t>8,226,558</w:t>
            </w:r>
          </w:p>
        </w:tc>
      </w:tr>
    </w:tbl>
    <w:p w14:paraId="7D15063D" w14:textId="13DA3D6B" w:rsidR="003D5A5E" w:rsidRDefault="00DC53AE" w:rsidP="00EA3F8D">
      <w:pPr>
        <w:spacing w:after="0" w:line="240" w:lineRule="auto"/>
        <w:ind w:right="-446"/>
        <w:rPr>
          <w:sz w:val="20"/>
          <w:szCs w:val="20"/>
        </w:rPr>
      </w:pPr>
      <w:r>
        <w:t xml:space="preserve">* </w:t>
      </w:r>
      <w:r w:rsidR="003D5A5E" w:rsidRPr="00450843">
        <w:rPr>
          <w:sz w:val="20"/>
          <w:szCs w:val="20"/>
        </w:rPr>
        <w:t>Total number of students in the U</w:t>
      </w:r>
      <w:r w:rsidR="003D5A5E">
        <w:rPr>
          <w:sz w:val="20"/>
          <w:szCs w:val="20"/>
        </w:rPr>
        <w:t>.</w:t>
      </w:r>
      <w:r w:rsidR="003D5A5E" w:rsidRPr="00450843">
        <w:rPr>
          <w:sz w:val="20"/>
          <w:szCs w:val="20"/>
        </w:rPr>
        <w:t>S</w:t>
      </w:r>
      <w:r w:rsidR="003D5A5E">
        <w:rPr>
          <w:sz w:val="20"/>
          <w:szCs w:val="20"/>
        </w:rPr>
        <w:t>. public schools</w:t>
      </w:r>
      <w:r w:rsidR="003D5A5E" w:rsidRPr="00450843">
        <w:rPr>
          <w:sz w:val="20"/>
          <w:szCs w:val="20"/>
        </w:rPr>
        <w:t xml:space="preserve"> </w:t>
      </w:r>
      <w:r w:rsidR="003D5A5E">
        <w:rPr>
          <w:sz w:val="20"/>
          <w:szCs w:val="20"/>
        </w:rPr>
        <w:t xml:space="preserve">(overall and by urbanicity category) </w:t>
      </w:r>
      <w:r w:rsidR="003D5A5E" w:rsidRPr="00450843">
        <w:rPr>
          <w:sz w:val="20"/>
          <w:szCs w:val="20"/>
        </w:rPr>
        <w:t>w</w:t>
      </w:r>
      <w:r w:rsidR="003D5A5E">
        <w:rPr>
          <w:sz w:val="20"/>
          <w:szCs w:val="20"/>
        </w:rPr>
        <w:t>ere</w:t>
      </w:r>
      <w:r w:rsidR="003D5A5E" w:rsidRPr="00450843">
        <w:rPr>
          <w:sz w:val="20"/>
          <w:szCs w:val="20"/>
        </w:rPr>
        <w:t xml:space="preserve"> </w:t>
      </w:r>
      <w:r w:rsidR="003D5A5E">
        <w:rPr>
          <w:sz w:val="20"/>
          <w:szCs w:val="20"/>
        </w:rPr>
        <w:t xml:space="preserve">based on </w:t>
      </w:r>
      <w:r w:rsidR="003D5A5E" w:rsidRPr="00450843">
        <w:rPr>
          <w:sz w:val="20"/>
          <w:szCs w:val="20"/>
        </w:rPr>
        <w:t xml:space="preserve">the National Center for Education Statistics </w:t>
      </w:r>
      <w:r w:rsidR="003D5A5E">
        <w:rPr>
          <w:sz w:val="20"/>
          <w:szCs w:val="20"/>
        </w:rPr>
        <w:t>(</w:t>
      </w:r>
      <w:r w:rsidR="003D5A5E" w:rsidRPr="00E51EDD">
        <w:rPr>
          <w:sz w:val="20"/>
          <w:szCs w:val="20"/>
        </w:rPr>
        <w:t>https://nces.ed.gov/pubs2018/2018052/tables/table_04.asp</w:t>
      </w:r>
      <w:r w:rsidR="003D5A5E">
        <w:rPr>
          <w:sz w:val="20"/>
          <w:szCs w:val="20"/>
        </w:rPr>
        <w:t xml:space="preserve">) </w:t>
      </w:r>
    </w:p>
    <w:p w14:paraId="3672DF5A" w14:textId="42CE553B" w:rsidR="00EA3F8D" w:rsidRDefault="00EA3F8D" w:rsidP="00EA3F8D">
      <w:pPr>
        <w:spacing w:after="0" w:line="240" w:lineRule="auto"/>
        <w:ind w:right="-446"/>
        <w:rPr>
          <w:sz w:val="20"/>
          <w:szCs w:val="20"/>
        </w:rPr>
      </w:pPr>
      <w:r>
        <w:rPr>
          <w:sz w:val="20"/>
          <w:szCs w:val="20"/>
        </w:rPr>
        <w:t xml:space="preserve">ILI, </w:t>
      </w:r>
      <w:proofErr w:type="gramStart"/>
      <w:r>
        <w:rPr>
          <w:sz w:val="20"/>
          <w:szCs w:val="20"/>
        </w:rPr>
        <w:t>influenza</w:t>
      </w:r>
      <w:proofErr w:type="gramEnd"/>
      <w:r>
        <w:rPr>
          <w:sz w:val="20"/>
          <w:szCs w:val="20"/>
        </w:rPr>
        <w:t xml:space="preserve"> or influenza-like illness</w:t>
      </w:r>
    </w:p>
    <w:p w14:paraId="2D6B0B2B" w14:textId="6F1E4F9D" w:rsidR="00603276" w:rsidRDefault="00603276">
      <w:r>
        <w:br w:type="page"/>
      </w:r>
    </w:p>
    <w:p w14:paraId="4D38EC4C" w14:textId="493AC55B" w:rsidR="00603276" w:rsidRDefault="00603276" w:rsidP="00603276">
      <w:pPr>
        <w:spacing w:before="60" w:after="0"/>
      </w:pPr>
      <w:r w:rsidRPr="00FB50BA">
        <w:rPr>
          <w:b/>
          <w:bCs/>
        </w:rPr>
        <w:lastRenderedPageBreak/>
        <w:t xml:space="preserve">Appendix </w:t>
      </w:r>
      <w:r w:rsidR="008536DA">
        <w:rPr>
          <w:b/>
          <w:bCs/>
        </w:rPr>
        <w:t>11</w:t>
      </w:r>
      <w:r>
        <w:t xml:space="preserve">. </w:t>
      </w:r>
      <w:r w:rsidR="00216AFA">
        <w:t>A</w:t>
      </w:r>
      <w:r w:rsidR="00811180">
        <w:t>nnual</w:t>
      </w:r>
      <w:r w:rsidR="00096746">
        <w:t xml:space="preserve"> total</w:t>
      </w:r>
      <w:r w:rsidR="00811180">
        <w:t xml:space="preserve"> </w:t>
      </w:r>
      <w:r>
        <w:t>productivity cost</w:t>
      </w:r>
      <w:r w:rsidR="00811180">
        <w:t xml:space="preserve"> per student </w:t>
      </w:r>
      <w:r>
        <w:t xml:space="preserve">associated with ILI-related reactive school closures </w:t>
      </w:r>
      <w:r w:rsidR="00811180">
        <w:t xml:space="preserve">among all U.S. public schools, </w:t>
      </w:r>
      <w:r w:rsidR="00412C44">
        <w:t>by state</w:t>
      </w:r>
      <w:r w:rsidR="005D6AD2">
        <w:t>*</w:t>
      </w:r>
      <w:r w:rsidR="00412C44">
        <w:t xml:space="preserve"> and academic year</w:t>
      </w:r>
      <w:r w:rsidR="002D7C32">
        <w:t xml:space="preserve"> (2019 USD)</w:t>
      </w:r>
    </w:p>
    <w:p w14:paraId="093F7717" w14:textId="20E306DA" w:rsidR="00C26D6D" w:rsidRDefault="00C26D6D" w:rsidP="00603276">
      <w:pPr>
        <w:spacing w:before="60" w:after="0"/>
      </w:pPr>
      <w:r>
        <w:rPr>
          <w:noProof/>
        </w:rPr>
        <w:drawing>
          <wp:inline distT="0" distB="0" distL="0" distR="0" wp14:anchorId="408A94EA" wp14:editId="0EA01A69">
            <wp:extent cx="6495717" cy="6270171"/>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02003" cy="6276239"/>
                    </a:xfrm>
                    <a:prstGeom prst="rect">
                      <a:avLst/>
                    </a:prstGeom>
                  </pic:spPr>
                </pic:pic>
              </a:graphicData>
            </a:graphic>
          </wp:inline>
        </w:drawing>
      </w:r>
    </w:p>
    <w:p w14:paraId="323494CB" w14:textId="6247CE9F" w:rsidR="0020730B" w:rsidRDefault="005D6AD2" w:rsidP="005D6AD2">
      <w:pPr>
        <w:spacing w:before="60" w:after="0"/>
        <w:ind w:left="720"/>
        <w:rPr>
          <w:sz w:val="18"/>
          <w:szCs w:val="18"/>
        </w:rPr>
      </w:pPr>
      <w:r w:rsidRPr="00E94222">
        <w:rPr>
          <w:sz w:val="18"/>
          <w:szCs w:val="18"/>
        </w:rPr>
        <w:t xml:space="preserve">* </w:t>
      </w:r>
      <w:r w:rsidR="0020730B" w:rsidRPr="00E94222">
        <w:rPr>
          <w:sz w:val="18"/>
          <w:szCs w:val="18"/>
        </w:rPr>
        <w:t>No</w:t>
      </w:r>
      <w:r w:rsidR="00796FE4" w:rsidRPr="00E94222">
        <w:rPr>
          <w:sz w:val="18"/>
          <w:szCs w:val="18"/>
        </w:rPr>
        <w:t xml:space="preserve"> ILI-related reactive</w:t>
      </w:r>
      <w:r w:rsidR="0020730B" w:rsidRPr="00E94222">
        <w:rPr>
          <w:sz w:val="18"/>
          <w:szCs w:val="18"/>
        </w:rPr>
        <w:t xml:space="preserve"> school closures </w:t>
      </w:r>
      <w:r w:rsidR="00F922FD" w:rsidRPr="00E94222">
        <w:rPr>
          <w:sz w:val="18"/>
          <w:szCs w:val="18"/>
        </w:rPr>
        <w:t xml:space="preserve">were </w:t>
      </w:r>
      <w:r w:rsidR="00E94222" w:rsidRPr="00E94222">
        <w:rPr>
          <w:sz w:val="18"/>
          <w:szCs w:val="18"/>
        </w:rPr>
        <w:t>observe</w:t>
      </w:r>
      <w:r w:rsidRPr="00E94222">
        <w:rPr>
          <w:sz w:val="18"/>
          <w:szCs w:val="18"/>
        </w:rPr>
        <w:t>d</w:t>
      </w:r>
      <w:r w:rsidR="0020730B" w:rsidRPr="00E94222">
        <w:rPr>
          <w:sz w:val="18"/>
          <w:szCs w:val="18"/>
        </w:rPr>
        <w:t xml:space="preserve"> </w:t>
      </w:r>
      <w:r w:rsidR="004D2C81" w:rsidRPr="00E94222">
        <w:rPr>
          <w:sz w:val="18"/>
          <w:szCs w:val="18"/>
        </w:rPr>
        <w:t xml:space="preserve">in public schools </w:t>
      </w:r>
      <w:r w:rsidR="0020730B" w:rsidRPr="00E94222">
        <w:rPr>
          <w:sz w:val="18"/>
          <w:szCs w:val="18"/>
        </w:rPr>
        <w:t xml:space="preserve">in </w:t>
      </w:r>
      <w:r w:rsidR="00FB6C69" w:rsidRPr="00E94222">
        <w:rPr>
          <w:sz w:val="18"/>
          <w:szCs w:val="18"/>
        </w:rPr>
        <w:t>the states of WY,WA, UT,RI, ND, NV, MD, HI, DC, DE, CT, CA, and AK</w:t>
      </w:r>
      <w:r w:rsidR="00A75A8C" w:rsidRPr="00E94222">
        <w:rPr>
          <w:sz w:val="18"/>
          <w:szCs w:val="18"/>
        </w:rPr>
        <w:t xml:space="preserve"> </w:t>
      </w:r>
      <w:r w:rsidR="00C40B6A" w:rsidRPr="00E94222">
        <w:rPr>
          <w:sz w:val="18"/>
          <w:szCs w:val="18"/>
        </w:rPr>
        <w:t>from 2011‒12 to 2018‒19.</w:t>
      </w:r>
    </w:p>
    <w:p w14:paraId="098C1DB8" w14:textId="77777777" w:rsidR="00955FAE" w:rsidRDefault="00344B4B" w:rsidP="005D6AD2">
      <w:pPr>
        <w:spacing w:before="60" w:after="0"/>
        <w:ind w:left="720"/>
        <w:rPr>
          <w:sz w:val="18"/>
          <w:szCs w:val="18"/>
        </w:rPr>
      </w:pPr>
      <w:r>
        <w:rPr>
          <w:sz w:val="18"/>
          <w:szCs w:val="18"/>
        </w:rPr>
        <w:t xml:space="preserve">ILI, </w:t>
      </w:r>
      <w:proofErr w:type="gramStart"/>
      <w:r>
        <w:rPr>
          <w:sz w:val="18"/>
          <w:szCs w:val="18"/>
        </w:rPr>
        <w:t>influenza</w:t>
      </w:r>
      <w:proofErr w:type="gramEnd"/>
      <w:r>
        <w:rPr>
          <w:sz w:val="18"/>
          <w:szCs w:val="18"/>
        </w:rPr>
        <w:t xml:space="preserve"> or influenza-like illness</w:t>
      </w:r>
    </w:p>
    <w:p w14:paraId="7469456D" w14:textId="77777777" w:rsidR="003C5F2D" w:rsidRDefault="003C5F2D" w:rsidP="005D6AD2">
      <w:pPr>
        <w:spacing w:before="60" w:after="0"/>
        <w:ind w:left="720"/>
        <w:rPr>
          <w:sz w:val="18"/>
          <w:szCs w:val="18"/>
        </w:rPr>
      </w:pPr>
    </w:p>
    <w:p w14:paraId="1F97289A" w14:textId="77777777" w:rsidR="003C5F2D" w:rsidRDefault="003C5F2D" w:rsidP="005D6AD2">
      <w:pPr>
        <w:spacing w:before="60" w:after="0"/>
        <w:ind w:left="720"/>
        <w:rPr>
          <w:sz w:val="18"/>
          <w:szCs w:val="18"/>
        </w:rPr>
      </w:pPr>
    </w:p>
    <w:p w14:paraId="0940A158" w14:textId="77777777" w:rsidR="003C5F2D" w:rsidRDefault="003C5F2D" w:rsidP="005D6AD2">
      <w:pPr>
        <w:spacing w:before="60" w:after="0"/>
        <w:ind w:left="720"/>
        <w:rPr>
          <w:sz w:val="18"/>
          <w:szCs w:val="18"/>
        </w:rPr>
      </w:pPr>
    </w:p>
    <w:p w14:paraId="64BEA7FD" w14:textId="77777777" w:rsidR="003C5F2D" w:rsidRDefault="003C5F2D" w:rsidP="005D6AD2">
      <w:pPr>
        <w:spacing w:before="60" w:after="0"/>
        <w:ind w:left="720"/>
        <w:rPr>
          <w:sz w:val="18"/>
          <w:szCs w:val="18"/>
        </w:rPr>
      </w:pPr>
    </w:p>
    <w:p w14:paraId="152B2DBE" w14:textId="77777777" w:rsidR="003C5F2D" w:rsidRDefault="003C5F2D" w:rsidP="003C5F2D">
      <w:pPr>
        <w:spacing w:before="60" w:after="0"/>
        <w:rPr>
          <w:sz w:val="18"/>
          <w:szCs w:val="18"/>
        </w:rPr>
      </w:pPr>
    </w:p>
    <w:p w14:paraId="676E83D5" w14:textId="561ABAD0" w:rsidR="00C80F4A" w:rsidRDefault="003C5F2D" w:rsidP="00E547A4">
      <w:pPr>
        <w:pStyle w:val="EndNoteBibliography"/>
        <w:spacing w:line="276" w:lineRule="auto"/>
        <w:ind w:left="360" w:hanging="360"/>
        <w:rPr>
          <w:b/>
          <w:bCs/>
        </w:rPr>
      </w:pPr>
      <w:r w:rsidRPr="003C5F2D">
        <w:rPr>
          <w:b/>
          <w:bCs/>
        </w:rPr>
        <w:lastRenderedPageBreak/>
        <w:t>References</w:t>
      </w:r>
    </w:p>
    <w:p w14:paraId="1C4C0A61" w14:textId="61B13C98" w:rsidR="00E41748" w:rsidRPr="00E41748" w:rsidRDefault="00955FAE" w:rsidP="00C80F4A">
      <w:pPr>
        <w:pStyle w:val="EndNoteBibliography"/>
        <w:spacing w:after="0" w:line="276" w:lineRule="auto"/>
        <w:ind w:left="360" w:hanging="360"/>
      </w:pPr>
      <w:r>
        <w:rPr>
          <w:sz w:val="18"/>
          <w:szCs w:val="18"/>
        </w:rPr>
        <w:fldChar w:fldCharType="begin"/>
      </w:r>
      <w:r>
        <w:rPr>
          <w:sz w:val="18"/>
          <w:szCs w:val="18"/>
        </w:rPr>
        <w:instrText xml:space="preserve"> ADDIN EN.REFLIST </w:instrText>
      </w:r>
      <w:r>
        <w:rPr>
          <w:sz w:val="18"/>
          <w:szCs w:val="18"/>
        </w:rPr>
        <w:fldChar w:fldCharType="separate"/>
      </w:r>
      <w:r w:rsidR="00E41748" w:rsidRPr="00E41748">
        <w:t>1.</w:t>
      </w:r>
      <w:r w:rsidR="00E41748" w:rsidRPr="00E41748">
        <w:tab/>
        <w:t xml:space="preserve">Occupational Employment and Wage Statistics. Washington, DC: U.S. Bureau of Labor Statistics; 2022 [cited 2022 March 15]. Available from: </w:t>
      </w:r>
      <w:hyperlink r:id="rId8" w:history="1">
        <w:r w:rsidR="00E41748" w:rsidRPr="00E41748">
          <w:rPr>
            <w:rStyle w:val="Hyperlink"/>
          </w:rPr>
          <w:t>https://www.bls.gov/oes/current/oessrcst.htm</w:t>
        </w:r>
      </w:hyperlink>
      <w:r w:rsidR="00E41748" w:rsidRPr="00E41748">
        <w:t>.</w:t>
      </w:r>
    </w:p>
    <w:p w14:paraId="12411A31" w14:textId="0197E680" w:rsidR="00E41748" w:rsidRPr="00E41748" w:rsidRDefault="00E41748" w:rsidP="00C80F4A">
      <w:pPr>
        <w:pStyle w:val="EndNoteBibliography"/>
        <w:spacing w:after="0" w:line="276" w:lineRule="auto"/>
        <w:ind w:left="360" w:hanging="360"/>
      </w:pPr>
      <w:r w:rsidRPr="00E41748">
        <w:t>2.</w:t>
      </w:r>
      <w:r w:rsidRPr="00E41748">
        <w:tab/>
        <w:t xml:space="preserve">Digest of Education Statistics 2021. Table 213.20. Staff employed in public elementary and secondary school systems, by type of assignment and state or jurisdiction: Fall 2019. Washington, DC: National Center for Education Statistics, Institute of Education Sciences, U.S. Department of Education; 2022 [cited 2022 May 3]. Available from: </w:t>
      </w:r>
      <w:hyperlink r:id="rId9" w:history="1">
        <w:r w:rsidRPr="00E41748">
          <w:rPr>
            <w:rStyle w:val="Hyperlink"/>
          </w:rPr>
          <w:t>https://nces.ed.gov/programs/digest/d21/tables/dt21_213.20.asp</w:t>
        </w:r>
      </w:hyperlink>
      <w:r w:rsidRPr="00E41748">
        <w:t>.</w:t>
      </w:r>
    </w:p>
    <w:p w14:paraId="33C1EE30" w14:textId="33EEF630" w:rsidR="00E41748" w:rsidRPr="00E41748" w:rsidRDefault="00E41748" w:rsidP="00C80F4A">
      <w:pPr>
        <w:pStyle w:val="EndNoteBibliography"/>
        <w:spacing w:after="0" w:line="276" w:lineRule="auto"/>
        <w:ind w:left="360" w:hanging="360"/>
      </w:pPr>
      <w:r w:rsidRPr="00E41748">
        <w:t>3.</w:t>
      </w:r>
      <w:r w:rsidRPr="00E41748">
        <w:tab/>
        <w:t xml:space="preserve">Digest of Education Statistics 2014. Table 213.20. Staff employed in public elementary and secondary school systems, by type of assignment and state or jurisdiction: Fall 2012 Washington, DC: National Center for Education Statistics, Institute of Education Sciences, U.S. Department of Education 2014 [cited 2022 May 6]. Available from: </w:t>
      </w:r>
      <w:hyperlink r:id="rId10" w:history="1">
        <w:r w:rsidRPr="00E41748">
          <w:rPr>
            <w:rStyle w:val="Hyperlink"/>
          </w:rPr>
          <w:t>https://nces.ed.gov/programs/digest/d14/tables/dt14_213.20.asp</w:t>
        </w:r>
      </w:hyperlink>
      <w:r w:rsidRPr="00E41748">
        <w:t>.</w:t>
      </w:r>
    </w:p>
    <w:p w14:paraId="16E50892" w14:textId="7087854C" w:rsidR="00E41748" w:rsidRPr="00E41748" w:rsidRDefault="00E41748" w:rsidP="00C80F4A">
      <w:pPr>
        <w:pStyle w:val="EndNoteBibliography"/>
        <w:spacing w:after="0" w:line="276" w:lineRule="auto"/>
        <w:ind w:left="360" w:hanging="360"/>
      </w:pPr>
      <w:r w:rsidRPr="00E41748">
        <w:t>4.</w:t>
      </w:r>
      <w:r w:rsidRPr="00E41748">
        <w:tab/>
        <w:t xml:space="preserve">Digest of Education Statistics 2021. Table 213.50. Staff, enrollment, and pupil/staff ratios in public elementary and secondary school systems, by state or jurisdiction: Selected years, fall 2000 through fall 2019 Washington, DC: National Center for Education Statistics, Institute of Education Sciences, U.S. Department of Education 2022 [cited 2022 May 6]. Available from: </w:t>
      </w:r>
      <w:hyperlink r:id="rId11" w:history="1">
        <w:r w:rsidRPr="00E41748">
          <w:rPr>
            <w:rStyle w:val="Hyperlink"/>
          </w:rPr>
          <w:t>https://nces.ed.gov/programs/digest/d21/tables/dt21_213.50.asp?current=yes</w:t>
        </w:r>
      </w:hyperlink>
      <w:r w:rsidRPr="00E41748">
        <w:t>.</w:t>
      </w:r>
    </w:p>
    <w:p w14:paraId="439E172C" w14:textId="77777777" w:rsidR="00E41748" w:rsidRPr="00E41748" w:rsidRDefault="00E41748" w:rsidP="00C80F4A">
      <w:pPr>
        <w:pStyle w:val="EndNoteBibliography"/>
        <w:spacing w:after="0" w:line="276" w:lineRule="auto"/>
        <w:ind w:left="360" w:hanging="360"/>
      </w:pPr>
      <w:r w:rsidRPr="00E41748">
        <w:t>5.</w:t>
      </w:r>
      <w:r w:rsidRPr="00E41748">
        <w:tab/>
        <w:t>Germann TC, Gao H, Gambhir M, Plummer A, Biggerstaff M, Reed C, et al. School dismissal as a pandemic influenza response: When, where and for how long? Epidemics. 2019;28:100348. Epub 20190612. doi: 10.1016/j.epidem.2019.100348. PubMed PMID: 31235334; PubMed Central PMCID: PMCPMC6956848.</w:t>
      </w:r>
    </w:p>
    <w:p w14:paraId="35A55538" w14:textId="77777777" w:rsidR="00E41748" w:rsidRPr="00E41748" w:rsidRDefault="00E41748" w:rsidP="00C80F4A">
      <w:pPr>
        <w:pStyle w:val="EndNoteBibliography"/>
        <w:spacing w:after="0" w:line="276" w:lineRule="auto"/>
        <w:ind w:left="360" w:hanging="360"/>
      </w:pPr>
      <w:r w:rsidRPr="00E41748">
        <w:t>6.</w:t>
      </w:r>
      <w:r w:rsidRPr="00E41748">
        <w:tab/>
        <w:t>Steelfisher GK, Blendon RJ, Bekheit MM, Liddon N, Kahn E, Schieber R, et al. Parental attitudes and experiences during school dismissals related to 2009 influenza A (H1N1) --- United States, 2009. MMWR Morb Mortal Wkly Rep. 2010;59(35):1131-4. PubMed PMID: 20829746.</w:t>
      </w:r>
    </w:p>
    <w:p w14:paraId="32D1C517" w14:textId="77777777" w:rsidR="00E41748" w:rsidRPr="00E41748" w:rsidRDefault="00E41748" w:rsidP="00C80F4A">
      <w:pPr>
        <w:pStyle w:val="EndNoteBibliography"/>
        <w:spacing w:after="0" w:line="276" w:lineRule="auto"/>
        <w:ind w:left="360" w:hanging="360"/>
      </w:pPr>
      <w:r w:rsidRPr="00E41748">
        <w:t>7.</w:t>
      </w:r>
      <w:r w:rsidRPr="00E41748">
        <w:tab/>
        <w:t>Timperio C, Hunbaugh K, Riggs M, Barrios L, Waller A, Deniston M, et al. Impact of seasonal influenza-related school closures on families - Southeastern Kentucky, February 2008. MMWR Morb Mortal Wkly Rep. 2009;58(50):1405-9. PubMed PMID: 20032924.</w:t>
      </w:r>
    </w:p>
    <w:p w14:paraId="7CA941FB" w14:textId="77777777" w:rsidR="00E41748" w:rsidRPr="00E41748" w:rsidRDefault="00E41748" w:rsidP="00C80F4A">
      <w:pPr>
        <w:pStyle w:val="EndNoteBibliography"/>
        <w:spacing w:after="0" w:line="276" w:lineRule="auto"/>
        <w:ind w:left="360" w:hanging="360"/>
      </w:pPr>
      <w:r w:rsidRPr="00E41748">
        <w:t>8.</w:t>
      </w:r>
      <w:r w:rsidRPr="00E41748">
        <w:tab/>
        <w:t>Russell ES, Zheteyeva Y, Gao H, Shi J, Rainey JJ, Thoroughman D, et al. Reactive School Closure During Increased Influenza-Like Illness (ILI) Activity in Western Kentucky, 2013: A Field Evaluation of Effect on ILI Incidence and Economic and Social Consequences for Families. Open Forum Infect Dis. 2016;3(3):ofw113. Epub 20160525. doi: 10.1093/ofid/ofw113. PubMed PMID: 27800520; PubMed Central PMCID: PMCPMC5084722.</w:t>
      </w:r>
    </w:p>
    <w:p w14:paraId="04DFE0ED" w14:textId="77777777" w:rsidR="00E41748" w:rsidRPr="00E41748" w:rsidRDefault="00E41748" w:rsidP="00C80F4A">
      <w:pPr>
        <w:pStyle w:val="EndNoteBibliography"/>
        <w:spacing w:after="0" w:line="276" w:lineRule="auto"/>
        <w:ind w:left="360" w:hanging="360"/>
      </w:pPr>
      <w:r w:rsidRPr="00E41748">
        <w:t>9.</w:t>
      </w:r>
      <w:r w:rsidRPr="00E41748">
        <w:tab/>
        <w:t>Mizumoto K, Yamamoto T, Nishiura H. Contact behaviour of children and parental employment behaviour during school closures against the pandemic influenza A (H1N1-2009) in Japan. J Int Med Res. 2013;41(3):716-24. Epub 20130423. doi: 10.1177/0300060513478061. PubMed PMID: 23613502.</w:t>
      </w:r>
    </w:p>
    <w:p w14:paraId="70674BE0" w14:textId="77777777" w:rsidR="00E41748" w:rsidRPr="00E41748" w:rsidRDefault="00E41748" w:rsidP="00C80F4A">
      <w:pPr>
        <w:pStyle w:val="EndNoteBibliography"/>
        <w:spacing w:after="0" w:line="276" w:lineRule="auto"/>
        <w:ind w:left="360" w:hanging="360"/>
      </w:pPr>
      <w:r w:rsidRPr="00E41748">
        <w:t>10.</w:t>
      </w:r>
      <w:r w:rsidRPr="00E41748">
        <w:tab/>
        <w:t>Johnson AJ, Moore ZS, Edelson PJ, Kinnane L, Davies M, Shay DK, et al. Household responses to school closure resulting from outbreak of influenza B, North Carolina. Emerg Infect Dis. 2008;14(7):1024-30. doi: 10.3201/eid1407.080096. PubMed PMID: 18598620; PubMed Central PMCID: PMCPMC2600319.</w:t>
      </w:r>
    </w:p>
    <w:p w14:paraId="1D22D3BB" w14:textId="77777777" w:rsidR="00E41748" w:rsidRPr="00E41748" w:rsidRDefault="00E41748" w:rsidP="00C80F4A">
      <w:pPr>
        <w:pStyle w:val="EndNoteBibliography"/>
        <w:spacing w:after="0" w:line="276" w:lineRule="auto"/>
        <w:ind w:left="360" w:hanging="360"/>
      </w:pPr>
      <w:r w:rsidRPr="00E41748">
        <w:lastRenderedPageBreak/>
        <w:t>11.</w:t>
      </w:r>
      <w:r w:rsidRPr="00E41748">
        <w:tab/>
        <w:t>Epson EE, Zheteyeva YA, Rainey JJ, Gao H, Shi J, Uzicanin A, et al. Evaluation of an unplanned school closure in a Colorado school district: implications for pandemic influenza preparedness. Disaster Med Public Health Prep. 2015;9(1):4-8. doi: 10.1017/dmp.2015.3. PubMed PMID: 25739043.</w:t>
      </w:r>
    </w:p>
    <w:p w14:paraId="0C04C1EC" w14:textId="411C55C4" w:rsidR="00E41748" w:rsidRPr="00E41748" w:rsidRDefault="00E41748" w:rsidP="00C80F4A">
      <w:pPr>
        <w:pStyle w:val="EndNoteBibliography"/>
        <w:spacing w:line="276" w:lineRule="auto"/>
        <w:ind w:left="360" w:hanging="360"/>
      </w:pPr>
      <w:r w:rsidRPr="00E41748">
        <w:t>12.</w:t>
      </w:r>
      <w:r w:rsidRPr="00E41748">
        <w:tab/>
        <w:t xml:space="preserve">Employer Costs for Employee Compensation. Washington, DC: U.S. Bureau of Labor Statistics; 2022 [updated June 17; cited 2022 March 31]. Available from: </w:t>
      </w:r>
      <w:hyperlink r:id="rId12" w:anchor="2011" w:history="1">
        <w:r w:rsidRPr="00E41748">
          <w:rPr>
            <w:rStyle w:val="Hyperlink"/>
          </w:rPr>
          <w:t>https://www.bls.gov/bls/news-release/ecec.htm#2011</w:t>
        </w:r>
      </w:hyperlink>
      <w:r w:rsidRPr="00E41748">
        <w:t>.</w:t>
      </w:r>
    </w:p>
    <w:p w14:paraId="6C857525" w14:textId="7DC3AFF7" w:rsidR="00344B4B" w:rsidRPr="00E94222" w:rsidRDefault="00955FAE" w:rsidP="00C80F4A">
      <w:pPr>
        <w:spacing w:before="60" w:after="0" w:line="276" w:lineRule="auto"/>
        <w:ind w:left="360" w:hanging="360"/>
        <w:rPr>
          <w:sz w:val="18"/>
          <w:szCs w:val="18"/>
        </w:rPr>
      </w:pPr>
      <w:r>
        <w:rPr>
          <w:sz w:val="18"/>
          <w:szCs w:val="18"/>
        </w:rPr>
        <w:fldChar w:fldCharType="end"/>
      </w:r>
    </w:p>
    <w:sectPr w:rsidR="00344B4B" w:rsidRPr="00E9422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B3AE" w14:textId="77777777" w:rsidR="00565E4A" w:rsidRDefault="00565E4A" w:rsidP="00526A3C">
      <w:pPr>
        <w:spacing w:after="0" w:line="240" w:lineRule="auto"/>
      </w:pPr>
      <w:r>
        <w:separator/>
      </w:r>
    </w:p>
  </w:endnote>
  <w:endnote w:type="continuationSeparator" w:id="0">
    <w:p w14:paraId="3577F265" w14:textId="77777777" w:rsidR="00565E4A" w:rsidRDefault="00565E4A" w:rsidP="00526A3C">
      <w:pPr>
        <w:spacing w:after="0" w:line="240" w:lineRule="auto"/>
      </w:pPr>
      <w:r>
        <w:continuationSeparator/>
      </w:r>
    </w:p>
  </w:endnote>
  <w:endnote w:type="continuationNotice" w:id="1">
    <w:p w14:paraId="2FF87EB2" w14:textId="77777777" w:rsidR="00565E4A" w:rsidRDefault="00565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52B5" w14:textId="77777777" w:rsidR="004D7D92" w:rsidRDefault="004D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62198"/>
      <w:docPartObj>
        <w:docPartGallery w:val="Page Numbers (Bottom of Page)"/>
        <w:docPartUnique/>
      </w:docPartObj>
    </w:sdtPr>
    <w:sdtEndPr>
      <w:rPr>
        <w:noProof/>
      </w:rPr>
    </w:sdtEndPr>
    <w:sdtContent>
      <w:p w14:paraId="66D52B07" w14:textId="37C4F496" w:rsidR="00E547A4" w:rsidRDefault="00E547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658919" w14:textId="77777777" w:rsidR="00E547A4" w:rsidRDefault="00E54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EC9" w14:textId="77777777" w:rsidR="004D7D92" w:rsidRDefault="004D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707E" w14:textId="77777777" w:rsidR="00565E4A" w:rsidRDefault="00565E4A" w:rsidP="00526A3C">
      <w:pPr>
        <w:spacing w:after="0" w:line="240" w:lineRule="auto"/>
      </w:pPr>
      <w:r>
        <w:separator/>
      </w:r>
    </w:p>
  </w:footnote>
  <w:footnote w:type="continuationSeparator" w:id="0">
    <w:p w14:paraId="740A5EF6" w14:textId="77777777" w:rsidR="00565E4A" w:rsidRDefault="00565E4A" w:rsidP="00526A3C">
      <w:pPr>
        <w:spacing w:after="0" w:line="240" w:lineRule="auto"/>
      </w:pPr>
      <w:r>
        <w:continuationSeparator/>
      </w:r>
    </w:p>
  </w:footnote>
  <w:footnote w:type="continuationNotice" w:id="1">
    <w:p w14:paraId="499D5E18" w14:textId="77777777" w:rsidR="00565E4A" w:rsidRDefault="00565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232C" w14:textId="77777777" w:rsidR="004D7D92" w:rsidRDefault="004D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D50A" w14:textId="77777777" w:rsidR="004D7D92" w:rsidRDefault="004D7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F1E" w14:textId="77777777" w:rsidR="004D7D92" w:rsidRDefault="004D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709A5"/>
    <w:multiLevelType w:val="hybridMultilevel"/>
    <w:tmpl w:val="6A72199C"/>
    <w:lvl w:ilvl="0" w:tplc="0BEA62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19E5"/>
    <w:multiLevelType w:val="hybridMultilevel"/>
    <w:tmpl w:val="6CF8F270"/>
    <w:lvl w:ilvl="0" w:tplc="94BC6A66">
      <w:start w:val="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0F9D"/>
    <w:multiLevelType w:val="hybridMultilevel"/>
    <w:tmpl w:val="888849A2"/>
    <w:lvl w:ilvl="0" w:tplc="4DC85E1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2125B"/>
    <w:multiLevelType w:val="hybridMultilevel"/>
    <w:tmpl w:val="A70E4592"/>
    <w:lvl w:ilvl="0" w:tplc="BE0A1C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67373"/>
    <w:multiLevelType w:val="hybridMultilevel"/>
    <w:tmpl w:val="23107510"/>
    <w:lvl w:ilvl="0" w:tplc="841E0AD0">
      <w:start w:val="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F659E3"/>
    <w:multiLevelType w:val="hybridMultilevel"/>
    <w:tmpl w:val="C576D710"/>
    <w:lvl w:ilvl="0" w:tplc="9E84DB8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vxx5xepft2a4edp9dvrv5ltvwzxz5xtape&quot;&gt;My EndNote Library&lt;record-ids&gt;&lt;item&gt;25&lt;/item&gt;&lt;item&gt;29&lt;/item&gt;&lt;item&gt;33&lt;/item&gt;&lt;item&gt;102&lt;/item&gt;&lt;item&gt;103&lt;/item&gt;&lt;item&gt;105&lt;/item&gt;&lt;item&gt;106&lt;/item&gt;&lt;item&gt;109&lt;/item&gt;&lt;item&gt;110&lt;/item&gt;&lt;item&gt;111&lt;/item&gt;&lt;item&gt;157&lt;/item&gt;&lt;item&gt;158&lt;/item&gt;&lt;/record-ids&gt;&lt;/item&gt;&lt;/Libraries&gt;"/>
  </w:docVars>
  <w:rsids>
    <w:rsidRoot w:val="00526A3C"/>
    <w:rsid w:val="0001365C"/>
    <w:rsid w:val="00016F46"/>
    <w:rsid w:val="000236DC"/>
    <w:rsid w:val="00025B2A"/>
    <w:rsid w:val="00040163"/>
    <w:rsid w:val="00040956"/>
    <w:rsid w:val="00053172"/>
    <w:rsid w:val="0006422D"/>
    <w:rsid w:val="000660C4"/>
    <w:rsid w:val="0007316D"/>
    <w:rsid w:val="00073E2B"/>
    <w:rsid w:val="0007524F"/>
    <w:rsid w:val="00075D05"/>
    <w:rsid w:val="00086DAD"/>
    <w:rsid w:val="00087E67"/>
    <w:rsid w:val="000933BF"/>
    <w:rsid w:val="00096746"/>
    <w:rsid w:val="000A4CB7"/>
    <w:rsid w:val="000A74FD"/>
    <w:rsid w:val="000C273B"/>
    <w:rsid w:val="000C2C74"/>
    <w:rsid w:val="000C7A42"/>
    <w:rsid w:val="000D4D8D"/>
    <w:rsid w:val="000E350A"/>
    <w:rsid w:val="0010082B"/>
    <w:rsid w:val="00142C1A"/>
    <w:rsid w:val="00145C12"/>
    <w:rsid w:val="00146431"/>
    <w:rsid w:val="00152661"/>
    <w:rsid w:val="00163D4A"/>
    <w:rsid w:val="0016455F"/>
    <w:rsid w:val="0016504E"/>
    <w:rsid w:val="001828ED"/>
    <w:rsid w:val="00186A0E"/>
    <w:rsid w:val="00191869"/>
    <w:rsid w:val="00196533"/>
    <w:rsid w:val="00197EC6"/>
    <w:rsid w:val="001A7BCD"/>
    <w:rsid w:val="001B2D90"/>
    <w:rsid w:val="001C419C"/>
    <w:rsid w:val="001D44D8"/>
    <w:rsid w:val="001E3D9E"/>
    <w:rsid w:val="001F4ED5"/>
    <w:rsid w:val="001F5F6E"/>
    <w:rsid w:val="001F6A55"/>
    <w:rsid w:val="002047F9"/>
    <w:rsid w:val="0020730B"/>
    <w:rsid w:val="00214BFD"/>
    <w:rsid w:val="00216AFA"/>
    <w:rsid w:val="00227D7C"/>
    <w:rsid w:val="00235525"/>
    <w:rsid w:val="0023707C"/>
    <w:rsid w:val="00237390"/>
    <w:rsid w:val="00237B5D"/>
    <w:rsid w:val="00241F3D"/>
    <w:rsid w:val="002446EA"/>
    <w:rsid w:val="00245AB7"/>
    <w:rsid w:val="00252774"/>
    <w:rsid w:val="00256EA5"/>
    <w:rsid w:val="00257EE3"/>
    <w:rsid w:val="00261FD7"/>
    <w:rsid w:val="00262508"/>
    <w:rsid w:val="002666F8"/>
    <w:rsid w:val="00284D0F"/>
    <w:rsid w:val="00286865"/>
    <w:rsid w:val="00287188"/>
    <w:rsid w:val="002906D8"/>
    <w:rsid w:val="0029108F"/>
    <w:rsid w:val="0029185F"/>
    <w:rsid w:val="002954E7"/>
    <w:rsid w:val="00297962"/>
    <w:rsid w:val="002A4FC0"/>
    <w:rsid w:val="002A5152"/>
    <w:rsid w:val="002A6462"/>
    <w:rsid w:val="002C0A32"/>
    <w:rsid w:val="002C7D90"/>
    <w:rsid w:val="002D1640"/>
    <w:rsid w:val="002D4377"/>
    <w:rsid w:val="002D583F"/>
    <w:rsid w:val="002D69A9"/>
    <w:rsid w:val="002D7C32"/>
    <w:rsid w:val="002F182F"/>
    <w:rsid w:val="002F576C"/>
    <w:rsid w:val="002F5861"/>
    <w:rsid w:val="002F70BA"/>
    <w:rsid w:val="00300934"/>
    <w:rsid w:val="003016A1"/>
    <w:rsid w:val="00311BE8"/>
    <w:rsid w:val="003203EC"/>
    <w:rsid w:val="003308EE"/>
    <w:rsid w:val="00344B4B"/>
    <w:rsid w:val="00350625"/>
    <w:rsid w:val="0035159B"/>
    <w:rsid w:val="003540B2"/>
    <w:rsid w:val="00362E90"/>
    <w:rsid w:val="00367E71"/>
    <w:rsid w:val="003919A1"/>
    <w:rsid w:val="003939E2"/>
    <w:rsid w:val="003A4AC7"/>
    <w:rsid w:val="003B36EE"/>
    <w:rsid w:val="003B407C"/>
    <w:rsid w:val="003B487D"/>
    <w:rsid w:val="003B51A1"/>
    <w:rsid w:val="003C37B3"/>
    <w:rsid w:val="003C5F2D"/>
    <w:rsid w:val="003C652B"/>
    <w:rsid w:val="003D5A5E"/>
    <w:rsid w:val="003D6133"/>
    <w:rsid w:val="003E0FE2"/>
    <w:rsid w:val="003E56AF"/>
    <w:rsid w:val="004010B7"/>
    <w:rsid w:val="00406045"/>
    <w:rsid w:val="0041206F"/>
    <w:rsid w:val="00412C44"/>
    <w:rsid w:val="0041438A"/>
    <w:rsid w:val="00414468"/>
    <w:rsid w:val="00416F24"/>
    <w:rsid w:val="004239D8"/>
    <w:rsid w:val="0042626D"/>
    <w:rsid w:val="00444EFA"/>
    <w:rsid w:val="0045115B"/>
    <w:rsid w:val="00453266"/>
    <w:rsid w:val="00453CB2"/>
    <w:rsid w:val="004550BA"/>
    <w:rsid w:val="00455E8A"/>
    <w:rsid w:val="00463E4A"/>
    <w:rsid w:val="00466949"/>
    <w:rsid w:val="00473262"/>
    <w:rsid w:val="004739FC"/>
    <w:rsid w:val="004872A0"/>
    <w:rsid w:val="00497931"/>
    <w:rsid w:val="004B184A"/>
    <w:rsid w:val="004B3751"/>
    <w:rsid w:val="004C7D57"/>
    <w:rsid w:val="004D2C81"/>
    <w:rsid w:val="004D58F3"/>
    <w:rsid w:val="004D7D92"/>
    <w:rsid w:val="004E4C22"/>
    <w:rsid w:val="004F3F33"/>
    <w:rsid w:val="0050429C"/>
    <w:rsid w:val="00512639"/>
    <w:rsid w:val="00513A3E"/>
    <w:rsid w:val="005215C3"/>
    <w:rsid w:val="00522F4A"/>
    <w:rsid w:val="005262AA"/>
    <w:rsid w:val="00526A3C"/>
    <w:rsid w:val="00531681"/>
    <w:rsid w:val="00531C3F"/>
    <w:rsid w:val="00537D9F"/>
    <w:rsid w:val="0053A77A"/>
    <w:rsid w:val="00553E71"/>
    <w:rsid w:val="0055632A"/>
    <w:rsid w:val="00556CDA"/>
    <w:rsid w:val="0056196E"/>
    <w:rsid w:val="005625B8"/>
    <w:rsid w:val="005644BD"/>
    <w:rsid w:val="00564B97"/>
    <w:rsid w:val="00565E4A"/>
    <w:rsid w:val="005736EC"/>
    <w:rsid w:val="00575646"/>
    <w:rsid w:val="00577A0E"/>
    <w:rsid w:val="0058697A"/>
    <w:rsid w:val="00592E1E"/>
    <w:rsid w:val="005A0C37"/>
    <w:rsid w:val="005A13D6"/>
    <w:rsid w:val="005B05FF"/>
    <w:rsid w:val="005B5BEF"/>
    <w:rsid w:val="005B7640"/>
    <w:rsid w:val="005C0EA2"/>
    <w:rsid w:val="005C5F17"/>
    <w:rsid w:val="005D21F8"/>
    <w:rsid w:val="005D5E0E"/>
    <w:rsid w:val="005D6AD2"/>
    <w:rsid w:val="005E0250"/>
    <w:rsid w:val="00603276"/>
    <w:rsid w:val="00605A27"/>
    <w:rsid w:val="00617BF2"/>
    <w:rsid w:val="0062141B"/>
    <w:rsid w:val="00625932"/>
    <w:rsid w:val="006422DB"/>
    <w:rsid w:val="006440AA"/>
    <w:rsid w:val="00647714"/>
    <w:rsid w:val="00657410"/>
    <w:rsid w:val="00665E44"/>
    <w:rsid w:val="00673487"/>
    <w:rsid w:val="00676AE2"/>
    <w:rsid w:val="006A5C74"/>
    <w:rsid w:val="006D62E5"/>
    <w:rsid w:val="006E03D2"/>
    <w:rsid w:val="006E7E1E"/>
    <w:rsid w:val="006F53E1"/>
    <w:rsid w:val="006F6ED5"/>
    <w:rsid w:val="00713A20"/>
    <w:rsid w:val="00714457"/>
    <w:rsid w:val="0071795A"/>
    <w:rsid w:val="00723A3A"/>
    <w:rsid w:val="00730779"/>
    <w:rsid w:val="00730ECF"/>
    <w:rsid w:val="007346DC"/>
    <w:rsid w:val="00740F53"/>
    <w:rsid w:val="00750E78"/>
    <w:rsid w:val="00760722"/>
    <w:rsid w:val="00763483"/>
    <w:rsid w:val="00763793"/>
    <w:rsid w:val="00765384"/>
    <w:rsid w:val="00772200"/>
    <w:rsid w:val="0077249E"/>
    <w:rsid w:val="00772A1F"/>
    <w:rsid w:val="00781C35"/>
    <w:rsid w:val="00781F91"/>
    <w:rsid w:val="0078453B"/>
    <w:rsid w:val="007927B8"/>
    <w:rsid w:val="00796FE4"/>
    <w:rsid w:val="007A703E"/>
    <w:rsid w:val="007B7E2C"/>
    <w:rsid w:val="007C213E"/>
    <w:rsid w:val="007C33D1"/>
    <w:rsid w:val="007C3D43"/>
    <w:rsid w:val="007D6DB4"/>
    <w:rsid w:val="007E0E12"/>
    <w:rsid w:val="007E4B31"/>
    <w:rsid w:val="007F0D99"/>
    <w:rsid w:val="007F2BAE"/>
    <w:rsid w:val="007F6B9F"/>
    <w:rsid w:val="0080525F"/>
    <w:rsid w:val="00805C70"/>
    <w:rsid w:val="008078F8"/>
    <w:rsid w:val="00811180"/>
    <w:rsid w:val="00825335"/>
    <w:rsid w:val="0083587B"/>
    <w:rsid w:val="00840195"/>
    <w:rsid w:val="00842706"/>
    <w:rsid w:val="00845192"/>
    <w:rsid w:val="00851749"/>
    <w:rsid w:val="008536DA"/>
    <w:rsid w:val="0086383F"/>
    <w:rsid w:val="00867ED0"/>
    <w:rsid w:val="00871524"/>
    <w:rsid w:val="008775DB"/>
    <w:rsid w:val="00884519"/>
    <w:rsid w:val="00887BFB"/>
    <w:rsid w:val="00892071"/>
    <w:rsid w:val="00897A77"/>
    <w:rsid w:val="008A28F2"/>
    <w:rsid w:val="008A56AC"/>
    <w:rsid w:val="008B0284"/>
    <w:rsid w:val="008B0344"/>
    <w:rsid w:val="008B07F0"/>
    <w:rsid w:val="008B2455"/>
    <w:rsid w:val="008C278C"/>
    <w:rsid w:val="008C4517"/>
    <w:rsid w:val="008C59E6"/>
    <w:rsid w:val="008D14C1"/>
    <w:rsid w:val="008D464E"/>
    <w:rsid w:val="008D52D0"/>
    <w:rsid w:val="008F155D"/>
    <w:rsid w:val="008F5774"/>
    <w:rsid w:val="008F6009"/>
    <w:rsid w:val="008F6796"/>
    <w:rsid w:val="008F6822"/>
    <w:rsid w:val="00902E6F"/>
    <w:rsid w:val="00906289"/>
    <w:rsid w:val="009109C9"/>
    <w:rsid w:val="00913276"/>
    <w:rsid w:val="00915D62"/>
    <w:rsid w:val="00920110"/>
    <w:rsid w:val="00920B8B"/>
    <w:rsid w:val="009227A8"/>
    <w:rsid w:val="00931322"/>
    <w:rsid w:val="00943D47"/>
    <w:rsid w:val="009473EB"/>
    <w:rsid w:val="00955FAE"/>
    <w:rsid w:val="009562E3"/>
    <w:rsid w:val="0097486A"/>
    <w:rsid w:val="009863FF"/>
    <w:rsid w:val="00993A05"/>
    <w:rsid w:val="00994B4F"/>
    <w:rsid w:val="00996456"/>
    <w:rsid w:val="009B30CB"/>
    <w:rsid w:val="009C48C9"/>
    <w:rsid w:val="009C787A"/>
    <w:rsid w:val="009E122D"/>
    <w:rsid w:val="009F0681"/>
    <w:rsid w:val="009F0F2A"/>
    <w:rsid w:val="009F39B7"/>
    <w:rsid w:val="009F4065"/>
    <w:rsid w:val="00A05AEC"/>
    <w:rsid w:val="00A11379"/>
    <w:rsid w:val="00A160E9"/>
    <w:rsid w:val="00A1699F"/>
    <w:rsid w:val="00A34DA9"/>
    <w:rsid w:val="00A37A44"/>
    <w:rsid w:val="00A4131D"/>
    <w:rsid w:val="00A415CF"/>
    <w:rsid w:val="00A5001D"/>
    <w:rsid w:val="00A52E73"/>
    <w:rsid w:val="00A600D7"/>
    <w:rsid w:val="00A64A5A"/>
    <w:rsid w:val="00A75A8C"/>
    <w:rsid w:val="00A77788"/>
    <w:rsid w:val="00A82F3F"/>
    <w:rsid w:val="00A96041"/>
    <w:rsid w:val="00AB1A5C"/>
    <w:rsid w:val="00AB4D9C"/>
    <w:rsid w:val="00AC46B6"/>
    <w:rsid w:val="00AC53CB"/>
    <w:rsid w:val="00AC6200"/>
    <w:rsid w:val="00AC757C"/>
    <w:rsid w:val="00AE07FC"/>
    <w:rsid w:val="00AE2640"/>
    <w:rsid w:val="00AF293E"/>
    <w:rsid w:val="00AF513D"/>
    <w:rsid w:val="00B01F29"/>
    <w:rsid w:val="00B10733"/>
    <w:rsid w:val="00B111B5"/>
    <w:rsid w:val="00B3460E"/>
    <w:rsid w:val="00B373A3"/>
    <w:rsid w:val="00B40C5A"/>
    <w:rsid w:val="00B472A0"/>
    <w:rsid w:val="00B52AD6"/>
    <w:rsid w:val="00B714F7"/>
    <w:rsid w:val="00B77ECA"/>
    <w:rsid w:val="00B80C84"/>
    <w:rsid w:val="00B824B3"/>
    <w:rsid w:val="00B8281A"/>
    <w:rsid w:val="00B871C7"/>
    <w:rsid w:val="00B9098F"/>
    <w:rsid w:val="00BA1197"/>
    <w:rsid w:val="00BA4C35"/>
    <w:rsid w:val="00BA76D1"/>
    <w:rsid w:val="00BB0A97"/>
    <w:rsid w:val="00BB0BB3"/>
    <w:rsid w:val="00BB70E5"/>
    <w:rsid w:val="00BC4FB9"/>
    <w:rsid w:val="00BC6CA5"/>
    <w:rsid w:val="00BE38EA"/>
    <w:rsid w:val="00BF31F5"/>
    <w:rsid w:val="00BF5B30"/>
    <w:rsid w:val="00BF6820"/>
    <w:rsid w:val="00C0105B"/>
    <w:rsid w:val="00C04E21"/>
    <w:rsid w:val="00C059C9"/>
    <w:rsid w:val="00C06EE5"/>
    <w:rsid w:val="00C07171"/>
    <w:rsid w:val="00C2011E"/>
    <w:rsid w:val="00C25C49"/>
    <w:rsid w:val="00C26D6D"/>
    <w:rsid w:val="00C357EA"/>
    <w:rsid w:val="00C378A7"/>
    <w:rsid w:val="00C40B6A"/>
    <w:rsid w:val="00C415CB"/>
    <w:rsid w:val="00C43DD7"/>
    <w:rsid w:val="00C47D4D"/>
    <w:rsid w:val="00C50E9E"/>
    <w:rsid w:val="00C577B4"/>
    <w:rsid w:val="00C57931"/>
    <w:rsid w:val="00C6046A"/>
    <w:rsid w:val="00C610F2"/>
    <w:rsid w:val="00C6481F"/>
    <w:rsid w:val="00C730F7"/>
    <w:rsid w:val="00C75675"/>
    <w:rsid w:val="00C80F4A"/>
    <w:rsid w:val="00C810E2"/>
    <w:rsid w:val="00C8729F"/>
    <w:rsid w:val="00C97F9C"/>
    <w:rsid w:val="00CA0B14"/>
    <w:rsid w:val="00CA4B79"/>
    <w:rsid w:val="00CA5987"/>
    <w:rsid w:val="00CD648F"/>
    <w:rsid w:val="00CE0DB2"/>
    <w:rsid w:val="00CE6D7F"/>
    <w:rsid w:val="00CF1091"/>
    <w:rsid w:val="00CF120A"/>
    <w:rsid w:val="00CF3AA2"/>
    <w:rsid w:val="00D03F09"/>
    <w:rsid w:val="00D04C08"/>
    <w:rsid w:val="00D114EF"/>
    <w:rsid w:val="00D13F88"/>
    <w:rsid w:val="00D31473"/>
    <w:rsid w:val="00D36B6A"/>
    <w:rsid w:val="00D43003"/>
    <w:rsid w:val="00D47EA5"/>
    <w:rsid w:val="00D7475D"/>
    <w:rsid w:val="00DA323C"/>
    <w:rsid w:val="00DA6377"/>
    <w:rsid w:val="00DC2811"/>
    <w:rsid w:val="00DC3841"/>
    <w:rsid w:val="00DC53AE"/>
    <w:rsid w:val="00DC74D3"/>
    <w:rsid w:val="00DE25D0"/>
    <w:rsid w:val="00DF0461"/>
    <w:rsid w:val="00E00196"/>
    <w:rsid w:val="00E147C3"/>
    <w:rsid w:val="00E167CD"/>
    <w:rsid w:val="00E20011"/>
    <w:rsid w:val="00E237E6"/>
    <w:rsid w:val="00E37969"/>
    <w:rsid w:val="00E40A63"/>
    <w:rsid w:val="00E41748"/>
    <w:rsid w:val="00E437FB"/>
    <w:rsid w:val="00E47209"/>
    <w:rsid w:val="00E5005C"/>
    <w:rsid w:val="00E52AFE"/>
    <w:rsid w:val="00E545A6"/>
    <w:rsid w:val="00E547A4"/>
    <w:rsid w:val="00E56CB5"/>
    <w:rsid w:val="00E64FEA"/>
    <w:rsid w:val="00E74935"/>
    <w:rsid w:val="00E77040"/>
    <w:rsid w:val="00E83103"/>
    <w:rsid w:val="00E86E4F"/>
    <w:rsid w:val="00E90712"/>
    <w:rsid w:val="00E92758"/>
    <w:rsid w:val="00E94222"/>
    <w:rsid w:val="00E94C0F"/>
    <w:rsid w:val="00EA0289"/>
    <w:rsid w:val="00EA108E"/>
    <w:rsid w:val="00EA3F8D"/>
    <w:rsid w:val="00EA4346"/>
    <w:rsid w:val="00EA6F94"/>
    <w:rsid w:val="00EC02CD"/>
    <w:rsid w:val="00EC45B4"/>
    <w:rsid w:val="00EC51CC"/>
    <w:rsid w:val="00EC65DD"/>
    <w:rsid w:val="00ED61AA"/>
    <w:rsid w:val="00EF0BC8"/>
    <w:rsid w:val="00F0383E"/>
    <w:rsid w:val="00F03FE4"/>
    <w:rsid w:val="00F04C05"/>
    <w:rsid w:val="00F058A1"/>
    <w:rsid w:val="00F10157"/>
    <w:rsid w:val="00F20048"/>
    <w:rsid w:val="00F20ACA"/>
    <w:rsid w:val="00F21099"/>
    <w:rsid w:val="00F2220B"/>
    <w:rsid w:val="00F25984"/>
    <w:rsid w:val="00F35F63"/>
    <w:rsid w:val="00F44CFC"/>
    <w:rsid w:val="00F478BF"/>
    <w:rsid w:val="00F50484"/>
    <w:rsid w:val="00F54F8F"/>
    <w:rsid w:val="00F55F28"/>
    <w:rsid w:val="00F610E3"/>
    <w:rsid w:val="00F7733F"/>
    <w:rsid w:val="00F922FD"/>
    <w:rsid w:val="00F94745"/>
    <w:rsid w:val="00FB181B"/>
    <w:rsid w:val="00FB50BA"/>
    <w:rsid w:val="00FB6C69"/>
    <w:rsid w:val="00FC45AC"/>
    <w:rsid w:val="00FE1D63"/>
    <w:rsid w:val="00FF6E5E"/>
    <w:rsid w:val="03AFFF9B"/>
    <w:rsid w:val="1605DB12"/>
    <w:rsid w:val="1A81A5DC"/>
    <w:rsid w:val="1F7B21FB"/>
    <w:rsid w:val="2350EC81"/>
    <w:rsid w:val="27C9137B"/>
    <w:rsid w:val="35E59A9E"/>
    <w:rsid w:val="36D92AC0"/>
    <w:rsid w:val="6AE8A8B1"/>
    <w:rsid w:val="7067623D"/>
    <w:rsid w:val="74624F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41A5"/>
  <w15:chartTrackingRefBased/>
  <w15:docId w15:val="{22F9801F-68D8-4D42-BD3A-14E8D710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6AF"/>
    <w:rPr>
      <w:sz w:val="16"/>
      <w:szCs w:val="16"/>
    </w:rPr>
  </w:style>
  <w:style w:type="paragraph" w:styleId="CommentText">
    <w:name w:val="annotation text"/>
    <w:basedOn w:val="Normal"/>
    <w:link w:val="CommentTextChar"/>
    <w:uiPriority w:val="99"/>
    <w:unhideWhenUsed/>
    <w:rsid w:val="003E56AF"/>
    <w:pPr>
      <w:spacing w:line="240" w:lineRule="auto"/>
    </w:pPr>
    <w:rPr>
      <w:sz w:val="20"/>
      <w:szCs w:val="20"/>
    </w:rPr>
  </w:style>
  <w:style w:type="character" w:customStyle="1" w:styleId="CommentTextChar">
    <w:name w:val="Comment Text Char"/>
    <w:basedOn w:val="DefaultParagraphFont"/>
    <w:link w:val="CommentText"/>
    <w:uiPriority w:val="99"/>
    <w:rsid w:val="003E56AF"/>
    <w:rPr>
      <w:sz w:val="20"/>
      <w:szCs w:val="20"/>
    </w:rPr>
  </w:style>
  <w:style w:type="paragraph" w:styleId="CommentSubject">
    <w:name w:val="annotation subject"/>
    <w:basedOn w:val="CommentText"/>
    <w:next w:val="CommentText"/>
    <w:link w:val="CommentSubjectChar"/>
    <w:uiPriority w:val="99"/>
    <w:semiHidden/>
    <w:unhideWhenUsed/>
    <w:rsid w:val="003E56AF"/>
    <w:rPr>
      <w:b/>
      <w:bCs/>
    </w:rPr>
  </w:style>
  <w:style w:type="character" w:customStyle="1" w:styleId="CommentSubjectChar">
    <w:name w:val="Comment Subject Char"/>
    <w:basedOn w:val="CommentTextChar"/>
    <w:link w:val="CommentSubject"/>
    <w:uiPriority w:val="99"/>
    <w:semiHidden/>
    <w:rsid w:val="003E56AF"/>
    <w:rPr>
      <w:b/>
      <w:bCs/>
      <w:sz w:val="20"/>
      <w:szCs w:val="20"/>
    </w:rPr>
  </w:style>
  <w:style w:type="paragraph" w:styleId="ListParagraph">
    <w:name w:val="List Paragraph"/>
    <w:basedOn w:val="Normal"/>
    <w:uiPriority w:val="34"/>
    <w:qFormat/>
    <w:rsid w:val="00DC53AE"/>
    <w:pPr>
      <w:ind w:left="720"/>
      <w:contextualSpacing/>
    </w:pPr>
  </w:style>
  <w:style w:type="paragraph" w:styleId="Header">
    <w:name w:val="header"/>
    <w:basedOn w:val="Normal"/>
    <w:link w:val="HeaderChar"/>
    <w:uiPriority w:val="99"/>
    <w:unhideWhenUsed/>
    <w:rsid w:val="00F20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048"/>
  </w:style>
  <w:style w:type="paragraph" w:styleId="Footer">
    <w:name w:val="footer"/>
    <w:basedOn w:val="Normal"/>
    <w:link w:val="FooterChar"/>
    <w:uiPriority w:val="99"/>
    <w:unhideWhenUsed/>
    <w:rsid w:val="00F20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048"/>
  </w:style>
  <w:style w:type="table" w:styleId="TableGrid">
    <w:name w:val="Table Grid"/>
    <w:basedOn w:val="TableNormal"/>
    <w:uiPriority w:val="39"/>
    <w:rsid w:val="00955FAE"/>
    <w:pPr>
      <w:spacing w:after="0" w:line="240" w:lineRule="auto"/>
    </w:pPr>
    <w:rPr>
      <w:rFonts w:eastAsia="Batang"/>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55F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55FAE"/>
    <w:rPr>
      <w:rFonts w:ascii="Calibri" w:hAnsi="Calibri" w:cs="Calibri"/>
      <w:noProof/>
    </w:rPr>
  </w:style>
  <w:style w:type="paragraph" w:customStyle="1" w:styleId="EndNoteBibliography">
    <w:name w:val="EndNote Bibliography"/>
    <w:basedOn w:val="Normal"/>
    <w:link w:val="EndNoteBibliographyChar"/>
    <w:rsid w:val="00955F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55FAE"/>
    <w:rPr>
      <w:rFonts w:ascii="Calibri" w:hAnsi="Calibri" w:cs="Calibri"/>
      <w:noProof/>
    </w:rPr>
  </w:style>
  <w:style w:type="character" w:styleId="Hyperlink">
    <w:name w:val="Hyperlink"/>
    <w:basedOn w:val="DefaultParagraphFont"/>
    <w:uiPriority w:val="99"/>
    <w:unhideWhenUsed/>
    <w:rsid w:val="00955FAE"/>
    <w:rPr>
      <w:color w:val="0563C1" w:themeColor="hyperlink"/>
      <w:u w:val="single"/>
    </w:rPr>
  </w:style>
  <w:style w:type="character" w:styleId="UnresolvedMention">
    <w:name w:val="Unresolved Mention"/>
    <w:basedOn w:val="DefaultParagraphFont"/>
    <w:uiPriority w:val="99"/>
    <w:semiHidden/>
    <w:unhideWhenUsed/>
    <w:rsid w:val="0095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172">
      <w:bodyDiv w:val="1"/>
      <w:marLeft w:val="0"/>
      <w:marRight w:val="0"/>
      <w:marTop w:val="0"/>
      <w:marBottom w:val="0"/>
      <w:divBdr>
        <w:top w:val="none" w:sz="0" w:space="0" w:color="auto"/>
        <w:left w:val="none" w:sz="0" w:space="0" w:color="auto"/>
        <w:bottom w:val="none" w:sz="0" w:space="0" w:color="auto"/>
        <w:right w:val="none" w:sz="0" w:space="0" w:color="auto"/>
      </w:divBdr>
    </w:div>
    <w:div w:id="168299526">
      <w:bodyDiv w:val="1"/>
      <w:marLeft w:val="0"/>
      <w:marRight w:val="0"/>
      <w:marTop w:val="0"/>
      <w:marBottom w:val="0"/>
      <w:divBdr>
        <w:top w:val="none" w:sz="0" w:space="0" w:color="auto"/>
        <w:left w:val="none" w:sz="0" w:space="0" w:color="auto"/>
        <w:bottom w:val="none" w:sz="0" w:space="0" w:color="auto"/>
        <w:right w:val="none" w:sz="0" w:space="0" w:color="auto"/>
      </w:divBdr>
    </w:div>
    <w:div w:id="262616821">
      <w:bodyDiv w:val="1"/>
      <w:marLeft w:val="0"/>
      <w:marRight w:val="0"/>
      <w:marTop w:val="0"/>
      <w:marBottom w:val="0"/>
      <w:divBdr>
        <w:top w:val="none" w:sz="0" w:space="0" w:color="auto"/>
        <w:left w:val="none" w:sz="0" w:space="0" w:color="auto"/>
        <w:bottom w:val="none" w:sz="0" w:space="0" w:color="auto"/>
        <w:right w:val="none" w:sz="0" w:space="0" w:color="auto"/>
      </w:divBdr>
    </w:div>
    <w:div w:id="301352663">
      <w:bodyDiv w:val="1"/>
      <w:marLeft w:val="0"/>
      <w:marRight w:val="0"/>
      <w:marTop w:val="0"/>
      <w:marBottom w:val="0"/>
      <w:divBdr>
        <w:top w:val="none" w:sz="0" w:space="0" w:color="auto"/>
        <w:left w:val="none" w:sz="0" w:space="0" w:color="auto"/>
        <w:bottom w:val="none" w:sz="0" w:space="0" w:color="auto"/>
        <w:right w:val="none" w:sz="0" w:space="0" w:color="auto"/>
      </w:divBdr>
    </w:div>
    <w:div w:id="353271575">
      <w:bodyDiv w:val="1"/>
      <w:marLeft w:val="0"/>
      <w:marRight w:val="0"/>
      <w:marTop w:val="0"/>
      <w:marBottom w:val="0"/>
      <w:divBdr>
        <w:top w:val="none" w:sz="0" w:space="0" w:color="auto"/>
        <w:left w:val="none" w:sz="0" w:space="0" w:color="auto"/>
        <w:bottom w:val="none" w:sz="0" w:space="0" w:color="auto"/>
        <w:right w:val="none" w:sz="0" w:space="0" w:color="auto"/>
      </w:divBdr>
    </w:div>
    <w:div w:id="365103311">
      <w:bodyDiv w:val="1"/>
      <w:marLeft w:val="0"/>
      <w:marRight w:val="0"/>
      <w:marTop w:val="0"/>
      <w:marBottom w:val="0"/>
      <w:divBdr>
        <w:top w:val="none" w:sz="0" w:space="0" w:color="auto"/>
        <w:left w:val="none" w:sz="0" w:space="0" w:color="auto"/>
        <w:bottom w:val="none" w:sz="0" w:space="0" w:color="auto"/>
        <w:right w:val="none" w:sz="0" w:space="0" w:color="auto"/>
      </w:divBdr>
    </w:div>
    <w:div w:id="806123441">
      <w:bodyDiv w:val="1"/>
      <w:marLeft w:val="0"/>
      <w:marRight w:val="0"/>
      <w:marTop w:val="0"/>
      <w:marBottom w:val="0"/>
      <w:divBdr>
        <w:top w:val="none" w:sz="0" w:space="0" w:color="auto"/>
        <w:left w:val="none" w:sz="0" w:space="0" w:color="auto"/>
        <w:bottom w:val="none" w:sz="0" w:space="0" w:color="auto"/>
        <w:right w:val="none" w:sz="0" w:space="0" w:color="auto"/>
      </w:divBdr>
    </w:div>
    <w:div w:id="839858638">
      <w:bodyDiv w:val="1"/>
      <w:marLeft w:val="0"/>
      <w:marRight w:val="0"/>
      <w:marTop w:val="0"/>
      <w:marBottom w:val="0"/>
      <w:divBdr>
        <w:top w:val="none" w:sz="0" w:space="0" w:color="auto"/>
        <w:left w:val="none" w:sz="0" w:space="0" w:color="auto"/>
        <w:bottom w:val="none" w:sz="0" w:space="0" w:color="auto"/>
        <w:right w:val="none" w:sz="0" w:space="0" w:color="auto"/>
      </w:divBdr>
    </w:div>
    <w:div w:id="1108084341">
      <w:bodyDiv w:val="1"/>
      <w:marLeft w:val="0"/>
      <w:marRight w:val="0"/>
      <w:marTop w:val="0"/>
      <w:marBottom w:val="0"/>
      <w:divBdr>
        <w:top w:val="none" w:sz="0" w:space="0" w:color="auto"/>
        <w:left w:val="none" w:sz="0" w:space="0" w:color="auto"/>
        <w:bottom w:val="none" w:sz="0" w:space="0" w:color="auto"/>
        <w:right w:val="none" w:sz="0" w:space="0" w:color="auto"/>
      </w:divBdr>
    </w:div>
    <w:div w:id="1176384809">
      <w:bodyDiv w:val="1"/>
      <w:marLeft w:val="0"/>
      <w:marRight w:val="0"/>
      <w:marTop w:val="0"/>
      <w:marBottom w:val="0"/>
      <w:divBdr>
        <w:top w:val="none" w:sz="0" w:space="0" w:color="auto"/>
        <w:left w:val="none" w:sz="0" w:space="0" w:color="auto"/>
        <w:bottom w:val="none" w:sz="0" w:space="0" w:color="auto"/>
        <w:right w:val="none" w:sz="0" w:space="0" w:color="auto"/>
      </w:divBdr>
    </w:div>
    <w:div w:id="1323312047">
      <w:bodyDiv w:val="1"/>
      <w:marLeft w:val="0"/>
      <w:marRight w:val="0"/>
      <w:marTop w:val="0"/>
      <w:marBottom w:val="0"/>
      <w:divBdr>
        <w:top w:val="none" w:sz="0" w:space="0" w:color="auto"/>
        <w:left w:val="none" w:sz="0" w:space="0" w:color="auto"/>
        <w:bottom w:val="none" w:sz="0" w:space="0" w:color="auto"/>
        <w:right w:val="none" w:sz="0" w:space="0" w:color="auto"/>
      </w:divBdr>
    </w:div>
    <w:div w:id="1565681533">
      <w:bodyDiv w:val="1"/>
      <w:marLeft w:val="0"/>
      <w:marRight w:val="0"/>
      <w:marTop w:val="0"/>
      <w:marBottom w:val="0"/>
      <w:divBdr>
        <w:top w:val="none" w:sz="0" w:space="0" w:color="auto"/>
        <w:left w:val="none" w:sz="0" w:space="0" w:color="auto"/>
        <w:bottom w:val="none" w:sz="0" w:space="0" w:color="auto"/>
        <w:right w:val="none" w:sz="0" w:space="0" w:color="auto"/>
      </w:divBdr>
    </w:div>
    <w:div w:id="1613979679">
      <w:bodyDiv w:val="1"/>
      <w:marLeft w:val="0"/>
      <w:marRight w:val="0"/>
      <w:marTop w:val="0"/>
      <w:marBottom w:val="0"/>
      <w:divBdr>
        <w:top w:val="none" w:sz="0" w:space="0" w:color="auto"/>
        <w:left w:val="none" w:sz="0" w:space="0" w:color="auto"/>
        <w:bottom w:val="none" w:sz="0" w:space="0" w:color="auto"/>
        <w:right w:val="none" w:sz="0" w:space="0" w:color="auto"/>
      </w:divBdr>
    </w:div>
    <w:div w:id="1722946979">
      <w:bodyDiv w:val="1"/>
      <w:marLeft w:val="0"/>
      <w:marRight w:val="0"/>
      <w:marTop w:val="0"/>
      <w:marBottom w:val="0"/>
      <w:divBdr>
        <w:top w:val="none" w:sz="0" w:space="0" w:color="auto"/>
        <w:left w:val="none" w:sz="0" w:space="0" w:color="auto"/>
        <w:bottom w:val="none" w:sz="0" w:space="0" w:color="auto"/>
        <w:right w:val="none" w:sz="0" w:space="0" w:color="auto"/>
      </w:divBdr>
    </w:div>
    <w:div w:id="1725367160">
      <w:bodyDiv w:val="1"/>
      <w:marLeft w:val="0"/>
      <w:marRight w:val="0"/>
      <w:marTop w:val="0"/>
      <w:marBottom w:val="0"/>
      <w:divBdr>
        <w:top w:val="none" w:sz="0" w:space="0" w:color="auto"/>
        <w:left w:val="none" w:sz="0" w:space="0" w:color="auto"/>
        <w:bottom w:val="none" w:sz="0" w:space="0" w:color="auto"/>
        <w:right w:val="none" w:sz="0" w:space="0" w:color="auto"/>
      </w:divBdr>
    </w:div>
    <w:div w:id="1805736480">
      <w:bodyDiv w:val="1"/>
      <w:marLeft w:val="0"/>
      <w:marRight w:val="0"/>
      <w:marTop w:val="0"/>
      <w:marBottom w:val="0"/>
      <w:divBdr>
        <w:top w:val="none" w:sz="0" w:space="0" w:color="auto"/>
        <w:left w:val="none" w:sz="0" w:space="0" w:color="auto"/>
        <w:bottom w:val="none" w:sz="0" w:space="0" w:color="auto"/>
        <w:right w:val="none" w:sz="0" w:space="0" w:color="auto"/>
      </w:divBdr>
    </w:div>
    <w:div w:id="1859007776">
      <w:bodyDiv w:val="1"/>
      <w:marLeft w:val="0"/>
      <w:marRight w:val="0"/>
      <w:marTop w:val="0"/>
      <w:marBottom w:val="0"/>
      <w:divBdr>
        <w:top w:val="none" w:sz="0" w:space="0" w:color="auto"/>
        <w:left w:val="none" w:sz="0" w:space="0" w:color="auto"/>
        <w:bottom w:val="none" w:sz="0" w:space="0" w:color="auto"/>
        <w:right w:val="none" w:sz="0" w:space="0" w:color="auto"/>
      </w:divBdr>
    </w:div>
    <w:div w:id="20052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srcs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ls.gov/bls/news-release/ecec.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programs/digest/d21/tables/dt21_213.50.asp?current=y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ces.ed.gov/programs/digest/d14/tables/dt14_213.20.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programs/digest/d21/tables/dt21_213.20.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3620</Words>
  <Characters>20635</Characters>
  <Application>Microsoft Office Word</Application>
  <DocSecurity>0</DocSecurity>
  <Lines>171</Lines>
  <Paragraphs>48</Paragraphs>
  <ScaleCrop>false</ScaleCrop>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Joohyun (CDC/DDID/NCEZID/DGMQ)</dc:creator>
  <cp:keywords/>
  <dc:description/>
  <cp:lastModifiedBy>Park, Joohyun (CDC/DDID/NCEZID/DGMQ)</cp:lastModifiedBy>
  <cp:revision>3</cp:revision>
  <dcterms:created xsi:type="dcterms:W3CDTF">2022-12-13T21:31:00Z</dcterms:created>
  <dcterms:modified xsi:type="dcterms:W3CDTF">2022-12-13T21:32:00Z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2022-08-29T19:22:44Z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5ff7b8b3-b085-4bd7-b532-95b12247750a</vt:lpwstr>
  </property>
  <property fmtid="{D5CDD505-2E9C-101B-9397-08002B2CF9AE}" pid="8" name="MSIP_Label_7b94a7b8-f06c-4dfe-bdcc-9b548fd58c31_ContentBits">
    <vt:lpwstr>0</vt:lpwstr>
  </property>
</Properties>
</file>