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E1550" w14:textId="1F6B4F81" w:rsidR="00BA1DCF" w:rsidRDefault="00062370" w:rsidP="00BA1DCF">
      <w:pPr>
        <w:spacing w:line="360" w:lineRule="auto"/>
        <w:jc w:val="both"/>
        <w:rPr>
          <w:b/>
        </w:rPr>
      </w:pPr>
      <w:r>
        <w:rPr>
          <w:b/>
        </w:rPr>
        <w:t>Supplementary I</w:t>
      </w:r>
    </w:p>
    <w:p w14:paraId="55D7A59B" w14:textId="5F8D49A1" w:rsidR="00BA1DCF" w:rsidRPr="00283576" w:rsidRDefault="006D0055" w:rsidP="00BA1DCF">
      <w:pPr>
        <w:spacing w:line="360" w:lineRule="auto"/>
        <w:jc w:val="both"/>
        <w:rPr>
          <w:b/>
        </w:rPr>
      </w:pPr>
      <w:r>
        <w:rPr>
          <w:b/>
        </w:rPr>
        <w:br/>
      </w:r>
      <w:r w:rsidR="00BA1DCF">
        <w:rPr>
          <w:b/>
        </w:rPr>
        <w:t>Anthropometric measurements</w:t>
      </w:r>
    </w:p>
    <w:p w14:paraId="4CF8FDBB" w14:textId="69F91B5D" w:rsidR="00BA1DCF" w:rsidRPr="00215DEE" w:rsidRDefault="00BA1DCF" w:rsidP="00BA1DCF">
      <w:pPr>
        <w:spacing w:line="360" w:lineRule="auto"/>
        <w:jc w:val="both"/>
      </w:pPr>
      <w:r>
        <w:t>Anthropometric</w:t>
      </w:r>
      <w:r w:rsidRPr="00283576">
        <w:t xml:space="preserve"> measurements inc</w:t>
      </w:r>
      <w:r>
        <w:t xml:space="preserve">luded body height and weight, lower leg length and calf circumference. </w:t>
      </w:r>
      <w:r w:rsidRPr="00283576">
        <w:t xml:space="preserve">Body height was measured with a SECA 213 </w:t>
      </w:r>
      <w:proofErr w:type="spellStart"/>
      <w:r w:rsidRPr="006D0055">
        <w:t>stadiometer</w:t>
      </w:r>
      <w:proofErr w:type="spellEnd"/>
      <w:r w:rsidRPr="006D0055">
        <w:t xml:space="preserve"> (recorded in centimeters) and body weight was defined using a calibrated SECA 762 mechanical personal scale (Medical Measuring Systems and Scales, Chino, CA, USA) rounded up to the nearest 0.5 kilograms. Lower</w:t>
      </w:r>
      <w:r>
        <w:t xml:space="preserve"> l</w:t>
      </w:r>
      <w:r w:rsidRPr="00283576">
        <w:t xml:space="preserve">eg length </w:t>
      </w:r>
      <w:r>
        <w:t>was</w:t>
      </w:r>
      <w:r w:rsidRPr="00283576">
        <w:t xml:space="preserve"> measured in supine lying position with the knee in full extension and the leg in line with the trunk</w:t>
      </w:r>
      <w:r>
        <w:t xml:space="preserve"> by use of a measuring tape (recorded in millimeters) and was defined as the distance between </w:t>
      </w:r>
      <w:r w:rsidRPr="00283576">
        <w:t xml:space="preserve">the lateral </w:t>
      </w:r>
      <w:r>
        <w:t xml:space="preserve">epicondyle of the femur </w:t>
      </w:r>
      <w:bookmarkStart w:id="0" w:name="_GoBack"/>
      <w:bookmarkEnd w:id="0"/>
      <w:r>
        <w:t>and the</w:t>
      </w:r>
      <w:r w:rsidRPr="00283576">
        <w:t xml:space="preserve"> </w:t>
      </w:r>
      <w:r>
        <w:t xml:space="preserve">distal tip of the </w:t>
      </w:r>
      <w:r w:rsidRPr="00283576">
        <w:t>lateral malleolus of the fibula</w:t>
      </w:r>
      <w:r>
        <w:t xml:space="preserve"> </w:t>
      </w:r>
      <w:r w:rsidR="006D0055">
        <w:fldChar w:fldCharType="begin" w:fldLock="1"/>
      </w:r>
      <w:r w:rsidR="00274329">
        <w:instrText>ADDIN CSL_CITATION {"citationItems":[{"id":"ITEM-1","itemData":{"DOI":"10.1186/1471-2474-15-246","ISSN":"1471-2474 (Electronic)","PMID":"25053374","abstract":"BACKGROUND: Musculus gastrocnemius tightness (MGT) can be diagnosed by comparing  ankle dorsiflexion (ADF) with the knee extended and flexed. Although various measurement techniques exist, the degree of knee flexion needed to eliminate the effect of the gastrocnemius on ADF is still unknown. The aim of this study was to identify the minimal degree of knee flexion required to eliminate the restricting effect of the musculus gastrocnemius on ADF. METHODS: Bilateral ADF of 20 asymptomatic volunteers aged 18-40 years (50% female) was assessed prospectively at six different degrees of knee flexion (0°, 20°, 30°, 45°, 60°, 75°, Lunge). Tests were performed following a standardized protocol, non weightbearing and weightbearing, by two observers. Statistics comprised of descriptive statistics, t-tests, repeated measurement ANOVA and ICC. RESULTS: 20 individuals with a mean age of 27 ± 4 years were tested. No significant side to side differences were observed. The average ADF [95% confidence interval] for non weightbearing was 4° [1°-8°] with the knee extended and 20° [16°-24°] for the knee 75° flexed. Mean weightbearing ADF was 25° [22°-28°] for the knee extended and 39° [36°-42°] for the knee 75° flexed. The mean differences between 20° knee flexion and full extension were 15° [12°-18°] non weightbearing and 13° [11°-16°] weightbearing. Significant differences of ADF were only found between full extension and 20° of knee flexion. Further knee flexion did not increase ADF. CONCLUSION: Knee flexion of 20° fully eliminates the ADF restraining effect of the gastrocnemius. This knowledge is essential to design a standardized clinical examination assessing MGT.","author":[{"dropping-particle":"","family":"Baumbach","given":"Sebastian F","non-dropping-particle":"","parse-names":false,"suffix":""},{"dropping-particle":"","family":"Brumann","given":"Mareen","non-dropping-particle":"","parse-names":false,"suffix":""},{"dropping-particle":"","family":"Binder","given":"Jakob","non-dropping-particle":"","parse-names":false,"suffix":""},{"dropping-particle":"","family":"Mutschler","given":"Wolf","non-dropping-particle":"","parse-names":false,"suffix":""},{"dropping-particle":"","family":"Regauer","given":"Markus","non-dropping-particle":"","parse-names":false,"suffix":""},{"dropping-particle":"","family":"Polzer","given":"Hans","non-dropping-particle":"","parse-names":false,"suffix":""}],"container-title":"BMC musculoskeletal disorders","id":"ITEM-1","issued":{"date-parts":[["2014","7"]]},"language":"eng","page":"246","title":"The influence of knee position on ankle dorsiflexion - a biometric study.","type":"article-journal","volume":"15"},"uris":["http://www.mendeley.com/documents/?uuid=7e5de68f-857e-4a31-be1b-bcebd82c6a27"]}],"mendeley":{"formattedCitation":"(Baumbach &lt;i&gt;et al.&lt;/i&gt;, 2014)","plainTextFormattedCitation":"(Baumbach et al., 2014)","previouslyFormattedCitation":"(1)"},"properties":{"noteIndex":0},"schema":"https://github.com/citation-style-language/schema/raw/master/csl-citation.json"}</w:instrText>
      </w:r>
      <w:r w:rsidR="006D0055">
        <w:fldChar w:fldCharType="separate"/>
      </w:r>
      <w:r w:rsidR="00274329" w:rsidRPr="00274329">
        <w:rPr>
          <w:noProof/>
        </w:rPr>
        <w:t xml:space="preserve">(Baumbach </w:t>
      </w:r>
      <w:r w:rsidR="00274329" w:rsidRPr="00274329">
        <w:rPr>
          <w:i/>
          <w:noProof/>
        </w:rPr>
        <w:t>et al.</w:t>
      </w:r>
      <w:r w:rsidR="00274329" w:rsidRPr="00274329">
        <w:rPr>
          <w:noProof/>
        </w:rPr>
        <w:t>, 2014)</w:t>
      </w:r>
      <w:r w:rsidR="006D0055">
        <w:fldChar w:fldCharType="end"/>
      </w:r>
      <w:r>
        <w:t xml:space="preserve">. </w:t>
      </w:r>
      <w:r w:rsidRPr="00215DEE">
        <w:t xml:space="preserve">Calf circumference was measured </w:t>
      </w:r>
      <w:r w:rsidR="00AF7378">
        <w:t>in prone lying position</w:t>
      </w:r>
      <w:r w:rsidR="00AF7378">
        <w:t xml:space="preserve"> </w:t>
      </w:r>
      <w:r w:rsidRPr="00215DEE">
        <w:t xml:space="preserve">at </w:t>
      </w:r>
      <w:r>
        <w:t xml:space="preserve">50 percent of the muscle belly length. The 50 percent was defined as half of the distance from the epicondyle of the femur to the muscle tendon junction, which was identified by ultrasound and marked on the leg. </w:t>
      </w:r>
      <w:r w:rsidRPr="00215DEE">
        <w:t xml:space="preserve">Calf circumference was measured </w:t>
      </w:r>
      <w:r>
        <w:t xml:space="preserve">with the leg in relaxed position without contraction of the plantar flexors, </w:t>
      </w:r>
      <w:r w:rsidRPr="00215DEE">
        <w:t>perpendicular to the long axis of the calf and tight enough to be in contact with the skin without compress</w:t>
      </w:r>
      <w:r>
        <w:t>ion rounded up to the nearest 0.5</w:t>
      </w:r>
      <w:r w:rsidRPr="00215DEE">
        <w:t xml:space="preserve">cm. </w:t>
      </w:r>
    </w:p>
    <w:p w14:paraId="072AC149" w14:textId="77777777" w:rsidR="00BA1DCF" w:rsidRPr="00283576" w:rsidRDefault="00BA1DCF" w:rsidP="00BA1DCF">
      <w:pPr>
        <w:spacing w:line="360" w:lineRule="auto"/>
        <w:jc w:val="both"/>
        <w:rPr>
          <w:b/>
        </w:rPr>
      </w:pPr>
      <w:r>
        <w:rPr>
          <w:b/>
        </w:rPr>
        <w:t>Range of motion</w:t>
      </w:r>
    </w:p>
    <w:p w14:paraId="0E45B28A" w14:textId="4CD6A24B" w:rsidR="00BA1DCF" w:rsidRDefault="00BA1DCF" w:rsidP="00BA1DCF">
      <w:pPr>
        <w:spacing w:line="360" w:lineRule="auto"/>
        <w:jc w:val="both"/>
      </w:pPr>
      <w:r>
        <w:t>Maximal p</w:t>
      </w:r>
      <w:r w:rsidRPr="00283576">
        <w:t>assive range of motion for ankle dorsiflexion</w:t>
      </w:r>
      <w:r>
        <w:t xml:space="preserve"> </w:t>
      </w:r>
      <w:r w:rsidRPr="006016AD">
        <w:t xml:space="preserve">was measured for the children </w:t>
      </w:r>
      <w:r>
        <w:t>using a</w:t>
      </w:r>
      <w:r w:rsidRPr="00283576">
        <w:rPr>
          <w:vertAlign w:val="superscript"/>
        </w:rPr>
        <w:t xml:space="preserve"> </w:t>
      </w:r>
      <w:r w:rsidRPr="00283576">
        <w:t xml:space="preserve">universal goniometer (7" </w:t>
      </w:r>
      <w:r w:rsidRPr="00283576">
        <w:rPr>
          <w:shd w:val="clear" w:color="auto" w:fill="FFFFFF"/>
        </w:rPr>
        <w:t>Baseline Plastic goniometer, Fabrication Enterprises</w:t>
      </w:r>
      <w:r>
        <w:t xml:space="preserve">). The </w:t>
      </w:r>
      <w:r w:rsidRPr="00283576">
        <w:t xml:space="preserve">maximal passive dorsiflexion was assessed in a supine lying position with the knee </w:t>
      </w:r>
      <w:r>
        <w:t>maximally</w:t>
      </w:r>
      <w:r w:rsidR="00AF7378">
        <w:t xml:space="preserve"> extended</w:t>
      </w:r>
      <w:r w:rsidRPr="00283576">
        <w:t xml:space="preserve">. To remove the full tension of the </w:t>
      </w:r>
      <w:r>
        <w:t>soleus</w:t>
      </w:r>
      <w:r w:rsidRPr="00283576">
        <w:t xml:space="preserve"> muscle, a second test was performed with the knee and hip in 90</w:t>
      </w:r>
      <w:r w:rsidRPr="00283576">
        <w:rPr>
          <w:vertAlign w:val="superscript"/>
        </w:rPr>
        <w:t>o</w:t>
      </w:r>
      <w:r>
        <w:t xml:space="preserve"> of flexion</w:t>
      </w:r>
      <w:r w:rsidRPr="00631285">
        <w:t xml:space="preserve"> </w:t>
      </w:r>
      <w:r w:rsidR="006D0055" w:rsidRPr="000C7FD5">
        <w:rPr>
          <w:i/>
        </w:rPr>
        <w:fldChar w:fldCharType="begin" w:fldLock="1"/>
      </w:r>
      <w:r w:rsidR="00274329" w:rsidRPr="000C7FD5">
        <w:rPr>
          <w:i/>
        </w:rPr>
        <w:instrText>ADDIN CSL_CITATION {"citationItems":[{"id":"ITEM-1","itemData":{"DOI":"10.1097/BPB.0b013e328364220a","ISSN":"1473-5865 (Electronic)","PMID":"23852035","abstract":"Normative reference values are essential to identify deviation from normal and  evaluate response to treatment. As joint range of motion datasets specific to the pediatric population are infrequently reported in the literature, we determined lower limb passive joint range of motion and bone torsion values from 53 typically developing children aged 4-16 years. Our reference values were consistent with previously published norms, although for some measures, large variability in the literature exists. A clear correlation between joint range and age was observed in most measures. Our results highlight the importance of applying age-matched norms when attempting to identify deviation from normal in the growing child.","author":[{"dropping-particle":"","family":"Mudge","given":"Anita J","non-dropping-particle":"","parse-names":false,"suffix":""},{"dropping-particle":"V","family":"Bau","given":"Karen","non-dropping-particle":"","parse-names":false,"suffix":""},{"dropping-particle":"","family":"Purcell","given":"Leanne N","non-dropping-particle":"","parse-names":false,"suffix":""},{"dropping-particle":"","family":"Wu","given":"Jenny C","non-dropping-particle":"","parse-names":false,"suffix":""},{"dropping-particle":"","family":"Axt","given":"Matthias W","non-dropping-particle":"","parse-names":false,"suffix":""},{"dropping-particle":"","family":"Selber","given":"Paulo","non-dropping-particle":"","parse-names":false,"suffix":""},{"dropping-particle":"","family":"Burns","given":"Joshua","non-dropping-particle":"","parse-names":false,"suffix":""}],"container-title":"Journal of pediatric orthopedics. Part B","id":"ITEM-1","issue":"1","issued":{"date-parts":[["2014","1"]]},"language":"eng","page":"15-25","publisher-place":"United States","title":"Normative reference values for lower limb joint range, bone torsion, and  alignment in children aged 4-16 years.","type":"article-journal","volume":"23"},"uris":["http://www.mendeley.com/documents/?uuid=71e75013-6f32-41ac-bfa7-e94eca5b0c1f"]}],"mendeley":{"formattedCitation":"(Mudge &lt;i&gt;et al.&lt;/i&gt;, 2014)","plainTextFormattedCitation":"(Mudge et al., 2014)","previouslyFormattedCitation":"(2)"},"properties":{"noteIndex":0},"schema":"https://github.com/citation-style-language/schema/raw/master/csl-citation.json"}</w:instrText>
      </w:r>
      <w:r w:rsidR="006D0055" w:rsidRPr="000C7FD5">
        <w:rPr>
          <w:i/>
        </w:rPr>
        <w:fldChar w:fldCharType="separate"/>
      </w:r>
      <w:r w:rsidR="00274329" w:rsidRPr="000C7FD5">
        <w:rPr>
          <w:noProof/>
        </w:rPr>
        <w:t xml:space="preserve">(Mudge </w:t>
      </w:r>
      <w:r w:rsidR="00274329" w:rsidRPr="000C7FD5">
        <w:rPr>
          <w:i/>
          <w:noProof/>
        </w:rPr>
        <w:t>et al.</w:t>
      </w:r>
      <w:r w:rsidR="00274329" w:rsidRPr="000C7FD5">
        <w:rPr>
          <w:noProof/>
        </w:rPr>
        <w:t>, 2014)</w:t>
      </w:r>
      <w:r w:rsidR="006D0055" w:rsidRPr="000C7FD5">
        <w:rPr>
          <w:i/>
        </w:rPr>
        <w:fldChar w:fldCharType="end"/>
      </w:r>
      <w:r w:rsidRPr="000C7FD5">
        <w:t>. In all measurements, the fulcrum of the goniometer was placed on the lateral</w:t>
      </w:r>
      <w:r w:rsidRPr="00283576">
        <w:t xml:space="preserve"> malleolus, the stationary shaft was held parallel to the long axis of the fibula and the movable shaft </w:t>
      </w:r>
      <w:r>
        <w:t>was kept</w:t>
      </w:r>
      <w:r w:rsidRPr="00283576">
        <w:t xml:space="preserve"> parallel to the long axis of the fifth metatarsal bone</w:t>
      </w:r>
      <w:r w:rsidR="006D0055">
        <w:t xml:space="preserve"> </w:t>
      </w:r>
      <w:r w:rsidR="006D0055">
        <w:fldChar w:fldCharType="begin" w:fldLock="1"/>
      </w:r>
      <w:r w:rsidR="00274329">
        <w:instrText>ADDIN CSL_CITATION {"citationItems":[{"id":"ITEM-1","itemData":{"DOI":"10.1097/BPB.0b013e328364220a","ISSN":"1473-5865 (Electronic)","PMID":"23852035","abstract":"Normative reference values are essential to identify deviation from normal and  evaluate response to treatment. As joint range of motion datasets specific to the pediatric population are infrequently reported in the literature, we determined lower limb passive joint range of motion and bone torsion values from 53 typically developing children aged 4-16 years. Our reference values were consistent with previously published norms, although for some measures, large variability in the literature exists. A clear correlation between joint range and age was observed in most measures. Our results highlight the importance of applying age-matched norms when attempting to identify deviation from normal in the growing child.","author":[{"dropping-particle":"","family":"Mudge","given":"Anita J","non-dropping-particle":"","parse-names":false,"suffix":""},{"dropping-particle":"V","family":"Bau","given":"Karen","non-dropping-particle":"","parse-names":false,"suffix":""},{"dropping-particle":"","family":"Purcell","given":"Leanne N","non-dropping-particle":"","parse-names":false,"suffix":""},{"dropping-particle":"","family":"Wu","given":"Jenny C","non-dropping-particle":"","parse-names":false,"suffix":""},{"dropping-particle":"","family":"Axt","given":"Matthias W","non-dropping-particle":"","parse-names":false,"suffix":""},{"dropping-particle":"","family":"Selber","given":"Paulo","non-dropping-particle":"","parse-names":false,"suffix":""},{"dropping-particle":"","family":"Burns","given":"Joshua","non-dropping-particle":"","parse-names":false,"suffix":""}],"container-title":"Journal of pediatric orthopedics. Part B","id":"ITEM-1","issue":"1","issued":{"date-parts":[["2014","1"]]},"language":"eng","page":"15-25","publisher-place":"United States","title":"Normative reference values for lower limb joint range, bone torsion, and  alignment in children aged 4-16 years.","type":"article-journal","volume":"23"},"uris":["http://www.mendeley.com/documents/?uuid=71e75013-6f32-41ac-bfa7-e94eca5b0c1f"]}],"mendeley":{"formattedCitation":"(Mudge &lt;i&gt;et al.&lt;/i&gt;, 2014)","plainTextFormattedCitation":"(Mudge et al., 2014)","previouslyFormattedCitation":"(2)"},"properties":{"noteIndex":0},"schema":"https://github.com/citation-style-language/schema/raw/master/csl-citation.json"}</w:instrText>
      </w:r>
      <w:r w:rsidR="006D0055">
        <w:fldChar w:fldCharType="separate"/>
      </w:r>
      <w:r w:rsidR="00274329" w:rsidRPr="00274329">
        <w:rPr>
          <w:noProof/>
        </w:rPr>
        <w:t xml:space="preserve">(Mudge </w:t>
      </w:r>
      <w:r w:rsidR="00274329" w:rsidRPr="00274329">
        <w:rPr>
          <w:i/>
          <w:noProof/>
        </w:rPr>
        <w:t>et al.</w:t>
      </w:r>
      <w:r w:rsidR="00274329" w:rsidRPr="00274329">
        <w:rPr>
          <w:noProof/>
        </w:rPr>
        <w:t>, 2014)</w:t>
      </w:r>
      <w:r w:rsidR="006D0055">
        <w:fldChar w:fldCharType="end"/>
      </w:r>
      <w:r w:rsidRPr="00283576">
        <w:t>.</w:t>
      </w:r>
      <w:r>
        <w:t xml:space="preserve"> </w:t>
      </w:r>
      <w:r w:rsidRPr="00AE0906">
        <w:t xml:space="preserve">During both measurements, the hind foot was </w:t>
      </w:r>
      <w:r w:rsidR="00AF7378">
        <w:t>held</w:t>
      </w:r>
      <w:r w:rsidRPr="00AE0906">
        <w:t xml:space="preserve"> in neutral position (</w:t>
      </w:r>
      <w:r w:rsidR="00AF7378">
        <w:t xml:space="preserve">no </w:t>
      </w:r>
      <w:proofErr w:type="spellStart"/>
      <w:r w:rsidR="00AF7378">
        <w:t>varus</w:t>
      </w:r>
      <w:proofErr w:type="spellEnd"/>
      <w:r w:rsidR="00AF7378">
        <w:t xml:space="preserve"> or valgus was allowed).</w:t>
      </w:r>
    </w:p>
    <w:p w14:paraId="568C4DB0" w14:textId="5ED63EC5" w:rsidR="006D0055" w:rsidRPr="000C7FD5" w:rsidRDefault="000C7FD5" w:rsidP="00BA1DCF">
      <w:pPr>
        <w:spacing w:line="360" w:lineRule="auto"/>
        <w:jc w:val="both"/>
        <w:rPr>
          <w:b/>
        </w:rPr>
      </w:pPr>
      <w:r>
        <w:br/>
      </w:r>
      <w:r w:rsidRPr="000C7FD5">
        <w:rPr>
          <w:b/>
        </w:rPr>
        <w:t>References</w:t>
      </w:r>
    </w:p>
    <w:p w14:paraId="6CFD2586" w14:textId="6EDC9C43" w:rsidR="00274329" w:rsidRPr="00274329" w:rsidRDefault="006D0055" w:rsidP="000C7FD5">
      <w:pPr>
        <w:widowControl w:val="0"/>
        <w:autoSpaceDE w:val="0"/>
        <w:autoSpaceDN w:val="0"/>
        <w:adjustRightInd w:val="0"/>
        <w:spacing w:line="360" w:lineRule="auto"/>
        <w:jc w:val="both"/>
        <w:rPr>
          <w:rFonts w:ascii="Calibri" w:hAnsi="Calibri" w:cs="Calibri"/>
          <w:noProof/>
          <w:szCs w:val="24"/>
        </w:rPr>
      </w:pPr>
      <w:r>
        <w:fldChar w:fldCharType="begin" w:fldLock="1"/>
      </w:r>
      <w:r>
        <w:instrText xml:space="preserve">ADDIN Mendeley Bibliography CSL_BIBLIOGRAPHY </w:instrText>
      </w:r>
      <w:r>
        <w:fldChar w:fldCharType="separate"/>
      </w:r>
      <w:r w:rsidR="00274329" w:rsidRPr="00274329">
        <w:rPr>
          <w:rFonts w:ascii="Calibri" w:hAnsi="Calibri" w:cs="Calibri"/>
          <w:noProof/>
          <w:szCs w:val="24"/>
        </w:rPr>
        <w:t xml:space="preserve">Baumbach, S. F. </w:t>
      </w:r>
      <w:r w:rsidR="00274329" w:rsidRPr="00274329">
        <w:rPr>
          <w:rFonts w:ascii="Calibri" w:hAnsi="Calibri" w:cs="Calibri"/>
          <w:i/>
          <w:iCs/>
          <w:noProof/>
          <w:szCs w:val="24"/>
        </w:rPr>
        <w:t>et al.</w:t>
      </w:r>
      <w:r w:rsidR="00274329" w:rsidRPr="00274329">
        <w:rPr>
          <w:rFonts w:ascii="Calibri" w:hAnsi="Calibri" w:cs="Calibri"/>
          <w:noProof/>
          <w:szCs w:val="24"/>
        </w:rPr>
        <w:t xml:space="preserve"> (2014) ‘The influence of knee position on ankle dorsiflexion - a biometric study.’, </w:t>
      </w:r>
      <w:r w:rsidR="00274329" w:rsidRPr="00274329">
        <w:rPr>
          <w:rFonts w:ascii="Calibri" w:hAnsi="Calibri" w:cs="Calibri"/>
          <w:i/>
          <w:iCs/>
          <w:noProof/>
          <w:szCs w:val="24"/>
        </w:rPr>
        <w:t>BMC musculoskeletal disorders</w:t>
      </w:r>
      <w:r w:rsidR="00274329" w:rsidRPr="00274329">
        <w:rPr>
          <w:rFonts w:ascii="Calibri" w:hAnsi="Calibri" w:cs="Calibri"/>
          <w:noProof/>
          <w:szCs w:val="24"/>
        </w:rPr>
        <w:t>, 15, p. 246. doi: 10.1186/1471-2474-15-246.</w:t>
      </w:r>
    </w:p>
    <w:p w14:paraId="22DF0145" w14:textId="2063B45F" w:rsidR="009B2023" w:rsidRDefault="00274329" w:rsidP="000C7FD5">
      <w:pPr>
        <w:widowControl w:val="0"/>
        <w:autoSpaceDE w:val="0"/>
        <w:autoSpaceDN w:val="0"/>
        <w:adjustRightInd w:val="0"/>
        <w:spacing w:line="360" w:lineRule="auto"/>
        <w:jc w:val="both"/>
      </w:pPr>
      <w:r w:rsidRPr="00274329">
        <w:rPr>
          <w:rFonts w:ascii="Calibri" w:hAnsi="Calibri" w:cs="Calibri"/>
          <w:noProof/>
          <w:szCs w:val="24"/>
        </w:rPr>
        <w:t xml:space="preserve">Mudge, A. J. </w:t>
      </w:r>
      <w:r w:rsidRPr="00274329">
        <w:rPr>
          <w:rFonts w:ascii="Calibri" w:hAnsi="Calibri" w:cs="Calibri"/>
          <w:i/>
          <w:iCs/>
          <w:noProof/>
          <w:szCs w:val="24"/>
        </w:rPr>
        <w:t>et al.</w:t>
      </w:r>
      <w:r w:rsidRPr="00274329">
        <w:rPr>
          <w:rFonts w:ascii="Calibri" w:hAnsi="Calibri" w:cs="Calibri"/>
          <w:noProof/>
          <w:szCs w:val="24"/>
        </w:rPr>
        <w:t xml:space="preserve"> (2014) ‘Normative reference values for lower limb joint range, bone torsion, and  alignment in children aged 4-16 years.’, </w:t>
      </w:r>
      <w:r w:rsidRPr="00274329">
        <w:rPr>
          <w:rFonts w:ascii="Calibri" w:hAnsi="Calibri" w:cs="Calibri"/>
          <w:i/>
          <w:iCs/>
          <w:noProof/>
          <w:szCs w:val="24"/>
        </w:rPr>
        <w:t>Journal of pediatric orthopedics. Part B</w:t>
      </w:r>
      <w:r w:rsidRPr="00274329">
        <w:rPr>
          <w:rFonts w:ascii="Calibri" w:hAnsi="Calibri" w:cs="Calibri"/>
          <w:noProof/>
          <w:szCs w:val="24"/>
        </w:rPr>
        <w:t>. United States, 23(1), pp. 15–25. doi: 10.1097/BPB.0b013e328364220a.</w:t>
      </w:r>
      <w:r w:rsidR="006D0055">
        <w:fldChar w:fldCharType="end"/>
      </w:r>
    </w:p>
    <w:sectPr w:rsidR="009B20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BB90" w16cex:dateUtc="2022-10-16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94C79C" w16cid:durableId="26F6BB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CF"/>
    <w:rsid w:val="00056C2F"/>
    <w:rsid w:val="00062370"/>
    <w:rsid w:val="000C7FD5"/>
    <w:rsid w:val="00274329"/>
    <w:rsid w:val="002D4AF3"/>
    <w:rsid w:val="005F0307"/>
    <w:rsid w:val="006D0055"/>
    <w:rsid w:val="00844238"/>
    <w:rsid w:val="00982A46"/>
    <w:rsid w:val="009B2023"/>
    <w:rsid w:val="00AF7378"/>
    <w:rsid w:val="00BA1DCF"/>
    <w:rsid w:val="00BF0DC4"/>
    <w:rsid w:val="00C110D0"/>
    <w:rsid w:val="00D17FD1"/>
    <w:rsid w:val="00FB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C173"/>
  <w15:chartTrackingRefBased/>
  <w15:docId w15:val="{01E9561F-4989-44E8-B864-313DC0A3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2A46"/>
    <w:rPr>
      <w:sz w:val="16"/>
      <w:szCs w:val="16"/>
    </w:rPr>
  </w:style>
  <w:style w:type="paragraph" w:styleId="CommentText">
    <w:name w:val="annotation text"/>
    <w:basedOn w:val="Normal"/>
    <w:link w:val="CommentTextChar"/>
    <w:uiPriority w:val="99"/>
    <w:unhideWhenUsed/>
    <w:rsid w:val="00982A46"/>
    <w:pPr>
      <w:spacing w:line="240" w:lineRule="auto"/>
    </w:pPr>
    <w:rPr>
      <w:sz w:val="20"/>
      <w:szCs w:val="20"/>
    </w:rPr>
  </w:style>
  <w:style w:type="character" w:customStyle="1" w:styleId="CommentTextChar">
    <w:name w:val="Comment Text Char"/>
    <w:basedOn w:val="DefaultParagraphFont"/>
    <w:link w:val="CommentText"/>
    <w:uiPriority w:val="99"/>
    <w:rsid w:val="00982A46"/>
    <w:rPr>
      <w:sz w:val="20"/>
      <w:szCs w:val="20"/>
      <w:lang w:val="en-US"/>
    </w:rPr>
  </w:style>
  <w:style w:type="paragraph" w:styleId="CommentSubject">
    <w:name w:val="annotation subject"/>
    <w:basedOn w:val="CommentText"/>
    <w:next w:val="CommentText"/>
    <w:link w:val="CommentSubjectChar"/>
    <w:uiPriority w:val="99"/>
    <w:semiHidden/>
    <w:unhideWhenUsed/>
    <w:rsid w:val="00982A46"/>
    <w:rPr>
      <w:b/>
      <w:bCs/>
    </w:rPr>
  </w:style>
  <w:style w:type="character" w:customStyle="1" w:styleId="CommentSubjectChar">
    <w:name w:val="Comment Subject Char"/>
    <w:basedOn w:val="CommentTextChar"/>
    <w:link w:val="CommentSubject"/>
    <w:uiPriority w:val="99"/>
    <w:semiHidden/>
    <w:rsid w:val="00982A46"/>
    <w:rPr>
      <w:b/>
      <w:bCs/>
      <w:sz w:val="20"/>
      <w:szCs w:val="20"/>
      <w:lang w:val="en-US"/>
    </w:rPr>
  </w:style>
  <w:style w:type="paragraph" w:styleId="BalloonText">
    <w:name w:val="Balloon Text"/>
    <w:basedOn w:val="Normal"/>
    <w:link w:val="BalloonTextChar"/>
    <w:uiPriority w:val="99"/>
    <w:semiHidden/>
    <w:unhideWhenUsed/>
    <w:rsid w:val="00AF7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378"/>
    <w:rPr>
      <w:rFonts w:ascii="Segoe UI" w:hAnsi="Segoe UI" w:cs="Segoe UI"/>
      <w:sz w:val="18"/>
      <w:szCs w:val="18"/>
      <w:lang w:val="en-US"/>
    </w:rPr>
  </w:style>
  <w:style w:type="paragraph" w:styleId="Revision">
    <w:name w:val="Revision"/>
    <w:hidden/>
    <w:uiPriority w:val="99"/>
    <w:semiHidden/>
    <w:rsid w:val="00056C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A2E5DFB0-985C-4915-826D-4B940C08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 US2</dc:creator>
  <cp:keywords/>
  <dc:description/>
  <cp:lastModifiedBy>TRC US2</cp:lastModifiedBy>
  <cp:revision>4</cp:revision>
  <dcterms:created xsi:type="dcterms:W3CDTF">2022-10-25T12:09:00Z</dcterms:created>
  <dcterms:modified xsi:type="dcterms:W3CDTF">2022-10-26T00:34:00Z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3b5d700a-0b23-30dd-863d-27260656d269</vt:lpwstr>
  </property>
  <property fmtid="{D5CDD505-2E9C-101B-9397-08002B2CF9AE}" pid="24" name="Mendeley Citation Style_1">
    <vt:lpwstr>http://www.zotero.org/styles/harvard1</vt:lpwstr>
  </property>
</Properties>
</file>