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6477" w14:textId="77777777" w:rsidR="00627CBC" w:rsidRDefault="00627CBC" w:rsidP="00627CBC">
      <w:pPr>
        <w:spacing w:line="360" w:lineRule="auto"/>
        <w:jc w:val="both"/>
        <w:rPr>
          <w:b/>
        </w:rPr>
      </w:pPr>
      <w:r>
        <w:rPr>
          <w:b/>
        </w:rPr>
        <w:t>Supplementary III</w:t>
      </w:r>
    </w:p>
    <w:p w14:paraId="5D2FC900" w14:textId="77777777" w:rsidR="00627CBC" w:rsidRDefault="00627CBC" w:rsidP="00627CBC">
      <w:pPr>
        <w:spacing w:line="360" w:lineRule="auto"/>
        <w:jc w:val="both"/>
        <w:rPr>
          <w:b/>
        </w:rPr>
      </w:pPr>
    </w:p>
    <w:p w14:paraId="0D3EDF71" w14:textId="77777777" w:rsidR="00627CBC" w:rsidRPr="00CE22B9" w:rsidRDefault="00627CBC" w:rsidP="00627CBC">
      <w:pPr>
        <w:spacing w:line="360" w:lineRule="auto"/>
        <w:jc w:val="both"/>
        <w:rPr>
          <w:b/>
        </w:rPr>
      </w:pPr>
      <w:r w:rsidRPr="00CE22B9">
        <w:rPr>
          <w:b/>
        </w:rPr>
        <w:t>Measurement set up</w:t>
      </w:r>
    </w:p>
    <w:p w14:paraId="2E359D2A" w14:textId="77777777" w:rsidR="00193F8A" w:rsidRDefault="00627CBC" w:rsidP="00627CBC">
      <w:pPr>
        <w:spacing w:line="360" w:lineRule="auto"/>
        <w:jc w:val="both"/>
      </w:pPr>
      <w:r>
        <w:t xml:space="preserve">The muscle morphology was measured in </w:t>
      </w:r>
      <w:r w:rsidRPr="00283576">
        <w:t>prone posit</w:t>
      </w:r>
      <w:r>
        <w:t>i</w:t>
      </w:r>
      <w:r w:rsidRPr="00283576">
        <w:t xml:space="preserve">on </w:t>
      </w:r>
      <w:r>
        <w:t xml:space="preserve">with the hip </w:t>
      </w:r>
      <w:r w:rsidRPr="00F972E1">
        <w:t>in extension</w:t>
      </w:r>
      <w:r>
        <w:t xml:space="preserve">. The </w:t>
      </w:r>
      <w:r w:rsidRPr="00F972E1">
        <w:t xml:space="preserve">lower leg </w:t>
      </w:r>
      <w:r>
        <w:t xml:space="preserve">was placed </w:t>
      </w:r>
      <w:r w:rsidRPr="00F972E1">
        <w:t>on an triangular pillow</w:t>
      </w:r>
      <w:r>
        <w:t xml:space="preserve"> that was adjustable to support different lower leg lengths, resulting in 30 degrees of knee flexion during all measurement conditions. This 30 degrees of knee flexion was chosen to allow that this method could also be used in children </w:t>
      </w:r>
      <w:r w:rsidRPr="00257A43">
        <w:t xml:space="preserve">with SCP </w:t>
      </w:r>
      <w:r>
        <w:t xml:space="preserve">who have limited knee extension. In line with most studies in literature, the muscle morphology was first measured in a neutral or resting position of the </w:t>
      </w:r>
      <w:r w:rsidRPr="000B5963">
        <w:t xml:space="preserve">ankle </w:t>
      </w:r>
      <w:r w:rsidR="000B5963" w:rsidRPr="000B5963">
        <w:fldChar w:fldCharType="begin" w:fldLock="1"/>
      </w:r>
      <w:r w:rsidR="00B26FC0">
        <w:instrText>ADDIN CSL_CITATION {"citationItems":[{"id":"ITEM-1","itemData":{"DOI":"10.1111/dmcn.14714","ISSN":"14698749","PMID":"33107594","abstract":"Aim: To investigate the use of ultrasound and magnetic resonance imaging (MRI) methodologies to assess muscle morphology and architecture in children with cerebral palsy (CP). Method: A scoping review was conducted with systematic searches of Medline, Embase, Scopus, Web of Science, PubMed, and PsycInfo for all original articles published up to January 2019 utilizing ultrasound and/or MRI to determine morphological and architectural properties of lower limb skeletal muscle in children with CP. Results: Eighty papers used ultrasound (n=44), three-dimensional ultrasound (n=16), or MRI (n=20) to measure at least one muscle parameter in children and adolescents with CP. Most research investigated single muscles, predominantly the medial gastrocnemius muscle, included children classified in Gross Motor Function Classification System levels I (n=62) and II (n=65), and assessed fascicle length (n=35) and/or muscle volume (n=35). Only 21 papers reported reliability of imaging techniques. Forty-six papers assessed measures of Impairment (n=39), Activity (n=24), and Participation (n=3). Interpretation: Current research study design, variation in methodology, and preferences towards investigation of isolated muscles may oversimplify the complexities of CP muscle but provide a foundation for the understanding of the changes in muscle parameters in children with CP. What this paper adds: Current evidence is biased towards the medial gastrocnemius muscle and more functionally able children with cerebral palsy (CP). Variations in imaging techniques and joint positioning limit comparisons between studies. Clinimetric testing of parameters of CP muscle is not always considered. Assessment of parameter(s) of muscle with measures of participation is sparse.","author":[{"dropping-particle":"","family":"Williams","given":"Sîan A.","non-dropping-particle":"","parse-names":false,"suffix":""},{"dropping-particle":"","family":"Stott","given":"N. Susan","non-dropping-particle":"","parse-names":false,"suffix":""},{"dropping-particle":"","family":"Valentine","given":"Jane","non-dropping-particle":"","parse-names":false,"suffix":""},{"dropping-particle":"","family":"Elliott","given":"Catherine","non-dropping-particle":"","parse-names":false,"suffix":""},{"dropping-particle":"","family":"Reid","given":"Siobhán L.","non-dropping-particle":"","parse-names":false,"suffix":""}],"container-title":"Developmental Medicine and Child Neurology","id":"ITEM-1","issue":"3","issued":{"date-parts":[["2021"]]},"page":"263-273","title":"Measuring skeletal muscle morphology and architecture with imaging modalities in children with cerebral palsy: a scoping review","type":"article-journal","volume":"63"},"uris":["http://www.mendeley.com/documents/?uuid=ef378c18-ddc7-461b-9b5e-9b23f8ad1bfa"]},{"id":"ITEM-2","itemData":{"DOI":"10.3389/fneur.2021.692582","ISSN":"1664-2295 (Print)","PMID":"34381414","abstract":"Muscle weakness is a common clinical symptom in children with spastic cerebral  palsy (SCP). It is caused by impaired neural ability and altered intrinsic capacity of the muscles. To define the contribution of decreased muscle size to muscle weakness, two cohorts were recruited in this cross-sectional investigation: 53 children with SCP [median age, 8.2 (IQR, 4.1) years, 19/34 uni/bilateral] and 31 children with a typical development (TD) [median age, 9.7 (IQR, 2.9) years]. Muscle volume (MV) and muscle belly length for m. rectus femoris, semitendinosus, gastrocnemius medialis, and tibialis anterior were defined from three-dimensional freehand ultrasound acquisitions. A fixed dynamometer was used to assess maximal voluntary isometric contractions for knee extension, knee flexion, plantar flexion, and dorsiflexion from which maximal joint torque (MJT) was calculated. Selective motor control (SMC) was assessed on a 5-point scale for the children with SCP. First, the anthropometrics, strength, and muscle size parameters were compared between the cohorts. Significant differences for all muscle size and strength parameters were found (p ≤ 0.003), except for joint torque per MV for the plantar flexors. Secondly, the associations of anthropometrics, muscle size, gross motor function classification system (GMFCS) level, and SMC with MJT were investigated using univariate and stepwise multiple linear regressions. The associations of MJT with growth-related parameters like age, weight, and height appeared strongest in the TD cohort, whereas for the SCP cohort, these associations were accompanied by associations with SMC and GMFCS. The stepwise regression models resulted in ranges of explained variance in MJT from 29.3 to 66.3% in the TD cohort and from 16.8 to 60.1% in the SCP cohort. Finally, the MJT deficit observed in the SCP cohort was further investigated using the TD regression equations to estimate norm MJT based on height and potential MJT based on MV. From the total MJT deficit, 22.6-57.3% could be explained by deficits in MV. This investigation confirmed the disproportional decrease in muscle size and muscle strength around the knee and ankle joint in children with SCP, but also highlighted the large variability in the contribution of muscle size to muscle weakness.","author":[{"dropping-particle":"","family":"Hanssen","given":"Britta","non-dropping-particle":"","parse-names":false,"suffix":""},{"dropping-particle":"","family":"Peeters","given":"Nicky","non-dropping-particle":"","parse-names":false,"suffix":""},{"dropping-particle":"","family":"Vandekerckhove","given":"Ines","non-dropping-particle":"","parse-names":false,"suffix":""},{"dropping-particle":"","family":"Beukelaer","given":"Nathalie","non-dropping-particle":"De","parse-names":false,"suffix":""},{"dropping-particle":"","family":"Bar-On","given":"Lynn","non-dropping-particle":"","parse-names":false,"suffix":""},{"dropping-particle":"","family":"Molenaers","given":"Guy","non-dropping-particle":"","parse-names":false,"suffix":""},{"dropping-particle":"","family":"Campenhout","given":"Anja","non-dropping-particle":"Van","parse-names":false,"suffix":""},{"dropping-particle":"","family":"Degelaen","given":"Marc","non-dropping-particle":"","parse-names":false,"suffix":""},{"dropping-particle":"","family":"Broeck","given":"Christine","non-dropping-particle":"Van den","parse-names":false,"suffix":""},{"dropping-particle":"","family":"Calders","given":"Patrick","non-dropping-particle":"","parse-names":false,"suffix":""},{"dropping-particle":"","family":"Desloovere","given":"Kaat","non-dropping-particle":"","parse-names":false,"suffix":""}],"container-title":"Frontiers in neurology","id":"ITEM-2","issued":{"date-parts":[["2021"]]},"language":"eng","page":"692582","title":"The Contribution of Decreased Muscle Size to Muscle Weakness in Children With  Spastic Cerebral Palsy.","type":"article-journal","volume":"12"},"uris":["http://www.mendeley.com/documents/?uuid=c2a6e1b4-5276-47fd-978a-26ae788dff29"]}],"mendeley":{"formattedCitation":"(Hanssen &lt;i&gt;et al.&lt;/i&gt;, 2021; Williams &lt;i&gt;et al.&lt;/i&gt;, 2021)","plainTextFormattedCitation":"(Hanssen et al., 2021; Williams et al., 2021)","previouslyFormattedCitation":"(1,2)"},"properties":{"noteIndex":0},"schema":"https://github.com/citation-style-language/schema/raw/master/csl-citation.json"}</w:instrText>
      </w:r>
      <w:r w:rsidR="000B5963" w:rsidRPr="000B5963">
        <w:fldChar w:fldCharType="separate"/>
      </w:r>
      <w:r w:rsidR="00B26FC0" w:rsidRPr="00B26FC0">
        <w:rPr>
          <w:noProof/>
        </w:rPr>
        <w:t xml:space="preserve">(Hanssen </w:t>
      </w:r>
      <w:r w:rsidR="00B26FC0" w:rsidRPr="00B26FC0">
        <w:rPr>
          <w:i/>
          <w:noProof/>
        </w:rPr>
        <w:t>et al.</w:t>
      </w:r>
      <w:r w:rsidR="00B26FC0" w:rsidRPr="00B26FC0">
        <w:rPr>
          <w:noProof/>
        </w:rPr>
        <w:t xml:space="preserve">, 2021; Williams </w:t>
      </w:r>
      <w:r w:rsidR="00B26FC0" w:rsidRPr="00B26FC0">
        <w:rPr>
          <w:i/>
          <w:noProof/>
        </w:rPr>
        <w:t>et al.</w:t>
      </w:r>
      <w:r w:rsidR="00B26FC0" w:rsidRPr="00B26FC0">
        <w:rPr>
          <w:noProof/>
        </w:rPr>
        <w:t>, 2021)</w:t>
      </w:r>
      <w:r w:rsidR="000B5963" w:rsidRPr="000B5963">
        <w:fldChar w:fldCharType="end"/>
      </w:r>
      <w:r w:rsidR="000B5963" w:rsidRPr="000B5963">
        <w:t>.</w:t>
      </w:r>
      <w:r w:rsidR="000B5963">
        <w:t xml:space="preserve"> </w:t>
      </w:r>
      <w:r>
        <w:t xml:space="preserve">Besides this neutral or resting position, the muscle morphology was also measured in a stretched condition by a applying a predefined torque on the ankle joint. A custom made set-up, with the foot of the child placed in the orthosis on which a force sensor was fixed, allowed the investigator to apply different torques on the ankle joint. Three different sizes (small, medium, large) of orthoses were available to ensure that the rotation axis of the set-up could be visually aligned with the axis through the malleoli </w:t>
      </w:r>
      <w:r w:rsidRPr="000B5963">
        <w:rPr>
          <w:highlight w:val="lightGray"/>
        </w:rPr>
        <w:t>(</w:t>
      </w:r>
      <w:r w:rsidR="00B26FC0">
        <w:rPr>
          <w:highlight w:val="lightGray"/>
        </w:rPr>
        <w:t xml:space="preserve">red </w:t>
      </w:r>
      <w:r w:rsidRPr="00302215">
        <w:rPr>
          <w:highlight w:val="lightGray"/>
        </w:rPr>
        <w:t>dot</w:t>
      </w:r>
      <w:r w:rsidR="00302215" w:rsidRPr="00302215">
        <w:rPr>
          <w:highlight w:val="lightGray"/>
        </w:rPr>
        <w:t>; supplementary III</w:t>
      </w:r>
      <w:r w:rsidR="00302215" w:rsidRPr="000B5963">
        <w:rPr>
          <w:highlight w:val="lightGray"/>
        </w:rPr>
        <w:t>, Figure 1</w:t>
      </w:r>
      <w:r>
        <w:t xml:space="preserve">). A dynamometer was </w:t>
      </w:r>
      <w:r w:rsidRPr="00F972E1">
        <w:t xml:space="preserve">attached </w:t>
      </w:r>
      <w:r>
        <w:t xml:space="preserve">by an iron bar to </w:t>
      </w:r>
      <w:r w:rsidRPr="00F972E1">
        <w:t>the foot</w:t>
      </w:r>
      <w:r>
        <w:t>plate of the orthosis. The amount of force (green arrow in picture 1) that was applied by the investigator on the dynamometer (</w:t>
      </w:r>
      <w:r>
        <w:rPr>
          <w:lang w:val="en-GB"/>
        </w:rPr>
        <w:t xml:space="preserve">MicroFed2, </w:t>
      </w:r>
      <w:r w:rsidRPr="005852BC">
        <w:rPr>
          <w:rFonts w:cstheme="minorHAnsi"/>
          <w:color w:val="212121"/>
          <w:shd w:val="clear" w:color="auto" w:fill="FFFFFF"/>
          <w:lang w:val="en-GB"/>
        </w:rPr>
        <w:t>Hogan Health Industries, Inc. 8020 South 1300 West, West Jordan, USA</w:t>
      </w:r>
      <w:r w:rsidRPr="005852BC">
        <w:rPr>
          <w:rFonts w:cstheme="minorHAnsi"/>
          <w:lang w:val="en-GB"/>
        </w:rPr>
        <w:t>)</w:t>
      </w:r>
      <w:r>
        <w:rPr>
          <w:rFonts w:cstheme="minorHAnsi"/>
          <w:lang w:val="en-GB"/>
        </w:rPr>
        <w:t xml:space="preserve"> </w:t>
      </w:r>
      <w:r>
        <w:t xml:space="preserve">was calculated by dividing the desired torque by the moment-arm </w:t>
      </w:r>
      <w:r w:rsidRPr="000B5963">
        <w:rPr>
          <w:highlight w:val="lightGray"/>
        </w:rPr>
        <w:t>(yellow line</w:t>
      </w:r>
      <w:r w:rsidR="00302215" w:rsidRPr="000B5963">
        <w:rPr>
          <w:highlight w:val="lightGray"/>
        </w:rPr>
        <w:t>,</w:t>
      </w:r>
      <w:r w:rsidR="00302215" w:rsidRPr="00302215">
        <w:rPr>
          <w:highlight w:val="lightGray"/>
        </w:rPr>
        <w:t xml:space="preserve"> </w:t>
      </w:r>
      <w:r w:rsidR="00302215" w:rsidRPr="002C3D39">
        <w:rPr>
          <w:highlight w:val="lightGray"/>
        </w:rPr>
        <w:t>supplementary III, Figure</w:t>
      </w:r>
      <w:r w:rsidR="000B5963">
        <w:rPr>
          <w:highlight w:val="lightGray"/>
        </w:rPr>
        <w:t xml:space="preserve"> 1)</w:t>
      </w:r>
      <w:r w:rsidR="00302215" w:rsidRPr="002C3D39">
        <w:rPr>
          <w:highlight w:val="lightGray"/>
        </w:rPr>
        <w:t xml:space="preserve"> </w:t>
      </w:r>
      <w:r>
        <w:t xml:space="preserve"> of the dynamometer with respect to the ankle joint (</w:t>
      </w:r>
      <w:r w:rsidRPr="000B5963">
        <w:rPr>
          <w:highlight w:val="lightGray"/>
        </w:rPr>
        <w:t>red dot</w:t>
      </w:r>
      <w:r w:rsidR="00302215" w:rsidRPr="000B5963">
        <w:rPr>
          <w:highlight w:val="lightGray"/>
        </w:rPr>
        <w:t>,</w:t>
      </w:r>
      <w:r w:rsidRPr="000B5963">
        <w:rPr>
          <w:highlight w:val="lightGray"/>
        </w:rPr>
        <w:t xml:space="preserve"> </w:t>
      </w:r>
      <w:r w:rsidR="00302215" w:rsidRPr="002C3D39">
        <w:rPr>
          <w:highlight w:val="lightGray"/>
        </w:rPr>
        <w:t xml:space="preserve">supplementary III, </w:t>
      </w:r>
      <w:r w:rsidR="00302215" w:rsidRPr="00B26FC0">
        <w:rPr>
          <w:highlight w:val="lightGray"/>
        </w:rPr>
        <w:t>Figure</w:t>
      </w:r>
      <w:r w:rsidR="000B5963" w:rsidRPr="00B26FC0">
        <w:rPr>
          <w:highlight w:val="lightGray"/>
        </w:rPr>
        <w:t xml:space="preserve"> 1</w:t>
      </w:r>
      <w:r>
        <w:t>). When the desired ankle torque was gained</w:t>
      </w:r>
      <w:r w:rsidR="00770281">
        <w:t xml:space="preserve"> (i.e., 0Nm, 1Nm, or 4Nm)</w:t>
      </w:r>
      <w:r>
        <w:t>, the axis of the custom made set-up was fixed to that certain position, and the muscle morphology measurements were performed in this static position</w:t>
      </w:r>
      <w:r w:rsidR="00F73014">
        <w:t xml:space="preserve"> (</w:t>
      </w:r>
      <w:r w:rsidR="00F73014">
        <w:rPr>
          <w:i/>
          <w:highlight w:val="lightGray"/>
          <w:lang w:val="en-GB"/>
        </w:rPr>
        <w:t>supplementary III</w:t>
      </w:r>
      <w:r w:rsidR="00F73014" w:rsidRPr="00015474">
        <w:rPr>
          <w:i/>
          <w:highlight w:val="lightGray"/>
          <w:lang w:val="en-GB"/>
        </w:rPr>
        <w:t>, Figure 2</w:t>
      </w:r>
      <w:r w:rsidR="00F73014">
        <w:rPr>
          <w:i/>
          <w:lang w:val="en-GB"/>
        </w:rPr>
        <w:t>)</w:t>
      </w:r>
      <w:r>
        <w:t xml:space="preserve">. </w:t>
      </w:r>
    </w:p>
    <w:p w14:paraId="59829EE2" w14:textId="685EA5FE" w:rsidR="00193F8A" w:rsidRDefault="00FA031D" w:rsidP="00627CBC">
      <w:pPr>
        <w:spacing w:line="360" w:lineRule="auto"/>
        <w:jc w:val="both"/>
      </w:pPr>
      <w:r>
        <w:rPr>
          <w:noProof/>
          <w:sz w:val="16"/>
          <w:szCs w:val="16"/>
          <w:lang w:val="en-GB" w:eastAsia="en-GB"/>
        </w:rPr>
        <mc:AlternateContent>
          <mc:Choice Requires="wpg">
            <w:drawing>
              <wp:anchor distT="0" distB="0" distL="114300" distR="114300" simplePos="0" relativeHeight="251661312" behindDoc="0" locked="0" layoutInCell="1" allowOverlap="1" wp14:anchorId="1212FE7B" wp14:editId="4A65BDC4">
                <wp:simplePos x="0" y="0"/>
                <wp:positionH relativeFrom="column">
                  <wp:posOffset>1432560</wp:posOffset>
                </wp:positionH>
                <wp:positionV relativeFrom="paragraph">
                  <wp:posOffset>626110</wp:posOffset>
                </wp:positionV>
                <wp:extent cx="917820" cy="1054980"/>
                <wp:effectExtent l="0" t="19050" r="15875" b="12065"/>
                <wp:wrapNone/>
                <wp:docPr id="20" name="Group 20"/>
                <wp:cNvGraphicFramePr/>
                <a:graphic xmlns:a="http://schemas.openxmlformats.org/drawingml/2006/main">
                  <a:graphicData uri="http://schemas.microsoft.com/office/word/2010/wordprocessingGroup">
                    <wpg:wgp>
                      <wpg:cNvGrpSpPr/>
                      <wpg:grpSpPr>
                        <a:xfrm>
                          <a:off x="0" y="0"/>
                          <a:ext cx="917820" cy="1054980"/>
                          <a:chOff x="0" y="0"/>
                          <a:chExt cx="917820" cy="1054980"/>
                        </a:xfrm>
                      </wpg:grpSpPr>
                      <wps:wsp>
                        <wps:cNvPr id="8" name="Right Arrow 8"/>
                        <wps:cNvSpPr/>
                        <wps:spPr>
                          <a:xfrm>
                            <a:off x="0" y="0"/>
                            <a:ext cx="655320" cy="220980"/>
                          </a:xfrm>
                          <a:prstGeom prst="rightArrow">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723514" y="106655"/>
                            <a:ext cx="8006" cy="906805"/>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845820" y="982980"/>
                            <a:ext cx="72000" cy="720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900DC67" id="Group 20" o:spid="_x0000_s1026" style="position:absolute;margin-left:112.8pt;margin-top:49.3pt;width:72.25pt;height:83.05pt;z-index:251661312;mso-height-relative:margin" coordsize="9178,1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7" type="#_x0000_t13" style="position:absolute;width:6553;height:2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" adj="17958" fillcolor="#00b050" strokecolor="black [3213]" strokeweight="1pt"/>
                <v:line id="Straight Connector 12" o:spid="_x0000_s1028" style="position:absolute;visibility:visible;mso-wrap-style:square" from="7235,1066" to="7315,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" strokecolor="#ffc000" strokeweight="3pt">
                  <v:stroke joinstyle="miter"/>
                </v:line>
                <v:oval id="Oval 13" o:spid="_x0000_s1029" style="position:absolute;left:8458;top:9829;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" fillcolor="red" strokecolor="#1f3763 [1604]" strokeweight="1pt">
                  <v:stroke joinstyle="miter"/>
                </v:oval>
              </v:group>
            </w:pict>
          </mc:Fallback>
        </mc:AlternateContent>
      </w:r>
      <w:r w:rsidR="00193F8A">
        <w:rPr>
          <w:noProof/>
          <w:sz w:val="16"/>
          <w:szCs w:val="16"/>
          <w:lang w:val="en-GB" w:eastAsia="en-GB"/>
        </w:rPr>
        <w:drawing>
          <wp:inline distT="0" distB="0" distL="0" distR="0" wp14:anchorId="5AE91B45" wp14:editId="2517B5A2">
            <wp:extent cx="3528060" cy="2440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3439.jpg"/>
                    <pic:cNvPicPr/>
                  </pic:nvPicPr>
                  <pic:blipFill rotWithShape="1">
                    <a:blip r:embed="rId7" cstate="print">
                      <a:extLst>
                        <a:ext uri="{28A0092B-C50C-407E-A947-70E740481C1C}">
                          <a14:useLocalDpi xmlns:a14="http://schemas.microsoft.com/office/drawing/2010/main" val="0"/>
                        </a:ext>
                      </a:extLst>
                    </a:blip>
                    <a:srcRect l="34833" t="4254" b="35658"/>
                    <a:stretch/>
                  </pic:blipFill>
                  <pic:spPr bwMode="auto">
                    <a:xfrm>
                      <a:off x="0" y="0"/>
                      <a:ext cx="3538651" cy="2447337"/>
                    </a:xfrm>
                    <a:prstGeom prst="rect">
                      <a:avLst/>
                    </a:prstGeom>
                    <a:ln>
                      <a:noFill/>
                    </a:ln>
                    <a:extLst>
                      <a:ext uri="{53640926-AAD7-44D8-BBD7-CCE9431645EC}">
                        <a14:shadowObscured xmlns:a14="http://schemas.microsoft.com/office/drawing/2010/main"/>
                      </a:ext>
                    </a:extLst>
                  </pic:spPr>
                </pic:pic>
              </a:graphicData>
            </a:graphic>
          </wp:inline>
        </w:drawing>
      </w:r>
    </w:p>
    <w:p w14:paraId="10170F6D" w14:textId="72315222" w:rsidR="00627CBC" w:rsidRPr="00193F8A" w:rsidRDefault="00302215" w:rsidP="00627CBC">
      <w:pPr>
        <w:spacing w:line="360" w:lineRule="auto"/>
        <w:jc w:val="both"/>
        <w:rPr>
          <w:sz w:val="18"/>
          <w:szCs w:val="18"/>
        </w:rPr>
      </w:pPr>
      <w:r w:rsidRPr="00193F8A">
        <w:rPr>
          <w:sz w:val="18"/>
          <w:szCs w:val="18"/>
        </w:rPr>
        <w:t>Supplem</w:t>
      </w:r>
      <w:r w:rsidR="000B5963" w:rsidRPr="00193F8A">
        <w:rPr>
          <w:sz w:val="18"/>
          <w:szCs w:val="18"/>
        </w:rPr>
        <w:t>e</w:t>
      </w:r>
      <w:r w:rsidRPr="00193F8A">
        <w:rPr>
          <w:sz w:val="18"/>
          <w:szCs w:val="18"/>
        </w:rPr>
        <w:t xml:space="preserve">ntary III, </w:t>
      </w:r>
      <w:r w:rsidR="00627CBC" w:rsidRPr="00193F8A">
        <w:rPr>
          <w:sz w:val="18"/>
          <w:szCs w:val="18"/>
        </w:rPr>
        <w:t>Figure 1</w:t>
      </w:r>
      <w:r w:rsidR="00F73014" w:rsidRPr="00193F8A">
        <w:rPr>
          <w:sz w:val="18"/>
          <w:szCs w:val="18"/>
        </w:rPr>
        <w:t>: The set-up for fixation of the ankle joint by applying different torques</w:t>
      </w:r>
    </w:p>
    <w:p w14:paraId="6928C5B4" w14:textId="77777777" w:rsidR="00193F8A" w:rsidRPr="00F73014" w:rsidRDefault="00193F8A" w:rsidP="00627CBC">
      <w:pPr>
        <w:spacing w:line="360" w:lineRule="auto"/>
        <w:jc w:val="both"/>
        <w:rPr>
          <w:sz w:val="20"/>
          <w:szCs w:val="20"/>
        </w:rPr>
      </w:pPr>
    </w:p>
    <w:p w14:paraId="5984DEF1" w14:textId="395E3863" w:rsidR="00F73014" w:rsidRDefault="00F73014" w:rsidP="00F73014">
      <w:pPr>
        <w:spacing w:line="360" w:lineRule="auto"/>
        <w:ind w:firstLine="720"/>
        <w:jc w:val="both"/>
      </w:pPr>
      <w:r>
        <w:t>RP</w:t>
      </w:r>
      <w:r w:rsidRPr="00F73014">
        <w:t xml:space="preserve"> </w:t>
      </w:r>
      <w:r>
        <w:tab/>
      </w:r>
      <w:r>
        <w:tab/>
      </w:r>
      <w:r>
        <w:tab/>
        <w:t>Baseline</w:t>
      </w:r>
      <w:r>
        <w:tab/>
      </w:r>
      <w:r>
        <w:tab/>
        <w:t xml:space="preserve">   </w:t>
      </w:r>
      <w:r>
        <w:rPr>
          <w:noProof/>
          <w:lang w:val="en-GB" w:eastAsia="en-GB"/>
        </w:rPr>
        <w:t>1Nm</w:t>
      </w:r>
      <w:r>
        <w:rPr>
          <w:noProof/>
          <w:lang w:val="en-GB" w:eastAsia="en-GB"/>
        </w:rPr>
        <w:tab/>
      </w:r>
      <w:r>
        <w:rPr>
          <w:noProof/>
          <w:lang w:val="en-GB" w:eastAsia="en-GB"/>
        </w:rPr>
        <w:tab/>
      </w:r>
      <w:r>
        <w:rPr>
          <w:noProof/>
          <w:lang w:val="en-GB" w:eastAsia="en-GB"/>
        </w:rPr>
        <w:tab/>
        <w:t xml:space="preserve">        4Nm</w:t>
      </w:r>
    </w:p>
    <w:p w14:paraId="07D08865" w14:textId="6ADC1E8A" w:rsidR="00F73014" w:rsidRDefault="00193F8A" w:rsidP="00F73014">
      <w:pPr>
        <w:spacing w:line="360" w:lineRule="auto"/>
        <w:jc w:val="both"/>
      </w:pPr>
      <w:r>
        <w:rPr>
          <w:noProof/>
          <w:lang w:val="en-GB" w:eastAsia="en-GB"/>
        </w:rPr>
        <w:drawing>
          <wp:inline distT="0" distB="0" distL="0" distR="0" wp14:anchorId="35D06097" wp14:editId="16474B9E">
            <wp:extent cx="1325880" cy="814490"/>
            <wp:effectExtent l="0" t="0" r="762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0843.jpg"/>
                    <pic:cNvPicPr/>
                  </pic:nvPicPr>
                  <pic:blipFill rotWithShape="1">
                    <a:blip r:embed="rId8" cstate="print">
                      <a:extLst>
                        <a:ext uri="{28A0092B-C50C-407E-A947-70E740481C1C}">
                          <a14:useLocalDpi xmlns:a14="http://schemas.microsoft.com/office/drawing/2010/main" val="0"/>
                        </a:ext>
                      </a:extLst>
                    </a:blip>
                    <a:srcRect l="21719" t="22233" r="21515" b="31275"/>
                    <a:stretch/>
                  </pic:blipFill>
                  <pic:spPr bwMode="auto">
                    <a:xfrm>
                      <a:off x="0" y="0"/>
                      <a:ext cx="1346493" cy="827153"/>
                    </a:xfrm>
                    <a:prstGeom prst="rect">
                      <a:avLst/>
                    </a:prstGeom>
                    <a:ln>
                      <a:noFill/>
                    </a:ln>
                    <a:extLst>
                      <a:ext uri="{53640926-AAD7-44D8-BBD7-CCE9431645EC}">
                        <a14:shadowObscured xmlns:a14="http://schemas.microsoft.com/office/drawing/2010/main"/>
                      </a:ext>
                    </a:extLst>
                  </pic:spPr>
                </pic:pic>
              </a:graphicData>
            </a:graphic>
          </wp:inline>
        </w:drawing>
      </w:r>
      <w:r w:rsidR="00F73014">
        <w:rPr>
          <w:noProof/>
          <w:lang w:val="en-GB" w:eastAsia="en-GB"/>
        </w:rPr>
        <w:t xml:space="preserve"> </w:t>
      </w:r>
      <w:r>
        <w:rPr>
          <w:noProof/>
          <w:lang w:val="en-GB" w:eastAsia="en-GB"/>
        </w:rPr>
        <w:drawing>
          <wp:inline distT="0" distB="0" distL="0" distR="0" wp14:anchorId="347000BF" wp14:editId="6FC6BFE4">
            <wp:extent cx="1480467" cy="791537"/>
            <wp:effectExtent l="0" t="0" r="571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3441.jpg"/>
                    <pic:cNvPicPr/>
                  </pic:nvPicPr>
                  <pic:blipFill rotWithShape="1">
                    <a:blip r:embed="rId9" cstate="print">
                      <a:extLst>
                        <a:ext uri="{28A0092B-C50C-407E-A947-70E740481C1C}">
                          <a14:useLocalDpi xmlns:a14="http://schemas.microsoft.com/office/drawing/2010/main" val="0"/>
                        </a:ext>
                      </a:extLst>
                    </a:blip>
                    <a:srcRect l="27672" t="26257" r="18569" b="35423"/>
                    <a:stretch/>
                  </pic:blipFill>
                  <pic:spPr bwMode="auto">
                    <a:xfrm>
                      <a:off x="0" y="0"/>
                      <a:ext cx="1503544" cy="803875"/>
                    </a:xfrm>
                    <a:prstGeom prst="rect">
                      <a:avLst/>
                    </a:prstGeom>
                    <a:ln>
                      <a:noFill/>
                    </a:ln>
                    <a:extLst>
                      <a:ext uri="{53640926-AAD7-44D8-BBD7-CCE9431645EC}">
                        <a14:shadowObscured xmlns:a14="http://schemas.microsoft.com/office/drawing/2010/main"/>
                      </a:ext>
                    </a:extLst>
                  </pic:spPr>
                </pic:pic>
              </a:graphicData>
            </a:graphic>
          </wp:inline>
        </w:drawing>
      </w:r>
      <w:r w:rsidR="00F73014">
        <w:rPr>
          <w:noProof/>
          <w:lang w:val="en-GB" w:eastAsia="en-GB"/>
        </w:rPr>
        <w:t xml:space="preserve"> </w:t>
      </w:r>
      <w:r>
        <w:rPr>
          <w:noProof/>
          <w:lang w:val="en-GB" w:eastAsia="en-GB"/>
        </w:rPr>
        <w:drawing>
          <wp:inline distT="0" distB="0" distL="0" distR="0" wp14:anchorId="6CAFC4DB" wp14:editId="4551460D">
            <wp:extent cx="1423778" cy="792480"/>
            <wp:effectExtent l="0" t="0" r="508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3442.jpg"/>
                    <pic:cNvPicPr/>
                  </pic:nvPicPr>
                  <pic:blipFill rotWithShape="1">
                    <a:blip r:embed="rId10" cstate="print">
                      <a:extLst>
                        <a:ext uri="{28A0092B-C50C-407E-A947-70E740481C1C}">
                          <a14:useLocalDpi xmlns:a14="http://schemas.microsoft.com/office/drawing/2010/main" val="0"/>
                        </a:ext>
                      </a:extLst>
                    </a:blip>
                    <a:srcRect l="34590" t="26145" r="10703" b="33258"/>
                    <a:stretch/>
                  </pic:blipFill>
                  <pic:spPr bwMode="auto">
                    <a:xfrm>
                      <a:off x="0" y="0"/>
                      <a:ext cx="1438699" cy="800785"/>
                    </a:xfrm>
                    <a:prstGeom prst="rect">
                      <a:avLst/>
                    </a:prstGeom>
                    <a:ln>
                      <a:noFill/>
                    </a:ln>
                    <a:extLst>
                      <a:ext uri="{53640926-AAD7-44D8-BBD7-CCE9431645EC}">
                        <a14:shadowObscured xmlns:a14="http://schemas.microsoft.com/office/drawing/2010/main"/>
                      </a:ext>
                    </a:extLst>
                  </pic:spPr>
                </pic:pic>
              </a:graphicData>
            </a:graphic>
          </wp:inline>
        </w:drawing>
      </w:r>
      <w:r w:rsidR="00F73014">
        <w:rPr>
          <w:noProof/>
          <w:lang w:val="en-GB" w:eastAsia="en-GB"/>
        </w:rPr>
        <w:t xml:space="preserve"> </w:t>
      </w:r>
      <w:r>
        <w:rPr>
          <w:noProof/>
          <w:lang w:val="en-GB" w:eastAsia="en-GB"/>
        </w:rPr>
        <w:drawing>
          <wp:inline distT="0" distB="0" distL="0" distR="0" wp14:anchorId="198C8FFE" wp14:editId="10D27CE0">
            <wp:extent cx="1287780" cy="805762"/>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3443.jpg"/>
                    <pic:cNvPicPr/>
                  </pic:nvPicPr>
                  <pic:blipFill rotWithShape="1">
                    <a:blip r:embed="rId11" cstate="print">
                      <a:extLst>
                        <a:ext uri="{28A0092B-C50C-407E-A947-70E740481C1C}">
                          <a14:useLocalDpi xmlns:a14="http://schemas.microsoft.com/office/drawing/2010/main" val="0"/>
                        </a:ext>
                      </a:extLst>
                    </a:blip>
                    <a:srcRect l="27104" t="15373" r="17114" b="38094"/>
                    <a:stretch/>
                  </pic:blipFill>
                  <pic:spPr bwMode="auto">
                    <a:xfrm>
                      <a:off x="0" y="0"/>
                      <a:ext cx="1294624" cy="810044"/>
                    </a:xfrm>
                    <a:prstGeom prst="rect">
                      <a:avLst/>
                    </a:prstGeom>
                    <a:ln>
                      <a:noFill/>
                    </a:ln>
                    <a:extLst>
                      <a:ext uri="{53640926-AAD7-44D8-BBD7-CCE9431645EC}">
                        <a14:shadowObscured xmlns:a14="http://schemas.microsoft.com/office/drawing/2010/main"/>
                      </a:ext>
                    </a:extLst>
                  </pic:spPr>
                </pic:pic>
              </a:graphicData>
            </a:graphic>
          </wp:inline>
        </w:drawing>
      </w:r>
    </w:p>
    <w:p w14:paraId="531267C2" w14:textId="5B3DE455" w:rsidR="00F73014" w:rsidRPr="00FA031D" w:rsidRDefault="00F73014" w:rsidP="00F73014">
      <w:pPr>
        <w:rPr>
          <w:sz w:val="18"/>
          <w:szCs w:val="18"/>
        </w:rPr>
      </w:pPr>
      <w:r w:rsidRPr="00FA031D">
        <w:rPr>
          <w:sz w:val="18"/>
          <w:szCs w:val="18"/>
          <w:lang w:val="en-GB"/>
        </w:rPr>
        <w:t xml:space="preserve">Supplementary III, Figure 2: Position of the ankle during the different conditions; resting position, baseline (0Nm), 1Nm and 4Nm. </w:t>
      </w:r>
    </w:p>
    <w:p w14:paraId="4C342965" w14:textId="3C2DD694" w:rsidR="00F73014" w:rsidRDefault="00F73014" w:rsidP="00627CBC">
      <w:pPr>
        <w:spacing w:line="360" w:lineRule="auto"/>
        <w:jc w:val="both"/>
      </w:pPr>
    </w:p>
    <w:p w14:paraId="458DC574" w14:textId="0FB2D74B" w:rsidR="00FA031D" w:rsidRPr="00FA031D" w:rsidRDefault="00FA031D" w:rsidP="00627CBC">
      <w:pPr>
        <w:spacing w:line="360" w:lineRule="auto"/>
        <w:jc w:val="both"/>
        <w:rPr>
          <w:b/>
        </w:rPr>
      </w:pPr>
      <w:r w:rsidRPr="00FA031D">
        <w:rPr>
          <w:b/>
        </w:rPr>
        <w:t>References</w:t>
      </w:r>
    </w:p>
    <w:p w14:paraId="46470366" w14:textId="7B9C5EA4" w:rsidR="00B26FC0" w:rsidRPr="00B26FC0" w:rsidRDefault="000B5963" w:rsidP="00FA031D">
      <w:pPr>
        <w:widowControl w:val="0"/>
        <w:autoSpaceDE w:val="0"/>
        <w:autoSpaceDN w:val="0"/>
        <w:adjustRightInd w:val="0"/>
        <w:spacing w:line="360" w:lineRule="auto"/>
        <w:jc w:val="both"/>
        <w:rPr>
          <w:rFonts w:ascii="Calibri" w:hAnsi="Calibri" w:cs="Calibri"/>
          <w:noProof/>
          <w:szCs w:val="24"/>
        </w:rPr>
      </w:pPr>
      <w:r>
        <w:fldChar w:fldCharType="begin" w:fldLock="1"/>
      </w:r>
      <w:r>
        <w:instrText xml:space="preserve">ADDIN Mendeley Bibliography CSL_BIBLIOGRAPHY </w:instrText>
      </w:r>
      <w:r>
        <w:fldChar w:fldCharType="separate"/>
      </w:r>
      <w:r w:rsidR="00B26FC0" w:rsidRPr="00B26FC0">
        <w:rPr>
          <w:rFonts w:ascii="Calibri" w:hAnsi="Calibri" w:cs="Calibri"/>
          <w:noProof/>
          <w:szCs w:val="24"/>
        </w:rPr>
        <w:t xml:space="preserve">Hanssen, B. </w:t>
      </w:r>
      <w:r w:rsidR="00B26FC0" w:rsidRPr="00B26FC0">
        <w:rPr>
          <w:rFonts w:ascii="Calibri" w:hAnsi="Calibri" w:cs="Calibri"/>
          <w:i/>
          <w:iCs/>
          <w:noProof/>
          <w:szCs w:val="24"/>
        </w:rPr>
        <w:t>et al.</w:t>
      </w:r>
      <w:r w:rsidR="00B26FC0" w:rsidRPr="00B26FC0">
        <w:rPr>
          <w:rFonts w:ascii="Calibri" w:hAnsi="Calibri" w:cs="Calibri"/>
          <w:noProof/>
          <w:szCs w:val="24"/>
        </w:rPr>
        <w:t xml:space="preserve"> (2021) ‘The Contribution of Decreased Muscle Size to Muscle Weakness in Children With  Spastic Cerebral Palsy.’, </w:t>
      </w:r>
      <w:r w:rsidR="00B26FC0" w:rsidRPr="00B26FC0">
        <w:rPr>
          <w:rFonts w:ascii="Calibri" w:hAnsi="Calibri" w:cs="Calibri"/>
          <w:i/>
          <w:iCs/>
          <w:noProof/>
          <w:szCs w:val="24"/>
        </w:rPr>
        <w:t>Frontiers in neurology</w:t>
      </w:r>
      <w:r w:rsidR="00B26FC0" w:rsidRPr="00B26FC0">
        <w:rPr>
          <w:rFonts w:ascii="Calibri" w:hAnsi="Calibri" w:cs="Calibri"/>
          <w:noProof/>
          <w:szCs w:val="24"/>
        </w:rPr>
        <w:t>, 12, p. 692582. doi: 10.3389/fneur.2021.692582.</w:t>
      </w:r>
    </w:p>
    <w:p w14:paraId="2D5A4882" w14:textId="77777777" w:rsidR="00B26FC0" w:rsidRPr="00B26FC0" w:rsidRDefault="00B26FC0" w:rsidP="00FA031D">
      <w:pPr>
        <w:widowControl w:val="0"/>
        <w:autoSpaceDE w:val="0"/>
        <w:autoSpaceDN w:val="0"/>
        <w:adjustRightInd w:val="0"/>
        <w:spacing w:line="360" w:lineRule="auto"/>
        <w:jc w:val="both"/>
        <w:rPr>
          <w:rFonts w:ascii="Calibri" w:hAnsi="Calibri" w:cs="Calibri"/>
          <w:noProof/>
        </w:rPr>
      </w:pPr>
      <w:r w:rsidRPr="00B26FC0">
        <w:rPr>
          <w:rFonts w:ascii="Calibri" w:hAnsi="Calibri" w:cs="Calibri"/>
          <w:noProof/>
          <w:szCs w:val="24"/>
        </w:rPr>
        <w:t xml:space="preserve">Williams, S. A. </w:t>
      </w:r>
      <w:r w:rsidRPr="00B26FC0">
        <w:rPr>
          <w:rFonts w:ascii="Calibri" w:hAnsi="Calibri" w:cs="Calibri"/>
          <w:i/>
          <w:iCs/>
          <w:noProof/>
          <w:szCs w:val="24"/>
        </w:rPr>
        <w:t>et al.</w:t>
      </w:r>
      <w:r w:rsidRPr="00B26FC0">
        <w:rPr>
          <w:rFonts w:ascii="Calibri" w:hAnsi="Calibri" w:cs="Calibri"/>
          <w:noProof/>
          <w:szCs w:val="24"/>
        </w:rPr>
        <w:t xml:space="preserve"> (2021) ‘Measuring skeletal muscle morphology and architecture with imaging modalities in children with cerebral palsy: a scoping review’, </w:t>
      </w:r>
      <w:r w:rsidRPr="00B26FC0">
        <w:rPr>
          <w:rFonts w:ascii="Calibri" w:hAnsi="Calibri" w:cs="Calibri"/>
          <w:i/>
          <w:iCs/>
          <w:noProof/>
          <w:szCs w:val="24"/>
        </w:rPr>
        <w:t>Developmental Medicine and Child Neurology</w:t>
      </w:r>
      <w:r w:rsidRPr="00B26FC0">
        <w:rPr>
          <w:rFonts w:ascii="Calibri" w:hAnsi="Calibri" w:cs="Calibri"/>
          <w:noProof/>
          <w:szCs w:val="24"/>
        </w:rPr>
        <w:t>, 63(3), pp. 263–273. doi: 10.1111/dmcn.14714.</w:t>
      </w:r>
    </w:p>
    <w:p w14:paraId="40306AD4" w14:textId="038918B9" w:rsidR="000B5963" w:rsidRPr="00E759E8" w:rsidRDefault="000B5963" w:rsidP="00627CBC">
      <w:pPr>
        <w:spacing w:line="360" w:lineRule="auto"/>
        <w:jc w:val="both"/>
      </w:pPr>
      <w:r>
        <w:fldChar w:fldCharType="end"/>
      </w:r>
      <w:bookmarkStart w:id="0" w:name="_GoBack"/>
      <w:bookmarkEnd w:id="0"/>
    </w:p>
    <w:p w14:paraId="5FB7782D" w14:textId="77777777" w:rsidR="009B2023" w:rsidRDefault="009B2023"/>
    <w:sectPr w:rsidR="009B202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B9A2" w16cex:dateUtc="2022-10-16T15:10:00Z"/>
  <w16cex:commentExtensible w16cex:durableId="26F6BB27" w16cex:dateUtc="2022-10-16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99EF9" w16cid:durableId="26F6B9A2"/>
  <w16cid:commentId w16cid:paraId="344ACBF0" w16cid:durableId="26F6B973"/>
  <w16cid:commentId w16cid:paraId="347E9247" w16cid:durableId="26F6B974"/>
  <w16cid:commentId w16cid:paraId="78A4A756" w16cid:durableId="26F6BB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051F" w14:textId="77777777" w:rsidR="00ED34A4" w:rsidRDefault="00ED34A4" w:rsidP="00193F8A">
      <w:pPr>
        <w:spacing w:after="0" w:line="240" w:lineRule="auto"/>
      </w:pPr>
      <w:r>
        <w:separator/>
      </w:r>
    </w:p>
  </w:endnote>
  <w:endnote w:type="continuationSeparator" w:id="0">
    <w:p w14:paraId="093C3C72" w14:textId="77777777" w:rsidR="00ED34A4" w:rsidRDefault="00ED34A4" w:rsidP="0019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0882B" w14:textId="77777777" w:rsidR="00ED34A4" w:rsidRDefault="00ED34A4" w:rsidP="00193F8A">
      <w:pPr>
        <w:spacing w:after="0" w:line="240" w:lineRule="auto"/>
      </w:pPr>
      <w:r>
        <w:separator/>
      </w:r>
    </w:p>
  </w:footnote>
  <w:footnote w:type="continuationSeparator" w:id="0">
    <w:p w14:paraId="495BF552" w14:textId="77777777" w:rsidR="00ED34A4" w:rsidRDefault="00ED34A4" w:rsidP="00193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BC"/>
    <w:rsid w:val="000B5963"/>
    <w:rsid w:val="00193F8A"/>
    <w:rsid w:val="00302215"/>
    <w:rsid w:val="0041372F"/>
    <w:rsid w:val="005F0307"/>
    <w:rsid w:val="00627CBC"/>
    <w:rsid w:val="00770281"/>
    <w:rsid w:val="007D3E90"/>
    <w:rsid w:val="009B2023"/>
    <w:rsid w:val="00A0151F"/>
    <w:rsid w:val="00B26FC0"/>
    <w:rsid w:val="00D81FCB"/>
    <w:rsid w:val="00E17618"/>
    <w:rsid w:val="00ED34A4"/>
    <w:rsid w:val="00F73014"/>
    <w:rsid w:val="00F955F2"/>
    <w:rsid w:val="00FA0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160F"/>
  <w15:chartTrackingRefBased/>
  <w15:docId w15:val="{42C07C9D-4FB5-4FA2-98F8-7C4D671D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7CBC"/>
    <w:rPr>
      <w:sz w:val="16"/>
      <w:szCs w:val="16"/>
    </w:rPr>
  </w:style>
  <w:style w:type="paragraph" w:styleId="CommentText">
    <w:name w:val="annotation text"/>
    <w:basedOn w:val="Normal"/>
    <w:link w:val="CommentTextChar"/>
    <w:uiPriority w:val="99"/>
    <w:unhideWhenUsed/>
    <w:rsid w:val="00627CBC"/>
    <w:pPr>
      <w:spacing w:line="240" w:lineRule="auto"/>
    </w:pPr>
    <w:rPr>
      <w:sz w:val="20"/>
      <w:szCs w:val="20"/>
    </w:rPr>
  </w:style>
  <w:style w:type="character" w:customStyle="1" w:styleId="CommentTextChar">
    <w:name w:val="Comment Text Char"/>
    <w:basedOn w:val="DefaultParagraphFont"/>
    <w:link w:val="CommentText"/>
    <w:uiPriority w:val="99"/>
    <w:rsid w:val="00627CBC"/>
    <w:rPr>
      <w:sz w:val="20"/>
      <w:szCs w:val="20"/>
      <w:lang w:val="en-US"/>
    </w:rPr>
  </w:style>
  <w:style w:type="paragraph" w:styleId="BalloonText">
    <w:name w:val="Balloon Text"/>
    <w:basedOn w:val="Normal"/>
    <w:link w:val="BalloonTextChar"/>
    <w:uiPriority w:val="99"/>
    <w:semiHidden/>
    <w:unhideWhenUsed/>
    <w:rsid w:val="00627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CBC"/>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770281"/>
    <w:rPr>
      <w:b/>
      <w:bCs/>
    </w:rPr>
  </w:style>
  <w:style w:type="character" w:customStyle="1" w:styleId="CommentSubjectChar">
    <w:name w:val="Comment Subject Char"/>
    <w:basedOn w:val="CommentTextChar"/>
    <w:link w:val="CommentSubject"/>
    <w:uiPriority w:val="99"/>
    <w:semiHidden/>
    <w:rsid w:val="00770281"/>
    <w:rPr>
      <w:b/>
      <w:bCs/>
      <w:sz w:val="20"/>
      <w:szCs w:val="20"/>
      <w:lang w:val="en-US"/>
    </w:rPr>
  </w:style>
  <w:style w:type="paragraph" w:styleId="Revision">
    <w:name w:val="Revision"/>
    <w:hidden/>
    <w:uiPriority w:val="99"/>
    <w:semiHidden/>
    <w:rsid w:val="00770281"/>
    <w:pPr>
      <w:spacing w:after="0" w:line="240" w:lineRule="auto"/>
    </w:pPr>
    <w:rPr>
      <w:lang w:val="en-US"/>
    </w:rPr>
  </w:style>
  <w:style w:type="paragraph" w:styleId="Header">
    <w:name w:val="header"/>
    <w:basedOn w:val="Normal"/>
    <w:link w:val="HeaderChar"/>
    <w:uiPriority w:val="99"/>
    <w:unhideWhenUsed/>
    <w:rsid w:val="00193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F8A"/>
    <w:rPr>
      <w:lang w:val="en-US"/>
    </w:rPr>
  </w:style>
  <w:style w:type="paragraph" w:styleId="Footer">
    <w:name w:val="footer"/>
    <w:basedOn w:val="Normal"/>
    <w:link w:val="FooterChar"/>
    <w:uiPriority w:val="99"/>
    <w:unhideWhenUsed/>
    <w:rsid w:val="00193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F8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E3ACB2F4-817D-4472-BD09-C06DF898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 US2</dc:creator>
  <cp:keywords/>
  <dc:description/>
  <cp:lastModifiedBy>TRC US2</cp:lastModifiedBy>
  <cp:revision>2</cp:revision>
  <dcterms:created xsi:type="dcterms:W3CDTF">2022-10-25T17:33:00Z</dcterms:created>
  <dcterms:modified xsi:type="dcterms:W3CDTF">2022-10-25T17:33:00Z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3b5d700a-0b23-30dd-863d-27260656d269</vt:lpwstr>
  </property>
  <property fmtid="{D5CDD505-2E9C-101B-9397-08002B2CF9AE}" pid="24" name="Mendeley Citation Style_1">
    <vt:lpwstr>http://www.zotero.org/styles/harvard1</vt:lpwstr>
  </property>
</Properties>
</file>