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F6A5B3" w14:textId="587B59B1" w:rsidR="0027290F" w:rsidRPr="0071783B" w:rsidRDefault="0027290F" w:rsidP="00DF36B6">
      <w:pPr>
        <w:spacing w:line="276" w:lineRule="auto"/>
        <w:jc w:val="center"/>
        <w:rPr>
          <w:rFonts w:ascii="Arial" w:hAnsi="Arial" w:cs="Arial"/>
          <w:b/>
          <w:bCs/>
          <w:sz w:val="32"/>
          <w:szCs w:val="32"/>
          <w:u w:val="single"/>
        </w:rPr>
      </w:pPr>
      <w:r w:rsidRPr="0071783B">
        <w:rPr>
          <w:rFonts w:ascii="Arial" w:hAnsi="Arial" w:cs="Arial"/>
          <w:b/>
          <w:bCs/>
          <w:sz w:val="32"/>
          <w:szCs w:val="32"/>
          <w:u w:val="single"/>
        </w:rPr>
        <w:t xml:space="preserve">Supplementary </w:t>
      </w:r>
      <w:r w:rsidR="00DF36B6" w:rsidRPr="0071783B">
        <w:rPr>
          <w:rFonts w:ascii="Arial" w:hAnsi="Arial" w:cs="Arial"/>
          <w:b/>
          <w:bCs/>
          <w:sz w:val="32"/>
          <w:szCs w:val="32"/>
          <w:u w:val="single"/>
        </w:rPr>
        <w:t>Figures</w:t>
      </w:r>
    </w:p>
    <w:p w14:paraId="203CA5FE" w14:textId="30AF4417" w:rsidR="0027290F" w:rsidRPr="0071783B" w:rsidRDefault="0027290F" w:rsidP="00C56485">
      <w:pPr>
        <w:spacing w:line="276" w:lineRule="auto"/>
        <w:rPr>
          <w:rFonts w:ascii="Arial" w:hAnsi="Arial" w:cs="Arial"/>
          <w:sz w:val="22"/>
          <w:szCs w:val="22"/>
        </w:rPr>
      </w:pPr>
    </w:p>
    <w:p w14:paraId="04334C01" w14:textId="281BD6FF" w:rsidR="002A5032" w:rsidRDefault="003C0E88" w:rsidP="664AC542">
      <w:pPr>
        <w:spacing w:line="276" w:lineRule="auto"/>
        <w:rPr>
          <w:rFonts w:ascii="Arial" w:hAnsi="Arial" w:cs="Arial"/>
          <w:b/>
          <w:bCs/>
          <w:noProof/>
          <w:sz w:val="22"/>
          <w:szCs w:val="22"/>
        </w:rPr>
      </w:pPr>
      <w:hyperlink w:anchor="Bookmark1">
        <w:r w:rsidR="002A5032" w:rsidRPr="2E908618">
          <w:rPr>
            <w:rStyle w:val="Hyperlink"/>
            <w:rFonts w:ascii="Arial" w:hAnsi="Arial" w:cs="Arial"/>
            <w:b/>
            <w:bCs/>
            <w:noProof/>
            <w:sz w:val="22"/>
            <w:szCs w:val="22"/>
          </w:rPr>
          <w:t>Figure S1</w:t>
        </w:r>
      </w:hyperlink>
      <w:r w:rsidR="002A5032" w:rsidRPr="2E908618">
        <w:rPr>
          <w:rFonts w:ascii="Arial" w:hAnsi="Arial" w:cs="Arial"/>
          <w:b/>
          <w:bCs/>
          <w:noProof/>
          <w:sz w:val="22"/>
          <w:szCs w:val="22"/>
        </w:rPr>
        <w:t xml:space="preserve">: PGS and cohort overview </w:t>
      </w:r>
    </w:p>
    <w:p w14:paraId="4041B135" w14:textId="77777777" w:rsidR="002A5032" w:rsidRDefault="002A5032" w:rsidP="664AC542">
      <w:pPr>
        <w:spacing w:line="276" w:lineRule="auto"/>
        <w:rPr>
          <w:rFonts w:ascii="Arial" w:hAnsi="Arial" w:cs="Arial"/>
          <w:b/>
          <w:bCs/>
          <w:noProof/>
          <w:sz w:val="22"/>
          <w:szCs w:val="22"/>
        </w:rPr>
      </w:pPr>
    </w:p>
    <w:p w14:paraId="07966CAB" w14:textId="412D26A5" w:rsidR="34E45B2B" w:rsidRDefault="003C0E88" w:rsidP="664AC542">
      <w:pPr>
        <w:spacing w:line="276" w:lineRule="auto"/>
        <w:rPr>
          <w:rFonts w:ascii="Arial" w:hAnsi="Arial" w:cs="Arial"/>
          <w:noProof/>
          <w:sz w:val="22"/>
          <w:szCs w:val="22"/>
        </w:rPr>
      </w:pPr>
      <w:hyperlink w:anchor="Bookmark2">
        <w:r w:rsidR="34E45B2B" w:rsidRPr="2E908618">
          <w:rPr>
            <w:rStyle w:val="Hyperlink"/>
            <w:rFonts w:ascii="Arial" w:hAnsi="Arial" w:cs="Arial"/>
            <w:b/>
            <w:bCs/>
            <w:noProof/>
            <w:sz w:val="22"/>
            <w:szCs w:val="22"/>
          </w:rPr>
          <w:t>Figure S</w:t>
        </w:r>
        <w:r w:rsidR="00317125" w:rsidRPr="2E908618">
          <w:rPr>
            <w:rStyle w:val="Hyperlink"/>
            <w:rFonts w:ascii="Arial" w:hAnsi="Arial" w:cs="Arial"/>
            <w:b/>
            <w:bCs/>
            <w:noProof/>
            <w:sz w:val="22"/>
            <w:szCs w:val="22"/>
          </w:rPr>
          <w:t>2</w:t>
        </w:r>
      </w:hyperlink>
      <w:r w:rsidR="34E45B2B" w:rsidRPr="2E908618">
        <w:rPr>
          <w:rFonts w:ascii="Arial" w:hAnsi="Arial" w:cs="Arial"/>
          <w:b/>
          <w:bCs/>
          <w:noProof/>
          <w:sz w:val="22"/>
          <w:szCs w:val="22"/>
        </w:rPr>
        <w:t xml:space="preserve">: </w:t>
      </w:r>
      <w:r w:rsidR="34E45B2B" w:rsidRPr="2E908618">
        <w:rPr>
          <w:rFonts w:ascii="Arial" w:hAnsi="Arial" w:cs="Arial"/>
          <w:b/>
          <w:bCs/>
          <w:sz w:val="22"/>
          <w:szCs w:val="22"/>
        </w:rPr>
        <w:t xml:space="preserve">PGS in </w:t>
      </w:r>
      <w:r w:rsidR="3F11B7D6" w:rsidRPr="2E908618">
        <w:rPr>
          <w:rFonts w:ascii="Arial" w:hAnsi="Arial" w:cs="Arial"/>
          <w:b/>
          <w:bCs/>
          <w:sz w:val="22"/>
          <w:szCs w:val="22"/>
        </w:rPr>
        <w:t xml:space="preserve">the </w:t>
      </w:r>
      <w:r w:rsidR="34E45B2B" w:rsidRPr="2E908618">
        <w:rPr>
          <w:rFonts w:ascii="Arial" w:hAnsi="Arial" w:cs="Arial"/>
          <w:b/>
          <w:bCs/>
          <w:sz w:val="22"/>
          <w:szCs w:val="22"/>
        </w:rPr>
        <w:t>general population</w:t>
      </w:r>
    </w:p>
    <w:p w14:paraId="13325F40" w14:textId="4C382DD1" w:rsidR="664AC542" w:rsidRDefault="664AC542" w:rsidP="664AC542">
      <w:pPr>
        <w:spacing w:line="276" w:lineRule="auto"/>
        <w:rPr>
          <w:rFonts w:ascii="Arial" w:hAnsi="Arial" w:cs="Arial"/>
          <w:sz w:val="22"/>
          <w:szCs w:val="22"/>
        </w:rPr>
      </w:pPr>
    </w:p>
    <w:p w14:paraId="064620E8" w14:textId="67D180CA" w:rsidR="763F75F9" w:rsidRDefault="003C0E88" w:rsidP="664AC542">
      <w:pPr>
        <w:spacing w:line="276" w:lineRule="auto"/>
        <w:rPr>
          <w:rFonts w:ascii="Arial" w:hAnsi="Arial" w:cs="Arial"/>
          <w:sz w:val="22"/>
          <w:szCs w:val="22"/>
          <w:lang w:val="en-US"/>
        </w:rPr>
      </w:pPr>
      <w:hyperlink w:anchor="Bookmark3">
        <w:r w:rsidR="763F75F9" w:rsidRPr="2E908618">
          <w:rPr>
            <w:rStyle w:val="Hyperlink"/>
            <w:rFonts w:ascii="Arial" w:hAnsi="Arial" w:cs="Arial"/>
            <w:b/>
            <w:bCs/>
            <w:sz w:val="22"/>
            <w:szCs w:val="22"/>
            <w:lang w:val="en-US"/>
          </w:rPr>
          <w:t>Figure S</w:t>
        </w:r>
        <w:r w:rsidR="5EAA70A2" w:rsidRPr="2E908618">
          <w:rPr>
            <w:rStyle w:val="Hyperlink"/>
            <w:rFonts w:ascii="Arial" w:hAnsi="Arial" w:cs="Arial"/>
            <w:b/>
            <w:bCs/>
            <w:sz w:val="22"/>
            <w:szCs w:val="22"/>
            <w:lang w:val="en-US"/>
          </w:rPr>
          <w:t>3</w:t>
        </w:r>
      </w:hyperlink>
      <w:r w:rsidR="763F75F9" w:rsidRPr="2E908618">
        <w:rPr>
          <w:rFonts w:ascii="Arial" w:hAnsi="Arial" w:cs="Arial"/>
          <w:b/>
          <w:bCs/>
          <w:sz w:val="22"/>
          <w:szCs w:val="22"/>
          <w:lang w:val="en-US"/>
        </w:rPr>
        <w:t>: HCM PGS and cardiac imaging traits in the general population</w:t>
      </w:r>
    </w:p>
    <w:p w14:paraId="6B7BFFA1" w14:textId="77777777" w:rsidR="00EB4101" w:rsidRPr="0071783B" w:rsidRDefault="00EB4101" w:rsidP="00C56485">
      <w:pPr>
        <w:spacing w:line="276" w:lineRule="auto"/>
        <w:rPr>
          <w:rFonts w:ascii="Arial" w:hAnsi="Arial" w:cs="Arial"/>
          <w:sz w:val="22"/>
          <w:szCs w:val="22"/>
          <w:lang w:val="en-US"/>
        </w:rPr>
      </w:pPr>
    </w:p>
    <w:p w14:paraId="27BE4207" w14:textId="50D447B0" w:rsidR="35D9BAD8" w:rsidRDefault="003C0E88" w:rsidP="664AC542">
      <w:pPr>
        <w:spacing w:line="276" w:lineRule="auto"/>
        <w:rPr>
          <w:rFonts w:ascii="Arial" w:hAnsi="Arial" w:cs="Arial"/>
          <w:sz w:val="22"/>
          <w:szCs w:val="22"/>
        </w:rPr>
      </w:pPr>
      <w:hyperlink w:anchor="Bookmark4">
        <w:r w:rsidR="35D9BAD8" w:rsidRPr="2E908618">
          <w:rPr>
            <w:rStyle w:val="Hyperlink"/>
            <w:rFonts w:ascii="Arial" w:hAnsi="Arial" w:cs="Arial"/>
            <w:b/>
            <w:bCs/>
            <w:noProof/>
            <w:sz w:val="22"/>
            <w:szCs w:val="22"/>
          </w:rPr>
          <w:t>Figure S</w:t>
        </w:r>
        <w:r w:rsidR="35B73186" w:rsidRPr="2E908618">
          <w:rPr>
            <w:rStyle w:val="Hyperlink"/>
            <w:rFonts w:ascii="Arial" w:hAnsi="Arial" w:cs="Arial"/>
            <w:b/>
            <w:bCs/>
            <w:noProof/>
            <w:sz w:val="22"/>
            <w:szCs w:val="22"/>
          </w:rPr>
          <w:t>4</w:t>
        </w:r>
      </w:hyperlink>
      <w:r w:rsidR="35D9BAD8" w:rsidRPr="2E908618">
        <w:rPr>
          <w:rFonts w:ascii="Arial" w:hAnsi="Arial" w:cs="Arial"/>
          <w:b/>
          <w:bCs/>
          <w:noProof/>
          <w:sz w:val="22"/>
          <w:szCs w:val="22"/>
        </w:rPr>
        <w:t xml:space="preserve">: </w:t>
      </w:r>
      <w:r w:rsidR="35D9BAD8" w:rsidRPr="2E908618">
        <w:rPr>
          <w:rFonts w:ascii="Arial" w:hAnsi="Arial" w:cs="Arial"/>
          <w:b/>
          <w:bCs/>
          <w:sz w:val="22"/>
          <w:szCs w:val="22"/>
        </w:rPr>
        <w:t>PGS in non-White ancestry groups</w:t>
      </w:r>
    </w:p>
    <w:p w14:paraId="5C88812F" w14:textId="7B322A9F" w:rsidR="664AC542" w:rsidRDefault="664AC542" w:rsidP="664AC542">
      <w:pPr>
        <w:spacing w:line="276" w:lineRule="auto"/>
        <w:rPr>
          <w:rFonts w:ascii="Arial" w:hAnsi="Arial" w:cs="Arial"/>
          <w:b/>
          <w:bCs/>
          <w:sz w:val="22"/>
          <w:szCs w:val="22"/>
        </w:rPr>
      </w:pPr>
    </w:p>
    <w:p w14:paraId="51A5A80B" w14:textId="04E8C5CD" w:rsidR="35D9BAD8" w:rsidRDefault="003C0E88" w:rsidP="664AC542">
      <w:pPr>
        <w:spacing w:line="276" w:lineRule="auto"/>
      </w:pPr>
      <w:hyperlink w:anchor="Bookmark5">
        <w:r w:rsidR="35D9BAD8" w:rsidRPr="2E908618">
          <w:rPr>
            <w:rStyle w:val="Hyperlink"/>
            <w:rFonts w:ascii="Arial" w:eastAsia="Arial" w:hAnsi="Arial" w:cs="Arial"/>
            <w:b/>
            <w:bCs/>
            <w:sz w:val="22"/>
            <w:szCs w:val="22"/>
          </w:rPr>
          <w:t>Figure S</w:t>
        </w:r>
        <w:r w:rsidR="434EA504" w:rsidRPr="2E908618">
          <w:rPr>
            <w:rStyle w:val="Hyperlink"/>
            <w:rFonts w:ascii="Arial" w:eastAsia="Arial" w:hAnsi="Arial" w:cs="Arial"/>
            <w:b/>
            <w:bCs/>
            <w:sz w:val="22"/>
            <w:szCs w:val="22"/>
          </w:rPr>
          <w:t>5</w:t>
        </w:r>
      </w:hyperlink>
      <w:r w:rsidR="35D9BAD8" w:rsidRPr="2E908618">
        <w:rPr>
          <w:rFonts w:ascii="Arial" w:eastAsia="Arial" w:hAnsi="Arial" w:cs="Arial"/>
          <w:b/>
          <w:bCs/>
          <w:sz w:val="22"/>
          <w:szCs w:val="22"/>
        </w:rPr>
        <w:t>: Singapore Chinese ancestry HCM case-control GWAS</w:t>
      </w:r>
    </w:p>
    <w:p w14:paraId="743E8D68" w14:textId="7AC40B32" w:rsidR="664AC542" w:rsidRDefault="664AC542" w:rsidP="664AC542">
      <w:pPr>
        <w:spacing w:line="276" w:lineRule="auto"/>
        <w:rPr>
          <w:rFonts w:ascii="Arial" w:hAnsi="Arial" w:cs="Arial"/>
          <w:sz w:val="22"/>
          <w:szCs w:val="22"/>
        </w:rPr>
      </w:pPr>
    </w:p>
    <w:p w14:paraId="3CF0B17B" w14:textId="50111B06" w:rsidR="6F3CB2FE" w:rsidRDefault="003C0E88" w:rsidP="664AC542">
      <w:pPr>
        <w:spacing w:line="276" w:lineRule="auto"/>
        <w:rPr>
          <w:rFonts w:ascii="Arial" w:hAnsi="Arial" w:cs="Arial"/>
          <w:noProof/>
          <w:sz w:val="22"/>
          <w:szCs w:val="22"/>
        </w:rPr>
      </w:pPr>
      <w:hyperlink w:anchor="Bookmark6">
        <w:r w:rsidR="6F3CB2FE" w:rsidRPr="2E908618">
          <w:rPr>
            <w:rStyle w:val="Hyperlink"/>
            <w:rFonts w:ascii="Arial" w:hAnsi="Arial" w:cs="Arial"/>
            <w:b/>
            <w:bCs/>
            <w:noProof/>
            <w:sz w:val="22"/>
            <w:szCs w:val="22"/>
          </w:rPr>
          <w:t>Figure S</w:t>
        </w:r>
        <w:r w:rsidR="089BDD00" w:rsidRPr="2E908618">
          <w:rPr>
            <w:rStyle w:val="Hyperlink"/>
            <w:rFonts w:ascii="Arial" w:hAnsi="Arial" w:cs="Arial"/>
            <w:b/>
            <w:bCs/>
            <w:noProof/>
            <w:sz w:val="22"/>
            <w:szCs w:val="22"/>
          </w:rPr>
          <w:t>6</w:t>
        </w:r>
      </w:hyperlink>
      <w:r w:rsidR="6F3CB2FE" w:rsidRPr="2E908618">
        <w:rPr>
          <w:rFonts w:ascii="Arial" w:hAnsi="Arial" w:cs="Arial"/>
          <w:b/>
          <w:bCs/>
          <w:noProof/>
          <w:sz w:val="22"/>
          <w:szCs w:val="22"/>
        </w:rPr>
        <w:t>: PGS in sarcomere-positive carriers</w:t>
      </w:r>
    </w:p>
    <w:p w14:paraId="2702DD17" w14:textId="77777777" w:rsidR="00EB4101" w:rsidRPr="0071783B" w:rsidRDefault="00EB4101" w:rsidP="00C56485">
      <w:pPr>
        <w:spacing w:line="276" w:lineRule="auto"/>
        <w:rPr>
          <w:rFonts w:ascii="Arial" w:hAnsi="Arial" w:cs="Arial"/>
          <w:noProof/>
          <w:sz w:val="22"/>
          <w:szCs w:val="22"/>
        </w:rPr>
      </w:pPr>
    </w:p>
    <w:p w14:paraId="18827EC1" w14:textId="3B5E3B29" w:rsidR="6F3CB2FE" w:rsidRDefault="003C0E88" w:rsidP="664AC542">
      <w:pPr>
        <w:spacing w:line="276" w:lineRule="auto"/>
        <w:rPr>
          <w:rFonts w:ascii="Arial" w:hAnsi="Arial" w:cs="Arial"/>
          <w:sz w:val="22"/>
          <w:szCs w:val="22"/>
          <w:lang w:val="en-US"/>
        </w:rPr>
      </w:pPr>
      <w:hyperlink w:anchor="Bookmark7">
        <w:r w:rsidR="6F3CB2FE" w:rsidRPr="2E908618">
          <w:rPr>
            <w:rStyle w:val="Hyperlink"/>
            <w:rFonts w:ascii="Arial" w:hAnsi="Arial" w:cs="Arial"/>
            <w:b/>
            <w:bCs/>
            <w:sz w:val="22"/>
            <w:szCs w:val="22"/>
          </w:rPr>
          <w:t>Figure S</w:t>
        </w:r>
        <w:r w:rsidR="2561D381" w:rsidRPr="2E908618">
          <w:rPr>
            <w:rStyle w:val="Hyperlink"/>
            <w:rFonts w:ascii="Arial" w:hAnsi="Arial" w:cs="Arial"/>
            <w:b/>
            <w:bCs/>
            <w:sz w:val="22"/>
            <w:szCs w:val="22"/>
          </w:rPr>
          <w:t>7</w:t>
        </w:r>
      </w:hyperlink>
      <w:r w:rsidR="6F3CB2FE" w:rsidRPr="2E908618">
        <w:rPr>
          <w:rFonts w:ascii="Arial" w:hAnsi="Arial" w:cs="Arial"/>
          <w:b/>
          <w:bCs/>
          <w:sz w:val="22"/>
          <w:szCs w:val="22"/>
        </w:rPr>
        <w:t>: PGS in SARC-PLP carrier relatives of HCM cases</w:t>
      </w:r>
    </w:p>
    <w:p w14:paraId="794F37C3" w14:textId="77777777" w:rsidR="00EB4101" w:rsidRPr="0071783B" w:rsidRDefault="00EB4101" w:rsidP="00C56485">
      <w:pPr>
        <w:spacing w:line="276" w:lineRule="auto"/>
        <w:rPr>
          <w:rFonts w:ascii="Arial" w:hAnsi="Arial" w:cs="Arial"/>
          <w:sz w:val="22"/>
          <w:szCs w:val="22"/>
        </w:rPr>
      </w:pPr>
    </w:p>
    <w:p w14:paraId="78048B83" w14:textId="1401C77C" w:rsidR="6F3CB2FE" w:rsidRDefault="003C0E88" w:rsidP="664AC542">
      <w:pPr>
        <w:spacing w:line="276" w:lineRule="auto"/>
        <w:rPr>
          <w:rFonts w:ascii="Arial" w:hAnsi="Arial" w:cs="Arial"/>
          <w:sz w:val="22"/>
          <w:szCs w:val="22"/>
          <w:lang w:val="en-US"/>
        </w:rPr>
      </w:pPr>
      <w:hyperlink w:anchor="Bookmark8">
        <w:r w:rsidR="6F3CB2FE" w:rsidRPr="2E908618">
          <w:rPr>
            <w:rStyle w:val="Hyperlink"/>
            <w:rFonts w:ascii="Arial" w:hAnsi="Arial" w:cs="Arial"/>
            <w:b/>
            <w:bCs/>
            <w:sz w:val="22"/>
            <w:szCs w:val="22"/>
            <w:lang w:val="en-US"/>
          </w:rPr>
          <w:t>Figure S</w:t>
        </w:r>
        <w:r w:rsidR="7E2AD9CD" w:rsidRPr="2E908618">
          <w:rPr>
            <w:rStyle w:val="Hyperlink"/>
            <w:rFonts w:ascii="Arial" w:hAnsi="Arial" w:cs="Arial"/>
            <w:b/>
            <w:bCs/>
            <w:sz w:val="22"/>
            <w:szCs w:val="22"/>
            <w:lang w:val="en-US"/>
          </w:rPr>
          <w:t>8</w:t>
        </w:r>
      </w:hyperlink>
      <w:r w:rsidR="6F3CB2FE" w:rsidRPr="2E908618">
        <w:rPr>
          <w:rFonts w:ascii="Arial" w:hAnsi="Arial" w:cs="Arial"/>
          <w:b/>
          <w:bCs/>
          <w:sz w:val="22"/>
          <w:szCs w:val="22"/>
          <w:lang w:val="en-US"/>
        </w:rPr>
        <w:t>: PGS predicts adverse events and disease severity in HCM cases</w:t>
      </w:r>
    </w:p>
    <w:p w14:paraId="33010167" w14:textId="77777777" w:rsidR="00EB4101" w:rsidRPr="0071783B" w:rsidRDefault="00EB4101" w:rsidP="00C56485">
      <w:pPr>
        <w:spacing w:line="276" w:lineRule="auto"/>
        <w:rPr>
          <w:rFonts w:ascii="Arial" w:hAnsi="Arial" w:cs="Arial"/>
          <w:sz w:val="22"/>
          <w:szCs w:val="22"/>
        </w:rPr>
      </w:pPr>
    </w:p>
    <w:p w14:paraId="2D3340C0" w14:textId="77777777" w:rsidR="00EB4101" w:rsidRPr="0071783B" w:rsidRDefault="00EB4101" w:rsidP="00C56485">
      <w:pPr>
        <w:spacing w:line="276" w:lineRule="auto"/>
        <w:rPr>
          <w:rFonts w:ascii="Arial" w:hAnsi="Arial" w:cs="Arial"/>
          <w:noProof/>
          <w:sz w:val="22"/>
          <w:szCs w:val="22"/>
        </w:rPr>
      </w:pPr>
    </w:p>
    <w:p w14:paraId="61637930" w14:textId="78CDFFBA" w:rsidR="002A5032" w:rsidRDefault="002A5032">
      <w:pPr>
        <w:rPr>
          <w:rFonts w:ascii="Arial" w:hAnsi="Arial" w:cs="Arial"/>
          <w:sz w:val="22"/>
          <w:szCs w:val="22"/>
        </w:rPr>
      </w:pPr>
      <w:r>
        <w:rPr>
          <w:rFonts w:ascii="Arial" w:hAnsi="Arial" w:cs="Arial"/>
          <w:sz w:val="22"/>
          <w:szCs w:val="22"/>
        </w:rPr>
        <w:br w:type="page"/>
      </w:r>
      <w:r w:rsidR="00112D23">
        <w:rPr>
          <w:rFonts w:ascii="Arial" w:hAnsi="Arial" w:cs="Arial"/>
          <w:noProof/>
          <w:sz w:val="22"/>
          <w:szCs w:val="22"/>
        </w:rPr>
        <w:lastRenderedPageBreak/>
        <w:drawing>
          <wp:inline distT="0" distB="0" distL="0" distR="0" wp14:anchorId="34A9AD0F" wp14:editId="11D87A4F">
            <wp:extent cx="5731510" cy="40119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5731510" cy="4011930"/>
                    </a:xfrm>
                    <a:prstGeom prst="rect">
                      <a:avLst/>
                    </a:prstGeom>
                  </pic:spPr>
                </pic:pic>
              </a:graphicData>
            </a:graphic>
          </wp:inline>
        </w:drawing>
      </w:r>
    </w:p>
    <w:p w14:paraId="5B9FAA2E" w14:textId="71F58E78" w:rsidR="002A5032" w:rsidRDefault="002A5032" w:rsidP="002A5032">
      <w:pPr>
        <w:spacing w:line="276" w:lineRule="auto"/>
        <w:rPr>
          <w:rFonts w:ascii="Arial" w:hAnsi="Arial" w:cs="Arial"/>
          <w:noProof/>
          <w:sz w:val="22"/>
          <w:szCs w:val="22"/>
        </w:rPr>
      </w:pPr>
      <w:bookmarkStart w:id="0" w:name="Bookmark1"/>
      <w:r>
        <w:rPr>
          <w:rFonts w:ascii="Arial" w:hAnsi="Arial" w:cs="Arial"/>
          <w:b/>
          <w:bCs/>
          <w:noProof/>
          <w:sz w:val="22"/>
          <w:szCs w:val="22"/>
        </w:rPr>
        <w:t>Figure S1</w:t>
      </w:r>
      <w:bookmarkEnd w:id="0"/>
      <w:r>
        <w:rPr>
          <w:rFonts w:ascii="Arial" w:hAnsi="Arial" w:cs="Arial"/>
          <w:b/>
          <w:bCs/>
          <w:noProof/>
          <w:sz w:val="22"/>
          <w:szCs w:val="22"/>
        </w:rPr>
        <w:t xml:space="preserve">: PGS and cohort overview. </w:t>
      </w:r>
      <w:r>
        <w:rPr>
          <w:rStyle w:val="normaltextrun"/>
          <w:rFonts w:ascii="Arial" w:hAnsi="Arial" w:cs="Arial"/>
          <w:sz w:val="22"/>
          <w:szCs w:val="22"/>
          <w:lang w:val="en-US"/>
        </w:rPr>
        <w:t>Bayesian genome-wide PGS were generated from a published European-ancestry hypertrophic cardiomyopathy (HCM) GWAS meta-analysis of seven case-control studies (comprising 5,900 cases and 68,359 controls; PGS</w:t>
      </w:r>
      <w:r>
        <w:rPr>
          <w:rStyle w:val="normaltextrun"/>
          <w:rFonts w:ascii="Arial" w:hAnsi="Arial" w:cs="Arial"/>
          <w:sz w:val="17"/>
          <w:szCs w:val="17"/>
          <w:vertAlign w:val="subscript"/>
          <w:lang w:val="en-US"/>
        </w:rPr>
        <w:t>GWAS</w:t>
      </w:r>
      <w:r>
        <w:rPr>
          <w:rStyle w:val="normaltextrun"/>
          <w:rFonts w:ascii="Arial" w:hAnsi="Arial" w:cs="Arial"/>
          <w:sz w:val="22"/>
          <w:szCs w:val="22"/>
          <w:lang w:val="en-US"/>
        </w:rPr>
        <w:t>), and multi-trait analysis of GWAS (analysing HCM with three genetically-correlated quantitative traits measured using cardiac MRI [CMR] in 36,203 UKB participants: LV concentricity, LV end systolic volume and LV circumferential strain; PGS</w:t>
      </w:r>
      <w:r>
        <w:rPr>
          <w:rStyle w:val="normaltextrun"/>
          <w:rFonts w:ascii="Arial" w:hAnsi="Arial" w:cs="Arial"/>
          <w:sz w:val="17"/>
          <w:szCs w:val="17"/>
          <w:vertAlign w:val="subscript"/>
          <w:lang w:val="en-US"/>
        </w:rPr>
        <w:t>MTAG</w:t>
      </w:r>
      <w:r>
        <w:rPr>
          <w:rStyle w:val="normaltextrun"/>
          <w:rFonts w:ascii="Arial" w:hAnsi="Arial" w:cs="Arial"/>
          <w:sz w:val="22"/>
          <w:szCs w:val="22"/>
          <w:lang w:val="en-US"/>
        </w:rPr>
        <w:t xml:space="preserve">). </w:t>
      </w:r>
      <w:r>
        <w:rPr>
          <w:rFonts w:ascii="Arial" w:hAnsi="Arial" w:cs="Arial"/>
          <w:noProof/>
          <w:sz w:val="22"/>
          <w:szCs w:val="22"/>
        </w:rPr>
        <w:t>In order to minimise inflation due to overlap of samples in the base GWAS and cohort in which the PGS is being evaluated, leave-one-</w:t>
      </w:r>
      <w:r w:rsidR="008C7E94">
        <w:rPr>
          <w:rFonts w:ascii="Arial" w:hAnsi="Arial" w:cs="Arial"/>
          <w:noProof/>
          <w:sz w:val="22"/>
          <w:szCs w:val="22"/>
        </w:rPr>
        <w:t>study-</w:t>
      </w:r>
      <w:r>
        <w:rPr>
          <w:rFonts w:ascii="Arial" w:hAnsi="Arial" w:cs="Arial"/>
          <w:noProof/>
          <w:sz w:val="22"/>
          <w:szCs w:val="22"/>
        </w:rPr>
        <w:t>out GWAS meta-analyses were performed to generate base GWAS without any sample overlap. For example, when PGS was evaluated in GeL, first a GWAS meta-analysis excluding the GeL cohort was performed, which was then used to generate PGS that was tested in GeL. Similarly, for association of CMR traits in the UKB, given that the MTAG used GWAS summary statistics of imaging traits performed in the UKB, PGS derived from GWAS meta-analysis (PGS</w:t>
      </w:r>
      <w:r>
        <w:rPr>
          <w:rFonts w:ascii="Arial" w:hAnsi="Arial" w:cs="Arial"/>
          <w:noProof/>
          <w:sz w:val="22"/>
          <w:szCs w:val="22"/>
          <w:vertAlign w:val="subscript"/>
        </w:rPr>
        <w:t>GWAMA</w:t>
      </w:r>
      <w:r>
        <w:rPr>
          <w:rFonts w:ascii="Arial" w:hAnsi="Arial" w:cs="Arial"/>
          <w:noProof/>
          <w:sz w:val="22"/>
          <w:szCs w:val="22"/>
        </w:rPr>
        <w:t xml:space="preserve">) was used rather than PGS derived from MTAG. </w:t>
      </w:r>
      <w:r w:rsidR="008C7E94">
        <w:rPr>
          <w:rFonts w:ascii="Arial" w:hAnsi="Arial" w:cs="Arial"/>
          <w:noProof/>
          <w:sz w:val="22"/>
          <w:szCs w:val="22"/>
        </w:rPr>
        <w:t xml:space="preserve">All PGS performed similarly well in their associations with population risks of HCM in the UKB (Table S1). </w:t>
      </w:r>
      <w:r>
        <w:rPr>
          <w:rStyle w:val="normaltextrun"/>
          <w:rFonts w:ascii="Arial" w:hAnsi="Arial" w:cs="Arial"/>
          <w:sz w:val="22"/>
          <w:szCs w:val="22"/>
          <w:lang w:val="en-US"/>
        </w:rPr>
        <w:t>UKB – UK Biobank, GeL – 100,000 Genomes Project; EMC – Erasmus Medical Centre, Netherlands; RBH – Royal Brompton Hospital, UK. LV – left ventricle/ventricular, LVESV – LV end-systolic volume.</w:t>
      </w:r>
      <w:r>
        <w:rPr>
          <w:rStyle w:val="eop"/>
          <w:rFonts w:ascii="Arial" w:hAnsi="Arial" w:cs="Arial"/>
          <w:sz w:val="22"/>
          <w:szCs w:val="22"/>
        </w:rPr>
        <w:t> </w:t>
      </w:r>
    </w:p>
    <w:p w14:paraId="2559C916" w14:textId="4B9D510F" w:rsidR="00081F8E" w:rsidRPr="0071783B" w:rsidRDefault="00081F8E" w:rsidP="00C56485">
      <w:pPr>
        <w:spacing w:line="276" w:lineRule="auto"/>
        <w:rPr>
          <w:rFonts w:ascii="Arial" w:hAnsi="Arial" w:cs="Arial"/>
          <w:noProof/>
          <w:sz w:val="22"/>
          <w:szCs w:val="22"/>
        </w:rPr>
      </w:pPr>
    </w:p>
    <w:p w14:paraId="1720890E" w14:textId="11987DDA" w:rsidR="006C65D7" w:rsidRPr="0071783B" w:rsidRDefault="00A1340D" w:rsidP="00C56485">
      <w:pPr>
        <w:spacing w:line="276" w:lineRule="auto"/>
        <w:rPr>
          <w:rFonts w:ascii="Arial" w:hAnsi="Arial" w:cs="Arial"/>
          <w:noProof/>
          <w:sz w:val="22"/>
          <w:szCs w:val="22"/>
        </w:rPr>
      </w:pPr>
      <w:r>
        <w:rPr>
          <w:rFonts w:ascii="Arial" w:hAnsi="Arial" w:cs="Arial"/>
          <w:noProof/>
          <w:sz w:val="22"/>
          <w:szCs w:val="22"/>
        </w:rPr>
        <w:lastRenderedPageBreak/>
        <w:drawing>
          <wp:inline distT="0" distB="0" distL="0" distR="0" wp14:anchorId="2220D503" wp14:editId="5EE62048">
            <wp:extent cx="5731510" cy="59882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9">
                      <a:extLst>
                        <a:ext uri="{28A0092B-C50C-407E-A947-70E740481C1C}">
                          <a14:useLocalDpi xmlns:a14="http://schemas.microsoft.com/office/drawing/2010/main" val="0"/>
                        </a:ext>
                      </a:extLst>
                    </a:blip>
                    <a:srcRect b="26171"/>
                    <a:stretch/>
                  </pic:blipFill>
                  <pic:spPr bwMode="auto">
                    <a:xfrm>
                      <a:off x="0" y="0"/>
                      <a:ext cx="5731510" cy="5988205"/>
                    </a:xfrm>
                    <a:prstGeom prst="rect">
                      <a:avLst/>
                    </a:prstGeom>
                    <a:ln>
                      <a:noFill/>
                    </a:ln>
                    <a:extLst>
                      <a:ext uri="{53640926-AAD7-44D8-BBD7-CCE9431645EC}">
                        <a14:shadowObscured xmlns:a14="http://schemas.microsoft.com/office/drawing/2010/main"/>
                      </a:ext>
                    </a:extLst>
                  </pic:spPr>
                </pic:pic>
              </a:graphicData>
            </a:graphic>
          </wp:inline>
        </w:drawing>
      </w:r>
    </w:p>
    <w:p w14:paraId="356C53CF" w14:textId="56FD3AFD" w:rsidR="007E218B" w:rsidRPr="0071783B" w:rsidRDefault="006C65D7" w:rsidP="664AC542">
      <w:pPr>
        <w:spacing w:line="276" w:lineRule="auto"/>
        <w:rPr>
          <w:rFonts w:ascii="Arial" w:hAnsi="Arial" w:cs="Arial"/>
          <w:noProof/>
          <w:sz w:val="22"/>
          <w:szCs w:val="22"/>
        </w:rPr>
      </w:pPr>
      <w:bookmarkStart w:id="1" w:name="Bookmark2"/>
      <w:r w:rsidRPr="2E908618">
        <w:rPr>
          <w:rFonts w:ascii="Arial" w:hAnsi="Arial" w:cs="Arial"/>
          <w:b/>
          <w:bCs/>
          <w:noProof/>
          <w:sz w:val="22"/>
          <w:szCs w:val="22"/>
        </w:rPr>
        <w:t>Figure S</w:t>
      </w:r>
      <w:r w:rsidR="00317125" w:rsidRPr="2E908618">
        <w:rPr>
          <w:rFonts w:ascii="Arial" w:hAnsi="Arial" w:cs="Arial"/>
          <w:b/>
          <w:bCs/>
          <w:noProof/>
          <w:sz w:val="22"/>
          <w:szCs w:val="22"/>
        </w:rPr>
        <w:t>2</w:t>
      </w:r>
      <w:bookmarkEnd w:id="1"/>
      <w:r w:rsidRPr="2E908618">
        <w:rPr>
          <w:rFonts w:ascii="Arial" w:hAnsi="Arial" w:cs="Arial"/>
          <w:b/>
          <w:bCs/>
          <w:noProof/>
          <w:sz w:val="22"/>
          <w:szCs w:val="22"/>
        </w:rPr>
        <w:t xml:space="preserve">: </w:t>
      </w:r>
      <w:r w:rsidR="00894005" w:rsidRPr="2E908618">
        <w:rPr>
          <w:rFonts w:ascii="Arial" w:hAnsi="Arial" w:cs="Arial"/>
          <w:b/>
          <w:bCs/>
          <w:sz w:val="22"/>
          <w:szCs w:val="22"/>
        </w:rPr>
        <w:t>PGS in</w:t>
      </w:r>
      <w:r w:rsidR="7C794FF3" w:rsidRPr="2E908618">
        <w:rPr>
          <w:rFonts w:ascii="Arial" w:hAnsi="Arial" w:cs="Arial"/>
          <w:b/>
          <w:bCs/>
          <w:sz w:val="22"/>
          <w:szCs w:val="22"/>
        </w:rPr>
        <w:t xml:space="preserve"> the</w:t>
      </w:r>
      <w:r w:rsidR="00894005" w:rsidRPr="2E908618">
        <w:rPr>
          <w:rFonts w:ascii="Arial" w:hAnsi="Arial" w:cs="Arial"/>
          <w:b/>
          <w:bCs/>
          <w:sz w:val="22"/>
          <w:szCs w:val="22"/>
        </w:rPr>
        <w:t xml:space="preserve"> general population.</w:t>
      </w:r>
      <w:r w:rsidR="00894005" w:rsidRPr="2E908618">
        <w:rPr>
          <w:rFonts w:ascii="Arial" w:hAnsi="Arial" w:cs="Arial"/>
          <w:noProof/>
          <w:sz w:val="22"/>
          <w:szCs w:val="22"/>
        </w:rPr>
        <w:t xml:space="preserve"> </w:t>
      </w:r>
      <w:r w:rsidR="00946D69" w:rsidRPr="2E908618">
        <w:rPr>
          <w:rFonts w:ascii="Arial" w:hAnsi="Arial" w:cs="Arial"/>
          <w:noProof/>
          <w:sz w:val="22"/>
          <w:szCs w:val="22"/>
        </w:rPr>
        <w:t xml:space="preserve">(A) Prevalence of HCM in UKB in each decile. </w:t>
      </w:r>
      <w:r w:rsidRPr="2E908618">
        <w:rPr>
          <w:rFonts w:ascii="Arial" w:hAnsi="Arial" w:cs="Arial"/>
          <w:noProof/>
          <w:sz w:val="22"/>
          <w:szCs w:val="22"/>
        </w:rPr>
        <w:t>(</w:t>
      </w:r>
      <w:r w:rsidR="00D63DD5" w:rsidRPr="2E908618">
        <w:rPr>
          <w:rFonts w:ascii="Arial" w:hAnsi="Arial" w:cs="Arial"/>
          <w:noProof/>
          <w:sz w:val="22"/>
          <w:szCs w:val="22"/>
        </w:rPr>
        <w:t>B</w:t>
      </w:r>
      <w:r w:rsidRPr="2E908618">
        <w:rPr>
          <w:rFonts w:ascii="Arial" w:hAnsi="Arial" w:cs="Arial"/>
          <w:noProof/>
          <w:sz w:val="22"/>
          <w:szCs w:val="22"/>
        </w:rPr>
        <w:t>)</w:t>
      </w:r>
      <w:r w:rsidRPr="2E908618">
        <w:rPr>
          <w:rFonts w:ascii="Arial" w:hAnsi="Arial" w:cs="Arial"/>
          <w:sz w:val="22"/>
          <w:szCs w:val="22"/>
        </w:rPr>
        <w:t xml:space="preserve"> OR for HCM comparing</w:t>
      </w:r>
      <w:r w:rsidR="007A4C19" w:rsidRPr="2E908618">
        <w:rPr>
          <w:rFonts w:ascii="Arial" w:hAnsi="Arial" w:cs="Arial"/>
          <w:sz w:val="22"/>
          <w:szCs w:val="22"/>
        </w:rPr>
        <w:t xml:space="preserve"> a range of</w:t>
      </w:r>
      <w:r w:rsidRPr="2E908618">
        <w:rPr>
          <w:rFonts w:ascii="Arial" w:hAnsi="Arial" w:cs="Arial"/>
          <w:sz w:val="22"/>
          <w:szCs w:val="22"/>
        </w:rPr>
        <w:t xml:space="preserve"> top quantile</w:t>
      </w:r>
      <w:r w:rsidR="007A4C19" w:rsidRPr="2E908618">
        <w:rPr>
          <w:rFonts w:ascii="Arial" w:hAnsi="Arial" w:cs="Arial"/>
          <w:sz w:val="22"/>
          <w:szCs w:val="22"/>
        </w:rPr>
        <w:t>s</w:t>
      </w:r>
      <w:r w:rsidRPr="2E908618">
        <w:rPr>
          <w:rFonts w:ascii="Arial" w:hAnsi="Arial" w:cs="Arial"/>
          <w:sz w:val="22"/>
          <w:szCs w:val="22"/>
        </w:rPr>
        <w:t xml:space="preserve"> with median 20% and lowest quantiles.</w:t>
      </w:r>
      <w:r w:rsidRPr="2E908618">
        <w:rPr>
          <w:rFonts w:ascii="Arial" w:hAnsi="Arial" w:cs="Arial"/>
          <w:noProof/>
          <w:sz w:val="22"/>
          <w:szCs w:val="22"/>
        </w:rPr>
        <w:t xml:space="preserve"> </w:t>
      </w:r>
      <w:r w:rsidR="007A4C19" w:rsidRPr="2E908618">
        <w:rPr>
          <w:rFonts w:ascii="Arial" w:hAnsi="Arial" w:cs="Arial"/>
          <w:noProof/>
          <w:sz w:val="22"/>
          <w:szCs w:val="22"/>
        </w:rPr>
        <w:t>(</w:t>
      </w:r>
      <w:r w:rsidR="00D63DD5" w:rsidRPr="2E908618">
        <w:rPr>
          <w:rFonts w:ascii="Arial" w:hAnsi="Arial" w:cs="Arial"/>
          <w:noProof/>
          <w:sz w:val="22"/>
          <w:szCs w:val="22"/>
        </w:rPr>
        <w:t>C and D</w:t>
      </w:r>
      <w:r w:rsidR="007A4C19" w:rsidRPr="2E908618">
        <w:rPr>
          <w:rFonts w:ascii="Arial" w:hAnsi="Arial" w:cs="Arial"/>
          <w:noProof/>
          <w:sz w:val="22"/>
          <w:szCs w:val="22"/>
        </w:rPr>
        <w:t xml:space="preserve">) Hazards ratio for adverse cardiovascular events when comparing </w:t>
      </w:r>
      <w:r w:rsidR="00D63DD5" w:rsidRPr="2E908618">
        <w:rPr>
          <w:rFonts w:ascii="Arial" w:hAnsi="Arial" w:cs="Arial"/>
          <w:noProof/>
          <w:sz w:val="22"/>
          <w:szCs w:val="22"/>
        </w:rPr>
        <w:t>with the median (C) and bottom (D) quintiles.</w:t>
      </w:r>
      <w:r w:rsidR="007A4C19" w:rsidRPr="2E908618">
        <w:rPr>
          <w:rFonts w:ascii="Arial" w:hAnsi="Arial" w:cs="Arial"/>
          <w:noProof/>
          <w:sz w:val="22"/>
          <w:szCs w:val="22"/>
        </w:rPr>
        <w:t xml:space="preserve"> HCM composite consists of death, heart failure, AF, stroke, cardiac arrest, septal reduction therapy (surgical myectomy or alcohol septal ablation), ICD implantation, LVAD implantation, or cardiac transplantation. MACE consists of </w:t>
      </w:r>
      <w:r w:rsidR="007A4C19" w:rsidRPr="2E908618">
        <w:rPr>
          <w:rFonts w:ascii="Arial" w:hAnsi="Arial" w:cs="Arial"/>
          <w:sz w:val="22"/>
          <w:szCs w:val="22"/>
          <w:lang w:val="en-US"/>
        </w:rPr>
        <w:t>HCM diagnosis, heart failure, AF, stroke or cardiac arrest</w:t>
      </w:r>
      <w:r w:rsidR="007A4C19" w:rsidRPr="2E908618">
        <w:rPr>
          <w:rFonts w:ascii="Arial" w:hAnsi="Arial" w:cs="Arial"/>
          <w:noProof/>
          <w:sz w:val="22"/>
          <w:szCs w:val="22"/>
        </w:rPr>
        <w:t>.</w:t>
      </w:r>
    </w:p>
    <w:p w14:paraId="2C47E4F7" w14:textId="6653FB42" w:rsidR="007C3850" w:rsidRDefault="00317125" w:rsidP="664AC542">
      <w:pPr>
        <w:spacing w:line="276" w:lineRule="auto"/>
        <w:rPr>
          <w:rFonts w:ascii="Arial" w:hAnsi="Arial" w:cs="Arial"/>
          <w:noProof/>
          <w:sz w:val="22"/>
          <w:szCs w:val="22"/>
        </w:rPr>
      </w:pPr>
      <w:r>
        <w:br w:type="page"/>
      </w:r>
      <w:r w:rsidRPr="664AC542">
        <w:rPr>
          <w:rFonts w:ascii="Arial" w:hAnsi="Arial" w:cs="Arial"/>
          <w:noProof/>
          <w:sz w:val="22"/>
          <w:szCs w:val="22"/>
        </w:rPr>
        <w:lastRenderedPageBreak/>
        <w:t>A</w:t>
      </w:r>
      <w:r>
        <w:rPr>
          <w:rFonts w:ascii="Arial" w:hAnsi="Arial" w:cs="Arial"/>
          <w:noProof/>
          <w:sz w:val="22"/>
          <w:szCs w:val="22"/>
        </w:rPr>
        <w:t xml:space="preserve"> </w:t>
      </w:r>
      <w:r w:rsidR="00B95F30">
        <w:rPr>
          <w:rFonts w:ascii="Arial" w:hAnsi="Arial" w:cs="Arial"/>
          <w:noProof/>
          <w:sz w:val="22"/>
          <w:szCs w:val="22"/>
        </w:rPr>
        <w:drawing>
          <wp:inline distT="0" distB="0" distL="0" distR="0" wp14:anchorId="4335C6E2" wp14:editId="6254C30D">
            <wp:extent cx="5400000" cy="405030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5400000" cy="4050300"/>
                    </a:xfrm>
                    <a:prstGeom prst="rect">
                      <a:avLst/>
                    </a:prstGeom>
                  </pic:spPr>
                </pic:pic>
              </a:graphicData>
            </a:graphic>
          </wp:inline>
        </w:drawing>
      </w:r>
      <w:r w:rsidR="00F23313">
        <w:rPr>
          <w:rFonts w:ascii="Arial" w:hAnsi="Arial" w:cs="Arial"/>
          <w:noProof/>
          <w:sz w:val="22"/>
          <w:szCs w:val="22"/>
        </w:rPr>
        <w:t>B</w:t>
      </w:r>
      <w:r w:rsidR="00B95F30">
        <w:rPr>
          <w:rFonts w:ascii="Arial" w:hAnsi="Arial" w:cs="Arial"/>
          <w:noProof/>
          <w:sz w:val="22"/>
          <w:szCs w:val="22"/>
        </w:rPr>
        <w:drawing>
          <wp:inline distT="0" distB="0" distL="0" distR="0" wp14:anchorId="681DD928" wp14:editId="16A62A87">
            <wp:extent cx="5400000" cy="471729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1">
                      <a:extLst>
                        <a:ext uri="{28A0092B-C50C-407E-A947-70E740481C1C}">
                          <a14:useLocalDpi xmlns:a14="http://schemas.microsoft.com/office/drawing/2010/main" val="0"/>
                        </a:ext>
                      </a:extLst>
                    </a:blip>
                    <a:srcRect b="38269"/>
                    <a:stretch/>
                  </pic:blipFill>
                  <pic:spPr bwMode="auto">
                    <a:xfrm>
                      <a:off x="0" y="0"/>
                      <a:ext cx="5400000" cy="4717299"/>
                    </a:xfrm>
                    <a:prstGeom prst="rect">
                      <a:avLst/>
                    </a:prstGeom>
                    <a:ln>
                      <a:noFill/>
                    </a:ln>
                    <a:extLst>
                      <a:ext uri="{53640926-AAD7-44D8-BBD7-CCE9431645EC}">
                        <a14:shadowObscured xmlns:a14="http://schemas.microsoft.com/office/drawing/2010/main"/>
                      </a:ext>
                    </a:extLst>
                  </pic:spPr>
                </pic:pic>
              </a:graphicData>
            </a:graphic>
          </wp:inline>
        </w:drawing>
      </w:r>
    </w:p>
    <w:p w14:paraId="2EEFA54B" w14:textId="77777777" w:rsidR="00F23313" w:rsidRDefault="00F23313" w:rsidP="664AC542">
      <w:pPr>
        <w:spacing w:line="276" w:lineRule="auto"/>
        <w:rPr>
          <w:rFonts w:ascii="Arial" w:hAnsi="Arial" w:cs="Arial"/>
          <w:noProof/>
          <w:sz w:val="22"/>
          <w:szCs w:val="22"/>
        </w:rPr>
      </w:pPr>
    </w:p>
    <w:p w14:paraId="62C64D56" w14:textId="38693C8E" w:rsidR="007E218B" w:rsidRPr="0071783B" w:rsidRDefault="007E218B" w:rsidP="664AC542">
      <w:pPr>
        <w:spacing w:line="276" w:lineRule="auto"/>
        <w:rPr>
          <w:rFonts w:ascii="Arial" w:hAnsi="Arial" w:cs="Arial"/>
          <w:noProof/>
          <w:sz w:val="22"/>
          <w:szCs w:val="22"/>
        </w:rPr>
      </w:pPr>
    </w:p>
    <w:p w14:paraId="721E17D5" w14:textId="73134FD3" w:rsidR="007E218B" w:rsidRPr="0071783B" w:rsidRDefault="46DEDCB9" w:rsidP="664AC542">
      <w:pPr>
        <w:spacing w:line="276" w:lineRule="auto"/>
        <w:rPr>
          <w:rFonts w:ascii="Arial" w:hAnsi="Arial" w:cs="Arial"/>
          <w:noProof/>
          <w:sz w:val="22"/>
          <w:szCs w:val="22"/>
        </w:rPr>
      </w:pPr>
      <w:bookmarkStart w:id="2" w:name="Bookmark3"/>
      <w:r w:rsidRPr="2E908618">
        <w:rPr>
          <w:rFonts w:ascii="Arial" w:hAnsi="Arial" w:cs="Arial"/>
          <w:b/>
          <w:bCs/>
          <w:sz w:val="22"/>
          <w:szCs w:val="22"/>
          <w:lang w:val="en-US"/>
        </w:rPr>
        <w:t>Figure S</w:t>
      </w:r>
      <w:r w:rsidR="732D75F3" w:rsidRPr="2E908618">
        <w:rPr>
          <w:rFonts w:ascii="Arial" w:hAnsi="Arial" w:cs="Arial"/>
          <w:b/>
          <w:bCs/>
          <w:sz w:val="22"/>
          <w:szCs w:val="22"/>
          <w:lang w:val="en-US"/>
        </w:rPr>
        <w:t>3</w:t>
      </w:r>
      <w:bookmarkEnd w:id="2"/>
      <w:r w:rsidRPr="2E908618">
        <w:rPr>
          <w:rFonts w:ascii="Arial" w:hAnsi="Arial" w:cs="Arial"/>
          <w:b/>
          <w:bCs/>
          <w:sz w:val="22"/>
          <w:szCs w:val="22"/>
          <w:lang w:val="en-US"/>
        </w:rPr>
        <w:t>: HCM PGS and cardiac imaging traits in the general population.</w:t>
      </w:r>
      <w:r w:rsidRPr="2E908618">
        <w:rPr>
          <w:rFonts w:ascii="Arial" w:hAnsi="Arial" w:cs="Arial"/>
          <w:sz w:val="22"/>
          <w:szCs w:val="22"/>
          <w:lang w:val="en-US"/>
        </w:rPr>
        <w:t xml:space="preserve"> (A) PGS</w:t>
      </w:r>
      <w:r w:rsidRPr="2E908618">
        <w:rPr>
          <w:rFonts w:ascii="Arial" w:hAnsi="Arial" w:cs="Arial"/>
          <w:sz w:val="22"/>
          <w:szCs w:val="22"/>
          <w:vertAlign w:val="subscript"/>
          <w:lang w:val="en-US"/>
        </w:rPr>
        <w:t>GWAMA</w:t>
      </w:r>
      <w:r w:rsidRPr="2E908618">
        <w:rPr>
          <w:rFonts w:ascii="Arial" w:hAnsi="Arial" w:cs="Arial"/>
          <w:sz w:val="22"/>
          <w:szCs w:val="22"/>
          <w:lang w:val="en-US"/>
        </w:rPr>
        <w:t xml:space="preserve"> associations with machine-learning derived quantitative CMR traits in 30,663 unrelated participants in the UKB. Univariate regression line of PGS and trait (blue line). (B) Violin plot of quantitative CMR traits in top and bottom PGS centiles. Box plots indicate mean and standard deviation. LV: left ventricle.</w:t>
      </w:r>
    </w:p>
    <w:p w14:paraId="237CF601" w14:textId="100B011F" w:rsidR="007E218B" w:rsidRPr="0071783B" w:rsidRDefault="006C65D7" w:rsidP="00C56485">
      <w:pPr>
        <w:spacing w:line="276" w:lineRule="auto"/>
      </w:pPr>
      <w:r>
        <w:br w:type="page"/>
      </w:r>
    </w:p>
    <w:p w14:paraId="67E2BB26" w14:textId="2F3667BF" w:rsidR="007E218B" w:rsidRPr="0071783B" w:rsidRDefault="00F159CA" w:rsidP="664AC542">
      <w:pPr>
        <w:spacing w:line="276" w:lineRule="auto"/>
        <w:rPr>
          <w:rFonts w:ascii="Arial" w:hAnsi="Arial" w:cs="Arial"/>
          <w:noProof/>
          <w:sz w:val="22"/>
          <w:szCs w:val="22"/>
        </w:rPr>
      </w:pPr>
      <w:bookmarkStart w:id="3" w:name="Bookmark4"/>
      <w:r>
        <w:rPr>
          <w:rFonts w:ascii="Arial" w:hAnsi="Arial" w:cs="Arial"/>
          <w:b/>
          <w:bCs/>
          <w:noProof/>
          <w:sz w:val="22"/>
          <w:szCs w:val="22"/>
        </w:rPr>
        <w:lastRenderedPageBreak/>
        <w:drawing>
          <wp:inline distT="0" distB="0" distL="0" distR="0" wp14:anchorId="5536E9FF" wp14:editId="30F5F67F">
            <wp:extent cx="5731510" cy="69026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2">
                      <a:extLst>
                        <a:ext uri="{28A0092B-C50C-407E-A947-70E740481C1C}">
                          <a14:useLocalDpi xmlns:a14="http://schemas.microsoft.com/office/drawing/2010/main" val="0"/>
                        </a:ext>
                      </a:extLst>
                    </a:blip>
                    <a:srcRect b="14897"/>
                    <a:stretch/>
                  </pic:blipFill>
                  <pic:spPr bwMode="auto">
                    <a:xfrm>
                      <a:off x="0" y="0"/>
                      <a:ext cx="5731510" cy="6902605"/>
                    </a:xfrm>
                    <a:prstGeom prst="rect">
                      <a:avLst/>
                    </a:prstGeom>
                    <a:ln>
                      <a:noFill/>
                    </a:ln>
                    <a:extLst>
                      <a:ext uri="{53640926-AAD7-44D8-BBD7-CCE9431645EC}">
                        <a14:shadowObscured xmlns:a14="http://schemas.microsoft.com/office/drawing/2010/main"/>
                      </a:ext>
                    </a:extLst>
                  </pic:spPr>
                </pic:pic>
              </a:graphicData>
            </a:graphic>
          </wp:inline>
        </w:drawing>
      </w:r>
      <w:r w:rsidR="6921768A" w:rsidRPr="664AC542">
        <w:rPr>
          <w:rFonts w:ascii="Arial" w:hAnsi="Arial" w:cs="Arial"/>
          <w:b/>
          <w:bCs/>
          <w:noProof/>
          <w:sz w:val="22"/>
          <w:szCs w:val="22"/>
        </w:rPr>
        <w:t>Figure S</w:t>
      </w:r>
      <w:r w:rsidR="62365B07" w:rsidRPr="664AC542">
        <w:rPr>
          <w:rFonts w:ascii="Arial" w:hAnsi="Arial" w:cs="Arial"/>
          <w:b/>
          <w:bCs/>
          <w:noProof/>
          <w:sz w:val="22"/>
          <w:szCs w:val="22"/>
        </w:rPr>
        <w:t>4</w:t>
      </w:r>
      <w:bookmarkEnd w:id="3"/>
      <w:r w:rsidR="6921768A" w:rsidRPr="664AC542">
        <w:rPr>
          <w:rFonts w:ascii="Arial" w:hAnsi="Arial" w:cs="Arial"/>
          <w:b/>
          <w:bCs/>
          <w:noProof/>
          <w:sz w:val="22"/>
          <w:szCs w:val="22"/>
        </w:rPr>
        <w:t xml:space="preserve">: </w:t>
      </w:r>
      <w:r w:rsidR="6921768A" w:rsidRPr="664AC542">
        <w:rPr>
          <w:rFonts w:ascii="Arial" w:hAnsi="Arial" w:cs="Arial"/>
          <w:b/>
          <w:bCs/>
          <w:sz w:val="22"/>
          <w:szCs w:val="22"/>
        </w:rPr>
        <w:t>PGS in non-White ancestry groups.</w:t>
      </w:r>
      <w:r w:rsidR="6921768A" w:rsidRPr="664AC542">
        <w:rPr>
          <w:rFonts w:ascii="Arial" w:hAnsi="Arial" w:cs="Arial"/>
          <w:noProof/>
          <w:sz w:val="22"/>
          <w:szCs w:val="22"/>
        </w:rPr>
        <w:t xml:space="preserve"> (A) PGS distribution across ancestries in South Asian (7,538 participants), Afro-Caribbean (7,346) and East Asian (1,457) participants in the UKB, and in non-White British case and controls. </w:t>
      </w:r>
      <w:r w:rsidR="6921768A" w:rsidRPr="664AC542">
        <w:rPr>
          <w:rFonts w:ascii="Arial" w:hAnsi="Arial" w:cs="Arial"/>
          <w:sz w:val="22"/>
          <w:szCs w:val="22"/>
          <w:lang w:val="en-US"/>
        </w:rPr>
        <w:t xml:space="preserve">(B) Pooled PGS distribution in non-White ancestry individuals in UKB, stratified by case-control status. (C) </w:t>
      </w:r>
      <w:r w:rsidR="6921768A" w:rsidRPr="664AC542">
        <w:rPr>
          <w:rFonts w:ascii="Arial" w:hAnsi="Arial" w:cs="Arial"/>
          <w:sz w:val="22"/>
          <w:szCs w:val="22"/>
        </w:rPr>
        <w:t>Standardised effect size per PGS SD on CMR traits in non-White ancestry groups. (D) Standardised effect size per PGS SD on CMR traits in 1,457 Chinese ancestry individuals in UKB using standard PGS (PGS</w:t>
      </w:r>
      <w:r w:rsidR="6921768A" w:rsidRPr="664AC542">
        <w:rPr>
          <w:rFonts w:ascii="Arial" w:hAnsi="Arial" w:cs="Arial"/>
          <w:sz w:val="22"/>
          <w:szCs w:val="22"/>
          <w:vertAlign w:val="subscript"/>
        </w:rPr>
        <w:t>GWAMA</w:t>
      </w:r>
      <w:r w:rsidR="6921768A" w:rsidRPr="664AC542">
        <w:rPr>
          <w:rFonts w:ascii="Arial" w:hAnsi="Arial" w:cs="Arial"/>
          <w:sz w:val="22"/>
          <w:szCs w:val="22"/>
        </w:rPr>
        <w:t>) and PGS generated with the addition of Singapore GWAS using PGS-CSx (PGS</w:t>
      </w:r>
      <w:r w:rsidR="6921768A" w:rsidRPr="664AC542">
        <w:rPr>
          <w:rFonts w:ascii="Arial" w:hAnsi="Arial" w:cs="Arial"/>
          <w:sz w:val="22"/>
          <w:szCs w:val="22"/>
          <w:vertAlign w:val="subscript"/>
        </w:rPr>
        <w:t>Chinese</w:t>
      </w:r>
      <w:r w:rsidR="6921768A" w:rsidRPr="664AC542">
        <w:rPr>
          <w:rFonts w:ascii="Arial" w:hAnsi="Arial" w:cs="Arial"/>
          <w:sz w:val="22"/>
          <w:szCs w:val="22"/>
        </w:rPr>
        <w:t>).</w:t>
      </w:r>
      <w:r w:rsidR="006C65D7" w:rsidRPr="664AC542">
        <w:rPr>
          <w:rFonts w:ascii="Arial" w:hAnsi="Arial" w:cs="Arial"/>
          <w:sz w:val="22"/>
          <w:szCs w:val="22"/>
        </w:rPr>
        <w:br w:type="page"/>
      </w:r>
    </w:p>
    <w:p w14:paraId="3B494FE8" w14:textId="3344C146" w:rsidR="007E218B" w:rsidRPr="0071783B" w:rsidRDefault="003C0E88" w:rsidP="664AC542">
      <w:pPr>
        <w:spacing w:line="276" w:lineRule="auto"/>
        <w:rPr>
          <w:rFonts w:ascii="Arial" w:hAnsi="Arial" w:cs="Arial"/>
          <w:noProof/>
          <w:sz w:val="22"/>
          <w:szCs w:val="22"/>
        </w:rPr>
      </w:pPr>
      <w:r>
        <w:rPr>
          <w:rFonts w:ascii="Arial" w:hAnsi="Arial" w:cs="Arial"/>
          <w:noProof/>
          <w:sz w:val="22"/>
          <w:szCs w:val="22"/>
        </w:rPr>
        <w:lastRenderedPageBreak/>
        <w:drawing>
          <wp:inline distT="0" distB="0" distL="0" distR="0" wp14:anchorId="522AA32E" wp14:editId="6A703E32">
            <wp:extent cx="5731510" cy="30665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13">
                      <a:extLst>
                        <a:ext uri="{28A0092B-C50C-407E-A947-70E740481C1C}">
                          <a14:useLocalDpi xmlns:a14="http://schemas.microsoft.com/office/drawing/2010/main" val="0"/>
                        </a:ext>
                      </a:extLst>
                    </a:blip>
                    <a:srcRect b="62192"/>
                    <a:stretch/>
                  </pic:blipFill>
                  <pic:spPr bwMode="auto">
                    <a:xfrm>
                      <a:off x="0" y="0"/>
                      <a:ext cx="5731510" cy="3066585"/>
                    </a:xfrm>
                    <a:prstGeom prst="rect">
                      <a:avLst/>
                    </a:prstGeom>
                    <a:ln>
                      <a:noFill/>
                    </a:ln>
                    <a:extLst>
                      <a:ext uri="{53640926-AAD7-44D8-BBD7-CCE9431645EC}">
                        <a14:shadowObscured xmlns:a14="http://schemas.microsoft.com/office/drawing/2010/main"/>
                      </a:ext>
                    </a:extLst>
                  </pic:spPr>
                </pic:pic>
              </a:graphicData>
            </a:graphic>
          </wp:inline>
        </w:drawing>
      </w:r>
    </w:p>
    <w:p w14:paraId="68FC6820" w14:textId="5347A4A3" w:rsidR="007E218B" w:rsidRPr="0071783B" w:rsidRDefault="6921768A" w:rsidP="664AC542">
      <w:pPr>
        <w:spacing w:line="276" w:lineRule="auto"/>
        <w:rPr>
          <w:rFonts w:ascii="Arial" w:hAnsi="Arial" w:cs="Arial"/>
          <w:noProof/>
          <w:sz w:val="22"/>
          <w:szCs w:val="22"/>
        </w:rPr>
      </w:pPr>
      <w:bookmarkStart w:id="4" w:name="Bookmark5"/>
      <w:r w:rsidRPr="2E908618">
        <w:rPr>
          <w:rFonts w:ascii="Arial" w:hAnsi="Arial" w:cs="Arial"/>
          <w:b/>
          <w:bCs/>
          <w:noProof/>
          <w:sz w:val="22"/>
          <w:szCs w:val="22"/>
        </w:rPr>
        <w:t>Figure S</w:t>
      </w:r>
      <w:r w:rsidR="312B6E77" w:rsidRPr="2E908618">
        <w:rPr>
          <w:rFonts w:ascii="Arial" w:hAnsi="Arial" w:cs="Arial"/>
          <w:b/>
          <w:bCs/>
          <w:noProof/>
          <w:sz w:val="22"/>
          <w:szCs w:val="22"/>
        </w:rPr>
        <w:t>5</w:t>
      </w:r>
      <w:bookmarkEnd w:id="4"/>
      <w:r w:rsidRPr="2E908618">
        <w:rPr>
          <w:rFonts w:ascii="Arial" w:hAnsi="Arial" w:cs="Arial"/>
          <w:b/>
          <w:bCs/>
          <w:noProof/>
          <w:sz w:val="22"/>
          <w:szCs w:val="22"/>
        </w:rPr>
        <w:t>: Singapore Chinese ancestry HCM case-control GWAS.</w:t>
      </w:r>
      <w:r w:rsidRPr="2E908618">
        <w:rPr>
          <w:rFonts w:ascii="Arial" w:hAnsi="Arial" w:cs="Arial"/>
          <w:noProof/>
          <w:sz w:val="22"/>
          <w:szCs w:val="22"/>
        </w:rPr>
        <w:t xml:space="preserve"> (A) Manhattan and (B) QQ plot of Singapore HCM case-control GWAS consisting of 174 HCM cases and 776 controls, all of Chinese ancestry (lambda GC 1.03). Blue line indicates suggestive significance threshold (P&lt;1x10</w:t>
      </w:r>
      <w:r w:rsidRPr="2E908618">
        <w:rPr>
          <w:rFonts w:ascii="Arial" w:hAnsi="Arial" w:cs="Arial"/>
          <w:noProof/>
          <w:sz w:val="22"/>
          <w:szCs w:val="22"/>
          <w:vertAlign w:val="superscript"/>
        </w:rPr>
        <w:t>-5</w:t>
      </w:r>
      <w:r w:rsidRPr="2E908618">
        <w:rPr>
          <w:rFonts w:ascii="Arial" w:hAnsi="Arial" w:cs="Arial"/>
          <w:noProof/>
          <w:sz w:val="22"/>
          <w:szCs w:val="22"/>
        </w:rPr>
        <w:t>).</w:t>
      </w:r>
      <w:r w:rsidRPr="2E908618">
        <w:rPr>
          <w:rFonts w:ascii="Arial" w:hAnsi="Arial" w:cs="Arial"/>
          <w:noProof/>
          <w:sz w:val="22"/>
          <w:szCs w:val="22"/>
          <w:lang w:val="en-US"/>
        </w:rPr>
        <w:t xml:space="preserve"> No SNPs reached genome-wide significance (P&lt;5x10</w:t>
      </w:r>
      <w:r w:rsidRPr="2E908618">
        <w:rPr>
          <w:rFonts w:ascii="Arial" w:hAnsi="Arial" w:cs="Arial"/>
          <w:noProof/>
          <w:sz w:val="22"/>
          <w:szCs w:val="22"/>
          <w:vertAlign w:val="superscript"/>
          <w:lang w:val="en-US"/>
        </w:rPr>
        <w:t>-8</w:t>
      </w:r>
      <w:r w:rsidRPr="2E908618">
        <w:rPr>
          <w:rFonts w:ascii="Arial" w:hAnsi="Arial" w:cs="Arial"/>
          <w:noProof/>
          <w:sz w:val="22"/>
          <w:szCs w:val="22"/>
          <w:lang w:val="en-US"/>
        </w:rPr>
        <w:t>).</w:t>
      </w:r>
    </w:p>
    <w:p w14:paraId="78D4291A" w14:textId="334F0C5A" w:rsidR="007E218B" w:rsidRPr="0071783B" w:rsidRDefault="007E218B" w:rsidP="664AC542">
      <w:pPr>
        <w:spacing w:line="276" w:lineRule="auto"/>
        <w:rPr>
          <w:rFonts w:ascii="Arial" w:hAnsi="Arial" w:cs="Arial"/>
          <w:noProof/>
          <w:sz w:val="22"/>
          <w:szCs w:val="22"/>
        </w:rPr>
      </w:pPr>
    </w:p>
    <w:p w14:paraId="57D6D9F5" w14:textId="6B870E2F" w:rsidR="006C65D7" w:rsidRPr="0071783B" w:rsidRDefault="001400C6" w:rsidP="00C56485">
      <w:pPr>
        <w:spacing w:line="276" w:lineRule="auto"/>
        <w:rPr>
          <w:rFonts w:ascii="Arial" w:hAnsi="Arial" w:cs="Arial"/>
          <w:sz w:val="22"/>
          <w:szCs w:val="22"/>
          <w:lang w:val="en-US"/>
        </w:rPr>
      </w:pPr>
      <w:r w:rsidRPr="664AC542">
        <w:rPr>
          <w:rFonts w:ascii="Arial" w:hAnsi="Arial" w:cs="Arial"/>
          <w:noProof/>
          <w:sz w:val="22"/>
          <w:szCs w:val="22"/>
        </w:rPr>
        <w:br w:type="page"/>
      </w:r>
    </w:p>
    <w:p w14:paraId="763B5CC4" w14:textId="3776D542" w:rsidR="00891AD2" w:rsidRPr="00E46C3E" w:rsidRDefault="003C0E88" w:rsidP="00C56485">
      <w:pPr>
        <w:spacing w:line="276" w:lineRule="auto"/>
        <w:rPr>
          <w:rFonts w:ascii="Arial" w:hAnsi="Arial" w:cs="Arial"/>
          <w:noProof/>
          <w:sz w:val="22"/>
          <w:szCs w:val="22"/>
          <w:lang w:val="en-US"/>
        </w:rPr>
      </w:pPr>
      <w:r>
        <w:rPr>
          <w:rFonts w:ascii="Arial" w:hAnsi="Arial" w:cs="Arial"/>
          <w:noProof/>
          <w:sz w:val="22"/>
          <w:szCs w:val="22"/>
          <w:lang w:val="en-US"/>
        </w:rPr>
        <w:lastRenderedPageBreak/>
        <w:drawing>
          <wp:inline distT="0" distB="0" distL="0" distR="0" wp14:anchorId="64E00C75" wp14:editId="141C0CC7">
            <wp:extent cx="5731510" cy="793966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4">
                      <a:extLst>
                        <a:ext uri="{28A0092B-C50C-407E-A947-70E740481C1C}">
                          <a14:useLocalDpi xmlns:a14="http://schemas.microsoft.com/office/drawing/2010/main" val="0"/>
                        </a:ext>
                      </a:extLst>
                    </a:blip>
                    <a:srcRect b="2111"/>
                    <a:stretch/>
                  </pic:blipFill>
                  <pic:spPr bwMode="auto">
                    <a:xfrm>
                      <a:off x="0" y="0"/>
                      <a:ext cx="5731510" cy="7939668"/>
                    </a:xfrm>
                    <a:prstGeom prst="rect">
                      <a:avLst/>
                    </a:prstGeom>
                    <a:ln>
                      <a:noFill/>
                    </a:ln>
                    <a:extLst>
                      <a:ext uri="{53640926-AAD7-44D8-BBD7-CCE9431645EC}">
                        <a14:shadowObscured xmlns:a14="http://schemas.microsoft.com/office/drawing/2010/main"/>
                      </a:ext>
                    </a:extLst>
                  </pic:spPr>
                </pic:pic>
              </a:graphicData>
            </a:graphic>
          </wp:inline>
        </w:drawing>
      </w:r>
    </w:p>
    <w:p w14:paraId="5FA4295B" w14:textId="5E5DD2D2" w:rsidR="005C1F7C" w:rsidRPr="0071783B" w:rsidRDefault="006C65D7" w:rsidP="00C56485">
      <w:pPr>
        <w:spacing w:line="276" w:lineRule="auto"/>
        <w:rPr>
          <w:rFonts w:ascii="Arial" w:hAnsi="Arial" w:cs="Arial"/>
          <w:b/>
          <w:bCs/>
          <w:noProof/>
          <w:sz w:val="22"/>
          <w:szCs w:val="22"/>
        </w:rPr>
      </w:pPr>
      <w:bookmarkStart w:id="5" w:name="Bookmark6"/>
      <w:r w:rsidRPr="2E908618">
        <w:rPr>
          <w:rFonts w:ascii="Arial" w:hAnsi="Arial" w:cs="Arial"/>
          <w:b/>
          <w:bCs/>
          <w:noProof/>
          <w:sz w:val="22"/>
          <w:szCs w:val="22"/>
        </w:rPr>
        <w:t>Figure S</w:t>
      </w:r>
      <w:r w:rsidR="70774DCD" w:rsidRPr="2E908618">
        <w:rPr>
          <w:rFonts w:ascii="Arial" w:hAnsi="Arial" w:cs="Arial"/>
          <w:b/>
          <w:bCs/>
          <w:noProof/>
          <w:sz w:val="22"/>
          <w:szCs w:val="22"/>
        </w:rPr>
        <w:t>6</w:t>
      </w:r>
      <w:bookmarkEnd w:id="5"/>
      <w:r w:rsidRPr="2E908618">
        <w:rPr>
          <w:rFonts w:ascii="Arial" w:hAnsi="Arial" w:cs="Arial"/>
          <w:b/>
          <w:bCs/>
          <w:noProof/>
          <w:sz w:val="22"/>
          <w:szCs w:val="22"/>
        </w:rPr>
        <w:t>:</w:t>
      </w:r>
      <w:r w:rsidR="00B31B9C" w:rsidRPr="2E908618">
        <w:rPr>
          <w:rFonts w:ascii="Arial" w:hAnsi="Arial" w:cs="Arial"/>
          <w:b/>
          <w:bCs/>
          <w:noProof/>
          <w:sz w:val="22"/>
          <w:szCs w:val="22"/>
        </w:rPr>
        <w:t xml:space="preserve"> </w:t>
      </w:r>
      <w:r w:rsidR="00D21A7F" w:rsidRPr="2E908618">
        <w:rPr>
          <w:rFonts w:ascii="Arial" w:hAnsi="Arial" w:cs="Arial"/>
          <w:b/>
          <w:bCs/>
          <w:noProof/>
          <w:sz w:val="22"/>
          <w:szCs w:val="22"/>
        </w:rPr>
        <w:t xml:space="preserve">PGS in sarcomere-positive carriers. </w:t>
      </w:r>
      <w:r w:rsidR="00D21A7F" w:rsidRPr="2E908618">
        <w:rPr>
          <w:rFonts w:ascii="Arial" w:hAnsi="Arial" w:cs="Arial"/>
          <w:noProof/>
          <w:sz w:val="22"/>
          <w:szCs w:val="22"/>
        </w:rPr>
        <w:t xml:space="preserve">(A) PGS distribution in 318,945 whole-exome sequenced UKB   participants with (n=640) and without (n=318,305) pathogenic HCM-causing variants shows no difference between groups, suggesting again any marked selection or suvival bias. </w:t>
      </w:r>
      <w:r w:rsidR="00B31B9C" w:rsidRPr="2E908618">
        <w:rPr>
          <w:rFonts w:ascii="Arial" w:hAnsi="Arial" w:cs="Arial"/>
          <w:noProof/>
          <w:sz w:val="22"/>
          <w:szCs w:val="22"/>
        </w:rPr>
        <w:t>(</w:t>
      </w:r>
      <w:r w:rsidR="00D21A7F" w:rsidRPr="2E908618">
        <w:rPr>
          <w:rFonts w:ascii="Arial" w:hAnsi="Arial" w:cs="Arial"/>
          <w:noProof/>
          <w:sz w:val="22"/>
          <w:szCs w:val="22"/>
        </w:rPr>
        <w:t>B</w:t>
      </w:r>
      <w:r w:rsidR="00B31B9C" w:rsidRPr="2E908618">
        <w:rPr>
          <w:rFonts w:ascii="Arial" w:hAnsi="Arial" w:cs="Arial"/>
          <w:noProof/>
          <w:sz w:val="22"/>
          <w:szCs w:val="22"/>
        </w:rPr>
        <w:t xml:space="preserve">) Cumulative curve of gene positive HCM cases across </w:t>
      </w:r>
      <w:r w:rsidR="00946D69" w:rsidRPr="2E908618">
        <w:rPr>
          <w:rFonts w:ascii="Arial" w:hAnsi="Arial" w:cs="Arial"/>
          <w:noProof/>
          <w:sz w:val="22"/>
          <w:szCs w:val="22"/>
        </w:rPr>
        <w:t>PGS</w:t>
      </w:r>
      <w:r w:rsidR="00B31B9C" w:rsidRPr="2E908618">
        <w:rPr>
          <w:rFonts w:ascii="Arial" w:hAnsi="Arial" w:cs="Arial"/>
          <w:noProof/>
          <w:sz w:val="22"/>
          <w:szCs w:val="22"/>
        </w:rPr>
        <w:t xml:space="preserve"> </w:t>
      </w:r>
      <w:r w:rsidR="00B31B9C" w:rsidRPr="2E908618">
        <w:rPr>
          <w:rFonts w:ascii="Arial" w:hAnsi="Arial" w:cs="Arial"/>
          <w:noProof/>
          <w:sz w:val="22"/>
          <w:szCs w:val="22"/>
        </w:rPr>
        <w:lastRenderedPageBreak/>
        <w:t xml:space="preserve">centiles. Dashed lines represent population mean, </w:t>
      </w:r>
      <w:r w:rsidR="00B31B9C" w:rsidRPr="2E908618">
        <w:rPr>
          <w:rFonts w:ascii="Symbol" w:eastAsia="Symbol" w:hAnsi="Symbol" w:cs="Symbol"/>
          <w:noProof/>
          <w:sz w:val="22"/>
          <w:szCs w:val="22"/>
        </w:rPr>
        <w:t>±</w:t>
      </w:r>
      <w:r w:rsidR="00B31B9C" w:rsidRPr="2E908618">
        <w:rPr>
          <w:rFonts w:ascii="Arial" w:hAnsi="Arial" w:cs="Arial"/>
          <w:noProof/>
          <w:sz w:val="22"/>
          <w:szCs w:val="22"/>
        </w:rPr>
        <w:t xml:space="preserve">1 SD and </w:t>
      </w:r>
      <w:r w:rsidR="00B31B9C" w:rsidRPr="2E908618">
        <w:rPr>
          <w:rFonts w:ascii="Symbol" w:eastAsia="Symbol" w:hAnsi="Symbol" w:cs="Symbol"/>
          <w:noProof/>
          <w:sz w:val="22"/>
          <w:szCs w:val="22"/>
        </w:rPr>
        <w:t>±</w:t>
      </w:r>
      <w:r w:rsidR="00B31B9C" w:rsidRPr="2E908618">
        <w:rPr>
          <w:rFonts w:ascii="Arial" w:hAnsi="Arial" w:cs="Arial"/>
          <w:noProof/>
          <w:sz w:val="22"/>
          <w:szCs w:val="22"/>
        </w:rPr>
        <w:t>2 SD. (</w:t>
      </w:r>
      <w:r w:rsidR="00D21A7F" w:rsidRPr="2E908618">
        <w:rPr>
          <w:rFonts w:ascii="Arial" w:hAnsi="Arial" w:cs="Arial"/>
          <w:noProof/>
          <w:sz w:val="22"/>
          <w:szCs w:val="22"/>
        </w:rPr>
        <w:t>C</w:t>
      </w:r>
      <w:r w:rsidR="00B31B9C" w:rsidRPr="2E908618">
        <w:rPr>
          <w:rFonts w:ascii="Arial" w:hAnsi="Arial" w:cs="Arial"/>
          <w:noProof/>
          <w:sz w:val="22"/>
          <w:szCs w:val="22"/>
        </w:rPr>
        <w:t>) Time to HCM composite outcome (comprising death, cardiac arrest, atrial fibrillation, stroke, HCM, heart failure, ICD implantation, septal reduction therapy, LVAD implantation and cardiac transplantation) in top, median and bottom quintiles.</w:t>
      </w:r>
      <w:r w:rsidR="0026515B" w:rsidRPr="2E908618">
        <w:rPr>
          <w:rFonts w:ascii="Arial" w:hAnsi="Arial" w:cs="Arial"/>
          <w:noProof/>
          <w:sz w:val="22"/>
          <w:szCs w:val="22"/>
        </w:rPr>
        <w:t xml:space="preserve"> (E) Standardized effect size of PGS SD on quantitative CMR traits known to be affected in HCM, in those with (N=53) and without (N=29,002) SARC-PLP variants highlighting directionally concordant trends in both groups.</w:t>
      </w:r>
    </w:p>
    <w:p w14:paraId="639B8E58" w14:textId="77777777" w:rsidR="005C1F7C" w:rsidRPr="0071783B" w:rsidRDefault="005C1F7C" w:rsidP="00C56485">
      <w:pPr>
        <w:spacing w:line="276" w:lineRule="auto"/>
        <w:rPr>
          <w:rFonts w:ascii="Arial" w:hAnsi="Arial" w:cs="Arial"/>
          <w:noProof/>
          <w:sz w:val="22"/>
          <w:szCs w:val="22"/>
        </w:rPr>
      </w:pPr>
      <w:r w:rsidRPr="0071783B">
        <w:rPr>
          <w:rFonts w:ascii="Arial" w:hAnsi="Arial" w:cs="Arial"/>
          <w:noProof/>
          <w:sz w:val="22"/>
          <w:szCs w:val="22"/>
        </w:rPr>
        <w:br w:type="page"/>
      </w:r>
    </w:p>
    <w:p w14:paraId="7D3C0D42" w14:textId="51DD6EE2" w:rsidR="00F968A3" w:rsidRPr="0071783B" w:rsidRDefault="003C0E88" w:rsidP="00C56485">
      <w:pPr>
        <w:spacing w:line="276" w:lineRule="auto"/>
        <w:rPr>
          <w:rFonts w:ascii="Arial" w:hAnsi="Arial" w:cs="Arial"/>
          <w:sz w:val="22"/>
          <w:szCs w:val="22"/>
        </w:rPr>
      </w:pPr>
      <w:r>
        <w:rPr>
          <w:rFonts w:ascii="Arial" w:hAnsi="Arial" w:cs="Arial"/>
          <w:noProof/>
          <w:sz w:val="22"/>
          <w:szCs w:val="22"/>
        </w:rPr>
        <w:lastRenderedPageBreak/>
        <w:drawing>
          <wp:inline distT="0" distB="0" distL="0" distR="0" wp14:anchorId="36F3C2C6" wp14:editId="232099CD">
            <wp:extent cx="5731281" cy="63561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5">
                      <a:extLst>
                        <a:ext uri="{28A0092B-C50C-407E-A947-70E740481C1C}">
                          <a14:useLocalDpi xmlns:a14="http://schemas.microsoft.com/office/drawing/2010/main" val="0"/>
                        </a:ext>
                      </a:extLst>
                    </a:blip>
                    <a:srcRect t="4537" b="17094"/>
                    <a:stretch/>
                  </pic:blipFill>
                  <pic:spPr bwMode="auto">
                    <a:xfrm>
                      <a:off x="0" y="0"/>
                      <a:ext cx="5731510" cy="6356449"/>
                    </a:xfrm>
                    <a:prstGeom prst="rect">
                      <a:avLst/>
                    </a:prstGeom>
                    <a:ln>
                      <a:noFill/>
                    </a:ln>
                    <a:extLst>
                      <a:ext uri="{53640926-AAD7-44D8-BBD7-CCE9431645EC}">
                        <a14:shadowObscured xmlns:a14="http://schemas.microsoft.com/office/drawing/2010/main"/>
                      </a:ext>
                    </a:extLst>
                  </pic:spPr>
                </pic:pic>
              </a:graphicData>
            </a:graphic>
          </wp:inline>
        </w:drawing>
      </w:r>
    </w:p>
    <w:p w14:paraId="31EA5B5B" w14:textId="3418EE1B" w:rsidR="00351075" w:rsidRPr="0071783B" w:rsidRDefault="00F968A3" w:rsidP="00C56485">
      <w:pPr>
        <w:spacing w:line="276" w:lineRule="auto"/>
        <w:rPr>
          <w:rFonts w:ascii="Arial" w:hAnsi="Arial" w:cs="Arial"/>
          <w:noProof/>
          <w:sz w:val="22"/>
          <w:szCs w:val="22"/>
        </w:rPr>
      </w:pPr>
      <w:bookmarkStart w:id="6" w:name="Bookmark7"/>
      <w:r w:rsidRPr="2E908618">
        <w:rPr>
          <w:rFonts w:ascii="Arial" w:hAnsi="Arial" w:cs="Arial"/>
          <w:b/>
          <w:bCs/>
          <w:sz w:val="22"/>
          <w:szCs w:val="22"/>
        </w:rPr>
        <w:t>Figure S</w:t>
      </w:r>
      <w:r w:rsidR="53693BC8" w:rsidRPr="2E908618">
        <w:rPr>
          <w:rFonts w:ascii="Arial" w:hAnsi="Arial" w:cs="Arial"/>
          <w:b/>
          <w:bCs/>
          <w:sz w:val="22"/>
          <w:szCs w:val="22"/>
        </w:rPr>
        <w:t>7</w:t>
      </w:r>
      <w:bookmarkEnd w:id="6"/>
      <w:r w:rsidRPr="2E908618">
        <w:rPr>
          <w:rFonts w:ascii="Arial" w:hAnsi="Arial" w:cs="Arial"/>
          <w:b/>
          <w:bCs/>
          <w:sz w:val="22"/>
          <w:szCs w:val="22"/>
        </w:rPr>
        <w:t xml:space="preserve">: </w:t>
      </w:r>
      <w:r w:rsidR="002B4F4E" w:rsidRPr="2E908618">
        <w:rPr>
          <w:rFonts w:ascii="Arial" w:hAnsi="Arial" w:cs="Arial"/>
          <w:b/>
          <w:bCs/>
          <w:sz w:val="22"/>
          <w:szCs w:val="22"/>
        </w:rPr>
        <w:t>PGS in SARC-PLP carrier relatives of HCM cases.</w:t>
      </w:r>
      <w:r w:rsidR="002B4F4E" w:rsidRPr="2E908618">
        <w:rPr>
          <w:rFonts w:ascii="Arial" w:hAnsi="Arial" w:cs="Arial"/>
          <w:sz w:val="22"/>
          <w:szCs w:val="22"/>
        </w:rPr>
        <w:t xml:space="preserve"> </w:t>
      </w:r>
      <w:r w:rsidR="002912A7" w:rsidRPr="2E908618">
        <w:rPr>
          <w:rFonts w:ascii="Arial" w:hAnsi="Arial" w:cs="Arial"/>
          <w:sz w:val="22"/>
          <w:szCs w:val="22"/>
        </w:rPr>
        <w:t>(A)</w:t>
      </w:r>
      <w:r w:rsidR="00C0058E" w:rsidRPr="2E908618">
        <w:rPr>
          <w:rFonts w:ascii="Arial" w:hAnsi="Arial" w:cs="Arial"/>
          <w:sz w:val="22"/>
          <w:szCs w:val="22"/>
        </w:rPr>
        <w:t xml:space="preserve"> PGS distribution in 214 relatives of HCM cases in the Erasmus cohort, stratified by HCM status. (</w:t>
      </w:r>
      <w:r w:rsidR="002B4F4E" w:rsidRPr="2E908618">
        <w:rPr>
          <w:rFonts w:ascii="Arial" w:hAnsi="Arial" w:cs="Arial"/>
          <w:sz w:val="22"/>
          <w:szCs w:val="22"/>
        </w:rPr>
        <w:t>B</w:t>
      </w:r>
      <w:r w:rsidR="00C0058E" w:rsidRPr="2E908618">
        <w:rPr>
          <w:rFonts w:ascii="Arial" w:hAnsi="Arial" w:cs="Arial"/>
          <w:sz w:val="22"/>
          <w:szCs w:val="22"/>
        </w:rPr>
        <w:t>)</w:t>
      </w:r>
      <w:r w:rsidR="00912C2B" w:rsidRPr="2E908618">
        <w:rPr>
          <w:rFonts w:ascii="Arial" w:hAnsi="Arial" w:cs="Arial"/>
          <w:sz w:val="22"/>
          <w:szCs w:val="22"/>
        </w:rPr>
        <w:t xml:space="preserve"> </w:t>
      </w:r>
      <w:r w:rsidR="00952C04" w:rsidRPr="2E908618">
        <w:rPr>
          <w:rFonts w:ascii="Arial" w:hAnsi="Arial" w:cs="Arial"/>
          <w:sz w:val="22"/>
          <w:szCs w:val="22"/>
          <w:lang w:val="en-US"/>
        </w:rPr>
        <w:t>Scatter plot of maxLVWT against PGS</w:t>
      </w:r>
      <w:r w:rsidR="00952C04" w:rsidRPr="2E908618">
        <w:rPr>
          <w:rFonts w:ascii="Arial" w:hAnsi="Arial" w:cs="Arial"/>
          <w:sz w:val="22"/>
          <w:szCs w:val="22"/>
          <w:vertAlign w:val="subscript"/>
          <w:lang w:val="en-US"/>
        </w:rPr>
        <w:t xml:space="preserve">EMC </w:t>
      </w:r>
      <w:r w:rsidR="00952C04" w:rsidRPr="2E908618">
        <w:rPr>
          <w:rFonts w:ascii="Arial" w:hAnsi="Arial" w:cs="Arial"/>
          <w:sz w:val="22"/>
          <w:szCs w:val="22"/>
          <w:lang w:val="en-US"/>
        </w:rPr>
        <w:t>among 194 sarcomere</w:t>
      </w:r>
      <w:r w:rsidR="00517B7C" w:rsidRPr="2E908618">
        <w:rPr>
          <w:rFonts w:ascii="Arial" w:hAnsi="Arial" w:cs="Arial"/>
          <w:sz w:val="22"/>
          <w:szCs w:val="22"/>
          <w:lang w:val="en-US"/>
        </w:rPr>
        <w:t>-</w:t>
      </w:r>
      <w:r w:rsidR="00952C04" w:rsidRPr="2E908618">
        <w:rPr>
          <w:rFonts w:ascii="Arial" w:hAnsi="Arial" w:cs="Arial"/>
          <w:sz w:val="22"/>
          <w:szCs w:val="22"/>
          <w:lang w:val="en-US"/>
        </w:rPr>
        <w:t xml:space="preserve">positive relatives of HCM index patients from Erasmus cohort. Univariate linear regression line (blue line) and common diagnostic cutoff for HCM </w:t>
      </w:r>
      <w:r w:rsidR="00CD2215" w:rsidRPr="2E908618">
        <w:rPr>
          <w:rFonts w:ascii="Arial" w:hAnsi="Arial" w:cs="Arial"/>
          <w:sz w:val="22"/>
          <w:szCs w:val="22"/>
          <w:lang w:val="en-US"/>
        </w:rPr>
        <w:t xml:space="preserve">in relatives of cases </w:t>
      </w:r>
      <w:r w:rsidR="00952C04" w:rsidRPr="2E908618">
        <w:rPr>
          <w:rFonts w:ascii="Arial" w:hAnsi="Arial" w:cs="Arial"/>
          <w:sz w:val="22"/>
          <w:szCs w:val="22"/>
          <w:lang w:val="en-US"/>
        </w:rPr>
        <w:t>(1</w:t>
      </w:r>
      <w:r w:rsidR="00816015" w:rsidRPr="2E908618">
        <w:rPr>
          <w:rFonts w:ascii="Arial" w:hAnsi="Arial" w:cs="Arial"/>
          <w:sz w:val="22"/>
          <w:szCs w:val="22"/>
          <w:lang w:val="en-US"/>
        </w:rPr>
        <w:t>3</w:t>
      </w:r>
      <w:r w:rsidR="00952C04" w:rsidRPr="2E908618">
        <w:rPr>
          <w:rFonts w:ascii="Arial" w:hAnsi="Arial" w:cs="Arial"/>
          <w:sz w:val="22"/>
          <w:szCs w:val="22"/>
          <w:lang w:val="en-US"/>
        </w:rPr>
        <w:t xml:space="preserve"> mm, grey dotted line).</w:t>
      </w:r>
      <w:r w:rsidR="00517B7C" w:rsidRPr="2E908618">
        <w:rPr>
          <w:rFonts w:ascii="Arial" w:hAnsi="Arial" w:cs="Arial"/>
          <w:sz w:val="22"/>
          <w:szCs w:val="22"/>
          <w:lang w:val="en-US"/>
        </w:rPr>
        <w:t xml:space="preserve"> (C) </w:t>
      </w:r>
      <w:r w:rsidR="00517B7C" w:rsidRPr="2E908618">
        <w:rPr>
          <w:rStyle w:val="normaltextrun"/>
          <w:rFonts w:ascii="Arial" w:hAnsi="Arial" w:cs="Arial"/>
          <w:sz w:val="22"/>
          <w:szCs w:val="22"/>
          <w:lang w:val="en-US"/>
        </w:rPr>
        <w:t>Cumulative major adverse cardiovascular events (MACE) after initial screening in sarcomere-positive relatives of HCM probands stratified by PGS</w:t>
      </w:r>
      <w:r w:rsidR="00517B7C" w:rsidRPr="2E908618">
        <w:rPr>
          <w:rStyle w:val="normaltextrun"/>
          <w:rFonts w:ascii="Arial" w:hAnsi="Arial" w:cs="Arial"/>
          <w:sz w:val="17"/>
          <w:szCs w:val="17"/>
          <w:vertAlign w:val="subscript"/>
          <w:lang w:val="en-US"/>
        </w:rPr>
        <w:t>EMC</w:t>
      </w:r>
      <w:r w:rsidR="00517B7C" w:rsidRPr="2E908618">
        <w:rPr>
          <w:rStyle w:val="normaltextrun"/>
          <w:rFonts w:ascii="Arial" w:hAnsi="Arial" w:cs="Arial"/>
          <w:sz w:val="22"/>
          <w:szCs w:val="22"/>
          <w:lang w:val="en-US"/>
        </w:rPr>
        <w:t xml:space="preserve"> in the top, middle and bottom quintiles. MACE was defined as a composite of septal reduction therapy, cardiac transplantation, aborted cardiac arrest, appropriate defibrillator shock, or sudden cardiac death.</w:t>
      </w:r>
    </w:p>
    <w:p w14:paraId="207D3269" w14:textId="14F39F61" w:rsidR="00F701A6" w:rsidRPr="0071783B" w:rsidRDefault="00F701A6" w:rsidP="00C56485">
      <w:pPr>
        <w:spacing w:line="276" w:lineRule="auto"/>
        <w:rPr>
          <w:rFonts w:ascii="Arial" w:hAnsi="Arial" w:cs="Arial"/>
          <w:sz w:val="22"/>
          <w:szCs w:val="22"/>
        </w:rPr>
      </w:pPr>
      <w:r w:rsidRPr="0071783B">
        <w:rPr>
          <w:rFonts w:ascii="Arial" w:hAnsi="Arial" w:cs="Arial"/>
          <w:sz w:val="22"/>
          <w:szCs w:val="22"/>
        </w:rPr>
        <w:br w:type="page"/>
      </w:r>
    </w:p>
    <w:p w14:paraId="1339C82E" w14:textId="548C0D64" w:rsidR="00F701A6" w:rsidRPr="0071783B" w:rsidRDefault="003C0E88" w:rsidP="00C56485">
      <w:pPr>
        <w:spacing w:line="276" w:lineRule="auto"/>
        <w:rPr>
          <w:rFonts w:ascii="Arial" w:hAnsi="Arial" w:cs="Arial"/>
          <w:noProof/>
          <w:sz w:val="22"/>
          <w:szCs w:val="22"/>
        </w:rPr>
      </w:pPr>
      <w:bookmarkStart w:id="7" w:name="Bookmark8"/>
      <w:r>
        <w:rPr>
          <w:rFonts w:ascii="Arial" w:hAnsi="Arial" w:cs="Arial"/>
          <w:b/>
          <w:bCs/>
          <w:noProof/>
          <w:sz w:val="22"/>
          <w:szCs w:val="22"/>
          <w:lang w:val="en-US"/>
        </w:rPr>
        <w:lastRenderedPageBreak/>
        <w:drawing>
          <wp:inline distT="0" distB="0" distL="0" distR="0" wp14:anchorId="1BEA9863" wp14:editId="13DEBFCE">
            <wp:extent cx="5731416" cy="50738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16">
                      <a:extLst>
                        <a:ext uri="{28A0092B-C50C-407E-A947-70E740481C1C}">
                          <a14:useLocalDpi xmlns:a14="http://schemas.microsoft.com/office/drawing/2010/main" val="0"/>
                        </a:ext>
                      </a:extLst>
                    </a:blip>
                    <a:srcRect t="6325" b="31119"/>
                    <a:stretch/>
                  </pic:blipFill>
                  <pic:spPr bwMode="auto">
                    <a:xfrm>
                      <a:off x="0" y="0"/>
                      <a:ext cx="5731510" cy="5073888"/>
                    </a:xfrm>
                    <a:prstGeom prst="rect">
                      <a:avLst/>
                    </a:prstGeom>
                    <a:ln>
                      <a:noFill/>
                    </a:ln>
                    <a:extLst>
                      <a:ext uri="{53640926-AAD7-44D8-BBD7-CCE9431645EC}">
                        <a14:shadowObscured xmlns:a14="http://schemas.microsoft.com/office/drawing/2010/main"/>
                      </a:ext>
                    </a:extLst>
                  </pic:spPr>
                </pic:pic>
              </a:graphicData>
            </a:graphic>
          </wp:inline>
        </w:drawing>
      </w:r>
      <w:r w:rsidR="00F701A6" w:rsidRPr="2E908618">
        <w:rPr>
          <w:rFonts w:ascii="Arial" w:hAnsi="Arial" w:cs="Arial"/>
          <w:b/>
          <w:bCs/>
          <w:sz w:val="22"/>
          <w:szCs w:val="22"/>
          <w:lang w:val="en-US"/>
        </w:rPr>
        <w:t>Figure S</w:t>
      </w:r>
      <w:r w:rsidR="254E5EF4" w:rsidRPr="2E908618">
        <w:rPr>
          <w:rFonts w:ascii="Arial" w:hAnsi="Arial" w:cs="Arial"/>
          <w:b/>
          <w:bCs/>
          <w:sz w:val="22"/>
          <w:szCs w:val="22"/>
          <w:lang w:val="en-US"/>
        </w:rPr>
        <w:t>8</w:t>
      </w:r>
      <w:bookmarkEnd w:id="7"/>
      <w:r w:rsidR="00F701A6" w:rsidRPr="2E908618">
        <w:rPr>
          <w:rFonts w:ascii="Arial" w:hAnsi="Arial" w:cs="Arial"/>
          <w:b/>
          <w:bCs/>
          <w:sz w:val="22"/>
          <w:szCs w:val="22"/>
          <w:lang w:val="en-US"/>
        </w:rPr>
        <w:t>: PGS predicts adverse events and disease severity in HCM cases</w:t>
      </w:r>
      <w:r w:rsidR="00F701A6" w:rsidRPr="2E908618">
        <w:rPr>
          <w:rFonts w:ascii="Arial" w:hAnsi="Arial" w:cs="Arial"/>
          <w:sz w:val="22"/>
          <w:szCs w:val="22"/>
          <w:lang w:val="en-US"/>
        </w:rPr>
        <w:t xml:space="preserve">. Cumulative hazard curves for all-cause mortality </w:t>
      </w:r>
      <w:r w:rsidR="002850A7">
        <w:rPr>
          <w:rFonts w:ascii="Arial" w:hAnsi="Arial" w:cs="Arial"/>
          <w:sz w:val="22"/>
          <w:szCs w:val="22"/>
          <w:lang w:val="en-US"/>
        </w:rPr>
        <w:t xml:space="preserve">in UKB (n=382) </w:t>
      </w:r>
      <w:r w:rsidR="00F701A6" w:rsidRPr="2E908618">
        <w:rPr>
          <w:rFonts w:ascii="Arial" w:hAnsi="Arial" w:cs="Arial"/>
          <w:sz w:val="22"/>
          <w:szCs w:val="22"/>
          <w:lang w:val="en-US"/>
        </w:rPr>
        <w:t xml:space="preserve">(A) and </w:t>
      </w:r>
      <w:r w:rsidR="002850A7">
        <w:rPr>
          <w:rFonts w:ascii="Arial" w:hAnsi="Arial" w:cs="Arial"/>
          <w:sz w:val="22"/>
          <w:szCs w:val="22"/>
          <w:lang w:val="en-US"/>
        </w:rPr>
        <w:t>GeL</w:t>
      </w:r>
      <w:r w:rsidR="00F701A6" w:rsidRPr="2E908618">
        <w:rPr>
          <w:rFonts w:ascii="Arial" w:hAnsi="Arial" w:cs="Arial"/>
          <w:sz w:val="22"/>
          <w:szCs w:val="22"/>
          <w:lang w:val="en-US"/>
        </w:rPr>
        <w:t xml:space="preserve"> </w:t>
      </w:r>
      <w:r w:rsidR="002850A7">
        <w:rPr>
          <w:rFonts w:ascii="Arial" w:hAnsi="Arial" w:cs="Arial"/>
          <w:sz w:val="22"/>
          <w:szCs w:val="22"/>
          <w:lang w:val="en-US"/>
        </w:rPr>
        <w:t>(n=</w:t>
      </w:r>
      <w:r w:rsidR="00636E32">
        <w:rPr>
          <w:rFonts w:ascii="Arial" w:hAnsi="Arial" w:cs="Arial"/>
          <w:sz w:val="22"/>
          <w:szCs w:val="22"/>
          <w:lang w:val="en-US"/>
        </w:rPr>
        <w:t xml:space="preserve">683) </w:t>
      </w:r>
      <w:r w:rsidR="00F701A6" w:rsidRPr="2E908618">
        <w:rPr>
          <w:rFonts w:ascii="Arial" w:hAnsi="Arial" w:cs="Arial"/>
          <w:sz w:val="22"/>
          <w:szCs w:val="22"/>
          <w:lang w:val="en-US"/>
        </w:rPr>
        <w:t xml:space="preserve">(B) </w:t>
      </w:r>
      <w:r w:rsidR="002850A7">
        <w:rPr>
          <w:rFonts w:ascii="Arial" w:hAnsi="Arial" w:cs="Arial"/>
          <w:sz w:val="22"/>
          <w:szCs w:val="22"/>
          <w:lang w:val="en-US"/>
        </w:rPr>
        <w:t>after HCM diagnosis</w:t>
      </w:r>
      <w:r w:rsidR="00F701A6" w:rsidRPr="2E908618">
        <w:rPr>
          <w:rFonts w:ascii="Arial" w:hAnsi="Arial" w:cs="Arial"/>
          <w:sz w:val="22"/>
          <w:szCs w:val="22"/>
          <w:lang w:val="en-US"/>
        </w:rPr>
        <w:t xml:space="preserve">, stratified by </w:t>
      </w:r>
      <w:r w:rsidR="0091130D">
        <w:rPr>
          <w:rFonts w:ascii="Arial" w:hAnsi="Arial" w:cs="Arial"/>
          <w:sz w:val="22"/>
          <w:szCs w:val="22"/>
          <w:lang w:val="en-US"/>
        </w:rPr>
        <w:t>median</w:t>
      </w:r>
      <w:r w:rsidR="00636E32">
        <w:rPr>
          <w:rFonts w:ascii="Arial" w:hAnsi="Arial" w:cs="Arial"/>
          <w:sz w:val="22"/>
          <w:szCs w:val="22"/>
          <w:lang w:val="en-US"/>
        </w:rPr>
        <w:t xml:space="preserve"> PGS</w:t>
      </w:r>
      <w:r w:rsidR="00F701A6" w:rsidRPr="2E908618">
        <w:rPr>
          <w:rFonts w:ascii="Arial" w:hAnsi="Arial" w:cs="Arial"/>
          <w:sz w:val="22"/>
          <w:szCs w:val="22"/>
          <w:lang w:val="en-US"/>
        </w:rPr>
        <w:t xml:space="preserve">. (C) Risk of adverse events in HCM cases, comparing top and bottom PGS quintiles in UKB HCM cases. </w:t>
      </w:r>
      <w:r w:rsidR="005739A1" w:rsidRPr="2E908618">
        <w:rPr>
          <w:rFonts w:ascii="Arial" w:hAnsi="Arial" w:cs="Arial"/>
          <w:sz w:val="22"/>
          <w:szCs w:val="22"/>
          <w:lang w:val="en-US"/>
        </w:rPr>
        <w:t xml:space="preserve">(D) </w:t>
      </w:r>
      <w:r w:rsidR="005739A1" w:rsidRPr="2E908618">
        <w:rPr>
          <w:rFonts w:ascii="Arial" w:hAnsi="Arial" w:cs="Arial"/>
          <w:noProof/>
          <w:sz w:val="22"/>
          <w:szCs w:val="22"/>
        </w:rPr>
        <w:t>Effect of PGS on CMR imaging traits in 440 HCM cases at the Royal Brompton Hospital, stratified by genetic status (101 SARC-PLP, 104 SARC-Neg) and all (440 cases, including 235 with VUS or unknown variant status).</w:t>
      </w:r>
      <w:r w:rsidR="00BB1DCA" w:rsidRPr="2E908618">
        <w:rPr>
          <w:rFonts w:ascii="Arial" w:hAnsi="Arial" w:cs="Arial"/>
          <w:noProof/>
          <w:sz w:val="22"/>
          <w:szCs w:val="22"/>
        </w:rPr>
        <w:t xml:space="preserve"> </w:t>
      </w:r>
      <w:r w:rsidR="005739A1" w:rsidRPr="2E908618">
        <w:rPr>
          <w:rFonts w:ascii="Arial" w:hAnsi="Arial" w:cs="Arial"/>
          <w:sz w:val="22"/>
          <w:szCs w:val="22"/>
          <w:lang w:val="en-US"/>
        </w:rPr>
        <w:t>HCM composite</w:t>
      </w:r>
      <w:r w:rsidR="00F701A6" w:rsidRPr="2E908618">
        <w:rPr>
          <w:rFonts w:ascii="Arial" w:hAnsi="Arial" w:cs="Arial"/>
          <w:sz w:val="22"/>
          <w:szCs w:val="22"/>
          <w:lang w:val="en-US"/>
        </w:rPr>
        <w:t xml:space="preserve"> adverse outcome consists of death, heart failure, atrial fibrillation, stroke, cardiac arrest, septal reduction therapy (myectomy or alcohol septal ablation), ICD implantation, LVAD implantation or cardiac transplantation.</w:t>
      </w:r>
      <w:r w:rsidR="005739A1" w:rsidRPr="2E908618">
        <w:rPr>
          <w:rFonts w:ascii="Arial" w:hAnsi="Arial" w:cs="Arial"/>
          <w:sz w:val="22"/>
          <w:szCs w:val="22"/>
          <w:lang w:val="en-US"/>
        </w:rPr>
        <w:t xml:space="preserve"> HCM hard composite outcome consists of death, stroke, cardiac arrest, mye</w:t>
      </w:r>
      <w:r w:rsidR="008B4DC6" w:rsidRPr="2E908618">
        <w:rPr>
          <w:rFonts w:ascii="Arial" w:hAnsi="Arial" w:cs="Arial"/>
          <w:sz w:val="22"/>
          <w:szCs w:val="22"/>
          <w:lang w:val="en-US"/>
        </w:rPr>
        <w:t>c</w:t>
      </w:r>
      <w:r w:rsidR="005739A1" w:rsidRPr="2E908618">
        <w:rPr>
          <w:rFonts w:ascii="Arial" w:hAnsi="Arial" w:cs="Arial"/>
          <w:sz w:val="22"/>
          <w:szCs w:val="22"/>
          <w:lang w:val="en-US"/>
        </w:rPr>
        <w:t>tomy, LVAD implantation or cardiac transplantation. Major adverse cardiovascular events (MACE) consists of heart failure, atrial fibrillation, stroke or cardiac arrest.</w:t>
      </w:r>
    </w:p>
    <w:p w14:paraId="52512E26" w14:textId="77777777" w:rsidR="00F701A6" w:rsidRPr="0071783B" w:rsidRDefault="00F701A6" w:rsidP="00C56485">
      <w:pPr>
        <w:spacing w:line="276" w:lineRule="auto"/>
        <w:rPr>
          <w:rFonts w:ascii="Arial" w:hAnsi="Arial" w:cs="Arial"/>
          <w:sz w:val="22"/>
          <w:szCs w:val="22"/>
          <w:lang w:val="en-US"/>
        </w:rPr>
      </w:pPr>
    </w:p>
    <w:p w14:paraId="1534A3A1" w14:textId="77777777" w:rsidR="009145F8" w:rsidRPr="0071783B" w:rsidRDefault="009145F8" w:rsidP="00C56485">
      <w:pPr>
        <w:spacing w:line="276" w:lineRule="auto"/>
        <w:rPr>
          <w:rFonts w:ascii="Arial" w:hAnsi="Arial" w:cs="Arial"/>
          <w:sz w:val="22"/>
          <w:szCs w:val="22"/>
        </w:rPr>
      </w:pPr>
    </w:p>
    <w:p w14:paraId="08EC67BD" w14:textId="2D208C9A" w:rsidR="000771C2" w:rsidRPr="0071783B" w:rsidRDefault="000771C2" w:rsidP="664AC542">
      <w:pPr>
        <w:spacing w:line="276" w:lineRule="auto"/>
        <w:rPr>
          <w:rFonts w:ascii="Arial" w:hAnsi="Arial" w:cs="Arial"/>
          <w:sz w:val="22"/>
          <w:szCs w:val="22"/>
        </w:rPr>
      </w:pPr>
    </w:p>
    <w:sectPr w:rsidR="000771C2" w:rsidRPr="0071783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F13"/>
    <w:rsid w:val="00016BA9"/>
    <w:rsid w:val="000771C2"/>
    <w:rsid w:val="00077BEB"/>
    <w:rsid w:val="00081F8E"/>
    <w:rsid w:val="00083521"/>
    <w:rsid w:val="00086F06"/>
    <w:rsid w:val="000B287C"/>
    <w:rsid w:val="000B5724"/>
    <w:rsid w:val="000E1BC3"/>
    <w:rsid w:val="0010378F"/>
    <w:rsid w:val="001066D9"/>
    <w:rsid w:val="0010745D"/>
    <w:rsid w:val="00112D23"/>
    <w:rsid w:val="001140B9"/>
    <w:rsid w:val="001400C6"/>
    <w:rsid w:val="00152055"/>
    <w:rsid w:val="001624D2"/>
    <w:rsid w:val="001656CC"/>
    <w:rsid w:val="00175D6C"/>
    <w:rsid w:val="00183D8F"/>
    <w:rsid w:val="00186576"/>
    <w:rsid w:val="001951E0"/>
    <w:rsid w:val="001956DD"/>
    <w:rsid w:val="001A439D"/>
    <w:rsid w:val="001F791C"/>
    <w:rsid w:val="00212ECD"/>
    <w:rsid w:val="00240C19"/>
    <w:rsid w:val="00241C7E"/>
    <w:rsid w:val="00251A85"/>
    <w:rsid w:val="00252BDE"/>
    <w:rsid w:val="0026515B"/>
    <w:rsid w:val="0027290F"/>
    <w:rsid w:val="002850A7"/>
    <w:rsid w:val="002912A7"/>
    <w:rsid w:val="002A3C62"/>
    <w:rsid w:val="002A5032"/>
    <w:rsid w:val="002B4F4E"/>
    <w:rsid w:val="002E5F55"/>
    <w:rsid w:val="00306B80"/>
    <w:rsid w:val="00314684"/>
    <w:rsid w:val="00317125"/>
    <w:rsid w:val="00321341"/>
    <w:rsid w:val="00324615"/>
    <w:rsid w:val="00325195"/>
    <w:rsid w:val="00351075"/>
    <w:rsid w:val="003714B7"/>
    <w:rsid w:val="0038760B"/>
    <w:rsid w:val="003A448A"/>
    <w:rsid w:val="003C0E88"/>
    <w:rsid w:val="003F7120"/>
    <w:rsid w:val="00413FC0"/>
    <w:rsid w:val="00427462"/>
    <w:rsid w:val="00433199"/>
    <w:rsid w:val="004434B0"/>
    <w:rsid w:val="004447AE"/>
    <w:rsid w:val="00446FF5"/>
    <w:rsid w:val="00456F79"/>
    <w:rsid w:val="004631B3"/>
    <w:rsid w:val="00494398"/>
    <w:rsid w:val="004A1032"/>
    <w:rsid w:val="004A3F13"/>
    <w:rsid w:val="004A5D2C"/>
    <w:rsid w:val="004B078A"/>
    <w:rsid w:val="004D0248"/>
    <w:rsid w:val="004F1382"/>
    <w:rsid w:val="00513E77"/>
    <w:rsid w:val="00517B7C"/>
    <w:rsid w:val="00520831"/>
    <w:rsid w:val="00525426"/>
    <w:rsid w:val="00552C99"/>
    <w:rsid w:val="005636E0"/>
    <w:rsid w:val="005739A1"/>
    <w:rsid w:val="00576B04"/>
    <w:rsid w:val="005814D2"/>
    <w:rsid w:val="005A7CCE"/>
    <w:rsid w:val="005C1F7C"/>
    <w:rsid w:val="005C2A1F"/>
    <w:rsid w:val="005C4B3D"/>
    <w:rsid w:val="005F016D"/>
    <w:rsid w:val="006307A1"/>
    <w:rsid w:val="006308AD"/>
    <w:rsid w:val="0063636C"/>
    <w:rsid w:val="00636E32"/>
    <w:rsid w:val="0065560B"/>
    <w:rsid w:val="0068495D"/>
    <w:rsid w:val="0068534A"/>
    <w:rsid w:val="00691FAB"/>
    <w:rsid w:val="006969D9"/>
    <w:rsid w:val="006A02D2"/>
    <w:rsid w:val="006C65D7"/>
    <w:rsid w:val="006C7F13"/>
    <w:rsid w:val="006E049A"/>
    <w:rsid w:val="006F06F1"/>
    <w:rsid w:val="007016C9"/>
    <w:rsid w:val="0071783B"/>
    <w:rsid w:val="0072161D"/>
    <w:rsid w:val="007263D4"/>
    <w:rsid w:val="007457A7"/>
    <w:rsid w:val="00775CC1"/>
    <w:rsid w:val="0079658F"/>
    <w:rsid w:val="007A4C19"/>
    <w:rsid w:val="007A4DA9"/>
    <w:rsid w:val="007C043D"/>
    <w:rsid w:val="007C3850"/>
    <w:rsid w:val="007D2424"/>
    <w:rsid w:val="007E218B"/>
    <w:rsid w:val="00802A1F"/>
    <w:rsid w:val="00816015"/>
    <w:rsid w:val="00826206"/>
    <w:rsid w:val="008262DC"/>
    <w:rsid w:val="008442D5"/>
    <w:rsid w:val="00850F49"/>
    <w:rsid w:val="0087617D"/>
    <w:rsid w:val="00891AD2"/>
    <w:rsid w:val="00894005"/>
    <w:rsid w:val="008A1417"/>
    <w:rsid w:val="008B4DC6"/>
    <w:rsid w:val="008C3993"/>
    <w:rsid w:val="008C7E94"/>
    <w:rsid w:val="008D384A"/>
    <w:rsid w:val="008E53AF"/>
    <w:rsid w:val="009109F7"/>
    <w:rsid w:val="0091130D"/>
    <w:rsid w:val="00912C2B"/>
    <w:rsid w:val="009145F8"/>
    <w:rsid w:val="00923BF5"/>
    <w:rsid w:val="00926A51"/>
    <w:rsid w:val="00934CD5"/>
    <w:rsid w:val="00945B76"/>
    <w:rsid w:val="00946D69"/>
    <w:rsid w:val="00952C04"/>
    <w:rsid w:val="009833D4"/>
    <w:rsid w:val="00984D4D"/>
    <w:rsid w:val="00985EC8"/>
    <w:rsid w:val="00991C28"/>
    <w:rsid w:val="009D045D"/>
    <w:rsid w:val="009E1164"/>
    <w:rsid w:val="009F31D3"/>
    <w:rsid w:val="00A108F9"/>
    <w:rsid w:val="00A128F4"/>
    <w:rsid w:val="00A1340D"/>
    <w:rsid w:val="00A3145B"/>
    <w:rsid w:val="00A461A3"/>
    <w:rsid w:val="00A646AA"/>
    <w:rsid w:val="00A6645D"/>
    <w:rsid w:val="00A75E2D"/>
    <w:rsid w:val="00AB487A"/>
    <w:rsid w:val="00AD2474"/>
    <w:rsid w:val="00AE4A11"/>
    <w:rsid w:val="00AF2313"/>
    <w:rsid w:val="00AF31C8"/>
    <w:rsid w:val="00B009AD"/>
    <w:rsid w:val="00B233A0"/>
    <w:rsid w:val="00B31B9C"/>
    <w:rsid w:val="00B403A9"/>
    <w:rsid w:val="00B61D9F"/>
    <w:rsid w:val="00B853E4"/>
    <w:rsid w:val="00B95F30"/>
    <w:rsid w:val="00BA2627"/>
    <w:rsid w:val="00BA785A"/>
    <w:rsid w:val="00BB1DCA"/>
    <w:rsid w:val="00BB2B1E"/>
    <w:rsid w:val="00BC6719"/>
    <w:rsid w:val="00BC7FB3"/>
    <w:rsid w:val="00BD5266"/>
    <w:rsid w:val="00BE3A09"/>
    <w:rsid w:val="00C0058E"/>
    <w:rsid w:val="00C063C3"/>
    <w:rsid w:val="00C36F38"/>
    <w:rsid w:val="00C40CC5"/>
    <w:rsid w:val="00C56485"/>
    <w:rsid w:val="00C75BD1"/>
    <w:rsid w:val="00C96FCE"/>
    <w:rsid w:val="00CA435A"/>
    <w:rsid w:val="00CA6C1E"/>
    <w:rsid w:val="00CB1903"/>
    <w:rsid w:val="00CD2215"/>
    <w:rsid w:val="00CF36A2"/>
    <w:rsid w:val="00CF6ACE"/>
    <w:rsid w:val="00D21A7F"/>
    <w:rsid w:val="00D22DE8"/>
    <w:rsid w:val="00D2731C"/>
    <w:rsid w:val="00D463DE"/>
    <w:rsid w:val="00D50248"/>
    <w:rsid w:val="00D54AE8"/>
    <w:rsid w:val="00D63DD5"/>
    <w:rsid w:val="00D67AAE"/>
    <w:rsid w:val="00D74A5F"/>
    <w:rsid w:val="00DC0B4D"/>
    <w:rsid w:val="00DC74FC"/>
    <w:rsid w:val="00DD0378"/>
    <w:rsid w:val="00DD1BE4"/>
    <w:rsid w:val="00DD1DD6"/>
    <w:rsid w:val="00DE4897"/>
    <w:rsid w:val="00DF09C0"/>
    <w:rsid w:val="00DF1523"/>
    <w:rsid w:val="00DF211C"/>
    <w:rsid w:val="00DF36B6"/>
    <w:rsid w:val="00DF79D4"/>
    <w:rsid w:val="00E15C9B"/>
    <w:rsid w:val="00E15E6A"/>
    <w:rsid w:val="00E165D2"/>
    <w:rsid w:val="00E4103E"/>
    <w:rsid w:val="00E46C3E"/>
    <w:rsid w:val="00E53730"/>
    <w:rsid w:val="00E87730"/>
    <w:rsid w:val="00E918DC"/>
    <w:rsid w:val="00E9471C"/>
    <w:rsid w:val="00E94B44"/>
    <w:rsid w:val="00EA2670"/>
    <w:rsid w:val="00EA43E1"/>
    <w:rsid w:val="00EB4101"/>
    <w:rsid w:val="00EC75A5"/>
    <w:rsid w:val="00ED5D55"/>
    <w:rsid w:val="00EE3A34"/>
    <w:rsid w:val="00EE7EC1"/>
    <w:rsid w:val="00EF3490"/>
    <w:rsid w:val="00EF5343"/>
    <w:rsid w:val="00EF6CC3"/>
    <w:rsid w:val="00F04EE9"/>
    <w:rsid w:val="00F159CA"/>
    <w:rsid w:val="00F23313"/>
    <w:rsid w:val="00F3153B"/>
    <w:rsid w:val="00F662B3"/>
    <w:rsid w:val="00F701A6"/>
    <w:rsid w:val="00F76588"/>
    <w:rsid w:val="00F82A68"/>
    <w:rsid w:val="00F90029"/>
    <w:rsid w:val="00F90984"/>
    <w:rsid w:val="00F968A3"/>
    <w:rsid w:val="00F96E63"/>
    <w:rsid w:val="00FA01A3"/>
    <w:rsid w:val="00FB7343"/>
    <w:rsid w:val="00FC0A51"/>
    <w:rsid w:val="00FF4F7C"/>
    <w:rsid w:val="0381A07D"/>
    <w:rsid w:val="051FD270"/>
    <w:rsid w:val="05DFB04A"/>
    <w:rsid w:val="06B9413F"/>
    <w:rsid w:val="07B8256D"/>
    <w:rsid w:val="08762688"/>
    <w:rsid w:val="089BDD00"/>
    <w:rsid w:val="0AA5AA51"/>
    <w:rsid w:val="0F36602C"/>
    <w:rsid w:val="106CD93E"/>
    <w:rsid w:val="12629EC3"/>
    <w:rsid w:val="14EDE0F2"/>
    <w:rsid w:val="1A1E34EF"/>
    <w:rsid w:val="22B8FC43"/>
    <w:rsid w:val="22D7AE31"/>
    <w:rsid w:val="24737E92"/>
    <w:rsid w:val="254E5EF4"/>
    <w:rsid w:val="2561D381"/>
    <w:rsid w:val="28701E5D"/>
    <w:rsid w:val="2C65681A"/>
    <w:rsid w:val="2E908618"/>
    <w:rsid w:val="312B6E77"/>
    <w:rsid w:val="32805B1A"/>
    <w:rsid w:val="34683554"/>
    <w:rsid w:val="34E45B2B"/>
    <w:rsid w:val="35B73186"/>
    <w:rsid w:val="35D79FAB"/>
    <w:rsid w:val="35D9BAD8"/>
    <w:rsid w:val="390A1669"/>
    <w:rsid w:val="3F11B7D6"/>
    <w:rsid w:val="434EA504"/>
    <w:rsid w:val="44EABEE4"/>
    <w:rsid w:val="45E6272A"/>
    <w:rsid w:val="46DEDCB9"/>
    <w:rsid w:val="4DD35F75"/>
    <w:rsid w:val="5010E1AD"/>
    <w:rsid w:val="53693BC8"/>
    <w:rsid w:val="5E413EDF"/>
    <w:rsid w:val="5EAA70A2"/>
    <w:rsid w:val="60C5A083"/>
    <w:rsid w:val="62292202"/>
    <w:rsid w:val="622E4C06"/>
    <w:rsid w:val="62365B07"/>
    <w:rsid w:val="664AC542"/>
    <w:rsid w:val="6921768A"/>
    <w:rsid w:val="6F3CB2FE"/>
    <w:rsid w:val="70774DCD"/>
    <w:rsid w:val="726B145E"/>
    <w:rsid w:val="732D75F3"/>
    <w:rsid w:val="744274ED"/>
    <w:rsid w:val="75EFF25D"/>
    <w:rsid w:val="763F75F9"/>
    <w:rsid w:val="786BF39D"/>
    <w:rsid w:val="7C794FF3"/>
    <w:rsid w:val="7E2AD9CD"/>
    <w:rsid w:val="7E3DC6A4"/>
    <w:rsid w:val="7E667FD4"/>
    <w:rsid w:val="7F0762FE"/>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8B5107"/>
  <w15:chartTrackingRefBased/>
  <w15:docId w15:val="{5C65901B-6868-4A14-9D5E-C3FF5607C5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C7F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C3993"/>
    <w:pPr>
      <w:spacing w:before="100" w:beforeAutospacing="1" w:after="100" w:afterAutospacing="1"/>
    </w:pPr>
    <w:rPr>
      <w:rFonts w:ascii="Times New Roman" w:eastAsia="Times New Roman" w:hAnsi="Times New Roman" w:cs="Times New Roman"/>
    </w:rPr>
  </w:style>
  <w:style w:type="paragraph" w:customStyle="1" w:styleId="msonormal0">
    <w:name w:val="msonormal"/>
    <w:basedOn w:val="Normal"/>
    <w:rsid w:val="0065560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C96FCE"/>
    <w:pPr>
      <w:ind w:left="720"/>
      <w:contextualSpacing/>
    </w:pPr>
  </w:style>
  <w:style w:type="character" w:styleId="CommentReference">
    <w:name w:val="annotation reference"/>
    <w:basedOn w:val="DefaultParagraphFont"/>
    <w:uiPriority w:val="99"/>
    <w:semiHidden/>
    <w:unhideWhenUsed/>
    <w:rsid w:val="00FB7343"/>
    <w:rPr>
      <w:sz w:val="16"/>
      <w:szCs w:val="16"/>
    </w:rPr>
  </w:style>
  <w:style w:type="paragraph" w:styleId="CommentText">
    <w:name w:val="annotation text"/>
    <w:basedOn w:val="Normal"/>
    <w:link w:val="CommentTextChar"/>
    <w:uiPriority w:val="99"/>
    <w:semiHidden/>
    <w:unhideWhenUsed/>
    <w:rsid w:val="00FB7343"/>
    <w:rPr>
      <w:sz w:val="20"/>
      <w:szCs w:val="20"/>
    </w:rPr>
  </w:style>
  <w:style w:type="character" w:customStyle="1" w:styleId="CommentTextChar">
    <w:name w:val="Comment Text Char"/>
    <w:basedOn w:val="DefaultParagraphFont"/>
    <w:link w:val="CommentText"/>
    <w:uiPriority w:val="99"/>
    <w:semiHidden/>
    <w:rsid w:val="00FB7343"/>
    <w:rPr>
      <w:sz w:val="20"/>
      <w:szCs w:val="20"/>
    </w:rPr>
  </w:style>
  <w:style w:type="paragraph" w:styleId="CommentSubject">
    <w:name w:val="annotation subject"/>
    <w:basedOn w:val="CommentText"/>
    <w:next w:val="CommentText"/>
    <w:link w:val="CommentSubjectChar"/>
    <w:uiPriority w:val="99"/>
    <w:semiHidden/>
    <w:unhideWhenUsed/>
    <w:rsid w:val="00FB7343"/>
    <w:rPr>
      <w:b/>
      <w:bCs/>
    </w:rPr>
  </w:style>
  <w:style w:type="character" w:customStyle="1" w:styleId="CommentSubjectChar">
    <w:name w:val="Comment Subject Char"/>
    <w:basedOn w:val="CommentTextChar"/>
    <w:link w:val="CommentSubject"/>
    <w:uiPriority w:val="99"/>
    <w:semiHidden/>
    <w:rsid w:val="00FB7343"/>
    <w:rPr>
      <w:b/>
      <w:bCs/>
      <w:sz w:val="20"/>
      <w:szCs w:val="20"/>
    </w:rPr>
  </w:style>
  <w:style w:type="character" w:customStyle="1" w:styleId="apple-converted-space">
    <w:name w:val="apple-converted-space"/>
    <w:basedOn w:val="DefaultParagraphFont"/>
    <w:rsid w:val="00252BDE"/>
  </w:style>
  <w:style w:type="character" w:customStyle="1" w:styleId="normaltextrun">
    <w:name w:val="normaltextrun"/>
    <w:basedOn w:val="DefaultParagraphFont"/>
    <w:rsid w:val="002A5032"/>
  </w:style>
  <w:style w:type="character" w:customStyle="1" w:styleId="eop">
    <w:name w:val="eop"/>
    <w:basedOn w:val="DefaultParagraphFont"/>
    <w:rsid w:val="002A5032"/>
  </w:style>
  <w:style w:type="character" w:styleId="Hyperlink">
    <w:name w:val="Hyperlink"/>
    <w:basedOn w:val="DefaultParagraphFont"/>
    <w:uiPriority w:val="99"/>
    <w:unhideWhenUse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59267">
      <w:bodyDiv w:val="1"/>
      <w:marLeft w:val="0"/>
      <w:marRight w:val="0"/>
      <w:marTop w:val="0"/>
      <w:marBottom w:val="0"/>
      <w:divBdr>
        <w:top w:val="none" w:sz="0" w:space="0" w:color="auto"/>
        <w:left w:val="none" w:sz="0" w:space="0" w:color="auto"/>
        <w:bottom w:val="none" w:sz="0" w:space="0" w:color="auto"/>
        <w:right w:val="none" w:sz="0" w:space="0" w:color="auto"/>
      </w:divBdr>
    </w:div>
    <w:div w:id="46689777">
      <w:bodyDiv w:val="1"/>
      <w:marLeft w:val="0"/>
      <w:marRight w:val="0"/>
      <w:marTop w:val="0"/>
      <w:marBottom w:val="0"/>
      <w:divBdr>
        <w:top w:val="none" w:sz="0" w:space="0" w:color="auto"/>
        <w:left w:val="none" w:sz="0" w:space="0" w:color="auto"/>
        <w:bottom w:val="none" w:sz="0" w:space="0" w:color="auto"/>
        <w:right w:val="none" w:sz="0" w:space="0" w:color="auto"/>
      </w:divBdr>
    </w:div>
    <w:div w:id="414591536">
      <w:bodyDiv w:val="1"/>
      <w:marLeft w:val="0"/>
      <w:marRight w:val="0"/>
      <w:marTop w:val="0"/>
      <w:marBottom w:val="0"/>
      <w:divBdr>
        <w:top w:val="none" w:sz="0" w:space="0" w:color="auto"/>
        <w:left w:val="none" w:sz="0" w:space="0" w:color="auto"/>
        <w:bottom w:val="none" w:sz="0" w:space="0" w:color="auto"/>
        <w:right w:val="none" w:sz="0" w:space="0" w:color="auto"/>
      </w:divBdr>
    </w:div>
    <w:div w:id="632061011">
      <w:bodyDiv w:val="1"/>
      <w:marLeft w:val="0"/>
      <w:marRight w:val="0"/>
      <w:marTop w:val="0"/>
      <w:marBottom w:val="0"/>
      <w:divBdr>
        <w:top w:val="none" w:sz="0" w:space="0" w:color="auto"/>
        <w:left w:val="none" w:sz="0" w:space="0" w:color="auto"/>
        <w:bottom w:val="none" w:sz="0" w:space="0" w:color="auto"/>
        <w:right w:val="none" w:sz="0" w:space="0" w:color="auto"/>
      </w:divBdr>
    </w:div>
    <w:div w:id="639726659">
      <w:bodyDiv w:val="1"/>
      <w:marLeft w:val="0"/>
      <w:marRight w:val="0"/>
      <w:marTop w:val="0"/>
      <w:marBottom w:val="0"/>
      <w:divBdr>
        <w:top w:val="none" w:sz="0" w:space="0" w:color="auto"/>
        <w:left w:val="none" w:sz="0" w:space="0" w:color="auto"/>
        <w:bottom w:val="none" w:sz="0" w:space="0" w:color="auto"/>
        <w:right w:val="none" w:sz="0" w:space="0" w:color="auto"/>
      </w:divBdr>
    </w:div>
    <w:div w:id="678967916">
      <w:bodyDiv w:val="1"/>
      <w:marLeft w:val="0"/>
      <w:marRight w:val="0"/>
      <w:marTop w:val="0"/>
      <w:marBottom w:val="0"/>
      <w:divBdr>
        <w:top w:val="none" w:sz="0" w:space="0" w:color="auto"/>
        <w:left w:val="none" w:sz="0" w:space="0" w:color="auto"/>
        <w:bottom w:val="none" w:sz="0" w:space="0" w:color="auto"/>
        <w:right w:val="none" w:sz="0" w:space="0" w:color="auto"/>
      </w:divBdr>
    </w:div>
    <w:div w:id="815997900">
      <w:bodyDiv w:val="1"/>
      <w:marLeft w:val="0"/>
      <w:marRight w:val="0"/>
      <w:marTop w:val="0"/>
      <w:marBottom w:val="0"/>
      <w:divBdr>
        <w:top w:val="none" w:sz="0" w:space="0" w:color="auto"/>
        <w:left w:val="none" w:sz="0" w:space="0" w:color="auto"/>
        <w:bottom w:val="none" w:sz="0" w:space="0" w:color="auto"/>
        <w:right w:val="none" w:sz="0" w:space="0" w:color="auto"/>
      </w:divBdr>
    </w:div>
    <w:div w:id="819424187">
      <w:bodyDiv w:val="1"/>
      <w:marLeft w:val="0"/>
      <w:marRight w:val="0"/>
      <w:marTop w:val="0"/>
      <w:marBottom w:val="0"/>
      <w:divBdr>
        <w:top w:val="none" w:sz="0" w:space="0" w:color="auto"/>
        <w:left w:val="none" w:sz="0" w:space="0" w:color="auto"/>
        <w:bottom w:val="none" w:sz="0" w:space="0" w:color="auto"/>
        <w:right w:val="none" w:sz="0" w:space="0" w:color="auto"/>
      </w:divBdr>
    </w:div>
    <w:div w:id="945313993">
      <w:bodyDiv w:val="1"/>
      <w:marLeft w:val="0"/>
      <w:marRight w:val="0"/>
      <w:marTop w:val="0"/>
      <w:marBottom w:val="0"/>
      <w:divBdr>
        <w:top w:val="none" w:sz="0" w:space="0" w:color="auto"/>
        <w:left w:val="none" w:sz="0" w:space="0" w:color="auto"/>
        <w:bottom w:val="none" w:sz="0" w:space="0" w:color="auto"/>
        <w:right w:val="none" w:sz="0" w:space="0" w:color="auto"/>
      </w:divBdr>
    </w:div>
    <w:div w:id="1142043778">
      <w:bodyDiv w:val="1"/>
      <w:marLeft w:val="0"/>
      <w:marRight w:val="0"/>
      <w:marTop w:val="0"/>
      <w:marBottom w:val="0"/>
      <w:divBdr>
        <w:top w:val="none" w:sz="0" w:space="0" w:color="auto"/>
        <w:left w:val="none" w:sz="0" w:space="0" w:color="auto"/>
        <w:bottom w:val="none" w:sz="0" w:space="0" w:color="auto"/>
        <w:right w:val="none" w:sz="0" w:space="0" w:color="auto"/>
      </w:divBdr>
    </w:div>
    <w:div w:id="1148017111">
      <w:bodyDiv w:val="1"/>
      <w:marLeft w:val="0"/>
      <w:marRight w:val="0"/>
      <w:marTop w:val="0"/>
      <w:marBottom w:val="0"/>
      <w:divBdr>
        <w:top w:val="none" w:sz="0" w:space="0" w:color="auto"/>
        <w:left w:val="none" w:sz="0" w:space="0" w:color="auto"/>
        <w:bottom w:val="none" w:sz="0" w:space="0" w:color="auto"/>
        <w:right w:val="none" w:sz="0" w:space="0" w:color="auto"/>
      </w:divBdr>
    </w:div>
    <w:div w:id="1259407334">
      <w:bodyDiv w:val="1"/>
      <w:marLeft w:val="0"/>
      <w:marRight w:val="0"/>
      <w:marTop w:val="0"/>
      <w:marBottom w:val="0"/>
      <w:divBdr>
        <w:top w:val="none" w:sz="0" w:space="0" w:color="auto"/>
        <w:left w:val="none" w:sz="0" w:space="0" w:color="auto"/>
        <w:bottom w:val="none" w:sz="0" w:space="0" w:color="auto"/>
        <w:right w:val="none" w:sz="0" w:space="0" w:color="auto"/>
      </w:divBdr>
    </w:div>
    <w:div w:id="1270163716">
      <w:bodyDiv w:val="1"/>
      <w:marLeft w:val="0"/>
      <w:marRight w:val="0"/>
      <w:marTop w:val="0"/>
      <w:marBottom w:val="0"/>
      <w:divBdr>
        <w:top w:val="none" w:sz="0" w:space="0" w:color="auto"/>
        <w:left w:val="none" w:sz="0" w:space="0" w:color="auto"/>
        <w:bottom w:val="none" w:sz="0" w:space="0" w:color="auto"/>
        <w:right w:val="none" w:sz="0" w:space="0" w:color="auto"/>
      </w:divBdr>
    </w:div>
    <w:div w:id="1315375455">
      <w:bodyDiv w:val="1"/>
      <w:marLeft w:val="0"/>
      <w:marRight w:val="0"/>
      <w:marTop w:val="0"/>
      <w:marBottom w:val="0"/>
      <w:divBdr>
        <w:top w:val="none" w:sz="0" w:space="0" w:color="auto"/>
        <w:left w:val="none" w:sz="0" w:space="0" w:color="auto"/>
        <w:bottom w:val="none" w:sz="0" w:space="0" w:color="auto"/>
        <w:right w:val="none" w:sz="0" w:space="0" w:color="auto"/>
      </w:divBdr>
    </w:div>
    <w:div w:id="1481116607">
      <w:bodyDiv w:val="1"/>
      <w:marLeft w:val="0"/>
      <w:marRight w:val="0"/>
      <w:marTop w:val="0"/>
      <w:marBottom w:val="0"/>
      <w:divBdr>
        <w:top w:val="none" w:sz="0" w:space="0" w:color="auto"/>
        <w:left w:val="none" w:sz="0" w:space="0" w:color="auto"/>
        <w:bottom w:val="none" w:sz="0" w:space="0" w:color="auto"/>
        <w:right w:val="none" w:sz="0" w:space="0" w:color="auto"/>
      </w:divBdr>
    </w:div>
    <w:div w:id="1490364599">
      <w:bodyDiv w:val="1"/>
      <w:marLeft w:val="0"/>
      <w:marRight w:val="0"/>
      <w:marTop w:val="0"/>
      <w:marBottom w:val="0"/>
      <w:divBdr>
        <w:top w:val="none" w:sz="0" w:space="0" w:color="auto"/>
        <w:left w:val="none" w:sz="0" w:space="0" w:color="auto"/>
        <w:bottom w:val="none" w:sz="0" w:space="0" w:color="auto"/>
        <w:right w:val="none" w:sz="0" w:space="0" w:color="auto"/>
      </w:divBdr>
    </w:div>
    <w:div w:id="1523670441">
      <w:bodyDiv w:val="1"/>
      <w:marLeft w:val="0"/>
      <w:marRight w:val="0"/>
      <w:marTop w:val="0"/>
      <w:marBottom w:val="0"/>
      <w:divBdr>
        <w:top w:val="none" w:sz="0" w:space="0" w:color="auto"/>
        <w:left w:val="none" w:sz="0" w:space="0" w:color="auto"/>
        <w:bottom w:val="none" w:sz="0" w:space="0" w:color="auto"/>
        <w:right w:val="none" w:sz="0" w:space="0" w:color="auto"/>
      </w:divBdr>
    </w:div>
    <w:div w:id="1541740443">
      <w:bodyDiv w:val="1"/>
      <w:marLeft w:val="0"/>
      <w:marRight w:val="0"/>
      <w:marTop w:val="0"/>
      <w:marBottom w:val="0"/>
      <w:divBdr>
        <w:top w:val="none" w:sz="0" w:space="0" w:color="auto"/>
        <w:left w:val="none" w:sz="0" w:space="0" w:color="auto"/>
        <w:bottom w:val="none" w:sz="0" w:space="0" w:color="auto"/>
        <w:right w:val="none" w:sz="0" w:space="0" w:color="auto"/>
      </w:divBdr>
    </w:div>
    <w:div w:id="1605922460">
      <w:bodyDiv w:val="1"/>
      <w:marLeft w:val="0"/>
      <w:marRight w:val="0"/>
      <w:marTop w:val="0"/>
      <w:marBottom w:val="0"/>
      <w:divBdr>
        <w:top w:val="none" w:sz="0" w:space="0" w:color="auto"/>
        <w:left w:val="none" w:sz="0" w:space="0" w:color="auto"/>
        <w:bottom w:val="none" w:sz="0" w:space="0" w:color="auto"/>
        <w:right w:val="none" w:sz="0" w:space="0" w:color="auto"/>
      </w:divBdr>
    </w:div>
    <w:div w:id="1721663075">
      <w:bodyDiv w:val="1"/>
      <w:marLeft w:val="0"/>
      <w:marRight w:val="0"/>
      <w:marTop w:val="0"/>
      <w:marBottom w:val="0"/>
      <w:divBdr>
        <w:top w:val="none" w:sz="0" w:space="0" w:color="auto"/>
        <w:left w:val="none" w:sz="0" w:space="0" w:color="auto"/>
        <w:bottom w:val="none" w:sz="0" w:space="0" w:color="auto"/>
        <w:right w:val="none" w:sz="0" w:space="0" w:color="auto"/>
      </w:divBdr>
    </w:div>
    <w:div w:id="1922368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emf"/><Relationship Id="rId5" Type="http://schemas.openxmlformats.org/officeDocument/2006/relationships/styles" Target="styles.xml"/><Relationship Id="rId15" Type="http://schemas.openxmlformats.org/officeDocument/2006/relationships/image" Target="media/image8.jpeg"/><Relationship Id="rId10" Type="http://schemas.openxmlformats.org/officeDocument/2006/relationships/image" Target="media/image3.emf"/><Relationship Id="rId4" Type="http://schemas.openxmlformats.org/officeDocument/2006/relationships/customXml" Target="../customXml/item4.xml"/><Relationship Id="rId9" Type="http://schemas.openxmlformats.org/officeDocument/2006/relationships/image" Target="media/image2.emf"/><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c070e406-6572-48e3-90c5-e02954273869">
      <UserInfo>
        <DisplayName>Ware, James S</DisplayName>
        <AccountId>9</AccountId>
        <AccountType/>
      </UserInfo>
    </SharedWithUsers>
    <lcf76f155ced4ddcb4097134ff3c332f xmlns="963dc75d-5652-4a9d-a37f-7c8286d8d84f">
      <Terms xmlns="http://schemas.microsoft.com/office/infopath/2007/PartnerControls"/>
    </lcf76f155ced4ddcb4097134ff3c332f>
    <TaxCatchAll xmlns="c070e406-6572-48e3-90c5-e0295427386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8DC3B0FDBBBFF47BE559BB10C507ED8" ma:contentTypeVersion="14" ma:contentTypeDescription="Create a new document." ma:contentTypeScope="" ma:versionID="58a96b69931a86b07130eeb678c7b82b">
  <xsd:schema xmlns:xsd="http://www.w3.org/2001/XMLSchema" xmlns:xs="http://www.w3.org/2001/XMLSchema" xmlns:p="http://schemas.microsoft.com/office/2006/metadata/properties" xmlns:ns2="c070e406-6572-48e3-90c5-e02954273869" xmlns:ns3="963dc75d-5652-4a9d-a37f-7c8286d8d84f" targetNamespace="http://schemas.microsoft.com/office/2006/metadata/properties" ma:root="true" ma:fieldsID="2c313c6fe17b08c7c9ac8fb9ab8bff81" ns2:_="" ns3:_="">
    <xsd:import namespace="c070e406-6572-48e3-90c5-e02954273869"/>
    <xsd:import namespace="963dc75d-5652-4a9d-a37f-7c8286d8d84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LengthInSeconds" minOccurs="0"/>
                <xsd:element ref="ns3:lcf76f155ced4ddcb4097134ff3c332f" minOccurs="0"/>
                <xsd:element ref="ns2:TaxCatchAll"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070e406-6572-48e3-90c5-e0295427386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ddd41e8c-4356-4a79-b761-0fffe815c045}" ma:internalName="TaxCatchAll" ma:showField="CatchAllData" ma:web="c070e406-6572-48e3-90c5-e0295427386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63dc75d-5652-4a9d-a37f-7c8286d8d84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74661dae-d6df-48fc-a54e-a577d2899e9c" ma:termSetId="09814cd3-568e-fe90-9814-8d621ff8fb84" ma:anchorId="fba54fb3-c3e1-fe81-a776-ca4b69148c4d" ma:open="true" ma:isKeyword="false">
      <xsd:complexType>
        <xsd:sequence>
          <xsd:element ref="pc:Terms" minOccurs="0" maxOccurs="1"/>
        </xsd:sequence>
      </xsd:complex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4775148-B39A-C54B-81B3-B9205D71BB80}">
  <ds:schemaRefs>
    <ds:schemaRef ds:uri="http://schemas.openxmlformats.org/officeDocument/2006/bibliography"/>
  </ds:schemaRefs>
</ds:datastoreItem>
</file>

<file path=customXml/itemProps2.xml><?xml version="1.0" encoding="utf-8"?>
<ds:datastoreItem xmlns:ds="http://schemas.openxmlformats.org/officeDocument/2006/customXml" ds:itemID="{99E4B31E-9078-4D50-95C4-27A8CE3C5484}">
  <ds:schemaRefs>
    <ds:schemaRef ds:uri="http://schemas.microsoft.com/sharepoint/v3/contenttype/forms"/>
  </ds:schemaRefs>
</ds:datastoreItem>
</file>

<file path=customXml/itemProps3.xml><?xml version="1.0" encoding="utf-8"?>
<ds:datastoreItem xmlns:ds="http://schemas.openxmlformats.org/officeDocument/2006/customXml" ds:itemID="{76B72E86-3B26-405E-99AF-CAC70B8A63AF}">
  <ds:schemaRefs>
    <ds:schemaRef ds:uri="http://schemas.microsoft.com/office/2006/metadata/properties"/>
    <ds:schemaRef ds:uri="http://schemas.microsoft.com/office/infopath/2007/PartnerControls"/>
    <ds:schemaRef ds:uri="c070e406-6572-48e3-90c5-e02954273869"/>
    <ds:schemaRef ds:uri="963dc75d-5652-4a9d-a37f-7c8286d8d84f"/>
  </ds:schemaRefs>
</ds:datastoreItem>
</file>

<file path=customXml/itemProps4.xml><?xml version="1.0" encoding="utf-8"?>
<ds:datastoreItem xmlns:ds="http://schemas.openxmlformats.org/officeDocument/2006/customXml" ds:itemID="{923F9852-ABF5-4156-873C-49D61F6976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070e406-6572-48e3-90c5-e02954273869"/>
    <ds:schemaRef ds:uri="963dc75d-5652-4a9d-a37f-7c8286d8d8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11</Pages>
  <Words>1010</Words>
  <Characters>5763</Characters>
  <Application>Microsoft Office Word</Application>
  <DocSecurity>0</DocSecurity>
  <Lines>48</Lines>
  <Paragraphs>13</Paragraphs>
  <ScaleCrop>false</ScaleCrop>
  <Company/>
  <LinksUpToDate>false</LinksUpToDate>
  <CharactersWithSpaces>6760</CharactersWithSpaces>
  <SharedDoc>false</SharedDoc>
  <HLinks>
    <vt:vector size="48" baseType="variant">
      <vt:variant>
        <vt:i4>917522</vt:i4>
      </vt:variant>
      <vt:variant>
        <vt:i4>21</vt:i4>
      </vt:variant>
      <vt:variant>
        <vt:i4>0</vt:i4>
      </vt:variant>
      <vt:variant>
        <vt:i4>5</vt:i4>
      </vt:variant>
      <vt:variant>
        <vt:lpwstr/>
      </vt:variant>
      <vt:variant>
        <vt:lpwstr>Bookmark8</vt:lpwstr>
      </vt:variant>
      <vt:variant>
        <vt:i4>917522</vt:i4>
      </vt:variant>
      <vt:variant>
        <vt:i4>18</vt:i4>
      </vt:variant>
      <vt:variant>
        <vt:i4>0</vt:i4>
      </vt:variant>
      <vt:variant>
        <vt:i4>5</vt:i4>
      </vt:variant>
      <vt:variant>
        <vt:lpwstr/>
      </vt:variant>
      <vt:variant>
        <vt:lpwstr>Bookmark7</vt:lpwstr>
      </vt:variant>
      <vt:variant>
        <vt:i4>917522</vt:i4>
      </vt:variant>
      <vt:variant>
        <vt:i4>15</vt:i4>
      </vt:variant>
      <vt:variant>
        <vt:i4>0</vt:i4>
      </vt:variant>
      <vt:variant>
        <vt:i4>5</vt:i4>
      </vt:variant>
      <vt:variant>
        <vt:lpwstr/>
      </vt:variant>
      <vt:variant>
        <vt:lpwstr>Bookmark6</vt:lpwstr>
      </vt:variant>
      <vt:variant>
        <vt:i4>917522</vt:i4>
      </vt:variant>
      <vt:variant>
        <vt:i4>12</vt:i4>
      </vt:variant>
      <vt:variant>
        <vt:i4>0</vt:i4>
      </vt:variant>
      <vt:variant>
        <vt:i4>5</vt:i4>
      </vt:variant>
      <vt:variant>
        <vt:lpwstr/>
      </vt:variant>
      <vt:variant>
        <vt:lpwstr>Bookmark5</vt:lpwstr>
      </vt:variant>
      <vt:variant>
        <vt:i4>917522</vt:i4>
      </vt:variant>
      <vt:variant>
        <vt:i4>9</vt:i4>
      </vt:variant>
      <vt:variant>
        <vt:i4>0</vt:i4>
      </vt:variant>
      <vt:variant>
        <vt:i4>5</vt:i4>
      </vt:variant>
      <vt:variant>
        <vt:lpwstr/>
      </vt:variant>
      <vt:variant>
        <vt:lpwstr>Bookmark4</vt:lpwstr>
      </vt:variant>
      <vt:variant>
        <vt:i4>917522</vt:i4>
      </vt:variant>
      <vt:variant>
        <vt:i4>6</vt:i4>
      </vt:variant>
      <vt:variant>
        <vt:i4>0</vt:i4>
      </vt:variant>
      <vt:variant>
        <vt:i4>5</vt:i4>
      </vt:variant>
      <vt:variant>
        <vt:lpwstr/>
      </vt:variant>
      <vt:variant>
        <vt:lpwstr>Bookmark3</vt:lpwstr>
      </vt:variant>
      <vt:variant>
        <vt:i4>917522</vt:i4>
      </vt:variant>
      <vt:variant>
        <vt:i4>3</vt:i4>
      </vt:variant>
      <vt:variant>
        <vt:i4>0</vt:i4>
      </vt:variant>
      <vt:variant>
        <vt:i4>5</vt:i4>
      </vt:variant>
      <vt:variant>
        <vt:lpwstr/>
      </vt:variant>
      <vt:variant>
        <vt:lpwstr>Bookmark2</vt:lpwstr>
      </vt:variant>
      <vt:variant>
        <vt:i4>917522</vt:i4>
      </vt:variant>
      <vt:variant>
        <vt:i4>0</vt:i4>
      </vt:variant>
      <vt:variant>
        <vt:i4>0</vt:i4>
      </vt:variant>
      <vt:variant>
        <vt:i4>5</vt:i4>
      </vt:variant>
      <vt:variant>
        <vt:lpwstr/>
      </vt:variant>
      <vt:variant>
        <vt:lpwstr>Bookmark1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Zheng, Sean L</dc:creator>
  <cp:keywords/>
  <dc:description/>
  <cp:lastModifiedBy>Zheng, Sean L</cp:lastModifiedBy>
  <cp:revision>37</cp:revision>
  <dcterms:created xsi:type="dcterms:W3CDTF">2022-11-10T00:58:00Z</dcterms:created>
  <dcterms:modified xsi:type="dcterms:W3CDTF">2023-03-14T18:46:00Z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0x01010008DC3B0FDBBBFF47BE559BB10C507ED8</vt:lpwstr>
  </property>
  <property fmtid="{D5CDD505-2E9C-101B-9397-08002B2CF9AE}" pid="3" name="MediaServiceImageTags">
    <vt:lpwstr/>
  </property>
</Properties>
</file>