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75BAD" w14:textId="733029FD" w:rsidR="00787876" w:rsidRDefault="00D4107E" w:rsidP="008B36C9">
      <w:pPr>
        <w:pStyle w:val="BodyTHF"/>
      </w:pPr>
      <w:r>
        <w:t>Supplementary materials</w:t>
      </w:r>
    </w:p>
    <w:p w14:paraId="31357846" w14:textId="77777777" w:rsidR="00F63753" w:rsidRDefault="00F63753" w:rsidP="00F63753">
      <w:pPr>
        <w:pStyle w:val="BodyTHF"/>
        <w:keepNext/>
      </w:pPr>
      <w:r>
        <w:rPr>
          <w:noProof/>
        </w:rPr>
        <w:drawing>
          <wp:inline distT="0" distB="0" distL="0" distR="0" wp14:anchorId="31D3A712" wp14:editId="4A4BECE9">
            <wp:extent cx="5727700" cy="3124200"/>
            <wp:effectExtent l="0" t="0" r="6350" b="0"/>
            <wp:docPr id="1" name="Picture 1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, histo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7D137" w14:textId="51F5725A" w:rsidR="00D4107E" w:rsidRDefault="00F63753" w:rsidP="00F63753">
      <w:pPr>
        <w:pStyle w:val="Caption"/>
      </w:pPr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56801">
        <w:rPr>
          <w:noProof/>
        </w:rPr>
        <w:t>1</w:t>
      </w:r>
      <w:r>
        <w:fldChar w:fldCharType="end"/>
      </w:r>
      <w:r>
        <w:t xml:space="preserve"> Percent of consultations that were remote by infection type</w:t>
      </w:r>
    </w:p>
    <w:p w14:paraId="5652477E" w14:textId="596FCCD6" w:rsidR="00B031CC" w:rsidRDefault="00B031CC" w:rsidP="00D4107E">
      <w:pPr>
        <w:pStyle w:val="BodyTHF"/>
        <w:rPr>
          <w:rFonts w:ascii="Calibri" w:hAnsi="Calibri" w:cs="Calibri"/>
        </w:rPr>
      </w:pPr>
      <w:r>
        <w:rPr>
          <w:rFonts w:ascii="Calibri" w:hAnsi="Calibri" w:cs="Calibri"/>
        </w:rPr>
        <w:t xml:space="preserve">S1. Link to </w:t>
      </w:r>
      <w:proofErr w:type="spellStart"/>
      <w:r>
        <w:rPr>
          <w:rFonts w:ascii="Calibri" w:hAnsi="Calibri" w:cs="Calibri"/>
        </w:rPr>
        <w:t>codelists</w:t>
      </w:r>
      <w:proofErr w:type="spellEnd"/>
      <w:r>
        <w:rPr>
          <w:rFonts w:ascii="Calibri" w:hAnsi="Calibri" w:cs="Calibri"/>
        </w:rPr>
        <w:t xml:space="preserve"> to identify</w:t>
      </w:r>
      <w:r w:rsidR="00742AF9">
        <w:rPr>
          <w:rFonts w:ascii="Calibri" w:hAnsi="Calibri" w:cs="Calibri"/>
        </w:rPr>
        <w:t xml:space="preserve"> ARIs.</w:t>
      </w:r>
    </w:p>
    <w:p w14:paraId="5E6D9CFE" w14:textId="56156EC1" w:rsidR="00742AF9" w:rsidRDefault="00742AF9" w:rsidP="00D4107E">
      <w:pPr>
        <w:pStyle w:val="BodyTHF"/>
        <w:rPr>
          <w:rFonts w:ascii="Calibri" w:hAnsi="Calibri" w:cs="Calibri"/>
        </w:rPr>
      </w:pPr>
      <w:r w:rsidRPr="00742AF9">
        <w:rPr>
          <w:rFonts w:ascii="Calibri" w:hAnsi="Calibri" w:cs="Calibri"/>
        </w:rPr>
        <w:t>https://github.com/THF-evaluative-analytics/antibiotic-prescribing-cprd/tree/main/Codelists</w:t>
      </w:r>
    </w:p>
    <w:p w14:paraId="4C691EBC" w14:textId="61A5C0A6" w:rsidR="00D4107E" w:rsidRDefault="00D4107E" w:rsidP="00D4107E">
      <w:pPr>
        <w:pStyle w:val="BodyTHF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="00B031CC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. </w:t>
      </w:r>
      <w:r w:rsidRPr="00EF397E">
        <w:rPr>
          <w:rFonts w:ascii="Calibri" w:hAnsi="Calibri" w:cs="Calibri"/>
        </w:rPr>
        <w:t>Outcome model</w:t>
      </w:r>
      <w:r>
        <w:rPr>
          <w:rFonts w:ascii="Calibri" w:hAnsi="Calibri" w:cs="Calibri"/>
        </w:rPr>
        <w:t xml:space="preserve"> excluding mixed consultations</w:t>
      </w:r>
    </w:p>
    <w:p w14:paraId="77CCEEE8" w14:textId="050EA755" w:rsidR="00D4107E" w:rsidRPr="00EF397E" w:rsidRDefault="00D4107E" w:rsidP="00D4107E">
      <w:pPr>
        <w:pStyle w:val="BodyTHF"/>
        <w:rPr>
          <w:rFonts w:ascii="Calibri" w:hAnsi="Calibri" w:cs="Calibri"/>
        </w:rPr>
      </w:pPr>
      <w:r>
        <w:rPr>
          <w:rFonts w:ascii="Calibri" w:hAnsi="Calibri" w:cs="Calibri"/>
          <w:shd w:val="clear" w:color="auto" w:fill="FFFFFF"/>
        </w:rPr>
        <w:t>W</w:t>
      </w:r>
      <w:r w:rsidRPr="00EF397E">
        <w:rPr>
          <w:rFonts w:ascii="Calibri" w:hAnsi="Calibri" w:cs="Calibri"/>
          <w:shd w:val="clear" w:color="auto" w:fill="FFFFFF"/>
        </w:rPr>
        <w:t>e estimated that 4</w:t>
      </w:r>
      <w:r>
        <w:rPr>
          <w:rFonts w:ascii="Calibri" w:hAnsi="Calibri" w:cs="Calibri"/>
          <w:shd w:val="clear" w:color="auto" w:fill="FFFFFF"/>
        </w:rPr>
        <w:t>4</w:t>
      </w:r>
      <w:r w:rsidRPr="00EF397E">
        <w:rPr>
          <w:rFonts w:ascii="Calibri" w:hAnsi="Calibri" w:cs="Calibri"/>
          <w:shd w:val="clear" w:color="auto" w:fill="FFFFFF"/>
        </w:rPr>
        <w:t>.</w:t>
      </w:r>
      <w:r>
        <w:rPr>
          <w:rFonts w:ascii="Calibri" w:hAnsi="Calibri" w:cs="Calibri"/>
          <w:shd w:val="clear" w:color="auto" w:fill="FFFFFF"/>
        </w:rPr>
        <w:t>2</w:t>
      </w:r>
      <w:r w:rsidRPr="00EF397E">
        <w:rPr>
          <w:rFonts w:ascii="Calibri" w:hAnsi="Calibri" w:cs="Calibri"/>
          <w:shd w:val="clear" w:color="auto" w:fill="FFFFFF"/>
        </w:rPr>
        <w:t>% (95% CI: 4</w:t>
      </w:r>
      <w:r>
        <w:rPr>
          <w:rFonts w:ascii="Calibri" w:hAnsi="Calibri" w:cs="Calibri"/>
          <w:shd w:val="clear" w:color="auto" w:fill="FFFFFF"/>
        </w:rPr>
        <w:t>3</w:t>
      </w:r>
      <w:r w:rsidRPr="00EF397E">
        <w:rPr>
          <w:rFonts w:ascii="Calibri" w:hAnsi="Calibri" w:cs="Calibri"/>
          <w:shd w:val="clear" w:color="auto" w:fill="FFFFFF"/>
        </w:rPr>
        <w:t>.</w:t>
      </w:r>
      <w:r>
        <w:rPr>
          <w:rFonts w:ascii="Calibri" w:hAnsi="Calibri" w:cs="Calibri"/>
          <w:shd w:val="clear" w:color="auto" w:fill="FFFFFF"/>
        </w:rPr>
        <w:t>1</w:t>
      </w:r>
      <w:r w:rsidRPr="00EF397E">
        <w:rPr>
          <w:rFonts w:ascii="Calibri" w:hAnsi="Calibri" w:cs="Calibri"/>
          <w:shd w:val="clear" w:color="auto" w:fill="FFFFFF"/>
        </w:rPr>
        <w:t>, 4</w:t>
      </w:r>
      <w:r>
        <w:rPr>
          <w:rFonts w:ascii="Calibri" w:hAnsi="Calibri" w:cs="Calibri"/>
          <w:shd w:val="clear" w:color="auto" w:fill="FFFFFF"/>
        </w:rPr>
        <w:t>5</w:t>
      </w:r>
      <w:r w:rsidRPr="00EF397E">
        <w:rPr>
          <w:rFonts w:ascii="Calibri" w:hAnsi="Calibri" w:cs="Calibri"/>
          <w:shd w:val="clear" w:color="auto" w:fill="FFFFFF"/>
        </w:rPr>
        <w:t>.</w:t>
      </w:r>
      <w:r>
        <w:rPr>
          <w:rFonts w:ascii="Calibri" w:hAnsi="Calibri" w:cs="Calibri"/>
          <w:shd w:val="clear" w:color="auto" w:fill="FFFFFF"/>
        </w:rPr>
        <w:t>3</w:t>
      </w:r>
      <w:r w:rsidRPr="00EF397E">
        <w:rPr>
          <w:rFonts w:ascii="Calibri" w:hAnsi="Calibri" w:cs="Calibri"/>
          <w:shd w:val="clear" w:color="auto" w:fill="FFFFFF"/>
        </w:rPr>
        <w:t xml:space="preserve">) of adults would have been prescribed antibiotics if they had been seen face-to-face with </w:t>
      </w:r>
      <w:r>
        <w:rPr>
          <w:rFonts w:ascii="Calibri" w:hAnsi="Calibri" w:cs="Calibri"/>
          <w:shd w:val="clear" w:color="auto" w:fill="FFFFFF"/>
        </w:rPr>
        <w:t>50.0</w:t>
      </w:r>
      <w:r w:rsidRPr="00EF397E">
        <w:rPr>
          <w:rFonts w:ascii="Calibri" w:hAnsi="Calibri" w:cs="Calibri"/>
          <w:shd w:val="clear" w:color="auto" w:fill="FFFFFF"/>
        </w:rPr>
        <w:t xml:space="preserve">% (95% CI: </w:t>
      </w:r>
      <w:r>
        <w:rPr>
          <w:rFonts w:ascii="Calibri" w:hAnsi="Calibri" w:cs="Calibri"/>
          <w:shd w:val="clear" w:color="auto" w:fill="FFFFFF"/>
        </w:rPr>
        <w:t>49.3</w:t>
      </w:r>
      <w:r w:rsidRPr="00EF397E">
        <w:rPr>
          <w:rFonts w:ascii="Calibri" w:hAnsi="Calibri" w:cs="Calibri"/>
          <w:shd w:val="clear" w:color="auto" w:fill="FFFFFF"/>
        </w:rPr>
        <w:t>, 5</w:t>
      </w:r>
      <w:r>
        <w:rPr>
          <w:rFonts w:ascii="Calibri" w:hAnsi="Calibri" w:cs="Calibri"/>
          <w:shd w:val="clear" w:color="auto" w:fill="FFFFFF"/>
        </w:rPr>
        <w:t>0</w:t>
      </w:r>
      <w:r w:rsidRPr="00EF397E">
        <w:rPr>
          <w:rFonts w:ascii="Calibri" w:hAnsi="Calibri" w:cs="Calibri"/>
          <w:shd w:val="clear" w:color="auto" w:fill="FFFFFF"/>
        </w:rPr>
        <w:t>.</w:t>
      </w:r>
      <w:r>
        <w:rPr>
          <w:rFonts w:ascii="Calibri" w:hAnsi="Calibri" w:cs="Calibri"/>
          <w:shd w:val="clear" w:color="auto" w:fill="FFFFFF"/>
        </w:rPr>
        <w:t>6</w:t>
      </w:r>
      <w:r w:rsidRPr="00EF397E">
        <w:rPr>
          <w:rFonts w:ascii="Calibri" w:hAnsi="Calibri" w:cs="Calibri"/>
          <w:shd w:val="clear" w:color="auto" w:fill="FFFFFF"/>
        </w:rPr>
        <w:t xml:space="preserve">) if seen remotely, which corresponds to a difference in average treatment effect of </w:t>
      </w:r>
      <w:r>
        <w:rPr>
          <w:rFonts w:ascii="Calibri" w:hAnsi="Calibri" w:cs="Calibri"/>
          <w:shd w:val="clear" w:color="auto" w:fill="FFFFFF"/>
        </w:rPr>
        <w:t>5.7</w:t>
      </w:r>
      <w:r w:rsidRPr="00EF397E">
        <w:rPr>
          <w:rFonts w:ascii="Calibri" w:hAnsi="Calibri" w:cs="Calibri"/>
          <w:shd w:val="clear" w:color="auto" w:fill="FFFFFF"/>
        </w:rPr>
        <w:t xml:space="preserve">% (95% CI: </w:t>
      </w:r>
      <w:r>
        <w:rPr>
          <w:rFonts w:ascii="Calibri" w:hAnsi="Calibri" w:cs="Calibri"/>
          <w:shd w:val="clear" w:color="auto" w:fill="FFFFFF"/>
        </w:rPr>
        <w:t>4</w:t>
      </w:r>
      <w:r w:rsidRPr="00EF397E">
        <w:rPr>
          <w:rFonts w:ascii="Calibri" w:hAnsi="Calibri" w:cs="Calibri"/>
          <w:shd w:val="clear" w:color="auto" w:fill="FFFFFF"/>
        </w:rPr>
        <w:t>.</w:t>
      </w:r>
      <w:r>
        <w:rPr>
          <w:rFonts w:ascii="Calibri" w:hAnsi="Calibri" w:cs="Calibri"/>
          <w:shd w:val="clear" w:color="auto" w:fill="FFFFFF"/>
        </w:rPr>
        <w:t>5</w:t>
      </w:r>
      <w:r w:rsidRPr="00EF397E">
        <w:rPr>
          <w:rFonts w:ascii="Calibri" w:hAnsi="Calibri" w:cs="Calibri"/>
          <w:shd w:val="clear" w:color="auto" w:fill="FFFFFF"/>
        </w:rPr>
        <w:t>, 6.</w:t>
      </w:r>
      <w:r>
        <w:rPr>
          <w:rFonts w:ascii="Calibri" w:hAnsi="Calibri" w:cs="Calibri"/>
          <w:shd w:val="clear" w:color="auto" w:fill="FFFFFF"/>
        </w:rPr>
        <w:t>9</w:t>
      </w:r>
      <w:r w:rsidRPr="00EF397E">
        <w:rPr>
          <w:rFonts w:ascii="Calibri" w:hAnsi="Calibri" w:cs="Calibri"/>
          <w:shd w:val="clear" w:color="auto" w:fill="FFFFFF"/>
        </w:rPr>
        <w:t>) and an odds ratio of 1.</w:t>
      </w:r>
      <w:r>
        <w:rPr>
          <w:rFonts w:ascii="Calibri" w:hAnsi="Calibri" w:cs="Calibri"/>
          <w:shd w:val="clear" w:color="auto" w:fill="FFFFFF"/>
        </w:rPr>
        <w:t>26</w:t>
      </w:r>
      <w:r w:rsidRPr="00EF397E">
        <w:rPr>
          <w:rFonts w:ascii="Calibri" w:hAnsi="Calibri" w:cs="Calibri"/>
          <w:shd w:val="clear" w:color="auto" w:fill="FFFFFF"/>
        </w:rPr>
        <w:t xml:space="preserve"> (95% CI: 1.</w:t>
      </w:r>
      <w:r>
        <w:rPr>
          <w:rFonts w:ascii="Calibri" w:hAnsi="Calibri" w:cs="Calibri"/>
          <w:shd w:val="clear" w:color="auto" w:fill="FFFFFF"/>
        </w:rPr>
        <w:t>20</w:t>
      </w:r>
      <w:r w:rsidRPr="00EF397E">
        <w:rPr>
          <w:rFonts w:ascii="Calibri" w:hAnsi="Calibri" w:cs="Calibri"/>
          <w:shd w:val="clear" w:color="auto" w:fill="FFFFFF"/>
        </w:rPr>
        <w:t>, 1.</w:t>
      </w:r>
      <w:r>
        <w:rPr>
          <w:rFonts w:ascii="Calibri" w:hAnsi="Calibri" w:cs="Calibri"/>
          <w:shd w:val="clear" w:color="auto" w:fill="FFFFFF"/>
        </w:rPr>
        <w:t>32</w:t>
      </w:r>
      <w:r w:rsidRPr="00EF397E">
        <w:rPr>
          <w:rFonts w:ascii="Calibri" w:hAnsi="Calibri" w:cs="Calibri"/>
          <w:shd w:val="clear" w:color="auto" w:fill="FFFFFF"/>
        </w:rPr>
        <w:t>) </w:t>
      </w:r>
      <w:r>
        <w:rPr>
          <w:rFonts w:ascii="Calibri" w:hAnsi="Calibri" w:cs="Calibri"/>
          <w:shd w:val="clear" w:color="auto" w:fill="FFFFFF"/>
        </w:rPr>
        <w:t>after adjustment for a variety of demographic, clinical and socio-economic factors using TMLE.</w:t>
      </w:r>
    </w:p>
    <w:p w14:paraId="0BF6279B" w14:textId="71825D0D" w:rsidR="00D4107E" w:rsidRPr="00EF397E" w:rsidRDefault="00D4107E" w:rsidP="00D4107E">
      <w:pPr>
        <w:pStyle w:val="BodyTHF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t xml:space="preserve">In children, </w:t>
      </w:r>
      <w:r w:rsidRPr="00EF397E">
        <w:rPr>
          <w:rFonts w:ascii="Calibri" w:hAnsi="Calibri" w:cs="Calibri"/>
          <w:shd w:val="clear" w:color="auto" w:fill="FFFFFF"/>
        </w:rPr>
        <w:t xml:space="preserve">we estimated that </w:t>
      </w:r>
      <w:r w:rsidR="006C26E3">
        <w:rPr>
          <w:rFonts w:ascii="Calibri" w:hAnsi="Calibri" w:cs="Calibri"/>
          <w:shd w:val="clear" w:color="auto" w:fill="FFFFFF"/>
        </w:rPr>
        <w:t>42.7</w:t>
      </w:r>
      <w:r w:rsidRPr="00EF397E">
        <w:rPr>
          <w:rFonts w:ascii="Calibri" w:hAnsi="Calibri" w:cs="Calibri"/>
          <w:shd w:val="clear" w:color="auto" w:fill="FFFFFF"/>
        </w:rPr>
        <w:t xml:space="preserve">% (95% CI: </w:t>
      </w:r>
      <w:r>
        <w:rPr>
          <w:rFonts w:ascii="Calibri" w:hAnsi="Calibri" w:cs="Calibri"/>
          <w:shd w:val="clear" w:color="auto" w:fill="FFFFFF"/>
        </w:rPr>
        <w:t>4</w:t>
      </w:r>
      <w:r w:rsidR="006C26E3">
        <w:rPr>
          <w:rFonts w:ascii="Calibri" w:hAnsi="Calibri" w:cs="Calibri"/>
          <w:shd w:val="clear" w:color="auto" w:fill="FFFFFF"/>
        </w:rPr>
        <w:t>1</w:t>
      </w:r>
      <w:r>
        <w:rPr>
          <w:rFonts w:ascii="Calibri" w:hAnsi="Calibri" w:cs="Calibri"/>
          <w:shd w:val="clear" w:color="auto" w:fill="FFFFFF"/>
        </w:rPr>
        <w:t>.</w:t>
      </w:r>
      <w:r w:rsidR="006C26E3">
        <w:rPr>
          <w:rFonts w:ascii="Calibri" w:hAnsi="Calibri" w:cs="Calibri"/>
          <w:shd w:val="clear" w:color="auto" w:fill="FFFFFF"/>
        </w:rPr>
        <w:t>2</w:t>
      </w:r>
      <w:r w:rsidRPr="00EF397E">
        <w:rPr>
          <w:rFonts w:ascii="Calibri" w:hAnsi="Calibri" w:cs="Calibri"/>
          <w:shd w:val="clear" w:color="auto" w:fill="FFFFFF"/>
        </w:rPr>
        <w:t>, 4</w:t>
      </w:r>
      <w:r w:rsidR="006C26E3">
        <w:rPr>
          <w:rFonts w:ascii="Calibri" w:hAnsi="Calibri" w:cs="Calibri"/>
          <w:shd w:val="clear" w:color="auto" w:fill="FFFFFF"/>
        </w:rPr>
        <w:t>4</w:t>
      </w:r>
      <w:r w:rsidRPr="00EF397E">
        <w:rPr>
          <w:rFonts w:ascii="Calibri" w:hAnsi="Calibri" w:cs="Calibri"/>
          <w:shd w:val="clear" w:color="auto" w:fill="FFFFFF"/>
        </w:rPr>
        <w:t>.</w:t>
      </w:r>
      <w:r w:rsidR="006C26E3">
        <w:rPr>
          <w:rFonts w:ascii="Calibri" w:hAnsi="Calibri" w:cs="Calibri"/>
          <w:shd w:val="clear" w:color="auto" w:fill="FFFFFF"/>
        </w:rPr>
        <w:t>2</w:t>
      </w:r>
      <w:r w:rsidRPr="00EF397E">
        <w:rPr>
          <w:rFonts w:ascii="Calibri" w:hAnsi="Calibri" w:cs="Calibri"/>
          <w:shd w:val="clear" w:color="auto" w:fill="FFFFFF"/>
        </w:rPr>
        <w:t xml:space="preserve">) would have been prescribed antibiotics if they had been seen face-to-face with </w:t>
      </w:r>
      <w:r w:rsidR="000A760D">
        <w:rPr>
          <w:rFonts w:ascii="Calibri" w:hAnsi="Calibri" w:cs="Calibri"/>
          <w:shd w:val="clear" w:color="auto" w:fill="FFFFFF"/>
        </w:rPr>
        <w:t>43.0</w:t>
      </w:r>
      <w:r w:rsidRPr="00EF397E">
        <w:rPr>
          <w:rFonts w:ascii="Calibri" w:hAnsi="Calibri" w:cs="Calibri"/>
          <w:shd w:val="clear" w:color="auto" w:fill="FFFFFF"/>
        </w:rPr>
        <w:t>% (95% CI: 4</w:t>
      </w:r>
      <w:r>
        <w:rPr>
          <w:rFonts w:ascii="Calibri" w:hAnsi="Calibri" w:cs="Calibri"/>
          <w:shd w:val="clear" w:color="auto" w:fill="FFFFFF"/>
        </w:rPr>
        <w:t>1.</w:t>
      </w:r>
      <w:r w:rsidR="000A760D">
        <w:rPr>
          <w:rFonts w:ascii="Calibri" w:hAnsi="Calibri" w:cs="Calibri"/>
          <w:shd w:val="clear" w:color="auto" w:fill="FFFFFF"/>
        </w:rPr>
        <w:t>8</w:t>
      </w:r>
      <w:r w:rsidRPr="00EF397E">
        <w:rPr>
          <w:rFonts w:ascii="Calibri" w:hAnsi="Calibri" w:cs="Calibri"/>
          <w:shd w:val="clear" w:color="auto" w:fill="FFFFFF"/>
        </w:rPr>
        <w:t xml:space="preserve">, </w:t>
      </w:r>
      <w:r w:rsidR="000C1CF4">
        <w:rPr>
          <w:rFonts w:ascii="Calibri" w:hAnsi="Calibri" w:cs="Calibri"/>
          <w:shd w:val="clear" w:color="auto" w:fill="FFFFFF"/>
        </w:rPr>
        <w:t>44.9</w:t>
      </w:r>
      <w:r w:rsidRPr="00EF397E">
        <w:rPr>
          <w:rFonts w:ascii="Calibri" w:hAnsi="Calibri" w:cs="Calibri"/>
          <w:shd w:val="clear" w:color="auto" w:fill="FFFFFF"/>
        </w:rPr>
        <w:t>) if seen remotely</w:t>
      </w:r>
      <w:r>
        <w:rPr>
          <w:rFonts w:ascii="Calibri" w:hAnsi="Calibri" w:cs="Calibri"/>
          <w:shd w:val="clear" w:color="auto" w:fill="FFFFFF"/>
        </w:rPr>
        <w:t xml:space="preserve">. This </w:t>
      </w:r>
      <w:r w:rsidRPr="00EF397E">
        <w:rPr>
          <w:rFonts w:ascii="Calibri" w:hAnsi="Calibri" w:cs="Calibri"/>
          <w:shd w:val="clear" w:color="auto" w:fill="FFFFFF"/>
        </w:rPr>
        <w:t xml:space="preserve">corresponds to a </w:t>
      </w:r>
      <w:r>
        <w:rPr>
          <w:rFonts w:ascii="Calibri" w:hAnsi="Calibri" w:cs="Calibri"/>
          <w:shd w:val="clear" w:color="auto" w:fill="FFFFFF"/>
        </w:rPr>
        <w:t xml:space="preserve">non-significant </w:t>
      </w:r>
      <w:r w:rsidRPr="00EF397E">
        <w:rPr>
          <w:rFonts w:ascii="Calibri" w:hAnsi="Calibri" w:cs="Calibri"/>
          <w:shd w:val="clear" w:color="auto" w:fill="FFFFFF"/>
        </w:rPr>
        <w:t xml:space="preserve">difference in average treatment effect of </w:t>
      </w:r>
      <w:r w:rsidR="006C2BCC">
        <w:rPr>
          <w:rFonts w:ascii="Calibri" w:hAnsi="Calibri" w:cs="Calibri"/>
          <w:shd w:val="clear" w:color="auto" w:fill="FFFFFF"/>
        </w:rPr>
        <w:t>0.5</w:t>
      </w:r>
      <w:r w:rsidRPr="00EF397E">
        <w:rPr>
          <w:rFonts w:ascii="Calibri" w:hAnsi="Calibri" w:cs="Calibri"/>
          <w:shd w:val="clear" w:color="auto" w:fill="FFFFFF"/>
        </w:rPr>
        <w:t>% (95% CI: -</w:t>
      </w:r>
      <w:r w:rsidR="006C2BCC">
        <w:rPr>
          <w:rFonts w:ascii="Calibri" w:hAnsi="Calibri" w:cs="Calibri"/>
          <w:shd w:val="clear" w:color="auto" w:fill="FFFFFF"/>
        </w:rPr>
        <w:t>1</w:t>
      </w:r>
      <w:r>
        <w:rPr>
          <w:rFonts w:ascii="Calibri" w:hAnsi="Calibri" w:cs="Calibri"/>
          <w:shd w:val="clear" w:color="auto" w:fill="FFFFFF"/>
        </w:rPr>
        <w:t>.</w:t>
      </w:r>
      <w:r w:rsidR="006C2BCC">
        <w:rPr>
          <w:rFonts w:ascii="Calibri" w:hAnsi="Calibri" w:cs="Calibri"/>
          <w:shd w:val="clear" w:color="auto" w:fill="FFFFFF"/>
        </w:rPr>
        <w:t>4</w:t>
      </w:r>
      <w:r w:rsidRPr="00EF397E">
        <w:rPr>
          <w:rFonts w:ascii="Calibri" w:hAnsi="Calibri" w:cs="Calibri"/>
          <w:shd w:val="clear" w:color="auto" w:fill="FFFFFF"/>
        </w:rPr>
        <w:t>, 2</w:t>
      </w:r>
      <w:r>
        <w:rPr>
          <w:rFonts w:ascii="Calibri" w:hAnsi="Calibri" w:cs="Calibri"/>
          <w:shd w:val="clear" w:color="auto" w:fill="FFFFFF"/>
        </w:rPr>
        <w:t>.</w:t>
      </w:r>
      <w:r w:rsidR="006C2BCC">
        <w:rPr>
          <w:rFonts w:ascii="Calibri" w:hAnsi="Calibri" w:cs="Calibri"/>
          <w:shd w:val="clear" w:color="auto" w:fill="FFFFFF"/>
        </w:rPr>
        <w:t>3</w:t>
      </w:r>
      <w:r w:rsidRPr="00EF397E">
        <w:rPr>
          <w:rFonts w:ascii="Calibri" w:hAnsi="Calibri" w:cs="Calibri"/>
          <w:shd w:val="clear" w:color="auto" w:fill="FFFFFF"/>
        </w:rPr>
        <w:t xml:space="preserve">) and an odds ratio of </w:t>
      </w:r>
      <w:r>
        <w:rPr>
          <w:rFonts w:ascii="Calibri" w:hAnsi="Calibri" w:cs="Calibri"/>
          <w:shd w:val="clear" w:color="auto" w:fill="FFFFFF"/>
        </w:rPr>
        <w:t>1.0</w:t>
      </w:r>
      <w:r w:rsidR="000A760D">
        <w:rPr>
          <w:rFonts w:ascii="Calibri" w:hAnsi="Calibri" w:cs="Calibri"/>
          <w:shd w:val="clear" w:color="auto" w:fill="FFFFFF"/>
        </w:rPr>
        <w:t>1</w:t>
      </w:r>
      <w:r>
        <w:rPr>
          <w:rFonts w:ascii="Calibri" w:hAnsi="Calibri" w:cs="Calibri"/>
          <w:shd w:val="clear" w:color="auto" w:fill="FFFFFF"/>
        </w:rPr>
        <w:t xml:space="preserve"> </w:t>
      </w:r>
      <w:r w:rsidRPr="00EF397E">
        <w:rPr>
          <w:rFonts w:ascii="Calibri" w:hAnsi="Calibri" w:cs="Calibri"/>
          <w:shd w:val="clear" w:color="auto" w:fill="FFFFFF"/>
        </w:rPr>
        <w:t>(95% CI: 0.</w:t>
      </w:r>
      <w:r>
        <w:rPr>
          <w:rFonts w:ascii="Calibri" w:hAnsi="Calibri" w:cs="Calibri"/>
          <w:shd w:val="clear" w:color="auto" w:fill="FFFFFF"/>
        </w:rPr>
        <w:t>9</w:t>
      </w:r>
      <w:r w:rsidR="000A760D">
        <w:rPr>
          <w:rFonts w:ascii="Calibri" w:hAnsi="Calibri" w:cs="Calibri"/>
          <w:shd w:val="clear" w:color="auto" w:fill="FFFFFF"/>
        </w:rPr>
        <w:t>4</w:t>
      </w:r>
      <w:r w:rsidRPr="00EF397E">
        <w:rPr>
          <w:rFonts w:ascii="Calibri" w:hAnsi="Calibri" w:cs="Calibri"/>
          <w:shd w:val="clear" w:color="auto" w:fill="FFFFFF"/>
        </w:rPr>
        <w:t>, 1.</w:t>
      </w:r>
      <w:r w:rsidR="000A760D">
        <w:rPr>
          <w:rFonts w:ascii="Calibri" w:hAnsi="Calibri" w:cs="Calibri"/>
          <w:shd w:val="clear" w:color="auto" w:fill="FFFFFF"/>
        </w:rPr>
        <w:t>09</w:t>
      </w:r>
      <w:r w:rsidRPr="00EF397E">
        <w:rPr>
          <w:rFonts w:ascii="Calibri" w:hAnsi="Calibri" w:cs="Calibri"/>
          <w:shd w:val="clear" w:color="auto" w:fill="FFFFFF"/>
        </w:rPr>
        <w:t>) </w:t>
      </w:r>
    </w:p>
    <w:p w14:paraId="3EF80874" w14:textId="77777777" w:rsidR="00D4107E" w:rsidRPr="008B36C9" w:rsidRDefault="00D4107E" w:rsidP="008B36C9">
      <w:pPr>
        <w:pStyle w:val="BodyTHF"/>
      </w:pPr>
    </w:p>
    <w:sectPr w:rsidR="00D4107E" w:rsidRPr="008B36C9" w:rsidSect="008B36C9">
      <w:footerReference w:type="even" r:id="rId12"/>
      <w:footerReference w:type="default" r:id="rId13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0B1B0" w14:textId="77777777" w:rsidR="00D4107E" w:rsidRDefault="00D4107E" w:rsidP="003C6E18">
      <w:r>
        <w:separator/>
      </w:r>
    </w:p>
    <w:p w14:paraId="27FDA653" w14:textId="77777777" w:rsidR="00D4107E" w:rsidRDefault="00D4107E"/>
    <w:p w14:paraId="48E27B85" w14:textId="77777777" w:rsidR="00D4107E" w:rsidRDefault="00D4107E"/>
    <w:p w14:paraId="33A96E17" w14:textId="77777777" w:rsidR="00D4107E" w:rsidRDefault="00D4107E"/>
  </w:endnote>
  <w:endnote w:type="continuationSeparator" w:id="0">
    <w:p w14:paraId="126B9683" w14:textId="77777777" w:rsidR="00D4107E" w:rsidRDefault="00D4107E" w:rsidP="003C6E18">
      <w:r>
        <w:continuationSeparator/>
      </w:r>
    </w:p>
    <w:p w14:paraId="4479E6D9" w14:textId="77777777" w:rsidR="00D4107E" w:rsidRDefault="00D4107E"/>
    <w:p w14:paraId="1399E2B5" w14:textId="77777777" w:rsidR="00D4107E" w:rsidRDefault="00D4107E"/>
    <w:p w14:paraId="119B055C" w14:textId="77777777" w:rsidR="00D4107E" w:rsidRDefault="00D410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38FFD" w14:textId="77777777" w:rsidR="00A60804" w:rsidRDefault="00A60804" w:rsidP="00F55A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27D70C" w14:textId="77777777" w:rsidR="00A60804" w:rsidRDefault="00A60804" w:rsidP="00A60804">
    <w:pPr>
      <w:pStyle w:val="Footer"/>
      <w:ind w:right="360"/>
    </w:pPr>
  </w:p>
  <w:p w14:paraId="7871B4AF" w14:textId="77777777" w:rsidR="00CC3733" w:rsidRDefault="00CC3733"/>
  <w:p w14:paraId="3D2D88CC" w14:textId="77777777" w:rsidR="00CC3733" w:rsidRDefault="00CC3733"/>
  <w:p w14:paraId="16E5D141" w14:textId="77777777" w:rsidR="002251A6" w:rsidRDefault="002251A6"/>
  <w:p w14:paraId="0999679C" w14:textId="77777777" w:rsidR="002251A6" w:rsidRDefault="002251A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DF00B" w14:textId="77777777" w:rsidR="00773E9F" w:rsidRDefault="00773E9F" w:rsidP="008B36C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4DFE1" w14:textId="77777777" w:rsidR="00D4107E" w:rsidRDefault="00D4107E" w:rsidP="003C6E18">
      <w:r>
        <w:separator/>
      </w:r>
    </w:p>
    <w:p w14:paraId="168D8106" w14:textId="77777777" w:rsidR="00D4107E" w:rsidRDefault="00D4107E"/>
    <w:p w14:paraId="4D9B8531" w14:textId="77777777" w:rsidR="00D4107E" w:rsidRDefault="00D4107E"/>
    <w:p w14:paraId="6251839D" w14:textId="77777777" w:rsidR="00D4107E" w:rsidRDefault="00D4107E"/>
  </w:footnote>
  <w:footnote w:type="continuationSeparator" w:id="0">
    <w:p w14:paraId="7B369437" w14:textId="77777777" w:rsidR="00D4107E" w:rsidRDefault="00D4107E" w:rsidP="003C6E18">
      <w:r>
        <w:continuationSeparator/>
      </w:r>
    </w:p>
    <w:p w14:paraId="77E0FB96" w14:textId="77777777" w:rsidR="00D4107E" w:rsidRDefault="00D4107E"/>
    <w:p w14:paraId="0D20A235" w14:textId="77777777" w:rsidR="00D4107E" w:rsidRDefault="00D4107E"/>
    <w:p w14:paraId="37FB7058" w14:textId="77777777" w:rsidR="00D4107E" w:rsidRDefault="00D4107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92A4B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09B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525F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B6BE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3A643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B3EA8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B61A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4EBB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BC2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AEF27EF"/>
    <w:multiLevelType w:val="multilevel"/>
    <w:tmpl w:val="35D6D774"/>
    <w:numStyleLink w:val="THFListNos"/>
  </w:abstractNum>
  <w:abstractNum w:abstractNumId="10" w15:restartNumberingAfterBreak="0">
    <w:nsid w:val="20187E60"/>
    <w:multiLevelType w:val="multilevel"/>
    <w:tmpl w:val="577CA582"/>
    <w:lvl w:ilvl="0">
      <w:start w:val="1"/>
      <w:numFmt w:val="decimal"/>
      <w:lvlText w:val="%1.0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1361" w:hanging="681"/>
      </w:pPr>
      <w:rPr>
        <w:rFonts w:hint="default"/>
      </w:rPr>
    </w:lvl>
    <w:lvl w:ilvl="2">
      <w:start w:val="1"/>
      <w:numFmt w:val="decimal"/>
      <w:lvlText w:val="3.1.%3"/>
      <w:lvlJc w:val="left"/>
      <w:pPr>
        <w:tabs>
          <w:tab w:val="num" w:pos="1361"/>
        </w:tabs>
        <w:ind w:left="1361" w:hanging="681"/>
      </w:pPr>
      <w:rPr>
        <w:rFonts w:hint="default"/>
        <w:color w:val="auto"/>
      </w:rPr>
    </w:lvl>
    <w:lvl w:ilvl="3">
      <w:start w:val="1"/>
      <w:numFmt w:val="decimal"/>
      <w:lvlText w:val="%1.%2%3.%4"/>
      <w:lvlJc w:val="left"/>
      <w:pPr>
        <w:ind w:left="1728" w:hanging="367"/>
      </w:pPr>
      <w:rPr>
        <w:rFonts w:hint="default"/>
      </w:rPr>
    </w:lvl>
    <w:lvl w:ilvl="4">
      <w:start w:val="1"/>
      <w:numFmt w:val="decimal"/>
      <w:lvlText w:val="%1.%2.%3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%4.%5.%6.%7.%8.%9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13B1ACD"/>
    <w:multiLevelType w:val="multilevel"/>
    <w:tmpl w:val="35D6D774"/>
    <w:styleLink w:val="THFListNos"/>
    <w:lvl w:ilvl="0">
      <w:start w:val="1"/>
      <w:numFmt w:val="decimal"/>
      <w:pStyle w:val="ListNos1THF"/>
      <w:lvlText w:val="%1.0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pStyle w:val="ListNos2THF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ListNos3THF"/>
      <w:lvlText w:val="%1.%2.%3"/>
      <w:lvlJc w:val="left"/>
      <w:pPr>
        <w:ind w:left="1928" w:hanging="1191"/>
      </w:pPr>
      <w:rPr>
        <w:rFonts w:hint="default"/>
      </w:rPr>
    </w:lvl>
    <w:lvl w:ilvl="3">
      <w:start w:val="1"/>
      <w:numFmt w:val="decimal"/>
      <w:pStyle w:val="ListNos4THF"/>
      <w:lvlText w:val="%1.%2.%3.%4"/>
      <w:lvlJc w:val="left"/>
      <w:pPr>
        <w:ind w:left="1928" w:hanging="1191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F6E45A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4F558B8"/>
    <w:multiLevelType w:val="hybridMultilevel"/>
    <w:tmpl w:val="91B8AA48"/>
    <w:lvl w:ilvl="0" w:tplc="BE4045BA">
      <w:start w:val="1"/>
      <w:numFmt w:val="bullet"/>
      <w:pStyle w:val="ListBullet3THF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4" w15:restartNumberingAfterBreak="0">
    <w:nsid w:val="39FB1A0B"/>
    <w:multiLevelType w:val="hybridMultilevel"/>
    <w:tmpl w:val="8B5E0EEA"/>
    <w:lvl w:ilvl="0" w:tplc="F566F2AC">
      <w:start w:val="1"/>
      <w:numFmt w:val="bullet"/>
      <w:pStyle w:val="BulletTHF"/>
      <w:lvlText w:val=""/>
      <w:lvlJc w:val="left"/>
      <w:pPr>
        <w:ind w:left="720" w:hanging="436"/>
      </w:pPr>
      <w:rPr>
        <w:rFonts w:ascii="Symbol" w:hAnsi="Symbol" w:hint="default"/>
        <w:b/>
        <w:bCs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496820">
    <w:abstractNumId w:val="14"/>
  </w:num>
  <w:num w:numId="2" w16cid:durableId="862669908">
    <w:abstractNumId w:val="10"/>
  </w:num>
  <w:num w:numId="3" w16cid:durableId="1584878659">
    <w:abstractNumId w:val="13"/>
  </w:num>
  <w:num w:numId="4" w16cid:durableId="1230194007">
    <w:abstractNumId w:val="7"/>
  </w:num>
  <w:num w:numId="5" w16cid:durableId="1184902761">
    <w:abstractNumId w:val="6"/>
  </w:num>
  <w:num w:numId="6" w16cid:durableId="1249118642">
    <w:abstractNumId w:val="5"/>
  </w:num>
  <w:num w:numId="7" w16cid:durableId="1773359306">
    <w:abstractNumId w:val="4"/>
  </w:num>
  <w:num w:numId="8" w16cid:durableId="686374255">
    <w:abstractNumId w:val="8"/>
  </w:num>
  <w:num w:numId="9" w16cid:durableId="712535357">
    <w:abstractNumId w:val="3"/>
  </w:num>
  <w:num w:numId="10" w16cid:durableId="1090396930">
    <w:abstractNumId w:val="2"/>
  </w:num>
  <w:num w:numId="11" w16cid:durableId="578833036">
    <w:abstractNumId w:val="1"/>
  </w:num>
  <w:num w:numId="12" w16cid:durableId="1776945262">
    <w:abstractNumId w:val="0"/>
  </w:num>
  <w:num w:numId="13" w16cid:durableId="57608957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48341732">
    <w:abstractNumId w:val="11"/>
  </w:num>
  <w:num w:numId="15" w16cid:durableId="49887413">
    <w:abstractNumId w:val="12"/>
  </w:num>
  <w:num w:numId="16" w16cid:durableId="15957003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07E"/>
    <w:rsid w:val="00027DD6"/>
    <w:rsid w:val="00032566"/>
    <w:rsid w:val="00034BD1"/>
    <w:rsid w:val="00057AA7"/>
    <w:rsid w:val="00087465"/>
    <w:rsid w:val="00087787"/>
    <w:rsid w:val="000A601B"/>
    <w:rsid w:val="000A760D"/>
    <w:rsid w:val="000B6C73"/>
    <w:rsid w:val="000C1CF4"/>
    <w:rsid w:val="000E6AD1"/>
    <w:rsid w:val="00102B11"/>
    <w:rsid w:val="00111FEA"/>
    <w:rsid w:val="00123351"/>
    <w:rsid w:val="00132A71"/>
    <w:rsid w:val="00136557"/>
    <w:rsid w:val="001462EF"/>
    <w:rsid w:val="00197759"/>
    <w:rsid w:val="001C71DC"/>
    <w:rsid w:val="001E62C3"/>
    <w:rsid w:val="00201DE7"/>
    <w:rsid w:val="00202095"/>
    <w:rsid w:val="002251A6"/>
    <w:rsid w:val="00242625"/>
    <w:rsid w:val="00276B89"/>
    <w:rsid w:val="00294159"/>
    <w:rsid w:val="002A1D2F"/>
    <w:rsid w:val="002F0DDB"/>
    <w:rsid w:val="002F387A"/>
    <w:rsid w:val="00301BC9"/>
    <w:rsid w:val="003417E0"/>
    <w:rsid w:val="00385101"/>
    <w:rsid w:val="003905A4"/>
    <w:rsid w:val="003B77BA"/>
    <w:rsid w:val="003C6E18"/>
    <w:rsid w:val="003F2E4E"/>
    <w:rsid w:val="00434AE1"/>
    <w:rsid w:val="00444E69"/>
    <w:rsid w:val="00480DB1"/>
    <w:rsid w:val="004C4741"/>
    <w:rsid w:val="004D1490"/>
    <w:rsid w:val="00510FE0"/>
    <w:rsid w:val="00511DD8"/>
    <w:rsid w:val="00536E38"/>
    <w:rsid w:val="00546FE4"/>
    <w:rsid w:val="005641EB"/>
    <w:rsid w:val="0057395B"/>
    <w:rsid w:val="00576182"/>
    <w:rsid w:val="00591D22"/>
    <w:rsid w:val="005C47CF"/>
    <w:rsid w:val="005D08B2"/>
    <w:rsid w:val="005D45FC"/>
    <w:rsid w:val="005F65C7"/>
    <w:rsid w:val="00604690"/>
    <w:rsid w:val="006647C1"/>
    <w:rsid w:val="006C26E3"/>
    <w:rsid w:val="006C2BCC"/>
    <w:rsid w:val="006C708B"/>
    <w:rsid w:val="006E1C5B"/>
    <w:rsid w:val="0072759B"/>
    <w:rsid w:val="00742AF9"/>
    <w:rsid w:val="00773E9F"/>
    <w:rsid w:val="00787876"/>
    <w:rsid w:val="00797095"/>
    <w:rsid w:val="007A4FE9"/>
    <w:rsid w:val="007A588E"/>
    <w:rsid w:val="007B7BA2"/>
    <w:rsid w:val="007F0E19"/>
    <w:rsid w:val="00814D1D"/>
    <w:rsid w:val="00827DAB"/>
    <w:rsid w:val="008532AD"/>
    <w:rsid w:val="00877F96"/>
    <w:rsid w:val="00883FFA"/>
    <w:rsid w:val="008930AC"/>
    <w:rsid w:val="008A3030"/>
    <w:rsid w:val="008B36C9"/>
    <w:rsid w:val="008F7190"/>
    <w:rsid w:val="00915DF6"/>
    <w:rsid w:val="00960585"/>
    <w:rsid w:val="00974167"/>
    <w:rsid w:val="009D388B"/>
    <w:rsid w:val="00A10FB8"/>
    <w:rsid w:val="00A2481B"/>
    <w:rsid w:val="00A26C12"/>
    <w:rsid w:val="00A52FED"/>
    <w:rsid w:val="00A60804"/>
    <w:rsid w:val="00A7725E"/>
    <w:rsid w:val="00A86457"/>
    <w:rsid w:val="00AA71E6"/>
    <w:rsid w:val="00AB6554"/>
    <w:rsid w:val="00B022D3"/>
    <w:rsid w:val="00B02D96"/>
    <w:rsid w:val="00B031CC"/>
    <w:rsid w:val="00B10BB3"/>
    <w:rsid w:val="00B12410"/>
    <w:rsid w:val="00B16818"/>
    <w:rsid w:val="00B356D7"/>
    <w:rsid w:val="00B35AC7"/>
    <w:rsid w:val="00BB7C3F"/>
    <w:rsid w:val="00BC7A19"/>
    <w:rsid w:val="00BD6F1D"/>
    <w:rsid w:val="00BD733C"/>
    <w:rsid w:val="00C05805"/>
    <w:rsid w:val="00C27BB3"/>
    <w:rsid w:val="00C328DF"/>
    <w:rsid w:val="00C56801"/>
    <w:rsid w:val="00C76FE2"/>
    <w:rsid w:val="00C96D48"/>
    <w:rsid w:val="00CA4D45"/>
    <w:rsid w:val="00CB1591"/>
    <w:rsid w:val="00CC2EDF"/>
    <w:rsid w:val="00CC3733"/>
    <w:rsid w:val="00CD08B7"/>
    <w:rsid w:val="00CF4FFE"/>
    <w:rsid w:val="00CF6D55"/>
    <w:rsid w:val="00D4107E"/>
    <w:rsid w:val="00D528AB"/>
    <w:rsid w:val="00D8047B"/>
    <w:rsid w:val="00D830C0"/>
    <w:rsid w:val="00D830D1"/>
    <w:rsid w:val="00D85E90"/>
    <w:rsid w:val="00E009DD"/>
    <w:rsid w:val="00E36289"/>
    <w:rsid w:val="00E54256"/>
    <w:rsid w:val="00E74BA9"/>
    <w:rsid w:val="00E95DA4"/>
    <w:rsid w:val="00EA6B12"/>
    <w:rsid w:val="00EC14CE"/>
    <w:rsid w:val="00EF5394"/>
    <w:rsid w:val="00F02DAD"/>
    <w:rsid w:val="00F109CE"/>
    <w:rsid w:val="00F63753"/>
    <w:rsid w:val="00F73EC6"/>
    <w:rsid w:val="00F76EE2"/>
    <w:rsid w:val="00F92591"/>
    <w:rsid w:val="00F96583"/>
    <w:rsid w:val="00FA17D9"/>
    <w:rsid w:val="00FA245D"/>
    <w:rsid w:val="00FB76D2"/>
    <w:rsid w:val="00FD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C4A625"/>
  <w14:defaultImageDpi w14:val="330"/>
  <w15:chartTrackingRefBased/>
  <w15:docId w15:val="{8D29C42A-2D28-40B1-9678-C02089794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rial"/>
        <w:color w:val="000000" w:themeColor="text1"/>
        <w:sz w:val="24"/>
        <w:szCs w:val="24"/>
        <w:lang w:val="en-US" w:eastAsia="en-US" w:bidi="ar-SA"/>
      </w:rPr>
    </w:rPrDefault>
    <w:pPrDefault>
      <w:pPr>
        <w:spacing w:line="2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BD6F1D"/>
    <w:rPr>
      <w:lang w:val="en-GB"/>
    </w:rPr>
  </w:style>
  <w:style w:type="paragraph" w:styleId="Heading1">
    <w:name w:val="heading 1"/>
    <w:basedOn w:val="Head1THF"/>
    <w:next w:val="Normal"/>
    <w:link w:val="Heading1Char"/>
    <w:qFormat/>
    <w:rsid w:val="00242625"/>
    <w:pPr>
      <w:keepNext/>
      <w:outlineLvl w:val="0"/>
    </w:pPr>
    <w:rPr>
      <w:rFonts w:ascii="Georgia" w:hAnsi="Georgia"/>
      <w:b w:val="0"/>
      <w:sz w:val="32"/>
      <w:szCs w:val="26"/>
    </w:rPr>
  </w:style>
  <w:style w:type="paragraph" w:styleId="Heading2">
    <w:name w:val="heading 2"/>
    <w:basedOn w:val="Head2THF"/>
    <w:next w:val="Normal"/>
    <w:link w:val="Heading2Char"/>
    <w:qFormat/>
    <w:rsid w:val="00536E38"/>
    <w:pPr>
      <w:keepNext/>
      <w:outlineLvl w:val="1"/>
    </w:pPr>
    <w:rPr>
      <w:rFonts w:ascii="Georgia" w:hAnsi="Georgia"/>
      <w:b w:val="0"/>
      <w:color w:val="DD0031" w:themeColor="accent1"/>
      <w:sz w:val="28"/>
    </w:rPr>
  </w:style>
  <w:style w:type="paragraph" w:styleId="Heading3">
    <w:name w:val="heading 3"/>
    <w:basedOn w:val="Head3THF"/>
    <w:next w:val="Normal"/>
    <w:link w:val="Heading3Char"/>
    <w:qFormat/>
    <w:rsid w:val="00536E38"/>
    <w:pPr>
      <w:keepNext/>
      <w:outlineLvl w:val="2"/>
    </w:pPr>
    <w:rPr>
      <w:b w:val="0"/>
      <w:i w:val="0"/>
      <w:color w:val="DD0031" w:themeColor="accent1"/>
      <w:sz w:val="24"/>
    </w:rPr>
  </w:style>
  <w:style w:type="paragraph" w:styleId="Heading4">
    <w:name w:val="heading 4"/>
    <w:basedOn w:val="Head4THF"/>
    <w:next w:val="Normal"/>
    <w:link w:val="Heading4Char"/>
    <w:qFormat/>
    <w:rsid w:val="00536E38"/>
    <w:pPr>
      <w:keepNext/>
      <w:outlineLvl w:val="3"/>
    </w:pPr>
    <w:rPr>
      <w:b/>
      <w:i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C6E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0E19"/>
  </w:style>
  <w:style w:type="paragraph" w:styleId="Footer">
    <w:name w:val="footer"/>
    <w:basedOn w:val="Normal"/>
    <w:link w:val="FooterChar"/>
    <w:uiPriority w:val="99"/>
    <w:semiHidden/>
    <w:rsid w:val="00123351"/>
    <w:pPr>
      <w:tabs>
        <w:tab w:val="center" w:pos="4320"/>
        <w:tab w:val="right" w:pos="8640"/>
      </w:tabs>
      <w:spacing w:line="200" w:lineRule="exact"/>
    </w:pPr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F0E19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rsid w:val="003C6E18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E19"/>
    <w:rPr>
      <w:rFonts w:ascii="Lucida Grande" w:hAnsi="Lucida Grande" w:cs="Lucida Grande"/>
    </w:rPr>
  </w:style>
  <w:style w:type="table" w:styleId="TableGrid">
    <w:name w:val="Table Grid"/>
    <w:basedOn w:val="TableNormal"/>
    <w:uiPriority w:val="59"/>
    <w:rsid w:val="00797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HF">
    <w:name w:val="Body THF"/>
    <w:qFormat/>
    <w:rsid w:val="006C708B"/>
    <w:pPr>
      <w:tabs>
        <w:tab w:val="left" w:pos="6521"/>
      </w:tabs>
      <w:spacing w:after="240" w:line="264" w:lineRule="auto"/>
    </w:pPr>
    <w:rPr>
      <w:rFonts w:ascii="Arial" w:hAnsi="Arial"/>
      <w:sz w:val="22"/>
      <w:lang w:val="en-GB"/>
    </w:rPr>
  </w:style>
  <w:style w:type="character" w:customStyle="1" w:styleId="Heading1Char">
    <w:name w:val="Heading 1 Char"/>
    <w:basedOn w:val="DefaultParagraphFont"/>
    <w:link w:val="Heading1"/>
    <w:rsid w:val="00242625"/>
    <w:rPr>
      <w:sz w:val="32"/>
      <w:szCs w:val="26"/>
      <w:lang w:val="en-GB"/>
    </w:rPr>
  </w:style>
  <w:style w:type="character" w:styleId="PageNumber">
    <w:name w:val="page number"/>
    <w:basedOn w:val="DefaultParagraphFont"/>
    <w:uiPriority w:val="99"/>
    <w:semiHidden/>
    <w:rsid w:val="00123351"/>
    <w:rPr>
      <w:rFonts w:ascii="Arial" w:hAnsi="Arial"/>
    </w:rPr>
  </w:style>
  <w:style w:type="paragraph" w:customStyle="1" w:styleId="TitleTHF">
    <w:name w:val="Title THF"/>
    <w:basedOn w:val="Normal"/>
    <w:qFormat/>
    <w:rsid w:val="008B36C9"/>
    <w:pPr>
      <w:suppressAutoHyphens/>
      <w:spacing w:after="360" w:line="600" w:lineRule="exact"/>
    </w:pPr>
    <w:rPr>
      <w:sz w:val="52"/>
    </w:rPr>
  </w:style>
  <w:style w:type="paragraph" w:customStyle="1" w:styleId="Head1THF">
    <w:name w:val="Head1 THF"/>
    <w:basedOn w:val="BodyTHF"/>
    <w:next w:val="BodyTHF"/>
    <w:semiHidden/>
    <w:qFormat/>
    <w:rsid w:val="00827DAB"/>
    <w:pPr>
      <w:spacing w:before="280" w:after="100"/>
    </w:pPr>
    <w:rPr>
      <w:b/>
    </w:rPr>
  </w:style>
  <w:style w:type="paragraph" w:customStyle="1" w:styleId="Head4THF">
    <w:name w:val="Head4 THF"/>
    <w:basedOn w:val="Head3THF"/>
    <w:semiHidden/>
    <w:qFormat/>
    <w:rsid w:val="00A86457"/>
    <w:rPr>
      <w:b w:val="0"/>
      <w:color w:val="000000" w:themeColor="text1"/>
    </w:rPr>
  </w:style>
  <w:style w:type="paragraph" w:customStyle="1" w:styleId="TabletextTHF">
    <w:name w:val="Table text THF"/>
    <w:basedOn w:val="BodyTHF"/>
    <w:qFormat/>
    <w:rsid w:val="006C708B"/>
    <w:pPr>
      <w:spacing w:before="120" w:after="120"/>
    </w:pPr>
  </w:style>
  <w:style w:type="paragraph" w:customStyle="1" w:styleId="DateTHF">
    <w:name w:val="Date THF"/>
    <w:basedOn w:val="BodyTHF"/>
    <w:qFormat/>
    <w:rsid w:val="00960585"/>
    <w:rPr>
      <w:b/>
      <w:i/>
      <w:noProof/>
    </w:rPr>
  </w:style>
  <w:style w:type="paragraph" w:customStyle="1" w:styleId="SubtitleTHF">
    <w:name w:val="Subtitle THF"/>
    <w:basedOn w:val="Normal"/>
    <w:qFormat/>
    <w:rsid w:val="005D08B2"/>
    <w:pPr>
      <w:tabs>
        <w:tab w:val="left" w:pos="6521"/>
      </w:tabs>
      <w:spacing w:before="240" w:after="240" w:line="264" w:lineRule="auto"/>
    </w:pPr>
    <w:rPr>
      <w:rFonts w:ascii="Arial" w:hAnsi="Arial"/>
      <w:noProof/>
      <w:sz w:val="28"/>
    </w:rPr>
  </w:style>
  <w:style w:type="paragraph" w:customStyle="1" w:styleId="BulletTHF">
    <w:name w:val="Bullet THF"/>
    <w:basedOn w:val="BodyTHF"/>
    <w:qFormat/>
    <w:rsid w:val="008B36C9"/>
    <w:pPr>
      <w:numPr>
        <w:numId w:val="1"/>
      </w:numPr>
      <w:ind w:left="680" w:hanging="680"/>
      <w:contextualSpacing/>
    </w:pPr>
  </w:style>
  <w:style w:type="paragraph" w:customStyle="1" w:styleId="Head2THF">
    <w:name w:val="Head2 THF"/>
    <w:basedOn w:val="Normal"/>
    <w:next w:val="BodyTHF"/>
    <w:semiHidden/>
    <w:qFormat/>
    <w:rsid w:val="00A86457"/>
    <w:pPr>
      <w:tabs>
        <w:tab w:val="left" w:pos="6521"/>
      </w:tabs>
      <w:spacing w:before="240" w:line="264" w:lineRule="auto"/>
    </w:pPr>
    <w:rPr>
      <w:rFonts w:ascii="Arial" w:hAnsi="Arial"/>
      <w:b/>
      <w:noProof/>
      <w:color w:val="7F7F7F" w:themeColor="text1" w:themeTint="80"/>
      <w:sz w:val="22"/>
    </w:rPr>
  </w:style>
  <w:style w:type="paragraph" w:customStyle="1" w:styleId="Head3THF">
    <w:name w:val="Head3 THF"/>
    <w:basedOn w:val="Head2THF"/>
    <w:next w:val="BodyTHF"/>
    <w:semiHidden/>
    <w:qFormat/>
    <w:rsid w:val="00FD016C"/>
    <w:rPr>
      <w:i/>
    </w:rPr>
  </w:style>
  <w:style w:type="character" w:customStyle="1" w:styleId="Heading2Char">
    <w:name w:val="Heading 2 Char"/>
    <w:basedOn w:val="DefaultParagraphFont"/>
    <w:link w:val="Heading2"/>
    <w:rsid w:val="00536E38"/>
    <w:rPr>
      <w:noProof/>
      <w:color w:val="DD0031" w:themeColor="accent1"/>
      <w:sz w:val="28"/>
      <w:lang w:val="en-GB"/>
    </w:rPr>
  </w:style>
  <w:style w:type="paragraph" w:customStyle="1" w:styleId="ListNos2THF">
    <w:name w:val="ListNos2 THF"/>
    <w:basedOn w:val="Normal"/>
    <w:link w:val="ListNos2THFChar"/>
    <w:qFormat/>
    <w:rsid w:val="00604690"/>
    <w:pPr>
      <w:numPr>
        <w:ilvl w:val="1"/>
        <w:numId w:val="16"/>
      </w:numPr>
      <w:autoSpaceDE w:val="0"/>
      <w:autoSpaceDN w:val="0"/>
      <w:adjustRightInd w:val="0"/>
      <w:spacing w:after="200" w:line="280" w:lineRule="atLeast"/>
      <w:contextualSpacing/>
    </w:pPr>
    <w:rPr>
      <w:rFonts w:ascii="Arial" w:eastAsia="Times New Roman" w:hAnsi="Arial" w:cs="Times New Roman"/>
      <w:color w:val="auto"/>
      <w:sz w:val="22"/>
    </w:rPr>
  </w:style>
  <w:style w:type="paragraph" w:customStyle="1" w:styleId="ListNos1THF">
    <w:name w:val="ListNos1 THF"/>
    <w:basedOn w:val="Heading1"/>
    <w:link w:val="ListNos1THFChar"/>
    <w:autoRedefine/>
    <w:qFormat/>
    <w:rsid w:val="00A2481B"/>
    <w:pPr>
      <w:numPr>
        <w:numId w:val="16"/>
      </w:numPr>
      <w:spacing w:line="280" w:lineRule="atLeast"/>
    </w:pPr>
    <w:rPr>
      <w:rFonts w:ascii="Arial" w:eastAsia="Times New Roman" w:hAnsi="Arial"/>
      <w:color w:val="auto"/>
      <w:kern w:val="32"/>
      <w:sz w:val="22"/>
      <w:szCs w:val="32"/>
    </w:rPr>
  </w:style>
  <w:style w:type="character" w:customStyle="1" w:styleId="ListNos2THFChar">
    <w:name w:val="ListNos2 THF Char"/>
    <w:basedOn w:val="DefaultParagraphFont"/>
    <w:link w:val="ListNos2THF"/>
    <w:rsid w:val="00604690"/>
    <w:rPr>
      <w:rFonts w:ascii="Arial" w:eastAsia="Times New Roman" w:hAnsi="Arial" w:cs="Times New Roman"/>
      <w:color w:val="auto"/>
      <w:sz w:val="22"/>
      <w:lang w:val="en-GB"/>
    </w:rPr>
  </w:style>
  <w:style w:type="paragraph" w:customStyle="1" w:styleId="ListBullet3THF">
    <w:name w:val="ListBullet3 THF"/>
    <w:basedOn w:val="ListBullet"/>
    <w:link w:val="ListBullet3THFChar"/>
    <w:qFormat/>
    <w:rsid w:val="000E6AD1"/>
    <w:pPr>
      <w:numPr>
        <w:numId w:val="3"/>
      </w:numPr>
      <w:spacing w:line="280" w:lineRule="atLeast"/>
      <w:ind w:left="1360" w:hanging="680"/>
      <w:contextualSpacing w:val="0"/>
    </w:pPr>
    <w:rPr>
      <w:rFonts w:ascii="Arial" w:eastAsia="Times New Roman" w:hAnsi="Arial" w:cs="Times New Roman"/>
      <w:color w:val="auto"/>
      <w:sz w:val="22"/>
    </w:rPr>
  </w:style>
  <w:style w:type="character" w:customStyle="1" w:styleId="ListNos1THFChar">
    <w:name w:val="ListNos1 THF Char"/>
    <w:basedOn w:val="Heading1Char"/>
    <w:link w:val="ListNos1THF"/>
    <w:rsid w:val="00A2481B"/>
    <w:rPr>
      <w:rFonts w:ascii="Arial" w:eastAsia="Times New Roman" w:hAnsi="Arial"/>
      <w:b w:val="0"/>
      <w:color w:val="auto"/>
      <w:kern w:val="32"/>
      <w:sz w:val="22"/>
      <w:szCs w:val="32"/>
      <w:lang w:val="en-GB"/>
    </w:rPr>
  </w:style>
  <w:style w:type="character" w:customStyle="1" w:styleId="ListBullet3THFChar">
    <w:name w:val="ListBullet3 THF Char"/>
    <w:basedOn w:val="DefaultParagraphFont"/>
    <w:link w:val="ListBullet3THF"/>
    <w:rsid w:val="000E6AD1"/>
    <w:rPr>
      <w:rFonts w:ascii="Arial" w:eastAsia="Times New Roman" w:hAnsi="Arial" w:cs="Times New Roman"/>
      <w:color w:val="auto"/>
      <w:sz w:val="22"/>
      <w:lang w:val="en-GB"/>
    </w:rPr>
  </w:style>
  <w:style w:type="paragraph" w:styleId="ListBullet">
    <w:name w:val="List Bullet"/>
    <w:basedOn w:val="Normal"/>
    <w:uiPriority w:val="99"/>
    <w:semiHidden/>
    <w:rsid w:val="00F96583"/>
    <w:pPr>
      <w:ind w:left="360" w:hanging="360"/>
      <w:contextualSpacing/>
    </w:pPr>
  </w:style>
  <w:style w:type="character" w:customStyle="1" w:styleId="Heading3Char">
    <w:name w:val="Heading 3 Char"/>
    <w:basedOn w:val="DefaultParagraphFont"/>
    <w:link w:val="Heading3"/>
    <w:rsid w:val="00536E38"/>
    <w:rPr>
      <w:rFonts w:ascii="Arial" w:hAnsi="Arial"/>
      <w:noProof/>
      <w:color w:val="DD0031" w:themeColor="accent1"/>
      <w:lang w:val="en-GB"/>
    </w:rPr>
  </w:style>
  <w:style w:type="character" w:customStyle="1" w:styleId="Heading4Char">
    <w:name w:val="Heading 4 Char"/>
    <w:basedOn w:val="DefaultParagraphFont"/>
    <w:link w:val="Heading4"/>
    <w:rsid w:val="00536E38"/>
    <w:rPr>
      <w:rFonts w:ascii="Arial" w:hAnsi="Arial"/>
      <w:b/>
      <w:noProof/>
      <w:sz w:val="22"/>
      <w:lang w:val="en-GB"/>
    </w:rPr>
  </w:style>
  <w:style w:type="paragraph" w:styleId="Title">
    <w:name w:val="Title"/>
    <w:basedOn w:val="TitleTHF"/>
    <w:next w:val="Normal"/>
    <w:link w:val="TitleChar"/>
    <w:uiPriority w:val="10"/>
    <w:semiHidden/>
    <w:qFormat/>
    <w:rsid w:val="00BD6F1D"/>
    <w:rPr>
      <w:noProof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D6F1D"/>
    <w:rPr>
      <w:noProof/>
      <w:sz w:val="70"/>
    </w:rPr>
  </w:style>
  <w:style w:type="paragraph" w:styleId="Subtitle">
    <w:name w:val="Subtitle"/>
    <w:basedOn w:val="SubtitleTHF"/>
    <w:next w:val="Normal"/>
    <w:link w:val="SubtitleChar"/>
    <w:uiPriority w:val="11"/>
    <w:semiHidden/>
    <w:qFormat/>
    <w:rsid w:val="00BD6F1D"/>
  </w:style>
  <w:style w:type="character" w:customStyle="1" w:styleId="SubtitleChar">
    <w:name w:val="Subtitle Char"/>
    <w:basedOn w:val="DefaultParagraphFont"/>
    <w:link w:val="Subtitle"/>
    <w:uiPriority w:val="11"/>
    <w:semiHidden/>
    <w:rsid w:val="00BD6F1D"/>
    <w:rPr>
      <w:rFonts w:ascii="Arial" w:hAnsi="Arial"/>
      <w:i/>
      <w:noProof/>
      <w:lang w:val="en-GB"/>
    </w:rPr>
  </w:style>
  <w:style w:type="character" w:styleId="Hyperlink">
    <w:name w:val="Hyperlink"/>
    <w:uiPriority w:val="99"/>
    <w:rsid w:val="002F387A"/>
    <w:rPr>
      <w:color w:val="DD0031" w:themeColor="accent1"/>
    </w:rPr>
  </w:style>
  <w:style w:type="paragraph" w:customStyle="1" w:styleId="ListNos3THF">
    <w:name w:val="ListNos3 THF"/>
    <w:basedOn w:val="ListNos2THF"/>
    <w:qFormat/>
    <w:rsid w:val="00604690"/>
    <w:pPr>
      <w:numPr>
        <w:ilvl w:val="2"/>
      </w:numPr>
    </w:pPr>
  </w:style>
  <w:style w:type="numbering" w:customStyle="1" w:styleId="THFListNos">
    <w:name w:val="THF ListNos"/>
    <w:uiPriority w:val="99"/>
    <w:rsid w:val="00604690"/>
    <w:pPr>
      <w:numPr>
        <w:numId w:val="14"/>
      </w:numPr>
    </w:pPr>
  </w:style>
  <w:style w:type="paragraph" w:customStyle="1" w:styleId="ListNos4THF">
    <w:name w:val="ListNos4 THF"/>
    <w:basedOn w:val="ListNos3THF"/>
    <w:qFormat/>
    <w:rsid w:val="00604690"/>
    <w:pPr>
      <w:numPr>
        <w:ilvl w:val="3"/>
      </w:numPr>
    </w:pPr>
  </w:style>
  <w:style w:type="paragraph" w:styleId="TOCHeading">
    <w:name w:val="TOC Heading"/>
    <w:basedOn w:val="Heading1"/>
    <w:next w:val="Normal"/>
    <w:uiPriority w:val="39"/>
    <w:unhideWhenUsed/>
    <w:rsid w:val="00CD08B7"/>
    <w:pPr>
      <w:keepLines/>
      <w:tabs>
        <w:tab w:val="clear" w:pos="6521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/>
      <w:color w:val="A50024" w:themeColor="accent1" w:themeShade="BF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D08B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D08B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D08B7"/>
    <w:pPr>
      <w:spacing w:after="100"/>
      <w:ind w:left="480"/>
    </w:pPr>
  </w:style>
  <w:style w:type="character" w:styleId="UnresolvedMention">
    <w:name w:val="Unresolved Mention"/>
    <w:basedOn w:val="DefaultParagraphFont"/>
    <w:uiPriority w:val="99"/>
    <w:semiHidden/>
    <w:unhideWhenUsed/>
    <w:rsid w:val="002F387A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7878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32AD"/>
    <w:pPr>
      <w:spacing w:line="240" w:lineRule="auto"/>
    </w:pPr>
    <w:rPr>
      <w:rFonts w:eastAsia="MS Mincho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32AD"/>
    <w:rPr>
      <w:rFonts w:eastAsia="MS Mincho"/>
      <w:color w:val="00000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78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7876"/>
    <w:rPr>
      <w:rFonts w:eastAsia="MS Mincho"/>
      <w:b/>
      <w:bCs/>
      <w:color w:val="000000"/>
      <w:sz w:val="20"/>
      <w:szCs w:val="20"/>
      <w:lang w:val="en-GB"/>
    </w:rPr>
  </w:style>
  <w:style w:type="paragraph" w:styleId="Closing">
    <w:name w:val="Closing"/>
    <w:basedOn w:val="Normal"/>
    <w:link w:val="ClosingChar"/>
    <w:uiPriority w:val="99"/>
    <w:semiHidden/>
    <w:unhideWhenUsed/>
    <w:rsid w:val="008532AD"/>
    <w:pPr>
      <w:spacing w:line="240" w:lineRule="auto"/>
      <w:ind w:left="4252"/>
    </w:pPr>
    <w:rPr>
      <w:lang w:val="en-US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8532AD"/>
  </w:style>
  <w:style w:type="paragraph" w:styleId="Caption">
    <w:name w:val="caption"/>
    <w:basedOn w:val="Normal"/>
    <w:next w:val="Normal"/>
    <w:uiPriority w:val="35"/>
    <w:unhideWhenUsed/>
    <w:qFormat/>
    <w:rsid w:val="00F63753"/>
    <w:pPr>
      <w:spacing w:after="200" w:line="240" w:lineRule="auto"/>
    </w:pPr>
    <w:rPr>
      <w:i/>
      <w:iCs/>
      <w:color w:val="524C48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THF charts">
      <a:dk1>
        <a:srgbClr val="000000"/>
      </a:dk1>
      <a:lt1>
        <a:sysClr val="window" lastClr="FFFFFF"/>
      </a:lt1>
      <a:dk2>
        <a:srgbClr val="524C48"/>
      </a:dk2>
      <a:lt2>
        <a:srgbClr val="E2DFD8"/>
      </a:lt2>
      <a:accent1>
        <a:srgbClr val="DD0031"/>
      </a:accent1>
      <a:accent2>
        <a:srgbClr val="53A9CD"/>
      </a:accent2>
      <a:accent3>
        <a:srgbClr val="744284"/>
      </a:accent3>
      <a:accent4>
        <a:srgbClr val="F39214"/>
      </a:accent4>
      <a:accent5>
        <a:srgbClr val="2A7979"/>
      </a:accent5>
      <a:accent6>
        <a:srgbClr val="EE9B90"/>
      </a:accent6>
      <a:hlink>
        <a:srgbClr val="0C402B"/>
      </a:hlink>
      <a:folHlink>
        <a:srgbClr val="DD0031"/>
      </a:folHlink>
    </a:clrScheme>
    <a:fontScheme name="The Health Foundation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a2d829-7698-4afb-aac2-829c1fbf7a9e">
      <Terms xmlns="http://schemas.microsoft.com/office/infopath/2007/PartnerControls"/>
    </lcf76f155ced4ddcb4097134ff3c332f>
    <TaxCatchAll xmlns="7e998c81-c04e-44f8-a507-b4b5e5c616b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D114E08172F42ACAD0007B62873BF" ma:contentTypeVersion="14" ma:contentTypeDescription="Create a new document." ma:contentTypeScope="" ma:versionID="9b5bd91b7ad662c47250b93b3648cc51">
  <xsd:schema xmlns:xsd="http://www.w3.org/2001/XMLSchema" xmlns:xs="http://www.w3.org/2001/XMLSchema" xmlns:p="http://schemas.microsoft.com/office/2006/metadata/properties" xmlns:ns2="bda2d829-7698-4afb-aac2-829c1fbf7a9e" xmlns:ns3="753162df-36ab-44ab-b2e1-3c9acdb5c662" xmlns:ns4="7e998c81-c04e-44f8-a507-b4b5e5c616bf" targetNamespace="http://schemas.microsoft.com/office/2006/metadata/properties" ma:root="true" ma:fieldsID="209e87a624ae6bdfb752151fa0461635" ns2:_="" ns3:_="" ns4:_="">
    <xsd:import namespace="bda2d829-7698-4afb-aac2-829c1fbf7a9e"/>
    <xsd:import namespace="753162df-36ab-44ab-b2e1-3c9acdb5c662"/>
    <xsd:import namespace="7e998c81-c04e-44f8-a507-b4b5e5c616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2d829-7698-4afb-aac2-829c1fbf7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1a14c2c-79dc-4c20-a3ee-d5d78c7fde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162df-36ab-44ab-b2e1-3c9acdb5c66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98c81-c04e-44f8-a507-b4b5e5c616b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A44D4A0-6082-4DDC-AD7B-05F47B1CA72A}" ma:internalName="TaxCatchAll" ma:showField="CatchAllData" ma:web="{957f75c2-28f1-43ba-a3c8-dd78ffc7cc9c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F306CB-8EA2-449D-B2A7-6EF7FE5760C2}">
  <ds:schemaRefs>
    <ds:schemaRef ds:uri="http://schemas.microsoft.com/office/2006/metadata/properties"/>
    <ds:schemaRef ds:uri="http://schemas.microsoft.com/office/infopath/2007/PartnerControls"/>
    <ds:schemaRef ds:uri="bda2d829-7698-4afb-aac2-829c1fbf7a9e"/>
    <ds:schemaRef ds:uri="7e998c81-c04e-44f8-a507-b4b5e5c616bf"/>
  </ds:schemaRefs>
</ds:datastoreItem>
</file>

<file path=customXml/itemProps2.xml><?xml version="1.0" encoding="utf-8"?>
<ds:datastoreItem xmlns:ds="http://schemas.openxmlformats.org/officeDocument/2006/customXml" ds:itemID="{661D0AE9-E6EE-411D-A167-51F60EE418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3DB897-16EC-4E40-8B6C-CAA2452B6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a2d829-7698-4afb-aac2-829c1fbf7a9e"/>
    <ds:schemaRef ds:uri="753162df-36ab-44ab-b2e1-3c9acdb5c662"/>
    <ds:schemaRef ds:uri="7e998c81-c04e-44f8-a507-b4b5e5c616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F9B1CF-0177-4EFF-9C5C-301B21E603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Vestesson</dc:creator>
  <cp:keywords/>
  <dc:description/>
  <cp:lastModifiedBy>Paul Chappell</cp:lastModifiedBy>
  <cp:revision>2</cp:revision>
  <cp:lastPrinted>2013-09-05T11:46:00Z</cp:lastPrinted>
  <dcterms:created xsi:type="dcterms:W3CDTF">2023-03-20T16:03:00Z</dcterms:created>
  <dcterms:modified xsi:type="dcterms:W3CDTF">2023-03-20T16:03:00Z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0x0101003ACD114E08172F42ACAD0007B62873BF</vt:lpwstr>
  </property>
  <property fmtid="{D5CDD505-2E9C-101B-9397-08002B2CF9AE}" pid="3" name="MediaServiceImageTags">
    <vt:lpwstr/>
  </property>
</Properties>
</file>