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45.0" w:type="dxa"/>
        <w:jc w:val="left"/>
        <w:tblInd w:w="-73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300"/>
        <w:gridCol w:w="4545"/>
        <w:tblGridChange w:id="0">
          <w:tblGrid>
            <w:gridCol w:w="6300"/>
            <w:gridCol w:w="454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MRSinMRS checklist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 Hardware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a. Field strength [T]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b. Manufacturer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Siemens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c. Model (software version if available)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Magnetom 7T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d. RF coils: nuclei (transmit/ receive), number of channels, type, body part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1H, 32 ch, head, Nova Medical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Additional hardware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N/A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 Acquisition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a. Pulse sequence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FID-MRSI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b. Volume of Interest (VOI) locations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Parallel to the anterior commissure-posterior commissure line, superior to the lateral ventricles, and covering the centrum semiovale region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c. Nominal VOI size [cm3, mm3 ]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220×220×20 mm3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d. Repetition Time (TR), Echo Time (TE) [ms, s]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TR=200 ms / 1.3 ms acquisition delay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Total number of Excitations or acquisitions per spectrum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average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 time series for kinetic studies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N/A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i. Number of Averaged spectra (NA) per time-point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N/A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ii. Averaging method (e.g. block-wise or moving average)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N/A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iii. Total number of spectra (acquired / in time-series)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N/A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f. Additional sequence parameters (spectral width in Hz, number of spectral points, frequency offsets); If STEAM: Mixing Time TM; If MRSI: 2D or 3D, FOV in all directions, matrix size, acceleration factors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BW 6000 Hz, 1024 spectral points, MRSI: 2D, FOV 220×220 mm2 , 8mm slice thickness, matrix size 100×100, Acc. factor: 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g. Water Suppression Method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h. Shimming Method, reference peak, and thresholds for “acceptance of shim” chosen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Standard shim + manual adjustment, water peak &lt; 40 Hz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i. Triggering or motion correction method (respiratory, peripheral, cardiac triggering, incl. device used and delays)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N/A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 Data analysis methods and outputs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a. Analysis software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LCModel 6.3-1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b. Processing steps deviating from quoted reference or product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N/A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c. Output measure (e.g. absolute concentration, institutional units, ratio)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institutional units, ratio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d. Quantification references and assumptions, fitting model assumptions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Simulated in NMRScope-B, macromolecular background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4. Data Quality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a. Reported variables (SNR, Linewidth (with reference peaks))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SNR was calculated using the pseudoreplica method, and linewidth as FWHM of the NAA fit (see Supplementary Table 2)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b. Data exclusion criteria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Volume below 20mm³ for all lesions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c. Quality measures of postprocessing Model fitting (e.g. CRLB, goodness of fit, SD of residual)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CRLB (see Supplementary Table 2)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d. Sample Spectrum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See Figure 4</w:t>
            </w:r>
          </w:p>
        </w:tc>
      </w:tr>
    </w:tbl>
    <w:p w:rsidR="00000000" w:rsidDel="00000000" w:rsidP="00000000" w:rsidRDefault="00000000" w:rsidRPr="00000000" w14:paraId="00000040">
      <w:pPr>
        <w:widowControl w:val="0"/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Supplementary Table 1:</w:t>
      </w:r>
      <w:r w:rsidDel="00000000" w:rsidR="00000000" w:rsidRPr="00000000">
        <w:rPr>
          <w:sz w:val="16"/>
          <w:szCs w:val="16"/>
          <w:rtl w:val="0"/>
        </w:rPr>
        <w:t xml:space="preserve"> Minimum Reporting Standards for </w:t>
      </w: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in vivo</w:t>
      </w:r>
      <w:r w:rsidDel="00000000" w:rsidR="00000000" w:rsidRPr="00000000">
        <w:rPr>
          <w:sz w:val="16"/>
          <w:szCs w:val="16"/>
          <w:rtl w:val="0"/>
        </w:rPr>
        <w:t xml:space="preserve"> MR Spectroscopy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710"/>
        <w:gridCol w:w="1365"/>
        <w:gridCol w:w="1335"/>
        <w:gridCol w:w="1335"/>
        <w:gridCol w:w="1380"/>
        <w:gridCol w:w="1350"/>
        <w:gridCol w:w="1500"/>
        <w:tblGridChange w:id="0">
          <w:tblGrid>
            <w:gridCol w:w="1710"/>
            <w:gridCol w:w="1365"/>
            <w:gridCol w:w="1335"/>
            <w:gridCol w:w="1335"/>
            <w:gridCol w:w="1380"/>
            <w:gridCol w:w="1350"/>
            <w:gridCol w:w="150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CRLB</w:t>
            </w:r>
            <w:r w:rsidDel="00000000" w:rsidR="00000000" w:rsidRPr="00000000">
              <w:rPr>
                <w:sz w:val="20"/>
                <w:szCs w:val="20"/>
                <w:vertAlign w:val="subscript"/>
                <w:rtl w:val="0"/>
              </w:rPr>
              <w:t xml:space="preserve">mIns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[%]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CRLB</w:t>
            </w:r>
            <w:r w:rsidDel="00000000" w:rsidR="00000000" w:rsidRPr="00000000">
              <w:rPr>
                <w:sz w:val="20"/>
                <w:szCs w:val="20"/>
                <w:vertAlign w:val="subscript"/>
                <w:rtl w:val="0"/>
              </w:rPr>
              <w:t xml:space="preserve">tCho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[%]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CRLB</w:t>
            </w:r>
            <w:r w:rsidDel="00000000" w:rsidR="00000000" w:rsidRPr="00000000">
              <w:rPr>
                <w:sz w:val="20"/>
                <w:szCs w:val="20"/>
                <w:vertAlign w:val="subscript"/>
                <w:rtl w:val="0"/>
              </w:rPr>
              <w:t xml:space="preserve">tCr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[%]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CRLB</w:t>
            </w:r>
            <w:r w:rsidDel="00000000" w:rsidR="00000000" w:rsidRPr="00000000">
              <w:rPr>
                <w:sz w:val="20"/>
                <w:szCs w:val="20"/>
                <w:vertAlign w:val="subscript"/>
                <w:rtl w:val="0"/>
              </w:rPr>
              <w:t xml:space="preserve">tNAA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[%]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SNR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FWHM</w:t>
            </w:r>
            <w:r w:rsidDel="00000000" w:rsidR="00000000" w:rsidRPr="00000000">
              <w:rPr>
                <w:sz w:val="20"/>
                <w:szCs w:val="20"/>
                <w:vertAlign w:val="subscript"/>
                <w:rtl w:val="0"/>
              </w:rPr>
              <w:t xml:space="preserve">NAA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[Hz]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NAWM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25.93 ± 5.99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16.42 ± 3.68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19.18 ± 3.45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15.31 ± 3.08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15.33 ± 3.01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20.44 ± 2.83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non-iron lesions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21.96 ± 7.15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18.42 ± 7.07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20.33 ± 6.48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21.21 ± 7.45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11.49 ± 4.30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21.44 ± 3.73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iron lesions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21.75 ± 7.00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19.34 ± 9.40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19.98 ± 8.15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22.18 ± 7.93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11.17 ± 4.84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19.64 ± 2.73</w:t>
            </w:r>
          </w:p>
        </w:tc>
      </w:tr>
    </w:tbl>
    <w:p w:rsidR="00000000" w:rsidDel="00000000" w:rsidP="00000000" w:rsidRDefault="00000000" w:rsidRPr="00000000" w14:paraId="00000064">
      <w:pPr>
        <w:widowControl w:val="0"/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40" w:lineRule="auto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Supplementary Table 2: </w:t>
      </w:r>
      <w:r w:rsidDel="00000000" w:rsidR="00000000" w:rsidRPr="00000000">
        <w:rPr>
          <w:sz w:val="16"/>
          <w:szCs w:val="16"/>
          <w:rtl w:val="0"/>
        </w:rPr>
        <w:t xml:space="preserve">Spectral and fitting quality metrics for each investigated metabolite and study group.</w:t>
      </w:r>
    </w:p>
    <w:p w:rsidR="00000000" w:rsidDel="00000000" w:rsidP="00000000" w:rsidRDefault="00000000" w:rsidRPr="00000000" w14:paraId="0000006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