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B3C3" w14:textId="77777777" w:rsidR="00037321" w:rsidRDefault="00037321" w:rsidP="00F450A1">
      <w:pPr>
        <w:widowControl w:val="0"/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1A9FCE22" w14:textId="0637C5BE" w:rsidR="00F450A1" w:rsidRDefault="00F450A1" w:rsidP="00F450A1">
      <w:pPr>
        <w:widowControl w:val="0"/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Prevalence and Clinical Implications of Heightened Plastic Chemical Exposure in Pediatric Patients Undergoing Cardiopulmonary Bypass</w:t>
      </w:r>
    </w:p>
    <w:p w14:paraId="7FB3A2DF" w14:textId="77777777" w:rsidR="00F450A1" w:rsidRPr="00261269" w:rsidRDefault="00F450A1" w:rsidP="00F450A1">
      <w:pPr>
        <w:widowControl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297C51E1" w14:textId="77777777" w:rsidR="00F450A1" w:rsidRPr="00261269" w:rsidRDefault="00F450A1" w:rsidP="00F450A1">
      <w:pPr>
        <w:widowControl w:val="0"/>
        <w:spacing w:after="0" w:line="276" w:lineRule="auto"/>
        <w:jc w:val="both"/>
        <w:rPr>
          <w:rFonts w:ascii="Arial" w:hAnsi="Arial" w:cs="Arial"/>
        </w:rPr>
      </w:pPr>
    </w:p>
    <w:p w14:paraId="215DEACC" w14:textId="4064276A" w:rsidR="00F450A1" w:rsidRPr="00B83DC0" w:rsidRDefault="00F450A1" w:rsidP="00F450A1">
      <w:pPr>
        <w:widowControl w:val="0"/>
        <w:spacing w:after="0" w:line="276" w:lineRule="auto"/>
        <w:jc w:val="both"/>
        <w:rPr>
          <w:rFonts w:ascii="Arial" w:hAnsi="Arial" w:cs="Arial"/>
          <w:vertAlign w:val="superscript"/>
        </w:rPr>
      </w:pPr>
      <w:r w:rsidRPr="005F773F">
        <w:rPr>
          <w:rFonts w:ascii="Arial" w:hAnsi="Arial" w:cs="Arial"/>
        </w:rPr>
        <w:t xml:space="preserve">Devon Guerrelli, Manan Desai, Youssef Semaan, </w:t>
      </w:r>
      <w:r w:rsidRPr="00B83DC0">
        <w:rPr>
          <w:rFonts w:ascii="Arial" w:hAnsi="Arial" w:cs="Arial"/>
        </w:rPr>
        <w:t xml:space="preserve">Yasin Essa, David </w:t>
      </w:r>
      <w:proofErr w:type="spellStart"/>
      <w:r w:rsidRPr="00B83DC0">
        <w:rPr>
          <w:rFonts w:ascii="Arial" w:hAnsi="Arial" w:cs="Arial"/>
        </w:rPr>
        <w:t>Zurakowski</w:t>
      </w:r>
      <w:proofErr w:type="spellEnd"/>
      <w:r w:rsidRPr="00B83DC0">
        <w:rPr>
          <w:rFonts w:ascii="Arial" w:hAnsi="Arial" w:cs="Arial"/>
        </w:rPr>
        <w:t>, Francesca I. Cendali, Julie A Reisz, Angelo D'Alessandro, Naomi C Luban, Nikki Posnack</w:t>
      </w:r>
    </w:p>
    <w:p w14:paraId="1E1BA4C0" w14:textId="475767B0" w:rsidR="00F450A1" w:rsidRDefault="00F450A1" w:rsidP="00024061">
      <w:pPr>
        <w:widowControl w:val="0"/>
        <w:spacing w:after="0" w:line="360" w:lineRule="auto"/>
        <w:jc w:val="both"/>
        <w:rPr>
          <w:rFonts w:ascii="Arial" w:hAnsi="Arial" w:cs="Arial"/>
          <w:u w:val="single"/>
        </w:rPr>
      </w:pPr>
    </w:p>
    <w:p w14:paraId="0CB86FA5" w14:textId="2E297C5D" w:rsidR="00F450A1" w:rsidRDefault="00F450A1" w:rsidP="00024061">
      <w:pPr>
        <w:widowControl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450A1">
        <w:rPr>
          <w:rFonts w:ascii="Arial" w:hAnsi="Arial" w:cs="Arial"/>
          <w:b/>
          <w:bCs/>
        </w:rPr>
        <w:t>Supplemental Methods</w:t>
      </w:r>
    </w:p>
    <w:p w14:paraId="7F2421BA" w14:textId="258C26C7" w:rsidR="00D06BCE" w:rsidRPr="00024061" w:rsidRDefault="00D06BCE" w:rsidP="00024061">
      <w:pPr>
        <w:widowControl w:val="0"/>
        <w:spacing w:after="0" w:line="360" w:lineRule="auto"/>
        <w:jc w:val="both"/>
        <w:rPr>
          <w:rFonts w:ascii="Arial" w:hAnsi="Arial" w:cs="Arial"/>
          <w:u w:val="single"/>
        </w:rPr>
      </w:pPr>
      <w:r w:rsidRPr="00024061">
        <w:rPr>
          <w:rFonts w:ascii="Arial" w:hAnsi="Arial" w:cs="Arial"/>
          <w:u w:val="single"/>
        </w:rPr>
        <w:t>Phthalate Chemical Extraction and Quantitation</w:t>
      </w:r>
    </w:p>
    <w:p w14:paraId="3373C6C6" w14:textId="3206505F" w:rsidR="00F02F98" w:rsidRDefault="00D06BCE" w:rsidP="00024061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024061">
        <w:rPr>
          <w:rFonts w:ascii="Arial" w:hAnsi="Arial" w:cs="Arial"/>
        </w:rPr>
        <w:t>Phthalate chemical concentrations were measured in both patient plasma and in samples collected from RBC</w:t>
      </w:r>
      <w:r w:rsidR="003537E7">
        <w:rPr>
          <w:rFonts w:ascii="Arial" w:hAnsi="Arial" w:cs="Arial"/>
        </w:rPr>
        <w:t xml:space="preserve"> (red blood cell) and </w:t>
      </w:r>
      <w:proofErr w:type="spellStart"/>
      <w:r w:rsidRPr="00024061">
        <w:rPr>
          <w:rFonts w:ascii="Arial" w:hAnsi="Arial" w:cs="Arial"/>
        </w:rPr>
        <w:t>wRBC</w:t>
      </w:r>
      <w:proofErr w:type="spellEnd"/>
      <w:r w:rsidR="003537E7">
        <w:rPr>
          <w:rFonts w:ascii="Arial" w:hAnsi="Arial" w:cs="Arial"/>
        </w:rPr>
        <w:t xml:space="preserve"> (washed red blood cell)</w:t>
      </w:r>
      <w:r w:rsidRPr="00024061">
        <w:rPr>
          <w:rFonts w:ascii="Arial" w:hAnsi="Arial" w:cs="Arial"/>
        </w:rPr>
        <w:t xml:space="preserve"> units. Briefly, aliquoted samples were shipped on dry ice to the University of Colorado School of Medicine Metabolomics Core. Samples were thawed on ice and phthalates were extracted from a 10 </w:t>
      </w:r>
      <w:proofErr w:type="spellStart"/>
      <w:r w:rsidRPr="00024061">
        <w:rPr>
          <w:rFonts w:ascii="Arial" w:hAnsi="Arial" w:cs="Arial"/>
        </w:rPr>
        <w:t>μL</w:t>
      </w:r>
      <w:proofErr w:type="spellEnd"/>
      <w:r w:rsidRPr="00024061">
        <w:rPr>
          <w:rFonts w:ascii="Arial" w:hAnsi="Arial" w:cs="Arial"/>
        </w:rPr>
        <w:t xml:space="preserve"> aliquot via vigorous </w:t>
      </w:r>
      <w:proofErr w:type="spellStart"/>
      <w:r w:rsidRPr="00024061">
        <w:rPr>
          <w:rFonts w:ascii="Arial" w:hAnsi="Arial" w:cs="Arial"/>
        </w:rPr>
        <w:t>vortexing</w:t>
      </w:r>
      <w:proofErr w:type="spellEnd"/>
      <w:r w:rsidRPr="00024061">
        <w:rPr>
          <w:rFonts w:ascii="Arial" w:hAnsi="Arial" w:cs="Arial"/>
        </w:rPr>
        <w:t xml:space="preserve"> for 30 min at 4°C in the presence of 5:3:2 </w:t>
      </w:r>
      <w:proofErr w:type="spellStart"/>
      <w:r w:rsidRPr="00024061">
        <w:rPr>
          <w:rFonts w:ascii="Arial" w:hAnsi="Arial" w:cs="Arial"/>
        </w:rPr>
        <w:t>methanol:acetonitrile:water</w:t>
      </w:r>
      <w:proofErr w:type="spellEnd"/>
      <w:r w:rsidRPr="00024061">
        <w:rPr>
          <w:rFonts w:ascii="Arial" w:hAnsi="Arial" w:cs="Arial"/>
        </w:rPr>
        <w:t xml:space="preserve"> (240 </w:t>
      </w:r>
      <w:proofErr w:type="spellStart"/>
      <w:r w:rsidRPr="00024061">
        <w:rPr>
          <w:rFonts w:ascii="Arial" w:hAnsi="Arial" w:cs="Arial"/>
        </w:rPr>
        <w:t>μL</w:t>
      </w:r>
      <w:proofErr w:type="spellEnd"/>
      <w:r w:rsidRPr="00024061">
        <w:rPr>
          <w:rFonts w:ascii="Arial" w:hAnsi="Arial" w:cs="Arial"/>
        </w:rPr>
        <w:t xml:space="preserve">) containing 1 </w:t>
      </w:r>
      <w:proofErr w:type="spellStart"/>
      <w:r w:rsidRPr="00024061">
        <w:rPr>
          <w:rFonts w:ascii="Arial" w:hAnsi="Arial" w:cs="Arial"/>
        </w:rPr>
        <w:t>μM</w:t>
      </w:r>
      <w:proofErr w:type="spellEnd"/>
      <w:r w:rsidRPr="00024061">
        <w:rPr>
          <w:rFonts w:ascii="Arial" w:hAnsi="Arial" w:cs="Arial"/>
        </w:rPr>
        <w:t xml:space="preserve"> of each of the following stable isotope labeled phthalate standards (Cambridge Isotope Laboratories): DEHP ring-1,2-</w:t>
      </w:r>
      <w:r w:rsidRPr="00024061">
        <w:rPr>
          <w:rFonts w:ascii="Arial" w:hAnsi="Arial" w:cs="Arial"/>
          <w:vertAlign w:val="superscript"/>
        </w:rPr>
        <w:t>13</w:t>
      </w:r>
      <w:r w:rsidRPr="00024061">
        <w:rPr>
          <w:rFonts w:ascii="Arial" w:hAnsi="Arial" w:cs="Arial"/>
        </w:rPr>
        <w:t>C</w:t>
      </w:r>
      <w:r w:rsidRPr="00024061">
        <w:rPr>
          <w:rFonts w:ascii="Arial" w:hAnsi="Arial" w:cs="Arial"/>
          <w:vertAlign w:val="subscript"/>
        </w:rPr>
        <w:t>2</w:t>
      </w:r>
      <w:r w:rsidRPr="00024061">
        <w:rPr>
          <w:rFonts w:ascii="Arial" w:hAnsi="Arial" w:cs="Arial"/>
        </w:rPr>
        <w:t>, dicarboxyl-</w:t>
      </w:r>
      <w:r w:rsidRPr="00024061">
        <w:rPr>
          <w:rFonts w:ascii="Arial" w:hAnsi="Arial" w:cs="Arial"/>
          <w:vertAlign w:val="superscript"/>
        </w:rPr>
        <w:t>13</w:t>
      </w:r>
      <w:r w:rsidRPr="00024061">
        <w:rPr>
          <w:rFonts w:ascii="Arial" w:hAnsi="Arial" w:cs="Arial"/>
        </w:rPr>
        <w:t>C</w:t>
      </w:r>
      <w:r w:rsidRPr="00024061">
        <w:rPr>
          <w:rFonts w:ascii="Arial" w:hAnsi="Arial" w:cs="Arial"/>
          <w:vertAlign w:val="subscript"/>
        </w:rPr>
        <w:t>2</w:t>
      </w:r>
      <w:r w:rsidRPr="00024061">
        <w:rPr>
          <w:rFonts w:ascii="Arial" w:hAnsi="Arial" w:cs="Arial"/>
        </w:rPr>
        <w:t>; MEHP ring-1,2-</w:t>
      </w:r>
      <w:r w:rsidRPr="00024061">
        <w:rPr>
          <w:rFonts w:ascii="Arial" w:hAnsi="Arial" w:cs="Arial"/>
          <w:vertAlign w:val="superscript"/>
        </w:rPr>
        <w:t>13</w:t>
      </w:r>
      <w:r w:rsidRPr="00024061">
        <w:rPr>
          <w:rFonts w:ascii="Arial" w:hAnsi="Arial" w:cs="Arial"/>
        </w:rPr>
        <w:t>C</w:t>
      </w:r>
      <w:r w:rsidRPr="00024061">
        <w:rPr>
          <w:rFonts w:ascii="Arial" w:hAnsi="Arial" w:cs="Arial"/>
          <w:vertAlign w:val="subscript"/>
        </w:rPr>
        <w:t>2</w:t>
      </w:r>
      <w:r w:rsidRPr="00024061">
        <w:rPr>
          <w:rFonts w:ascii="Arial" w:hAnsi="Arial" w:cs="Arial"/>
        </w:rPr>
        <w:t>, dicarboxyl-</w:t>
      </w:r>
      <w:r w:rsidRPr="00024061">
        <w:rPr>
          <w:rFonts w:ascii="Arial" w:hAnsi="Arial" w:cs="Arial"/>
          <w:vertAlign w:val="superscript"/>
        </w:rPr>
        <w:t>13</w:t>
      </w:r>
      <w:r w:rsidRPr="00024061">
        <w:rPr>
          <w:rFonts w:ascii="Arial" w:hAnsi="Arial" w:cs="Arial"/>
        </w:rPr>
        <w:t>C</w:t>
      </w:r>
      <w:r w:rsidRPr="00024061">
        <w:rPr>
          <w:rFonts w:ascii="Arial" w:hAnsi="Arial" w:cs="Arial"/>
          <w:vertAlign w:val="subscript"/>
        </w:rPr>
        <w:t>2</w:t>
      </w:r>
      <w:r w:rsidRPr="00024061">
        <w:rPr>
          <w:rFonts w:ascii="Arial" w:hAnsi="Arial" w:cs="Arial"/>
        </w:rPr>
        <w:t xml:space="preserve">; MECPP </w:t>
      </w:r>
      <w:r w:rsidRPr="00024061">
        <w:rPr>
          <w:rFonts w:ascii="Arial" w:hAnsi="Arial" w:cs="Arial"/>
          <w:vertAlign w:val="superscript"/>
        </w:rPr>
        <w:t>13</w:t>
      </w:r>
      <w:r w:rsidRPr="00024061">
        <w:rPr>
          <w:rFonts w:ascii="Arial" w:hAnsi="Arial" w:cs="Arial"/>
        </w:rPr>
        <w:t>C</w:t>
      </w:r>
      <w:r w:rsidRPr="00024061">
        <w:rPr>
          <w:rFonts w:ascii="Arial" w:hAnsi="Arial" w:cs="Arial"/>
          <w:vertAlign w:val="subscript"/>
        </w:rPr>
        <w:t>4</w:t>
      </w:r>
      <w:r w:rsidRPr="00024061">
        <w:rPr>
          <w:rFonts w:ascii="Arial" w:hAnsi="Arial" w:cs="Arial"/>
        </w:rPr>
        <w:t xml:space="preserve">; MEHHP </w:t>
      </w:r>
      <w:r w:rsidRPr="00024061">
        <w:rPr>
          <w:rFonts w:ascii="Arial" w:hAnsi="Arial" w:cs="Arial"/>
          <w:vertAlign w:val="superscript"/>
        </w:rPr>
        <w:t>13</w:t>
      </w:r>
      <w:r w:rsidRPr="00024061">
        <w:rPr>
          <w:rFonts w:ascii="Arial" w:hAnsi="Arial" w:cs="Arial"/>
        </w:rPr>
        <w:t>C</w:t>
      </w:r>
      <w:r w:rsidRPr="00024061">
        <w:rPr>
          <w:rFonts w:ascii="Arial" w:hAnsi="Arial" w:cs="Arial"/>
          <w:vertAlign w:val="subscript"/>
        </w:rPr>
        <w:t>4</w:t>
      </w:r>
      <w:r w:rsidR="003537E7">
        <w:rPr>
          <w:rFonts w:ascii="Arial" w:hAnsi="Arial" w:cs="Arial"/>
        </w:rPr>
        <w:t xml:space="preserve"> (DEHP: di(2-ethyhexyl)phthalate, MEHP: mono(2-ethylhexyl)phthalate, MECPP: mono(2-ethyl-5-carboxypentyl)phthalate, MEHHP:</w:t>
      </w:r>
      <w:r w:rsidR="003537E7" w:rsidRPr="003537E7">
        <w:rPr>
          <w:rFonts w:ascii="Arial" w:hAnsi="Arial" w:cs="Arial"/>
        </w:rPr>
        <w:t xml:space="preserve"> </w:t>
      </w:r>
      <w:r w:rsidR="003537E7">
        <w:rPr>
          <w:rFonts w:ascii="Arial" w:hAnsi="Arial" w:cs="Arial"/>
        </w:rPr>
        <w:t>mono(2-ethyl-5-hydroxyhexyl)phthalate)</w:t>
      </w:r>
      <w:r w:rsidRPr="00024061">
        <w:rPr>
          <w:rFonts w:ascii="Arial" w:hAnsi="Arial" w:cs="Arial"/>
        </w:rPr>
        <w:t xml:space="preserve">. Extraction supernatants were clarified via centrifugation at 18,000 rpm for 10 min at 4°C and analyzed immediately by ultra high-pressure liquid chromatography coupled to mass spectrometry (UHPLC-MS). Sample injection volume was 20 </w:t>
      </w:r>
      <w:proofErr w:type="spellStart"/>
      <w:r w:rsidRPr="00024061">
        <w:rPr>
          <w:rFonts w:ascii="Arial" w:hAnsi="Arial" w:cs="Arial"/>
        </w:rPr>
        <w:t>μL</w:t>
      </w:r>
      <w:proofErr w:type="spellEnd"/>
      <w:r w:rsidRPr="00024061">
        <w:rPr>
          <w:rFonts w:ascii="Arial" w:hAnsi="Arial" w:cs="Arial"/>
        </w:rPr>
        <w:t xml:space="preserve">. Samples were analyzed on a Thermo Vanquish UHPLC coupled to a </w:t>
      </w:r>
      <w:proofErr w:type="spellStart"/>
      <w:r w:rsidRPr="00024061">
        <w:rPr>
          <w:rFonts w:ascii="Arial" w:hAnsi="Arial" w:cs="Arial"/>
        </w:rPr>
        <w:t>Thermo</w:t>
      </w:r>
      <w:proofErr w:type="spellEnd"/>
      <w:r w:rsidRPr="00024061">
        <w:rPr>
          <w:rFonts w:ascii="Arial" w:hAnsi="Arial" w:cs="Arial"/>
        </w:rPr>
        <w:t xml:space="preserve"> Q </w:t>
      </w:r>
      <w:proofErr w:type="spellStart"/>
      <w:r w:rsidRPr="00024061">
        <w:rPr>
          <w:rFonts w:ascii="Arial" w:hAnsi="Arial" w:cs="Arial"/>
        </w:rPr>
        <w:t>Exactive</w:t>
      </w:r>
      <w:proofErr w:type="spellEnd"/>
      <w:r w:rsidRPr="00024061">
        <w:rPr>
          <w:rFonts w:ascii="Arial" w:hAnsi="Arial" w:cs="Arial"/>
        </w:rPr>
        <w:t xml:space="preserve"> high resolution mass spectrometer. The LC was equipped with a Phenomenex </w:t>
      </w:r>
      <w:proofErr w:type="spellStart"/>
      <w:r w:rsidRPr="00024061">
        <w:rPr>
          <w:rFonts w:ascii="Arial" w:hAnsi="Arial" w:cs="Arial"/>
        </w:rPr>
        <w:t>Kinetex</w:t>
      </w:r>
      <w:proofErr w:type="spellEnd"/>
      <w:r w:rsidRPr="00024061">
        <w:rPr>
          <w:rFonts w:ascii="Arial" w:hAnsi="Arial" w:cs="Arial"/>
        </w:rPr>
        <w:t xml:space="preserve"> C18 column (2.1 x 150 mm, 1.7 </w:t>
      </w:r>
      <w:proofErr w:type="spellStart"/>
      <w:r w:rsidRPr="00024061">
        <w:rPr>
          <w:rFonts w:ascii="Arial" w:hAnsi="Arial" w:cs="Arial"/>
        </w:rPr>
        <w:t>μm</w:t>
      </w:r>
      <w:proofErr w:type="spellEnd"/>
      <w:r w:rsidRPr="00024061">
        <w:rPr>
          <w:rFonts w:ascii="Arial" w:hAnsi="Arial" w:cs="Arial"/>
        </w:rPr>
        <w:t xml:space="preserve">) held at 45 °C (gradient information below). The mass spectrometer scanned in MS1 mode in the range of 65 to 975 m/z at a resolution of 70,000. Instrument-generated .raw files were converted </w:t>
      </w:r>
      <w:proofErr w:type="gramStart"/>
      <w:r w:rsidRPr="00024061">
        <w:rPr>
          <w:rFonts w:ascii="Arial" w:hAnsi="Arial" w:cs="Arial"/>
        </w:rPr>
        <w:t>to .</w:t>
      </w:r>
      <w:proofErr w:type="spellStart"/>
      <w:r w:rsidRPr="00024061">
        <w:rPr>
          <w:rFonts w:ascii="Arial" w:hAnsi="Arial" w:cs="Arial"/>
        </w:rPr>
        <w:t>mzXML</w:t>
      </w:r>
      <w:proofErr w:type="spellEnd"/>
      <w:proofErr w:type="gramEnd"/>
      <w:r w:rsidRPr="00024061">
        <w:rPr>
          <w:rFonts w:ascii="Arial" w:hAnsi="Arial" w:cs="Arial"/>
        </w:rPr>
        <w:t xml:space="preserve"> format via </w:t>
      </w:r>
      <w:proofErr w:type="spellStart"/>
      <w:r w:rsidRPr="00024061">
        <w:rPr>
          <w:rFonts w:ascii="Arial" w:hAnsi="Arial" w:cs="Arial"/>
        </w:rPr>
        <w:t>RawConverter</w:t>
      </w:r>
      <w:proofErr w:type="spellEnd"/>
      <w:r w:rsidRPr="00024061">
        <w:rPr>
          <w:rFonts w:ascii="Arial" w:hAnsi="Arial" w:cs="Arial"/>
        </w:rPr>
        <w:t xml:space="preserve"> and peaks for phthalates and accompanying standards were extracted and integrated using Maven (Princeton University). Absolute concentrations were obtained using the following equation where dilution factor (DF) is 25: </w:t>
      </w:r>
    </w:p>
    <w:p w14:paraId="282ECE63" w14:textId="37462381" w:rsidR="00D06BCE" w:rsidRPr="00024061" w:rsidRDefault="00D06BCE" w:rsidP="002D4EEA">
      <w:pPr>
        <w:widowControl w:val="0"/>
        <w:spacing w:after="0" w:line="360" w:lineRule="auto"/>
        <w:jc w:val="center"/>
        <w:rPr>
          <w:rFonts w:ascii="Arial" w:hAnsi="Arial" w:cs="Arial"/>
        </w:rPr>
      </w:pPr>
      <w:r w:rsidRPr="00024061">
        <w:rPr>
          <w:rFonts w:ascii="Arial" w:hAnsi="Arial" w:cs="Arial"/>
        </w:rPr>
        <w:t>[Phthalate] = (Peak Area Phthalate) / (Peak Area Standard) * [Standard] * DF</w:t>
      </w:r>
    </w:p>
    <w:p w14:paraId="26B08282" w14:textId="77777777" w:rsidR="00D06BCE" w:rsidRPr="00024061" w:rsidRDefault="00D06BCE" w:rsidP="00024061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5C8B8732" w14:textId="77777777" w:rsidR="00D06BCE" w:rsidRPr="00024061" w:rsidRDefault="00D06BCE" w:rsidP="00024061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024061">
        <w:rPr>
          <w:rFonts w:ascii="Arial" w:hAnsi="Arial" w:cs="Arial"/>
        </w:rPr>
        <w:t xml:space="preserve">DEHP was quantified using a 5 min C18 gradient at a flow rate of 450 </w:t>
      </w:r>
      <w:proofErr w:type="spellStart"/>
      <w:r w:rsidRPr="00024061">
        <w:rPr>
          <w:rFonts w:ascii="Arial" w:hAnsi="Arial" w:cs="Arial"/>
        </w:rPr>
        <w:t>μL</w:t>
      </w:r>
      <w:proofErr w:type="spellEnd"/>
      <w:r w:rsidRPr="00024061">
        <w:rPr>
          <w:rFonts w:ascii="Arial" w:hAnsi="Arial" w:cs="Arial"/>
        </w:rPr>
        <w:t xml:space="preserve"> per min as previously described</w:t>
      </w:r>
      <w:sdt>
        <w:sdtPr>
          <w:rPr>
            <w:rFonts w:ascii="Arial" w:hAnsi="Arial" w:cs="Arial"/>
            <w:color w:val="000000"/>
            <w:vertAlign w:val="superscript"/>
          </w:rPr>
          <w:tag w:val="MENDELEY_CITATION_v3_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"/>
          <w:id w:val="78728976"/>
          <w:placeholder>
            <w:docPart w:val="D19394377E5243C8967DEC0648F1CA02"/>
          </w:placeholder>
        </w:sdtPr>
        <w:sdtContent>
          <w:r w:rsidRPr="00024061">
            <w:rPr>
              <w:rFonts w:ascii="Arial" w:hAnsi="Arial" w:cs="Arial"/>
              <w:color w:val="000000"/>
              <w:vertAlign w:val="superscript"/>
            </w:rPr>
            <w:t>40</w:t>
          </w:r>
        </w:sdtContent>
      </w:sdt>
      <w:r w:rsidRPr="00024061">
        <w:rPr>
          <w:rFonts w:ascii="Arial" w:hAnsi="Arial" w:cs="Arial"/>
        </w:rPr>
        <w:t xml:space="preserve"> with a single change – eluant was introduced to the MS using atmospheric pressure chemical ionization (APCI) in positive mode. APCI was performed using 10 sheath gas, 20 aux gas (both N</w:t>
      </w:r>
      <w:r w:rsidRPr="00024061">
        <w:rPr>
          <w:rFonts w:ascii="Arial" w:hAnsi="Arial" w:cs="Arial"/>
          <w:vertAlign w:val="subscript"/>
        </w:rPr>
        <w:t>2</w:t>
      </w:r>
      <w:r w:rsidRPr="00024061">
        <w:rPr>
          <w:rFonts w:ascii="Arial" w:hAnsi="Arial" w:cs="Arial"/>
        </w:rPr>
        <w:t xml:space="preserve">), and 350 °C vaporizer temperature. The calculations of DEHP concentrations </w:t>
      </w:r>
      <w:r w:rsidRPr="00024061">
        <w:rPr>
          <w:rFonts w:ascii="Arial" w:hAnsi="Arial" w:cs="Arial"/>
        </w:rPr>
        <w:lastRenderedPageBreak/>
        <w:t xml:space="preserve">utilized the average peak area of the stable isotope labeled DEHP standard across all samples within the biological group.   </w:t>
      </w:r>
    </w:p>
    <w:p w14:paraId="6FCE7E6D" w14:textId="77777777" w:rsidR="00D06BCE" w:rsidRPr="00024061" w:rsidRDefault="00D06BCE" w:rsidP="00024061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5FD4FFB3" w14:textId="77777777" w:rsidR="00D06BCE" w:rsidRPr="00024061" w:rsidRDefault="00D06BCE" w:rsidP="00024061">
      <w:pPr>
        <w:widowControl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024061">
        <w:rPr>
          <w:rFonts w:ascii="Arial" w:hAnsi="Arial" w:cs="Arial"/>
        </w:rPr>
        <w:t>Monoesterified</w:t>
      </w:r>
      <w:proofErr w:type="spellEnd"/>
      <w:r w:rsidRPr="00024061">
        <w:rPr>
          <w:rFonts w:ascii="Arial" w:hAnsi="Arial" w:cs="Arial"/>
        </w:rPr>
        <w:t xml:space="preserve"> phthalates (i.e., MEHP, MECPP, MEHHP) were quantified using a 5 min C18 gradient with phase A of 5 mM ammonium acetate, 0.1% (v/v) ammonium hydroxide and phase B of 1:1 </w:t>
      </w:r>
      <w:proofErr w:type="spellStart"/>
      <w:r w:rsidRPr="00024061">
        <w:rPr>
          <w:rFonts w:ascii="Arial" w:hAnsi="Arial" w:cs="Arial"/>
        </w:rPr>
        <w:t>methanol:acetonitrile</w:t>
      </w:r>
      <w:proofErr w:type="spellEnd"/>
      <w:r w:rsidRPr="00024061">
        <w:rPr>
          <w:rFonts w:ascii="Arial" w:hAnsi="Arial" w:cs="Arial"/>
        </w:rPr>
        <w:t xml:space="preserve"> with 5 mM ammonium acetate, 0.1% (v/v) ammonium hydroxide. Flow conditions were as follows: 0-1 min, 250 </w:t>
      </w:r>
      <w:proofErr w:type="spellStart"/>
      <w:r w:rsidRPr="00024061">
        <w:rPr>
          <w:rFonts w:ascii="Arial" w:hAnsi="Arial" w:cs="Arial"/>
        </w:rPr>
        <w:t>μL</w:t>
      </w:r>
      <w:proofErr w:type="spellEnd"/>
      <w:r w:rsidRPr="00024061">
        <w:rPr>
          <w:rFonts w:ascii="Arial" w:hAnsi="Arial" w:cs="Arial"/>
        </w:rPr>
        <w:t xml:space="preserve">/min at 5% B; 1-2 min, 250 </w:t>
      </w:r>
      <w:proofErr w:type="spellStart"/>
      <w:r w:rsidRPr="00024061">
        <w:rPr>
          <w:rFonts w:ascii="Arial" w:hAnsi="Arial" w:cs="Arial"/>
        </w:rPr>
        <w:t>μL</w:t>
      </w:r>
      <w:proofErr w:type="spellEnd"/>
      <w:r w:rsidRPr="00024061">
        <w:rPr>
          <w:rFonts w:ascii="Arial" w:hAnsi="Arial" w:cs="Arial"/>
        </w:rPr>
        <w:t xml:space="preserve">/min at 5-95% linear gradient of B; 2-2.5 min hold at 95% B at 450 </w:t>
      </w:r>
      <w:proofErr w:type="spellStart"/>
      <w:r w:rsidRPr="00024061">
        <w:rPr>
          <w:rFonts w:ascii="Arial" w:hAnsi="Arial" w:cs="Arial"/>
        </w:rPr>
        <w:t>μL</w:t>
      </w:r>
      <w:proofErr w:type="spellEnd"/>
      <w:r w:rsidRPr="00024061">
        <w:rPr>
          <w:rFonts w:ascii="Arial" w:hAnsi="Arial" w:cs="Arial"/>
        </w:rPr>
        <w:t xml:space="preserve">/min; 2.5-2.6 min decrease to 5% B at 450 </w:t>
      </w:r>
      <w:proofErr w:type="spellStart"/>
      <w:r w:rsidRPr="00024061">
        <w:rPr>
          <w:rFonts w:ascii="Arial" w:hAnsi="Arial" w:cs="Arial"/>
        </w:rPr>
        <w:t>μL</w:t>
      </w:r>
      <w:proofErr w:type="spellEnd"/>
      <w:r w:rsidRPr="00024061">
        <w:rPr>
          <w:rFonts w:ascii="Arial" w:hAnsi="Arial" w:cs="Arial"/>
        </w:rPr>
        <w:t>/min; 2.6-</w:t>
      </w:r>
      <w:r w:rsidRPr="00E677C7">
        <w:rPr>
          <w:rFonts w:ascii="Arial" w:hAnsi="Arial" w:cs="Arial"/>
        </w:rPr>
        <w:t xml:space="preserve">4.9 min hold at 5% B at 450 </w:t>
      </w:r>
      <w:proofErr w:type="spellStart"/>
      <w:r w:rsidRPr="00E677C7">
        <w:rPr>
          <w:rFonts w:ascii="Arial" w:hAnsi="Arial" w:cs="Arial"/>
        </w:rPr>
        <w:t>μL</w:t>
      </w:r>
      <w:proofErr w:type="spellEnd"/>
      <w:r w:rsidRPr="00E677C7">
        <w:rPr>
          <w:rFonts w:ascii="Arial" w:hAnsi="Arial" w:cs="Arial"/>
        </w:rPr>
        <w:t xml:space="preserve">/min; 4.9-5.0 min return to 250 </w:t>
      </w:r>
      <w:proofErr w:type="spellStart"/>
      <w:r w:rsidRPr="00E677C7">
        <w:rPr>
          <w:rFonts w:ascii="Arial" w:hAnsi="Arial" w:cs="Arial"/>
        </w:rPr>
        <w:t>μL</w:t>
      </w:r>
      <w:proofErr w:type="spellEnd"/>
      <w:r w:rsidRPr="00E677C7">
        <w:rPr>
          <w:rFonts w:ascii="Arial" w:hAnsi="Arial" w:cs="Arial"/>
        </w:rPr>
        <w:t xml:space="preserve">/min at 5% B. With flow at 250 </w:t>
      </w:r>
      <w:proofErr w:type="spellStart"/>
      <w:r w:rsidRPr="00E677C7">
        <w:rPr>
          <w:rFonts w:ascii="Arial" w:hAnsi="Arial" w:cs="Arial"/>
        </w:rPr>
        <w:t>μL</w:t>
      </w:r>
      <w:proofErr w:type="spellEnd"/>
      <w:r w:rsidRPr="00E677C7">
        <w:rPr>
          <w:rFonts w:ascii="Arial" w:hAnsi="Arial" w:cs="Arial"/>
        </w:rPr>
        <w:t xml:space="preserve">/min, ESI ionization was achieved with 25 sheath gas, 5 aux gas; with flow at 450 </w:t>
      </w:r>
      <w:proofErr w:type="spellStart"/>
      <w:r w:rsidRPr="00E677C7">
        <w:rPr>
          <w:rFonts w:ascii="Arial" w:hAnsi="Arial" w:cs="Arial"/>
        </w:rPr>
        <w:t>μL</w:t>
      </w:r>
      <w:proofErr w:type="spellEnd"/>
      <w:r w:rsidRPr="00E677C7">
        <w:rPr>
          <w:rFonts w:ascii="Arial" w:hAnsi="Arial" w:cs="Arial"/>
        </w:rPr>
        <w:t>/min, ESI ionization was achieved with 45 sheath gas, 25 aux gas (both N</w:t>
      </w:r>
      <w:r w:rsidRPr="00E677C7">
        <w:rPr>
          <w:rFonts w:ascii="Arial" w:hAnsi="Arial" w:cs="Arial"/>
          <w:vertAlign w:val="subscript"/>
        </w:rPr>
        <w:t>2</w:t>
      </w:r>
      <w:r w:rsidRPr="00E677C7">
        <w:rPr>
          <w:rFonts w:ascii="Arial" w:hAnsi="Arial" w:cs="Arial"/>
        </w:rPr>
        <w:t>). The polarity was negative for the duration of the run.</w:t>
      </w:r>
    </w:p>
    <w:p w14:paraId="0E6DADC5" w14:textId="77777777" w:rsidR="008C1BC1" w:rsidRDefault="008C1BC1" w:rsidP="00024061">
      <w:pPr>
        <w:spacing w:line="360" w:lineRule="auto"/>
        <w:rPr>
          <w:rFonts w:ascii="Arial" w:hAnsi="Arial" w:cs="Arial"/>
        </w:rPr>
      </w:pPr>
    </w:p>
    <w:p w14:paraId="160D459E" w14:textId="3088E2B3" w:rsidR="00024061" w:rsidRPr="00024061" w:rsidRDefault="00024061" w:rsidP="00024061">
      <w:pPr>
        <w:spacing w:line="360" w:lineRule="auto"/>
        <w:contextualSpacing/>
        <w:rPr>
          <w:rFonts w:ascii="Arial" w:hAnsi="Arial" w:cs="Arial"/>
          <w:u w:val="single"/>
        </w:rPr>
      </w:pPr>
      <w:r w:rsidRPr="00024061">
        <w:rPr>
          <w:rFonts w:ascii="Arial" w:hAnsi="Arial" w:cs="Arial"/>
          <w:u w:val="single"/>
        </w:rPr>
        <w:t>Clinical Data Extraction</w:t>
      </w:r>
    </w:p>
    <w:p w14:paraId="1162466B" w14:textId="1990F05D" w:rsidR="0067088A" w:rsidRDefault="00A92497" w:rsidP="00024061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Clinical outcomes for the first 48 hours following cardiac surgery were investigated. </w:t>
      </w:r>
      <w:r w:rsidR="00024061" w:rsidRPr="00024061">
        <w:rPr>
          <w:rFonts w:ascii="Arial" w:hAnsi="Arial" w:cs="Arial"/>
        </w:rPr>
        <w:t xml:space="preserve">For blood gas measurements, standard clinical ranges noted in </w:t>
      </w:r>
      <w:r w:rsidR="00275E0D">
        <w:rPr>
          <w:rFonts w:ascii="Arial" w:hAnsi="Arial" w:cs="Arial"/>
        </w:rPr>
        <w:t>patients’ electronic health record</w:t>
      </w:r>
      <w:r w:rsidR="00024061" w:rsidRPr="00024061">
        <w:rPr>
          <w:rFonts w:ascii="Arial" w:hAnsi="Arial" w:cs="Arial"/>
        </w:rPr>
        <w:t xml:space="preserve"> were used to determine low, normal, and high values. Post-operative complications included arrhythmias such as junctional ectopic tachycardia and other supraventricular tachyarrhythmias as well as ventricular tachycardia, ventricular fibrillation, premature ventricular contractions, heart block, and bradycardia. We also </w:t>
      </w:r>
      <w:r w:rsidR="00275E0D">
        <w:rPr>
          <w:rFonts w:ascii="Arial" w:hAnsi="Arial" w:cs="Arial"/>
        </w:rPr>
        <w:t>documented episodes of</w:t>
      </w:r>
      <w:r w:rsidR="00024061" w:rsidRPr="00024061">
        <w:rPr>
          <w:rFonts w:ascii="Arial" w:hAnsi="Arial" w:cs="Arial"/>
        </w:rPr>
        <w:t xml:space="preserve"> hypotension, hypertension, blood pressure liability, acute kidney injury, renal insufficiency, low cardiac output syndrome, cardiogenic shock, cardiac arrest, lactic acidosis, respiratory acidosis, and capillary leak. Since many patients had hyperglycemia post-operatively, only patients with hyperglycemia requiring intervention were included. Interventions including extracorporeal membrane oxygenation and transfusion were also </w:t>
      </w:r>
      <w:r w:rsidR="00275E0D">
        <w:rPr>
          <w:rFonts w:ascii="Arial" w:hAnsi="Arial" w:cs="Arial"/>
        </w:rPr>
        <w:t>recorded</w:t>
      </w:r>
      <w:r w:rsidR="00024061" w:rsidRPr="00024061">
        <w:rPr>
          <w:rFonts w:ascii="Arial" w:hAnsi="Arial" w:cs="Arial"/>
        </w:rPr>
        <w:t>. Patients who did not experience the complications and/or interventions noted above were included in the no complications group.</w:t>
      </w:r>
    </w:p>
    <w:p w14:paraId="0E8A5EA1" w14:textId="6547236B" w:rsidR="00024061" w:rsidRDefault="00024061" w:rsidP="008C1BC1">
      <w:pPr>
        <w:rPr>
          <w:rFonts w:ascii="Arial" w:hAnsi="Arial" w:cs="Arial"/>
        </w:rPr>
      </w:pPr>
    </w:p>
    <w:p w14:paraId="7526A851" w14:textId="67143392" w:rsidR="00F450A1" w:rsidRDefault="00F450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D0B4388" w14:textId="61FE2482" w:rsidR="00F450A1" w:rsidRDefault="00E677C7" w:rsidP="008C1BC1">
      <w:pPr>
        <w:rPr>
          <w:rFonts w:ascii="Arial" w:hAnsi="Arial" w:cs="Arial"/>
          <w:b/>
          <w:bCs/>
        </w:rPr>
      </w:pPr>
      <w:r w:rsidRPr="00E677C7">
        <w:rPr>
          <w:rFonts w:ascii="Arial" w:hAnsi="Arial" w:cs="Arial"/>
          <w:b/>
          <w:bCs/>
        </w:rPr>
        <w:lastRenderedPageBreak/>
        <w:drawing>
          <wp:anchor distT="0" distB="0" distL="114300" distR="114300" simplePos="0" relativeHeight="251658240" behindDoc="0" locked="0" layoutInCell="1" allowOverlap="1" wp14:anchorId="3B1C0A1B" wp14:editId="7C79257B">
            <wp:simplePos x="0" y="0"/>
            <wp:positionH relativeFrom="column">
              <wp:posOffset>76200</wp:posOffset>
            </wp:positionH>
            <wp:positionV relativeFrom="paragraph">
              <wp:posOffset>304528</wp:posOffset>
            </wp:positionV>
            <wp:extent cx="5943600" cy="55435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2"/>
                    <a:stretch/>
                  </pic:blipFill>
                  <pic:spPr bwMode="auto">
                    <a:xfrm>
                      <a:off x="0" y="0"/>
                      <a:ext cx="594360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5C6" w:rsidRPr="004115C6">
        <w:rPr>
          <w:rFonts w:ascii="Arial" w:hAnsi="Arial" w:cs="Arial"/>
          <w:b/>
          <w:bCs/>
        </w:rPr>
        <w:t xml:space="preserve"> </w:t>
      </w:r>
      <w:r w:rsidR="00F450A1">
        <w:rPr>
          <w:rFonts w:ascii="Arial" w:hAnsi="Arial" w:cs="Arial"/>
          <w:b/>
          <w:bCs/>
        </w:rPr>
        <w:t>Supplemental</w:t>
      </w:r>
      <w:r w:rsidR="00BE2772">
        <w:rPr>
          <w:rFonts w:ascii="Arial" w:hAnsi="Arial" w:cs="Arial"/>
          <w:b/>
          <w:bCs/>
        </w:rPr>
        <w:t xml:space="preserve"> Data</w:t>
      </w:r>
      <w:r w:rsidR="00F450A1">
        <w:rPr>
          <w:rFonts w:ascii="Arial" w:hAnsi="Arial" w:cs="Arial"/>
          <w:b/>
          <w:bCs/>
        </w:rPr>
        <w:t xml:space="preserve"> </w:t>
      </w:r>
    </w:p>
    <w:p w14:paraId="5AA77F1E" w14:textId="4E9FDE16" w:rsidR="00F450A1" w:rsidRPr="002C6882" w:rsidRDefault="00F450A1" w:rsidP="00F450A1">
      <w:pPr>
        <w:widowControl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Supplemental </w:t>
      </w:r>
      <w:r w:rsidRPr="00B52032">
        <w:rPr>
          <w:rFonts w:ascii="Arial" w:hAnsi="Arial" w:cs="Arial"/>
          <w:b/>
          <w:bCs/>
        </w:rPr>
        <w:t xml:space="preserve">Figure </w:t>
      </w:r>
      <w:r>
        <w:rPr>
          <w:rFonts w:ascii="Arial" w:hAnsi="Arial" w:cs="Arial"/>
          <w:b/>
          <w:bCs/>
        </w:rPr>
        <w:t>1</w:t>
      </w:r>
      <w:r w:rsidRPr="00B52032">
        <w:rPr>
          <w:rFonts w:ascii="Arial" w:hAnsi="Arial" w:cs="Arial"/>
          <w:b/>
          <w:bCs/>
        </w:rPr>
        <w:t>: Association between post-operative phthalate levels and clinical laboratory values in patients receiving CPB.</w:t>
      </w:r>
      <w:bookmarkStart w:id="0" w:name="OLE_LINK7"/>
      <w:r w:rsidRPr="00B520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L</w:t>
      </w:r>
      <w:r w:rsidRPr="00B52032">
        <w:rPr>
          <w:rFonts w:ascii="Arial" w:hAnsi="Arial" w:cs="Arial"/>
        </w:rPr>
        <w:t xml:space="preserve">aboratory values are grouped </w:t>
      </w:r>
      <w:r>
        <w:rPr>
          <w:rFonts w:ascii="Arial" w:hAnsi="Arial" w:cs="Arial"/>
        </w:rPr>
        <w:t>into</w:t>
      </w:r>
      <w:r w:rsidRPr="00B52032">
        <w:rPr>
          <w:rFonts w:ascii="Arial" w:hAnsi="Arial" w:cs="Arial"/>
        </w:rPr>
        <w:t xml:space="preserve"> normal, low, and high range</w:t>
      </w:r>
      <w:r>
        <w:rPr>
          <w:rFonts w:ascii="Arial" w:hAnsi="Arial" w:cs="Arial"/>
        </w:rPr>
        <w:t>s according to clinical standards</w:t>
      </w:r>
      <w:r w:rsidRPr="00B52032">
        <w:rPr>
          <w:rFonts w:ascii="Arial" w:hAnsi="Arial" w:cs="Arial"/>
        </w:rPr>
        <w:t xml:space="preserve"> for </w:t>
      </w:r>
      <w:r w:rsidRPr="00B52032">
        <w:rPr>
          <w:rFonts w:ascii="Arial" w:hAnsi="Arial" w:cs="Arial"/>
          <w:b/>
          <w:bCs/>
        </w:rPr>
        <w:t xml:space="preserve">A) </w:t>
      </w:r>
      <w:r w:rsidRPr="00B52032">
        <w:rPr>
          <w:rFonts w:ascii="Arial" w:hAnsi="Arial" w:cs="Arial"/>
        </w:rPr>
        <w:t xml:space="preserve">potassium, </w:t>
      </w:r>
      <w:r w:rsidRPr="00B52032">
        <w:rPr>
          <w:rFonts w:ascii="Arial" w:hAnsi="Arial" w:cs="Arial"/>
          <w:b/>
          <w:bCs/>
        </w:rPr>
        <w:t>B)</w:t>
      </w:r>
      <w:r w:rsidRPr="00B52032">
        <w:rPr>
          <w:rFonts w:ascii="Arial" w:hAnsi="Arial" w:cs="Arial"/>
        </w:rPr>
        <w:t xml:space="preserve"> sodium, </w:t>
      </w:r>
      <w:r w:rsidRPr="00B52032">
        <w:rPr>
          <w:rFonts w:ascii="Arial" w:hAnsi="Arial" w:cs="Arial"/>
          <w:b/>
          <w:bCs/>
        </w:rPr>
        <w:t xml:space="preserve">C) </w:t>
      </w:r>
      <w:r w:rsidRPr="00B52032">
        <w:rPr>
          <w:rFonts w:ascii="Arial" w:hAnsi="Arial" w:cs="Arial"/>
        </w:rPr>
        <w:t xml:space="preserve">calcium, </w:t>
      </w:r>
      <w:r w:rsidRPr="00B52032">
        <w:rPr>
          <w:rFonts w:ascii="Arial" w:hAnsi="Arial" w:cs="Arial"/>
          <w:b/>
          <w:bCs/>
        </w:rPr>
        <w:t xml:space="preserve">D) </w:t>
      </w:r>
      <w:r w:rsidRPr="00B52032">
        <w:rPr>
          <w:rFonts w:ascii="Arial" w:hAnsi="Arial" w:cs="Arial"/>
        </w:rPr>
        <w:t xml:space="preserve">glucose, </w:t>
      </w:r>
      <w:r w:rsidRPr="00B52032">
        <w:rPr>
          <w:rFonts w:ascii="Arial" w:hAnsi="Arial" w:cs="Arial"/>
          <w:b/>
          <w:bCs/>
        </w:rPr>
        <w:t>E)</w:t>
      </w:r>
      <w:r w:rsidRPr="00B52032">
        <w:rPr>
          <w:rFonts w:ascii="Arial" w:hAnsi="Arial" w:cs="Arial"/>
        </w:rPr>
        <w:t xml:space="preserve"> chloride, </w:t>
      </w:r>
      <w:r w:rsidRPr="00B52032">
        <w:rPr>
          <w:rFonts w:ascii="Arial" w:hAnsi="Arial" w:cs="Arial"/>
          <w:b/>
          <w:bCs/>
        </w:rPr>
        <w:t xml:space="preserve">F) </w:t>
      </w:r>
      <w:r w:rsidRPr="00B52032">
        <w:rPr>
          <w:rFonts w:ascii="Arial" w:hAnsi="Arial" w:cs="Arial"/>
        </w:rPr>
        <w:t xml:space="preserve">magnesium, </w:t>
      </w:r>
      <w:r w:rsidRPr="00B52032">
        <w:rPr>
          <w:rFonts w:ascii="Arial" w:hAnsi="Arial" w:cs="Arial"/>
          <w:b/>
          <w:bCs/>
        </w:rPr>
        <w:t xml:space="preserve">G) </w:t>
      </w:r>
      <w:r w:rsidRPr="00B52032">
        <w:rPr>
          <w:rFonts w:ascii="Arial" w:hAnsi="Arial" w:cs="Arial"/>
        </w:rPr>
        <w:t xml:space="preserve">lactate, </w:t>
      </w:r>
      <w:r w:rsidRPr="00B52032">
        <w:rPr>
          <w:rFonts w:ascii="Arial" w:hAnsi="Arial" w:cs="Arial"/>
          <w:b/>
          <w:bCs/>
        </w:rPr>
        <w:t xml:space="preserve">H) </w:t>
      </w:r>
      <w:r w:rsidRPr="00B52032">
        <w:rPr>
          <w:rFonts w:ascii="Arial" w:hAnsi="Arial" w:cs="Arial"/>
        </w:rPr>
        <w:t xml:space="preserve">ion gap, </w:t>
      </w:r>
      <w:r w:rsidRPr="00B52032">
        <w:rPr>
          <w:rFonts w:ascii="Arial" w:hAnsi="Arial" w:cs="Arial"/>
          <w:b/>
          <w:bCs/>
        </w:rPr>
        <w:t xml:space="preserve">I) </w:t>
      </w:r>
      <w:proofErr w:type="spellStart"/>
      <w:r w:rsidRPr="00B52032">
        <w:rPr>
          <w:rFonts w:ascii="Arial" w:hAnsi="Arial" w:cs="Arial"/>
        </w:rPr>
        <w:t>pH.</w:t>
      </w:r>
      <w:bookmarkEnd w:id="0"/>
      <w:proofErr w:type="spellEnd"/>
      <w:r w:rsidRPr="00B52032">
        <w:rPr>
          <w:rFonts w:ascii="Arial" w:hAnsi="Arial" w:cs="Arial"/>
        </w:rPr>
        <w:t xml:space="preserve"> n/a indicated when no patients were observed in this group. </w:t>
      </w:r>
      <w:r w:rsidRPr="002C6882">
        <w:rPr>
          <w:rFonts w:ascii="Arial" w:hAnsi="Arial" w:cs="Arial"/>
          <w:i/>
          <w:iCs/>
        </w:rPr>
        <w:t xml:space="preserve">Statistical analysis by </w:t>
      </w:r>
      <w:r w:rsidR="002C6882">
        <w:rPr>
          <w:rFonts w:ascii="Arial" w:hAnsi="Arial" w:cs="Arial"/>
          <w:i/>
          <w:iCs/>
        </w:rPr>
        <w:t>one</w:t>
      </w:r>
      <w:r w:rsidRPr="002C6882">
        <w:rPr>
          <w:rFonts w:ascii="Arial" w:hAnsi="Arial" w:cs="Arial"/>
          <w:i/>
          <w:iCs/>
        </w:rPr>
        <w:t xml:space="preserve">-way ANOVA (3 groups) </w:t>
      </w:r>
      <w:r w:rsidR="00E4564D">
        <w:rPr>
          <w:rFonts w:ascii="Arial" w:hAnsi="Arial" w:cs="Arial"/>
          <w:i/>
          <w:iCs/>
        </w:rPr>
        <w:t xml:space="preserve">with Welch’s correction for unequal variance, </w:t>
      </w:r>
      <w:r w:rsidRPr="002C6882">
        <w:rPr>
          <w:rFonts w:ascii="Arial" w:hAnsi="Arial" w:cs="Arial"/>
          <w:i/>
          <w:iCs/>
        </w:rPr>
        <w:t xml:space="preserve">or two-tailed student’s t-test (2 groups). </w:t>
      </w:r>
      <w:r w:rsidRPr="002C6882">
        <w:rPr>
          <w:rFonts w:ascii="Arial" w:hAnsi="Arial" w:cs="Arial"/>
          <w:bCs/>
          <w:i/>
          <w:iCs/>
        </w:rPr>
        <w:t>*p&lt;0.05, **p&lt;0.01, ***p&lt;0.005, ****p&lt;0.0001</w:t>
      </w:r>
      <w:r w:rsidR="00E4564D">
        <w:rPr>
          <w:rFonts w:ascii="Arial" w:hAnsi="Arial" w:cs="Arial"/>
          <w:bCs/>
          <w:i/>
          <w:iCs/>
        </w:rPr>
        <w:t xml:space="preserve">, ns=not </w:t>
      </w:r>
      <w:r w:rsidR="00D75633">
        <w:rPr>
          <w:rFonts w:ascii="Arial" w:hAnsi="Arial" w:cs="Arial"/>
          <w:bCs/>
          <w:i/>
          <w:iCs/>
        </w:rPr>
        <w:t>significant</w:t>
      </w:r>
    </w:p>
    <w:p w14:paraId="682D3A0A" w14:textId="3731896C" w:rsidR="00066AF7" w:rsidRDefault="00066A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75109FD" w14:textId="7D815E4A" w:rsidR="00066AF7" w:rsidRPr="004C5708" w:rsidRDefault="00066AF7" w:rsidP="00066AF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Supplemental Table 1. Patient demographics according to surgical group.</w:t>
      </w:r>
      <w:r>
        <w:rPr>
          <w:rFonts w:ascii="Arial" w:hAnsi="Arial" w:cs="Arial"/>
        </w:rPr>
        <w:t xml:space="preserve"> Values are reported as median </w:t>
      </w:r>
      <w:r w:rsidR="001E2821">
        <w:rPr>
          <w:rFonts w:ascii="Arial" w:hAnsi="Arial" w:cs="Arial"/>
        </w:rPr>
        <w:t>[</w:t>
      </w:r>
      <w:r>
        <w:rPr>
          <w:rFonts w:ascii="Arial" w:hAnsi="Arial" w:cs="Arial"/>
        </w:rPr>
        <w:t>range</w:t>
      </w:r>
      <w:r w:rsidR="001E2821">
        <w:rPr>
          <w:rFonts w:ascii="Arial" w:hAnsi="Arial" w:cs="Arial"/>
        </w:rPr>
        <w:t>] or n-value (percent)</w:t>
      </w:r>
      <w:r>
        <w:rPr>
          <w:rFonts w:ascii="Arial" w:hAnsi="Arial" w:cs="Arial"/>
        </w:rPr>
        <w:t xml:space="preserve">. </w:t>
      </w:r>
      <w:r w:rsidR="001E2821">
        <w:rPr>
          <w:rFonts w:ascii="Arial" w:hAnsi="Arial" w:cs="Arial"/>
        </w:rPr>
        <w:t xml:space="preserve">Inotrope Score and Vasoactive Inotrope Score were calculated at midnight the day of surgery. </w:t>
      </w:r>
      <w:r w:rsidR="001E2821" w:rsidRPr="001E2821">
        <w:rPr>
          <w:rFonts w:ascii="Arial" w:hAnsi="Arial" w:cs="Arial"/>
        </w:rPr>
        <w:t xml:space="preserve">*4 individual patients died; one patient had multiple independent surgeries over their lifetime and was included in the RBC prime group twice. </w:t>
      </w:r>
      <w:r w:rsidR="001E2821">
        <w:rPr>
          <w:rFonts w:ascii="Arial" w:hAnsi="Arial" w:cs="Arial"/>
        </w:rPr>
        <w:t xml:space="preserve">CPB = cardiopulmonary bypass, LOS = length of stay, Pre-Op = pre-operative, Post-Op = post-operative. </w:t>
      </w:r>
    </w:p>
    <w:tbl>
      <w:tblPr>
        <w:tblW w:w="9605" w:type="dxa"/>
        <w:jc w:val="center"/>
        <w:tblLook w:val="04A0" w:firstRow="1" w:lastRow="0" w:firstColumn="1" w:lastColumn="0" w:noHBand="0" w:noVBand="1"/>
      </w:tblPr>
      <w:tblGrid>
        <w:gridCol w:w="3885"/>
        <w:gridCol w:w="1840"/>
        <w:gridCol w:w="1940"/>
        <w:gridCol w:w="1940"/>
      </w:tblGrid>
      <w:tr w:rsidR="001E2821" w:rsidRPr="001E2821" w14:paraId="7FC5660D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B0E3" w14:textId="75EFCACE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ABEA" w14:textId="77777777" w:rsidR="001E2821" w:rsidRPr="00525089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 CPB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F35F" w14:textId="77777777" w:rsidR="001E2821" w:rsidRPr="00525089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Crystalloid Prime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424D" w14:textId="77777777" w:rsidR="001E2821" w:rsidRPr="00525089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RBC Prime</w:t>
            </w:r>
          </w:p>
        </w:tc>
      </w:tr>
      <w:tr w:rsidR="001E2821" w:rsidRPr="001E2821" w14:paraId="47494E47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F802" w14:textId="6EBA348A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# </w:t>
            </w:r>
            <w:r w:rsid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 Cases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4529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06F9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2019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1E2821" w:rsidRPr="001E2821" w14:paraId="583373D3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C28C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Age (days)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D03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[2 - 233]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0200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 [154 - 6324]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7F88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93.5 [1 - 3381]</w:t>
            </w:r>
          </w:p>
        </w:tc>
      </w:tr>
      <w:tr w:rsidR="001E2821" w:rsidRPr="001E2821" w14:paraId="3EFDBE62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4350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Weight (kg)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2FDA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3.11 [2.08 - 6.11]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853B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19.40 [7.60 - 81.80]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E368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4.38 [2.15 - 29.40]</w:t>
            </w:r>
          </w:p>
        </w:tc>
      </w:tr>
      <w:tr w:rsidR="001E2821" w:rsidRPr="001E2821" w14:paraId="6456E171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98E2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BSA (m</w:t>
            </w: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E36E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 [0.14 - 0.32]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B7D3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 [0.35 - 1.91]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 [0.16 - 0.32]</w:t>
            </w:r>
          </w:p>
        </w:tc>
      </w:tr>
      <w:tr w:rsidR="001E2821" w:rsidRPr="001E2821" w14:paraId="7FA884A4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AAD4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Inpatient (yes)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6DBE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(90.9)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ED10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(4.8)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4CE3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(60)</w:t>
            </w:r>
          </w:p>
        </w:tc>
      </w:tr>
      <w:tr w:rsidR="001E2821" w:rsidRPr="001E2821" w14:paraId="2A90F232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8228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Inpatient Pre-Op LOS (days)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3F07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[2 - 212]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CB2E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832B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[1 - 179]</w:t>
            </w:r>
          </w:p>
        </w:tc>
      </w:tr>
      <w:tr w:rsidR="001E2821" w:rsidRPr="001E2821" w14:paraId="7886DDD6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3F75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Time to Transfer (days)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366E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28.98 [1.13 - 192.8]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0C61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 [0.84 - 13.97]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A6CD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5.07 [0.82 - 225.7]</w:t>
            </w:r>
          </w:p>
        </w:tc>
      </w:tr>
      <w:tr w:rsidR="001E2821" w:rsidRPr="001E2821" w14:paraId="73720F5B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5300" w14:textId="619C5DF0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Post-Op LOS (days)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155F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44.57 [2.95 - 192.8]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A658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4.75 [2.83 - 177.0]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46BA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9.97 [2.94 - 235.6]</w:t>
            </w:r>
          </w:p>
        </w:tc>
      </w:tr>
      <w:tr w:rsidR="001E2821" w:rsidRPr="001E2821" w14:paraId="2EB54236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0254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Mortality Within 30 Days (yes)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3C7C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5783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F6CF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 = 4*</w:t>
            </w:r>
          </w:p>
        </w:tc>
      </w:tr>
      <w:tr w:rsidR="001E2821" w:rsidRPr="001E2821" w14:paraId="1AE1AB98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D161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Flow Rate (L/min)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62E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DAF1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1.89 (0.85 - 4.58)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F611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 (0.38 - 2.41)</w:t>
            </w:r>
          </w:p>
        </w:tc>
      </w:tr>
      <w:tr w:rsidR="001E2821" w:rsidRPr="001E2821" w14:paraId="0BB26F7E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A049" w14:textId="46CCBB85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Indexed Flow Rate (L/min/m</w:t>
            </w: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07F6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0A04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2.40 [2.38 - 2.43]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DDEB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2.41 [2.33 - 2.48]</w:t>
            </w:r>
          </w:p>
        </w:tc>
      </w:tr>
      <w:tr w:rsidR="001E2821" w:rsidRPr="001E2821" w14:paraId="03DF5A81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F68F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CPB Duration (min)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B838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283D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84.0 [42.0 - 257.1]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9B94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113.6 [50.6 - 342.2]</w:t>
            </w:r>
          </w:p>
        </w:tc>
      </w:tr>
      <w:tr w:rsidR="003537E7" w:rsidRPr="001E2821" w14:paraId="0AED0DCD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4473" w14:textId="6B0A4541" w:rsidR="003537E7" w:rsidRPr="00525089" w:rsidRDefault="003537E7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Lowest Venous Temperature on CPB (°C)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F022" w14:textId="040FC7B4" w:rsidR="003537E7" w:rsidRPr="001E2821" w:rsidRDefault="003537E7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01AB" w14:textId="12CEBC3A" w:rsidR="003537E7" w:rsidRPr="001E2821" w:rsidRDefault="00BE2772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29.40 [25.20 - 32.10]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FB99" w14:textId="4898EAA4" w:rsidR="003537E7" w:rsidRPr="001E2821" w:rsidRDefault="00BE2772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26.75 [18.00 - 34.40]</w:t>
            </w:r>
          </w:p>
        </w:tc>
      </w:tr>
      <w:tr w:rsidR="001E2821" w:rsidRPr="001E2821" w14:paraId="63D88DA2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C342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Prime Volume (mL)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7DE3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4F2C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405.8 [195.5 - 790.0]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1F6E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113.6 [50.6 - 342.2]</w:t>
            </w:r>
          </w:p>
        </w:tc>
      </w:tr>
      <w:tr w:rsidR="001E2821" w:rsidRPr="001E2821" w14:paraId="21EBE59A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756B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Indexed Prime Volume (mL/m</w:t>
            </w: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3D1E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B165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453.1 [283.3 - 878.0]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2F28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951.4 [425.2 - 3435]</w:t>
            </w:r>
          </w:p>
        </w:tc>
      </w:tr>
      <w:tr w:rsidR="001E2821" w:rsidRPr="001E2821" w14:paraId="58716007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1724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Blood Volume in CPB Prime (mL)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A3E1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ECD8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E8EB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[50 - 155]</w:t>
            </w:r>
          </w:p>
        </w:tc>
      </w:tr>
      <w:tr w:rsidR="001E2821" w:rsidRPr="001E2821" w14:paraId="10DCFC7C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D286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Indexed Blood Volume in CPB Prime (mL/m</w:t>
            </w: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1A53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AC1B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6C5D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 [107.1 - 833.3]</w:t>
            </w:r>
          </w:p>
        </w:tc>
      </w:tr>
      <w:tr w:rsidR="001E2821" w:rsidRPr="001E2821" w14:paraId="3C1FC78B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EC94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FFP in CPB Prime (yes)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A0D8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EFC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(42.9)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A34F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 (100)</w:t>
            </w:r>
          </w:p>
        </w:tc>
      </w:tr>
      <w:tr w:rsidR="001E2821" w:rsidRPr="001E2821" w14:paraId="1C290EB7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207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FFP Volume in CPB Prime (mL)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9AEA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CAB7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[75 - 100]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A1CD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 [45 - 150]</w:t>
            </w:r>
          </w:p>
        </w:tc>
      </w:tr>
      <w:tr w:rsidR="001E2821" w:rsidRPr="001E2821" w14:paraId="7A1234B4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42C4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Indexed FFP Volume in CPB Prime (mL)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5390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869E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 [95.2 - 285.7]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23ED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 [133.9 - 750.0]</w:t>
            </w:r>
          </w:p>
        </w:tc>
      </w:tr>
      <w:tr w:rsidR="001E2821" w:rsidRPr="001E2821" w14:paraId="45EB4ED6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D61A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Fluid Balance (mL)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6EE5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4406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-270 [-942 - 271]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6556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-78 [-778 - 337]</w:t>
            </w:r>
          </w:p>
        </w:tc>
      </w:tr>
      <w:tr w:rsidR="001E2821" w:rsidRPr="001E2821" w14:paraId="35DE2E68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433A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 mg/kg Methylprednisolone (yes)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FFF4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2574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D00B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(26.7)</w:t>
            </w:r>
          </w:p>
        </w:tc>
      </w:tr>
      <w:tr w:rsidR="001E2821" w:rsidRPr="001E2821" w14:paraId="4C0067F3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21A7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Inotrope Score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BD49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[0 - 15]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8D82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[0 - 8]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94F5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[0 - 15]</w:t>
            </w:r>
          </w:p>
        </w:tc>
      </w:tr>
      <w:tr w:rsidR="001E2821" w:rsidRPr="001E2821" w14:paraId="25E774DB" w14:textId="77777777" w:rsidTr="001E2821">
        <w:trPr>
          <w:trHeight w:val="300"/>
          <w:jc w:val="center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B350" w14:textId="77777777" w:rsidR="001E2821" w:rsidRPr="00525089" w:rsidRDefault="001E2821" w:rsidP="00525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5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Vasoactive Inotropic Score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DC55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1.425 [0 - 22.25]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5B4E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[0 - 11]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28B" w14:textId="77777777" w:rsidR="001E2821" w:rsidRPr="001E2821" w:rsidRDefault="001E2821" w:rsidP="001E2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8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[0 - 22]</w:t>
            </w:r>
          </w:p>
        </w:tc>
      </w:tr>
    </w:tbl>
    <w:p w14:paraId="4F1013E2" w14:textId="77777777" w:rsidR="004537E7" w:rsidRDefault="004537E7" w:rsidP="008C1BC1">
      <w:pPr>
        <w:rPr>
          <w:rFonts w:ascii="Arial" w:hAnsi="Arial" w:cs="Arial"/>
          <w:b/>
          <w:bCs/>
        </w:rPr>
      </w:pPr>
    </w:p>
    <w:p w14:paraId="33253E55" w14:textId="77777777" w:rsidR="001E2821" w:rsidRDefault="001E2821" w:rsidP="008C1BC1">
      <w:pPr>
        <w:rPr>
          <w:rFonts w:ascii="Arial" w:hAnsi="Arial" w:cs="Arial"/>
          <w:b/>
          <w:bCs/>
        </w:rPr>
      </w:pPr>
    </w:p>
    <w:p w14:paraId="26B347ED" w14:textId="77777777" w:rsidR="001E2821" w:rsidRDefault="001E2821" w:rsidP="008C1BC1">
      <w:pPr>
        <w:rPr>
          <w:rFonts w:ascii="Arial" w:hAnsi="Arial" w:cs="Arial"/>
          <w:b/>
          <w:bCs/>
        </w:rPr>
      </w:pPr>
    </w:p>
    <w:p w14:paraId="5D79D67E" w14:textId="77777777" w:rsidR="001E2821" w:rsidRDefault="001E2821" w:rsidP="008C1BC1">
      <w:pPr>
        <w:rPr>
          <w:rFonts w:ascii="Arial" w:hAnsi="Arial" w:cs="Arial"/>
          <w:b/>
          <w:bCs/>
        </w:rPr>
      </w:pPr>
    </w:p>
    <w:p w14:paraId="2E815D49" w14:textId="77777777" w:rsidR="001E2821" w:rsidRDefault="001E2821" w:rsidP="008C1BC1">
      <w:pPr>
        <w:rPr>
          <w:rFonts w:ascii="Arial" w:hAnsi="Arial" w:cs="Arial"/>
          <w:b/>
          <w:bCs/>
        </w:rPr>
      </w:pPr>
    </w:p>
    <w:p w14:paraId="5F330D6B" w14:textId="77777777" w:rsidR="001E2821" w:rsidRDefault="001E2821" w:rsidP="008C1BC1">
      <w:pPr>
        <w:rPr>
          <w:rFonts w:ascii="Arial" w:hAnsi="Arial" w:cs="Arial"/>
          <w:b/>
          <w:bCs/>
        </w:rPr>
      </w:pPr>
    </w:p>
    <w:p w14:paraId="60BB0878" w14:textId="77777777" w:rsidR="001E2821" w:rsidRDefault="001E2821" w:rsidP="008C1BC1">
      <w:pPr>
        <w:rPr>
          <w:rFonts w:ascii="Arial" w:hAnsi="Arial" w:cs="Arial"/>
          <w:b/>
          <w:bCs/>
        </w:rPr>
      </w:pPr>
    </w:p>
    <w:p w14:paraId="0AE66386" w14:textId="77777777" w:rsidR="001E2821" w:rsidRDefault="001E2821" w:rsidP="008C1BC1">
      <w:pPr>
        <w:rPr>
          <w:rFonts w:ascii="Arial" w:hAnsi="Arial" w:cs="Arial"/>
          <w:b/>
          <w:bCs/>
        </w:rPr>
      </w:pPr>
    </w:p>
    <w:p w14:paraId="52C01096" w14:textId="27B3448B" w:rsidR="00037321" w:rsidRDefault="00037321" w:rsidP="00BE2772">
      <w:pPr>
        <w:rPr>
          <w:rFonts w:ascii="Arial" w:hAnsi="Arial" w:cs="Arial"/>
        </w:rPr>
      </w:pPr>
      <w:r w:rsidRPr="00037321">
        <w:rPr>
          <w:rFonts w:ascii="Arial" w:hAnsi="Arial" w:cs="Arial"/>
          <w:b/>
          <w:bCs/>
        </w:rPr>
        <w:lastRenderedPageBreak/>
        <w:t xml:space="preserve">Supplemental Table 2. </w:t>
      </w:r>
      <w:r>
        <w:rPr>
          <w:rFonts w:ascii="Arial" w:hAnsi="Arial" w:cs="Arial"/>
          <w:b/>
          <w:bCs/>
        </w:rPr>
        <w:t xml:space="preserve">Phthalate chemical exposure according to surgical group. </w:t>
      </w:r>
      <w:r>
        <w:rPr>
          <w:rFonts w:ascii="Arial" w:hAnsi="Arial" w:cs="Arial"/>
        </w:rPr>
        <w:t>Values are reported as me</w:t>
      </w:r>
      <w:r w:rsidR="002A6DF6">
        <w:rPr>
          <w:rFonts w:ascii="Arial" w:hAnsi="Arial" w:cs="Arial"/>
        </w:rPr>
        <w:t>a</w:t>
      </w:r>
      <w:r>
        <w:rPr>
          <w:rFonts w:ascii="Arial" w:hAnsi="Arial" w:cs="Arial"/>
        </w:rPr>
        <w:t>n</w:t>
      </w:r>
      <w:r w:rsidR="00BE2772">
        <w:rPr>
          <w:rFonts w:ascii="Arial" w:hAnsi="Arial" w:cs="Arial"/>
        </w:rPr>
        <w:t xml:space="preserve"> </w:t>
      </w:r>
      <w:r w:rsidR="002A6DF6">
        <w:rPr>
          <w:rFonts w:ascii="Times New Roman" w:hAnsi="Times New Roman" w:cs="Times New Roman"/>
        </w:rPr>
        <w:t>±</w:t>
      </w:r>
      <w:r w:rsidR="00BE2772">
        <w:rPr>
          <w:rFonts w:ascii="Arial" w:hAnsi="Arial" w:cs="Arial"/>
        </w:rPr>
        <w:t xml:space="preserve"> standard deviation (SD)</w:t>
      </w:r>
      <w:r w:rsidR="002C6882">
        <w:rPr>
          <w:rFonts w:ascii="Arial" w:hAnsi="Arial" w:cs="Arial"/>
        </w:rPr>
        <w:t xml:space="preserve"> with the corresponding range</w:t>
      </w:r>
      <w:r>
        <w:rPr>
          <w:rFonts w:ascii="Arial" w:hAnsi="Arial" w:cs="Arial"/>
        </w:rPr>
        <w:t>.</w:t>
      </w:r>
      <w:r w:rsidR="00BE2772">
        <w:rPr>
          <w:rFonts w:ascii="Arial" w:hAnsi="Arial" w:cs="Arial"/>
        </w:rPr>
        <w:t xml:space="preserve"> CPB = cardiopulmonary bypass, </w:t>
      </w:r>
      <w:r w:rsidR="00BE2772" w:rsidRPr="00BE2772">
        <w:rPr>
          <w:rFonts w:ascii="Arial" w:hAnsi="Arial" w:cs="Arial"/>
        </w:rPr>
        <w:t>DEHP</w:t>
      </w:r>
      <w:r w:rsidR="00BE2772">
        <w:rPr>
          <w:rFonts w:ascii="Arial" w:hAnsi="Arial" w:cs="Arial"/>
        </w:rPr>
        <w:t xml:space="preserve"> = d</w:t>
      </w:r>
      <w:r w:rsidR="00BE2772" w:rsidRPr="00BE2772">
        <w:rPr>
          <w:rFonts w:ascii="Arial" w:hAnsi="Arial" w:cs="Arial"/>
        </w:rPr>
        <w:t>i(2-</w:t>
      </w:r>
      <w:proofErr w:type="gramStart"/>
      <w:r w:rsidR="00BE2772" w:rsidRPr="00BE2772">
        <w:rPr>
          <w:rFonts w:ascii="Arial" w:hAnsi="Arial" w:cs="Arial"/>
        </w:rPr>
        <w:t>ethyhexyl)phthalate</w:t>
      </w:r>
      <w:proofErr w:type="gramEnd"/>
      <w:r w:rsidR="00BE2772">
        <w:rPr>
          <w:rFonts w:ascii="Arial" w:hAnsi="Arial" w:cs="Arial"/>
        </w:rPr>
        <w:t>, FFP = fresh frozen plasma, MECPP</w:t>
      </w:r>
      <w:bookmarkStart w:id="1" w:name="_Hlk131160525"/>
      <w:r w:rsidR="00BE2772">
        <w:rPr>
          <w:rFonts w:ascii="Arial" w:hAnsi="Arial" w:cs="Arial"/>
        </w:rPr>
        <w:t xml:space="preserve"> = mono(2-ethyl-5-carboxypentyl)phthalate</w:t>
      </w:r>
      <w:bookmarkEnd w:id="1"/>
      <w:r w:rsidR="00BE2772">
        <w:rPr>
          <w:rFonts w:ascii="Arial" w:hAnsi="Arial" w:cs="Arial"/>
        </w:rPr>
        <w:t>, MEHHP</w:t>
      </w:r>
      <w:bookmarkStart w:id="2" w:name="_Hlk131160533"/>
      <w:r w:rsidR="00BE2772">
        <w:rPr>
          <w:rFonts w:ascii="Arial" w:hAnsi="Arial" w:cs="Arial"/>
        </w:rPr>
        <w:t xml:space="preserve"> = mono(2-ethyl-5-hydroxyhexyl)phthalate</w:t>
      </w:r>
      <w:bookmarkEnd w:id="2"/>
      <w:r w:rsidR="00BE2772">
        <w:rPr>
          <w:rFonts w:ascii="Arial" w:hAnsi="Arial" w:cs="Arial"/>
        </w:rPr>
        <w:t xml:space="preserve">, </w:t>
      </w:r>
      <w:r w:rsidR="00D20533">
        <w:rPr>
          <w:rFonts w:ascii="Arial" w:hAnsi="Arial" w:cs="Arial"/>
        </w:rPr>
        <w:t>MEHP</w:t>
      </w:r>
      <w:bookmarkStart w:id="3" w:name="_Hlk131160510"/>
      <w:r w:rsidR="00D20533">
        <w:rPr>
          <w:rFonts w:ascii="Arial" w:hAnsi="Arial" w:cs="Arial"/>
        </w:rPr>
        <w:t xml:space="preserve"> = mono(2-ethylhexyl)phthalate</w:t>
      </w:r>
      <w:bookmarkEnd w:id="3"/>
      <w:r w:rsidR="00D20533">
        <w:rPr>
          <w:rFonts w:ascii="Arial" w:hAnsi="Arial" w:cs="Arial"/>
        </w:rPr>
        <w:t xml:space="preserve">, </w:t>
      </w:r>
      <w:r w:rsidR="00BE2772">
        <w:rPr>
          <w:rFonts w:ascii="Arial" w:hAnsi="Arial" w:cs="Arial"/>
        </w:rPr>
        <w:t>RBC = red blood cell.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4"/>
        <w:gridCol w:w="715"/>
        <w:gridCol w:w="974"/>
        <w:gridCol w:w="629"/>
        <w:gridCol w:w="974"/>
        <w:gridCol w:w="589"/>
        <w:gridCol w:w="990"/>
        <w:gridCol w:w="630"/>
        <w:gridCol w:w="990"/>
        <w:gridCol w:w="630"/>
        <w:gridCol w:w="990"/>
        <w:gridCol w:w="625"/>
      </w:tblGrid>
      <w:tr w:rsidR="00762D2C" w:rsidRPr="00C214EB" w14:paraId="23515066" w14:textId="2FD5ECCB" w:rsidTr="008C66C9">
        <w:trPr>
          <w:trHeight w:val="259"/>
        </w:trPr>
        <w:tc>
          <w:tcPr>
            <w:tcW w:w="1329" w:type="dxa"/>
            <w:gridSpan w:val="2"/>
            <w:vMerge w:val="restart"/>
            <w:tcMar>
              <w:left w:w="29" w:type="dxa"/>
              <w:right w:w="29" w:type="dxa"/>
            </w:tcMar>
          </w:tcPr>
          <w:p w14:paraId="1C00D7C2" w14:textId="27900895" w:rsidR="00762D2C" w:rsidRPr="00C214EB" w:rsidRDefault="00762D2C" w:rsidP="00CF51B0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603" w:type="dxa"/>
            <w:gridSpan w:val="2"/>
            <w:tcMar>
              <w:left w:w="29" w:type="dxa"/>
              <w:right w:w="29" w:type="dxa"/>
            </w:tcMar>
            <w:vAlign w:val="center"/>
          </w:tcPr>
          <w:p w14:paraId="337825DD" w14:textId="0C7B6FB9" w:rsidR="00762D2C" w:rsidRPr="00C214EB" w:rsidRDefault="00762D2C" w:rsidP="00CF51B0">
            <w:pPr>
              <w:widowControl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DEHP</w:t>
            </w:r>
          </w:p>
        </w:tc>
        <w:tc>
          <w:tcPr>
            <w:tcW w:w="1563" w:type="dxa"/>
            <w:gridSpan w:val="2"/>
            <w:vAlign w:val="center"/>
          </w:tcPr>
          <w:p w14:paraId="35D30ED2" w14:textId="7F7433A9" w:rsidR="00762D2C" w:rsidRDefault="00762D2C" w:rsidP="00CF51B0">
            <w:pPr>
              <w:widowControl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MEHP</w:t>
            </w:r>
          </w:p>
        </w:tc>
        <w:tc>
          <w:tcPr>
            <w:tcW w:w="1620" w:type="dxa"/>
            <w:gridSpan w:val="2"/>
            <w:vAlign w:val="center"/>
          </w:tcPr>
          <w:p w14:paraId="071B6F00" w14:textId="466F45BC" w:rsidR="00762D2C" w:rsidRDefault="00762D2C" w:rsidP="00CF51B0">
            <w:pPr>
              <w:widowControl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MECPP</w:t>
            </w:r>
          </w:p>
        </w:tc>
        <w:tc>
          <w:tcPr>
            <w:tcW w:w="1620" w:type="dxa"/>
            <w:gridSpan w:val="2"/>
            <w:vAlign w:val="center"/>
          </w:tcPr>
          <w:p w14:paraId="5A47E056" w14:textId="530BCF45" w:rsidR="00762D2C" w:rsidRDefault="00762D2C" w:rsidP="00CF51B0">
            <w:pPr>
              <w:widowControl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MEHHP</w:t>
            </w:r>
          </w:p>
        </w:tc>
        <w:tc>
          <w:tcPr>
            <w:tcW w:w="1615" w:type="dxa"/>
            <w:gridSpan w:val="2"/>
            <w:vAlign w:val="center"/>
          </w:tcPr>
          <w:p w14:paraId="3CEA0050" w14:textId="522EA6B9" w:rsidR="00762D2C" w:rsidRDefault="0039653E" w:rsidP="00CF51B0">
            <w:pPr>
              <w:widowControl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Sum</w:t>
            </w:r>
          </w:p>
        </w:tc>
      </w:tr>
      <w:tr w:rsidR="00762D2C" w:rsidRPr="00C214EB" w14:paraId="1A94C4A8" w14:textId="781ACB5C" w:rsidTr="008C66C9">
        <w:trPr>
          <w:trHeight w:val="332"/>
        </w:trPr>
        <w:tc>
          <w:tcPr>
            <w:tcW w:w="1329" w:type="dxa"/>
            <w:gridSpan w:val="2"/>
            <w:vMerge/>
            <w:tcMar>
              <w:left w:w="29" w:type="dxa"/>
              <w:right w:w="29" w:type="dxa"/>
            </w:tcMar>
          </w:tcPr>
          <w:p w14:paraId="13783715" w14:textId="535B86DA" w:rsidR="00762D2C" w:rsidRPr="00C214EB" w:rsidRDefault="00762D2C" w:rsidP="00CF51B0">
            <w:pPr>
              <w:widowControl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05E5E651" w14:textId="2EC77610" w:rsidR="00762D2C" w:rsidRPr="00CF51B0" w:rsidRDefault="00762D2C" w:rsidP="00762D2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1B0">
              <w:rPr>
                <w:rFonts w:ascii="Arial" w:hAnsi="Arial" w:cs="Arial"/>
                <w:sz w:val="18"/>
                <w:szCs w:val="18"/>
              </w:rPr>
              <w:t xml:space="preserve">Mean </w:t>
            </w:r>
            <w:r w:rsidRPr="00CF51B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CF51B0">
              <w:rPr>
                <w:rFonts w:ascii="Arial" w:hAnsi="Arial" w:cs="Arial"/>
                <w:sz w:val="18"/>
                <w:szCs w:val="18"/>
              </w:rPr>
              <w:t xml:space="preserve"> SD</w:t>
            </w:r>
          </w:p>
        </w:tc>
        <w:tc>
          <w:tcPr>
            <w:tcW w:w="629" w:type="dxa"/>
            <w:tcMar>
              <w:left w:w="29" w:type="dxa"/>
              <w:right w:w="29" w:type="dxa"/>
            </w:tcMar>
            <w:vAlign w:val="center"/>
          </w:tcPr>
          <w:p w14:paraId="5FC16D8E" w14:textId="490B97A8" w:rsidR="00762D2C" w:rsidRPr="00CF51B0" w:rsidRDefault="00762D2C" w:rsidP="00762D2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1B0">
              <w:rPr>
                <w:rFonts w:ascii="Arial" w:hAnsi="Arial" w:cs="Arial"/>
                <w:sz w:val="18"/>
                <w:szCs w:val="18"/>
              </w:rPr>
              <w:t>Range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74C3FF17" w14:textId="4909BA35" w:rsidR="00762D2C" w:rsidRPr="00CF51B0" w:rsidRDefault="00762D2C" w:rsidP="00762D2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1B0">
              <w:rPr>
                <w:rFonts w:ascii="Arial" w:hAnsi="Arial" w:cs="Arial"/>
                <w:sz w:val="18"/>
                <w:szCs w:val="18"/>
              </w:rPr>
              <w:t xml:space="preserve">Mean </w:t>
            </w:r>
            <w:r w:rsidRPr="00CF51B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CF51B0">
              <w:rPr>
                <w:rFonts w:ascii="Arial" w:hAnsi="Arial" w:cs="Arial"/>
                <w:sz w:val="18"/>
                <w:szCs w:val="18"/>
              </w:rPr>
              <w:t xml:space="preserve"> SD</w:t>
            </w:r>
          </w:p>
        </w:tc>
        <w:tc>
          <w:tcPr>
            <w:tcW w:w="589" w:type="dxa"/>
            <w:tcMar>
              <w:left w:w="29" w:type="dxa"/>
              <w:right w:w="29" w:type="dxa"/>
            </w:tcMar>
            <w:vAlign w:val="center"/>
          </w:tcPr>
          <w:p w14:paraId="123BA47E" w14:textId="1539530E" w:rsidR="00762D2C" w:rsidRPr="00CF51B0" w:rsidRDefault="00762D2C" w:rsidP="00762D2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1B0">
              <w:rPr>
                <w:rFonts w:ascii="Arial" w:hAnsi="Arial" w:cs="Arial"/>
                <w:sz w:val="18"/>
                <w:szCs w:val="18"/>
              </w:rPr>
              <w:t>Range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32A1413B" w14:textId="1C9DBEC3" w:rsidR="00762D2C" w:rsidRPr="00CF51B0" w:rsidRDefault="00762D2C" w:rsidP="00762D2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1B0">
              <w:rPr>
                <w:rFonts w:ascii="Arial" w:hAnsi="Arial" w:cs="Arial"/>
                <w:sz w:val="18"/>
                <w:szCs w:val="18"/>
              </w:rPr>
              <w:t xml:space="preserve">Mean </w:t>
            </w:r>
            <w:r w:rsidRPr="00CF51B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CF51B0">
              <w:rPr>
                <w:rFonts w:ascii="Arial" w:hAnsi="Arial" w:cs="Arial"/>
                <w:sz w:val="18"/>
                <w:szCs w:val="18"/>
              </w:rPr>
              <w:t xml:space="preserve"> SD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5E57DD8" w14:textId="6AAC0AE4" w:rsidR="00762D2C" w:rsidRPr="00CF51B0" w:rsidRDefault="00762D2C" w:rsidP="00762D2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1B0">
              <w:rPr>
                <w:rFonts w:ascii="Arial" w:hAnsi="Arial" w:cs="Arial"/>
                <w:sz w:val="18"/>
                <w:szCs w:val="18"/>
              </w:rPr>
              <w:t>Range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7107C19D" w14:textId="6B927F61" w:rsidR="00762D2C" w:rsidRPr="00CF51B0" w:rsidRDefault="00762D2C" w:rsidP="00762D2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1B0">
              <w:rPr>
                <w:rFonts w:ascii="Arial" w:hAnsi="Arial" w:cs="Arial"/>
                <w:sz w:val="18"/>
                <w:szCs w:val="18"/>
              </w:rPr>
              <w:t xml:space="preserve">Mean </w:t>
            </w:r>
            <w:r w:rsidRPr="00CF51B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CF51B0">
              <w:rPr>
                <w:rFonts w:ascii="Arial" w:hAnsi="Arial" w:cs="Arial"/>
                <w:sz w:val="18"/>
                <w:szCs w:val="18"/>
              </w:rPr>
              <w:t xml:space="preserve"> SD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5A0F8BBD" w14:textId="6E2D94C3" w:rsidR="00762D2C" w:rsidRPr="00CF51B0" w:rsidRDefault="00762D2C" w:rsidP="00762D2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1B0">
              <w:rPr>
                <w:rFonts w:ascii="Arial" w:hAnsi="Arial" w:cs="Arial"/>
                <w:sz w:val="18"/>
                <w:szCs w:val="18"/>
              </w:rPr>
              <w:t>Range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062031DD" w14:textId="79C826D3" w:rsidR="00762D2C" w:rsidRPr="00CF51B0" w:rsidRDefault="00762D2C" w:rsidP="00762D2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1B0">
              <w:rPr>
                <w:rFonts w:ascii="Arial" w:hAnsi="Arial" w:cs="Arial"/>
                <w:sz w:val="18"/>
                <w:szCs w:val="18"/>
              </w:rPr>
              <w:t xml:space="preserve">Mean </w:t>
            </w:r>
            <w:r w:rsidRPr="00CF51B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CF51B0">
              <w:rPr>
                <w:rFonts w:ascii="Arial" w:hAnsi="Arial" w:cs="Arial"/>
                <w:sz w:val="18"/>
                <w:szCs w:val="18"/>
              </w:rPr>
              <w:t xml:space="preserve"> SD</w:t>
            </w:r>
          </w:p>
        </w:tc>
        <w:tc>
          <w:tcPr>
            <w:tcW w:w="625" w:type="dxa"/>
            <w:tcMar>
              <w:left w:w="29" w:type="dxa"/>
              <w:right w:w="29" w:type="dxa"/>
            </w:tcMar>
            <w:vAlign w:val="center"/>
          </w:tcPr>
          <w:p w14:paraId="36F88182" w14:textId="0E86789F" w:rsidR="00762D2C" w:rsidRPr="00CF51B0" w:rsidRDefault="00762D2C" w:rsidP="00762D2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1B0">
              <w:rPr>
                <w:rFonts w:ascii="Arial" w:hAnsi="Arial" w:cs="Arial"/>
                <w:sz w:val="18"/>
                <w:szCs w:val="18"/>
              </w:rPr>
              <w:t>Range</w:t>
            </w:r>
          </w:p>
        </w:tc>
      </w:tr>
      <w:tr w:rsidR="0039653E" w:rsidRPr="00C214EB" w14:paraId="2C40D8F6" w14:textId="768D2014" w:rsidTr="00633C75">
        <w:trPr>
          <w:trHeight w:val="440"/>
        </w:trPr>
        <w:tc>
          <w:tcPr>
            <w:tcW w:w="614" w:type="dxa"/>
            <w:vMerge w:val="restart"/>
            <w:tcMar>
              <w:left w:w="29" w:type="dxa"/>
              <w:right w:w="29" w:type="dxa"/>
            </w:tcMar>
            <w:textDirection w:val="btLr"/>
            <w:vAlign w:val="center"/>
          </w:tcPr>
          <w:p w14:paraId="58491794" w14:textId="3EEC85DB" w:rsidR="0039653E" w:rsidRPr="00E973AD" w:rsidRDefault="0039653E" w:rsidP="0039653E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73AD">
              <w:rPr>
                <w:rFonts w:ascii="Arial" w:hAnsi="Arial" w:cs="Arial"/>
                <w:b/>
                <w:bCs/>
                <w:sz w:val="18"/>
                <w:szCs w:val="18"/>
              </w:rPr>
              <w:t>No CPB (n=11)</w:t>
            </w: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071A6B9A" w14:textId="12D808B0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Pre-Op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1B9E9677" w14:textId="59EBAC82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0.939 ± 0.634</w:t>
            </w:r>
          </w:p>
        </w:tc>
        <w:tc>
          <w:tcPr>
            <w:tcW w:w="629" w:type="dxa"/>
            <w:tcMar>
              <w:left w:w="29" w:type="dxa"/>
              <w:right w:w="29" w:type="dxa"/>
            </w:tcMar>
            <w:vAlign w:val="center"/>
          </w:tcPr>
          <w:p w14:paraId="2DFF0A74" w14:textId="3F06F5CF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0.292 - 1.892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001D2415" w14:textId="0CF7DBEE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 xml:space="preserve"> 0.199 ± 0.120</w:t>
            </w:r>
          </w:p>
        </w:tc>
        <w:tc>
          <w:tcPr>
            <w:tcW w:w="589" w:type="dxa"/>
            <w:tcMar>
              <w:left w:w="29" w:type="dxa"/>
              <w:right w:w="29" w:type="dxa"/>
            </w:tcMar>
            <w:vAlign w:val="center"/>
          </w:tcPr>
          <w:p w14:paraId="5E21A50E" w14:textId="0B54EAFF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0.084 - 0.465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72C4340B" w14:textId="3E047EA3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0.163 ± 0.085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8DFB9B6" w14:textId="2C89BFCB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0.03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- 0.32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59D6370B" w14:textId="39D4F958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0.068 ± 0.035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9E9053F" w14:textId="538E8933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0.03</w:t>
            </w:r>
            <w:r w:rsidR="008E7748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- 0.1</w:t>
            </w:r>
            <w:r w:rsidR="008E7748"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69D8558E" w14:textId="184E04B9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1.370 ± 0.732</w:t>
            </w:r>
          </w:p>
        </w:tc>
        <w:tc>
          <w:tcPr>
            <w:tcW w:w="625" w:type="dxa"/>
            <w:tcMar>
              <w:left w:w="29" w:type="dxa"/>
              <w:right w:w="29" w:type="dxa"/>
            </w:tcMar>
            <w:vAlign w:val="center"/>
          </w:tcPr>
          <w:p w14:paraId="1F14A6E3" w14:textId="48C0CB7C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0.499 - 2.717</w:t>
            </w:r>
          </w:p>
        </w:tc>
      </w:tr>
      <w:tr w:rsidR="0039653E" w:rsidRPr="00C214EB" w14:paraId="214447A5" w14:textId="7653239C" w:rsidTr="00633C75">
        <w:trPr>
          <w:trHeight w:val="467"/>
        </w:trPr>
        <w:tc>
          <w:tcPr>
            <w:tcW w:w="614" w:type="dxa"/>
            <w:vMerge/>
            <w:tcMar>
              <w:left w:w="29" w:type="dxa"/>
              <w:right w:w="29" w:type="dxa"/>
            </w:tcMar>
            <w:vAlign w:val="center"/>
          </w:tcPr>
          <w:p w14:paraId="4ED02085" w14:textId="4421131A" w:rsidR="0039653E" w:rsidRPr="00C214EB" w:rsidRDefault="0039653E" w:rsidP="0039653E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217C6F47" w14:textId="5BFDFB7E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POD0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3DC5ABEB" w14:textId="2E164EFD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0.923 ± 0.279</w:t>
            </w:r>
          </w:p>
        </w:tc>
        <w:tc>
          <w:tcPr>
            <w:tcW w:w="629" w:type="dxa"/>
            <w:tcMar>
              <w:left w:w="29" w:type="dxa"/>
              <w:right w:w="29" w:type="dxa"/>
            </w:tcMar>
            <w:vAlign w:val="center"/>
          </w:tcPr>
          <w:p w14:paraId="636127E4" w14:textId="77F5246E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0.390 - 1.284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3EA3ABD2" w14:textId="4DD6FBF5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0.179 ± 0.057</w:t>
            </w:r>
          </w:p>
        </w:tc>
        <w:tc>
          <w:tcPr>
            <w:tcW w:w="589" w:type="dxa"/>
            <w:tcMar>
              <w:left w:w="29" w:type="dxa"/>
              <w:right w:w="29" w:type="dxa"/>
            </w:tcMar>
            <w:vAlign w:val="center"/>
          </w:tcPr>
          <w:p w14:paraId="020509EE" w14:textId="3A072BB2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0.117 - 0.278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5E64994F" w14:textId="1DD5F826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0.219 ± 0.11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E336E8D" w14:textId="7A4FB45A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0.06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- 0.455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503F4818" w14:textId="70324DC8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0.058 ± 0.02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2D9DBB8" w14:textId="5A613045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0.025 - 0.094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450A7580" w14:textId="0417F84A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1.381 ± 0.324</w:t>
            </w:r>
          </w:p>
        </w:tc>
        <w:tc>
          <w:tcPr>
            <w:tcW w:w="625" w:type="dxa"/>
            <w:tcMar>
              <w:left w:w="29" w:type="dxa"/>
              <w:right w:w="29" w:type="dxa"/>
            </w:tcMar>
            <w:vAlign w:val="center"/>
          </w:tcPr>
          <w:p w14:paraId="6E8A0D02" w14:textId="274B22CC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0.800 - 1.896</w:t>
            </w:r>
          </w:p>
        </w:tc>
      </w:tr>
      <w:tr w:rsidR="0039653E" w:rsidRPr="00C214EB" w14:paraId="0D8B4C61" w14:textId="4121F0F3" w:rsidTr="00633C75">
        <w:trPr>
          <w:trHeight w:val="449"/>
        </w:trPr>
        <w:tc>
          <w:tcPr>
            <w:tcW w:w="614" w:type="dxa"/>
            <w:vMerge/>
            <w:tcMar>
              <w:left w:w="29" w:type="dxa"/>
              <w:right w:w="29" w:type="dxa"/>
            </w:tcMar>
            <w:vAlign w:val="center"/>
          </w:tcPr>
          <w:p w14:paraId="537D5B68" w14:textId="39F458ED" w:rsidR="0039653E" w:rsidRPr="00C214EB" w:rsidRDefault="0039653E" w:rsidP="0039653E">
            <w:pPr>
              <w:widowControl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0B289627" w14:textId="11D24CE9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POD1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2F1502D4" w14:textId="5B589271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1.003 ± 0.34 </w:t>
            </w:r>
          </w:p>
        </w:tc>
        <w:tc>
          <w:tcPr>
            <w:tcW w:w="629" w:type="dxa"/>
            <w:tcMar>
              <w:left w:w="29" w:type="dxa"/>
              <w:right w:w="29" w:type="dxa"/>
            </w:tcMar>
            <w:vAlign w:val="center"/>
          </w:tcPr>
          <w:p w14:paraId="541A3C62" w14:textId="12839363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0.600 - 1.784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279C0AB7" w14:textId="5317D1A2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0.193 ± 0.097</w:t>
            </w:r>
          </w:p>
        </w:tc>
        <w:tc>
          <w:tcPr>
            <w:tcW w:w="589" w:type="dxa"/>
            <w:tcMar>
              <w:left w:w="29" w:type="dxa"/>
              <w:right w:w="29" w:type="dxa"/>
            </w:tcMar>
            <w:vAlign w:val="center"/>
          </w:tcPr>
          <w:p w14:paraId="2C01BBB2" w14:textId="458EB9BC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0.110 - 0.446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26588EBD" w14:textId="78D5317A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0.23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± 0.13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E894F4B" w14:textId="42EAA01D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0.04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- 0.47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526F16AA" w14:textId="6DE421EF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0.071 ± 0.03</w:t>
            </w:r>
            <w:r w:rsidR="003C2CBD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366258E" w14:textId="0470F329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0.023 - 0.117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70BCF22E" w14:textId="2489851C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1.504 ± 0.39</w:t>
            </w:r>
            <w:r w:rsidR="008E7748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625" w:type="dxa"/>
            <w:tcMar>
              <w:left w:w="29" w:type="dxa"/>
              <w:right w:w="29" w:type="dxa"/>
            </w:tcMar>
            <w:vAlign w:val="center"/>
          </w:tcPr>
          <w:p w14:paraId="4E25716B" w14:textId="64791B06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0.88</w:t>
            </w:r>
            <w:r w:rsidR="008E7748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- 2.195</w:t>
            </w:r>
          </w:p>
        </w:tc>
      </w:tr>
      <w:tr w:rsidR="0039653E" w:rsidRPr="00C214EB" w14:paraId="45916AF0" w14:textId="0D7CF93B" w:rsidTr="00633C75">
        <w:trPr>
          <w:trHeight w:val="530"/>
        </w:trPr>
        <w:tc>
          <w:tcPr>
            <w:tcW w:w="614" w:type="dxa"/>
            <w:vMerge w:val="restart"/>
            <w:tcMar>
              <w:left w:w="29" w:type="dxa"/>
              <w:right w:w="29" w:type="dxa"/>
            </w:tcMar>
            <w:textDirection w:val="btLr"/>
            <w:vAlign w:val="center"/>
          </w:tcPr>
          <w:p w14:paraId="33FDD15F" w14:textId="14D492D8" w:rsidR="0039653E" w:rsidRPr="00C214EB" w:rsidRDefault="0039653E" w:rsidP="0039653E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Crystalloid prime (n=12)</w:t>
            </w: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2B5602D4" w14:textId="7A18971C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Pre-Op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1DB74646" w14:textId="6FF6E8C4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1.047 ± 0.517</w:t>
            </w:r>
          </w:p>
        </w:tc>
        <w:tc>
          <w:tcPr>
            <w:tcW w:w="629" w:type="dxa"/>
            <w:tcMar>
              <w:left w:w="29" w:type="dxa"/>
              <w:right w:w="29" w:type="dxa"/>
            </w:tcMar>
            <w:vAlign w:val="center"/>
          </w:tcPr>
          <w:p w14:paraId="1B0FBB4E" w14:textId="5CBA0784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0.546 - 2.201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3089A293" w14:textId="3B671C5B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0.244 ± 0.197</w:t>
            </w:r>
          </w:p>
        </w:tc>
        <w:tc>
          <w:tcPr>
            <w:tcW w:w="589" w:type="dxa"/>
            <w:tcMar>
              <w:left w:w="29" w:type="dxa"/>
              <w:right w:w="29" w:type="dxa"/>
            </w:tcMar>
            <w:vAlign w:val="center"/>
          </w:tcPr>
          <w:p w14:paraId="2B443BA8" w14:textId="4F18EFFD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 xml:space="preserve"> 0.09</w:t>
            </w:r>
            <w:r w:rsidR="00A571B2">
              <w:rPr>
                <w:rFonts w:ascii="Arial" w:hAnsi="Arial" w:cs="Arial"/>
                <w:sz w:val="17"/>
                <w:szCs w:val="17"/>
              </w:rPr>
              <w:t>5</w:t>
            </w:r>
            <w:r w:rsidRPr="0039653E">
              <w:rPr>
                <w:rFonts w:ascii="Arial" w:hAnsi="Arial" w:cs="Arial"/>
                <w:sz w:val="17"/>
                <w:szCs w:val="17"/>
              </w:rPr>
              <w:t xml:space="preserve"> - 0.74</w:t>
            </w:r>
            <w:r w:rsidR="00A571B2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7FC76A89" w14:textId="34C3DA6B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0.086 ± 0.06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5DBEBDCC" w14:textId="49B61744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0.008 - 0.22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4FDDC07C" w14:textId="5E337ACE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0.042 ± 0.019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5C7FE75" w14:textId="5B013D62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0.02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- 0.087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7221088C" w14:textId="4AC43F0A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1.419 ± 0.646</w:t>
            </w:r>
          </w:p>
        </w:tc>
        <w:tc>
          <w:tcPr>
            <w:tcW w:w="625" w:type="dxa"/>
            <w:tcMar>
              <w:left w:w="29" w:type="dxa"/>
              <w:right w:w="29" w:type="dxa"/>
            </w:tcMar>
            <w:vAlign w:val="center"/>
          </w:tcPr>
          <w:p w14:paraId="0E71FA5E" w14:textId="150E976A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0.772 - 2.795</w:t>
            </w:r>
          </w:p>
        </w:tc>
      </w:tr>
      <w:tr w:rsidR="0039653E" w:rsidRPr="00C214EB" w14:paraId="15FCF156" w14:textId="459EA8E3" w:rsidTr="00633C75">
        <w:trPr>
          <w:trHeight w:val="440"/>
        </w:trPr>
        <w:tc>
          <w:tcPr>
            <w:tcW w:w="614" w:type="dxa"/>
            <w:vMerge/>
            <w:tcMar>
              <w:left w:w="29" w:type="dxa"/>
              <w:right w:w="29" w:type="dxa"/>
            </w:tcMar>
            <w:vAlign w:val="center"/>
          </w:tcPr>
          <w:p w14:paraId="76C05D97" w14:textId="76CB8AFA" w:rsidR="0039653E" w:rsidRPr="00C214EB" w:rsidRDefault="0039653E" w:rsidP="0039653E">
            <w:pPr>
              <w:widowControl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4CD352FB" w14:textId="1C69F579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POD0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62233B07" w14:textId="0CBF3E1E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0.988 ± 0.635</w:t>
            </w:r>
          </w:p>
        </w:tc>
        <w:tc>
          <w:tcPr>
            <w:tcW w:w="629" w:type="dxa"/>
            <w:tcMar>
              <w:left w:w="29" w:type="dxa"/>
              <w:right w:w="29" w:type="dxa"/>
            </w:tcMar>
            <w:vAlign w:val="center"/>
          </w:tcPr>
          <w:p w14:paraId="7C9C5F32" w14:textId="5A9AB442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0.536 - 2.427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376DF241" w14:textId="39110DF3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1.304 ± 1.241 </w:t>
            </w:r>
          </w:p>
        </w:tc>
        <w:tc>
          <w:tcPr>
            <w:tcW w:w="589" w:type="dxa"/>
            <w:tcMar>
              <w:left w:w="29" w:type="dxa"/>
              <w:right w:w="29" w:type="dxa"/>
            </w:tcMar>
            <w:vAlign w:val="center"/>
          </w:tcPr>
          <w:p w14:paraId="75DF0D67" w14:textId="00201B9B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0.11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- 3.800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142FDC58" w14:textId="3AB8A483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0.36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± 0.30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5B3E5EC9" w14:textId="58989884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0.040 - 1.111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4D02DE0A" w14:textId="0357B33F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0.096 ± 0.06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FAB4B0D" w14:textId="3AB0DB8E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0.031 - 0.259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78724F47" w14:textId="278BF07A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2.751 ± 1.956</w:t>
            </w:r>
          </w:p>
        </w:tc>
        <w:tc>
          <w:tcPr>
            <w:tcW w:w="625" w:type="dxa"/>
            <w:tcMar>
              <w:left w:w="29" w:type="dxa"/>
              <w:right w:w="29" w:type="dxa"/>
            </w:tcMar>
            <w:vAlign w:val="center"/>
          </w:tcPr>
          <w:p w14:paraId="72C1E3E7" w14:textId="6BD37600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0.772 - 6.089</w:t>
            </w:r>
          </w:p>
        </w:tc>
      </w:tr>
      <w:tr w:rsidR="0039653E" w:rsidRPr="00C214EB" w14:paraId="52A02A6B" w14:textId="13511426" w:rsidTr="00633C75">
        <w:trPr>
          <w:trHeight w:val="494"/>
        </w:trPr>
        <w:tc>
          <w:tcPr>
            <w:tcW w:w="614" w:type="dxa"/>
            <w:vMerge/>
            <w:tcMar>
              <w:left w:w="29" w:type="dxa"/>
              <w:right w:w="29" w:type="dxa"/>
            </w:tcMar>
            <w:vAlign w:val="center"/>
          </w:tcPr>
          <w:p w14:paraId="23C32093" w14:textId="4D5C3423" w:rsidR="0039653E" w:rsidRPr="00663C61" w:rsidRDefault="0039653E" w:rsidP="0039653E">
            <w:pPr>
              <w:widowControl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0FC560F3" w14:textId="27FAF6CE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POD1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222510F0" w14:textId="5AF40CA1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 xml:space="preserve"> 0.809 ± 0.174</w:t>
            </w:r>
          </w:p>
        </w:tc>
        <w:tc>
          <w:tcPr>
            <w:tcW w:w="629" w:type="dxa"/>
            <w:tcMar>
              <w:left w:w="29" w:type="dxa"/>
              <w:right w:w="29" w:type="dxa"/>
            </w:tcMar>
            <w:vAlign w:val="center"/>
          </w:tcPr>
          <w:p w14:paraId="030785AF" w14:textId="59038301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0.542 - 1.174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0872B694" w14:textId="71A9AABA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0.220 ± 0.086</w:t>
            </w:r>
          </w:p>
        </w:tc>
        <w:tc>
          <w:tcPr>
            <w:tcW w:w="589" w:type="dxa"/>
            <w:tcMar>
              <w:left w:w="29" w:type="dxa"/>
              <w:right w:w="29" w:type="dxa"/>
            </w:tcMar>
            <w:vAlign w:val="center"/>
          </w:tcPr>
          <w:p w14:paraId="168B0615" w14:textId="3EA9DB45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0.119 - 0.378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1F0EB064" w14:textId="19BD481E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0.13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± 0.06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C1A2E0B" w14:textId="6563112F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0.02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- 0.246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494CA423" w14:textId="2FAED433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0.048 ± 0.02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54E1E775" w14:textId="1399B54A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0.017 - 0.099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5B6D4DA0" w14:textId="65B3417D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1.216 ± 0.167</w:t>
            </w:r>
          </w:p>
        </w:tc>
        <w:tc>
          <w:tcPr>
            <w:tcW w:w="625" w:type="dxa"/>
            <w:tcMar>
              <w:left w:w="29" w:type="dxa"/>
              <w:right w:w="29" w:type="dxa"/>
            </w:tcMar>
            <w:vAlign w:val="center"/>
          </w:tcPr>
          <w:p w14:paraId="287EB9C4" w14:textId="346C7150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0.9</w:t>
            </w:r>
            <w:r w:rsidR="008E7748">
              <w:rPr>
                <w:rFonts w:ascii="Arial" w:hAnsi="Arial" w:cs="Arial"/>
                <w:color w:val="000000"/>
                <w:sz w:val="17"/>
                <w:szCs w:val="17"/>
              </w:rPr>
              <w:t>90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- 1.535</w:t>
            </w:r>
          </w:p>
        </w:tc>
      </w:tr>
      <w:tr w:rsidR="0039653E" w:rsidRPr="00C214EB" w14:paraId="5EF8A7CD" w14:textId="20A96461" w:rsidTr="00633C75">
        <w:trPr>
          <w:trHeight w:val="530"/>
        </w:trPr>
        <w:tc>
          <w:tcPr>
            <w:tcW w:w="614" w:type="dxa"/>
            <w:vMerge w:val="restart"/>
            <w:tcMar>
              <w:left w:w="29" w:type="dxa"/>
              <w:right w:w="29" w:type="dxa"/>
            </w:tcMar>
            <w:textDirection w:val="btLr"/>
            <w:vAlign w:val="center"/>
          </w:tcPr>
          <w:p w14:paraId="65882C47" w14:textId="634F3715" w:rsidR="0039653E" w:rsidRPr="00663C61" w:rsidRDefault="0039653E" w:rsidP="0039653E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Crystalloid+FFP prime (n=9)</w:t>
            </w: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341795BB" w14:textId="3110E55A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Pre-Op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07D7FD08" w14:textId="5F9550B5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1.216 ± 0.727</w:t>
            </w:r>
          </w:p>
        </w:tc>
        <w:tc>
          <w:tcPr>
            <w:tcW w:w="629" w:type="dxa"/>
            <w:tcMar>
              <w:left w:w="29" w:type="dxa"/>
              <w:right w:w="29" w:type="dxa"/>
            </w:tcMar>
            <w:vAlign w:val="center"/>
          </w:tcPr>
          <w:p w14:paraId="0412C412" w14:textId="4797E0B9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0.733 - 3.131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42A1E7A8" w14:textId="0ED98E51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0.277 ± 0.29</w:t>
            </w:r>
            <w:r w:rsidR="00995FFD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89" w:type="dxa"/>
            <w:tcMar>
              <w:left w:w="29" w:type="dxa"/>
              <w:right w:w="29" w:type="dxa"/>
            </w:tcMar>
            <w:vAlign w:val="center"/>
          </w:tcPr>
          <w:p w14:paraId="1DF42213" w14:textId="63D62CCB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0.069 - 1.031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1A47D809" w14:textId="23475298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0.05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± 0.01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5B148F55" w14:textId="4D3B4B5D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0.033 - 0.073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1C60A4F7" w14:textId="6CE3AEBA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0.038 ± 0.02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EC3ED31" w14:textId="091B65D6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0.017 - 0.07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5DA0051D" w14:textId="7FD453B4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1.585 ± 1.008</w:t>
            </w:r>
          </w:p>
        </w:tc>
        <w:tc>
          <w:tcPr>
            <w:tcW w:w="625" w:type="dxa"/>
            <w:tcMar>
              <w:left w:w="29" w:type="dxa"/>
              <w:right w:w="29" w:type="dxa"/>
            </w:tcMar>
            <w:vAlign w:val="center"/>
          </w:tcPr>
          <w:p w14:paraId="1D7C9E5A" w14:textId="30B603BE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1.017 - 4.245</w:t>
            </w:r>
          </w:p>
        </w:tc>
      </w:tr>
      <w:tr w:rsidR="0039653E" w:rsidRPr="00C214EB" w14:paraId="16D5917F" w14:textId="50D3B69D" w:rsidTr="00633C75">
        <w:trPr>
          <w:trHeight w:val="494"/>
        </w:trPr>
        <w:tc>
          <w:tcPr>
            <w:tcW w:w="614" w:type="dxa"/>
            <w:vMerge/>
            <w:tcMar>
              <w:left w:w="29" w:type="dxa"/>
              <w:right w:w="29" w:type="dxa"/>
            </w:tcMar>
            <w:vAlign w:val="center"/>
          </w:tcPr>
          <w:p w14:paraId="044A4555" w14:textId="361BE8E8" w:rsidR="0039653E" w:rsidRPr="00663C61" w:rsidRDefault="0039653E" w:rsidP="0039653E">
            <w:pPr>
              <w:widowControl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305289E6" w14:textId="703B6BCF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POD0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698102FC" w14:textId="7E460FE2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1.430 ± 0.545</w:t>
            </w:r>
          </w:p>
        </w:tc>
        <w:tc>
          <w:tcPr>
            <w:tcW w:w="629" w:type="dxa"/>
            <w:tcMar>
              <w:left w:w="29" w:type="dxa"/>
              <w:right w:w="29" w:type="dxa"/>
            </w:tcMar>
            <w:vAlign w:val="center"/>
          </w:tcPr>
          <w:p w14:paraId="155C73DD" w14:textId="289500C2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0.803 - 2.497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510FACB7" w14:textId="12623428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1.585 ± 1.270</w:t>
            </w:r>
          </w:p>
        </w:tc>
        <w:tc>
          <w:tcPr>
            <w:tcW w:w="589" w:type="dxa"/>
            <w:tcMar>
              <w:left w:w="29" w:type="dxa"/>
              <w:right w:w="29" w:type="dxa"/>
            </w:tcMar>
            <w:vAlign w:val="center"/>
          </w:tcPr>
          <w:p w14:paraId="5ED06338" w14:textId="6D1367CA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0.36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- 4.653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5E395386" w14:textId="6748DC7F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1.075 ± 0.63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32135FD" w14:textId="148E3619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0.27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- 2.037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5BCFB014" w14:textId="6E468D7D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0.285 ± 0.204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3086D326" w14:textId="1255CC95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0.049 - 0.72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639BF7AF" w14:textId="0F9C1C40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4.375 ± 1.642</w:t>
            </w:r>
          </w:p>
        </w:tc>
        <w:tc>
          <w:tcPr>
            <w:tcW w:w="625" w:type="dxa"/>
            <w:tcMar>
              <w:left w:w="29" w:type="dxa"/>
              <w:right w:w="29" w:type="dxa"/>
            </w:tcMar>
            <w:vAlign w:val="center"/>
          </w:tcPr>
          <w:p w14:paraId="65118FA8" w14:textId="51BA52C9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1.643 - 6.573</w:t>
            </w:r>
          </w:p>
        </w:tc>
      </w:tr>
      <w:tr w:rsidR="0039653E" w:rsidRPr="00C214EB" w14:paraId="46171B8E" w14:textId="6DC10C13" w:rsidTr="00633C75">
        <w:trPr>
          <w:trHeight w:val="647"/>
        </w:trPr>
        <w:tc>
          <w:tcPr>
            <w:tcW w:w="614" w:type="dxa"/>
            <w:vMerge/>
            <w:tcMar>
              <w:left w:w="29" w:type="dxa"/>
              <w:right w:w="29" w:type="dxa"/>
            </w:tcMar>
            <w:vAlign w:val="center"/>
          </w:tcPr>
          <w:p w14:paraId="1A3B6F0F" w14:textId="0387A615" w:rsidR="0039653E" w:rsidRPr="00663C61" w:rsidRDefault="0039653E" w:rsidP="0039653E">
            <w:pPr>
              <w:widowControl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75205595" w14:textId="32A3D44B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POD1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74802BBD" w14:textId="60DC5307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1.038 ± 0.398</w:t>
            </w:r>
          </w:p>
        </w:tc>
        <w:tc>
          <w:tcPr>
            <w:tcW w:w="629" w:type="dxa"/>
            <w:tcMar>
              <w:left w:w="29" w:type="dxa"/>
              <w:right w:w="29" w:type="dxa"/>
            </w:tcMar>
            <w:vAlign w:val="center"/>
          </w:tcPr>
          <w:p w14:paraId="741AE02D" w14:textId="3D68AFF1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0.611 - 1.774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7DFB5A5F" w14:textId="30FADCB8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0.252 ± 0.052</w:t>
            </w:r>
          </w:p>
        </w:tc>
        <w:tc>
          <w:tcPr>
            <w:tcW w:w="589" w:type="dxa"/>
            <w:tcMar>
              <w:left w:w="29" w:type="dxa"/>
              <w:right w:w="29" w:type="dxa"/>
            </w:tcMar>
            <w:vAlign w:val="center"/>
          </w:tcPr>
          <w:p w14:paraId="42354C6B" w14:textId="317DD46C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0.172 - 0.312 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189108FE" w14:textId="4FA7D9CD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0.21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± 0.112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869FAD0" w14:textId="3CD60E06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0.06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- 0.37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05FB579F" w14:textId="36BE78F1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0.05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± 0.02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416EBDE4" w14:textId="4A958837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0.0303 - 0.08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6E2EEDC8" w14:textId="3A9FEF8D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1.563 ± 0.41</w:t>
            </w:r>
            <w:r w:rsidR="008E7748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625" w:type="dxa"/>
            <w:tcMar>
              <w:left w:w="29" w:type="dxa"/>
              <w:right w:w="29" w:type="dxa"/>
            </w:tcMar>
            <w:vAlign w:val="center"/>
          </w:tcPr>
          <w:p w14:paraId="21F93242" w14:textId="7406BCC9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1.008 - 2.093</w:t>
            </w:r>
          </w:p>
        </w:tc>
      </w:tr>
      <w:tr w:rsidR="0039653E" w:rsidRPr="00C214EB" w14:paraId="5F3C0095" w14:textId="7009E378" w:rsidTr="00633C75">
        <w:trPr>
          <w:trHeight w:val="530"/>
        </w:trPr>
        <w:tc>
          <w:tcPr>
            <w:tcW w:w="614" w:type="dxa"/>
            <w:vMerge w:val="restart"/>
            <w:tcMar>
              <w:left w:w="29" w:type="dxa"/>
              <w:right w:w="29" w:type="dxa"/>
            </w:tcMar>
            <w:textDirection w:val="btLr"/>
            <w:vAlign w:val="center"/>
          </w:tcPr>
          <w:p w14:paraId="7F88DE24" w14:textId="6A187EE1" w:rsidR="0039653E" w:rsidRPr="00663C61" w:rsidRDefault="0039653E" w:rsidP="0039653E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RBC-based prime (n=90)</w:t>
            </w: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40BEF6D3" w14:textId="31F1DB7A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Pre-Op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790FDE48" w14:textId="72524B62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1.293 ± 1.506</w:t>
            </w:r>
          </w:p>
        </w:tc>
        <w:tc>
          <w:tcPr>
            <w:tcW w:w="629" w:type="dxa"/>
            <w:tcMar>
              <w:left w:w="29" w:type="dxa"/>
              <w:right w:w="29" w:type="dxa"/>
            </w:tcMar>
            <w:vAlign w:val="center"/>
          </w:tcPr>
          <w:p w14:paraId="70CF63FE" w14:textId="4FE3254A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0.156 - 11.31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21282F93" w14:textId="22F243EE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0.435 ± 1.317</w:t>
            </w:r>
          </w:p>
        </w:tc>
        <w:tc>
          <w:tcPr>
            <w:tcW w:w="589" w:type="dxa"/>
            <w:tcMar>
              <w:left w:w="29" w:type="dxa"/>
              <w:right w:w="29" w:type="dxa"/>
            </w:tcMar>
            <w:vAlign w:val="center"/>
          </w:tcPr>
          <w:p w14:paraId="44D0F8B0" w14:textId="2FA09654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0.057 - 11.73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5D0E36FF" w14:textId="29C04D80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0.14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± 0.27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004F0B3A" w14:textId="629C24E7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0.01</w:t>
            </w:r>
            <w:r w:rsidR="00A571B2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- 1.882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0DC3922A" w14:textId="2BAD45A0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0.09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± 0.24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198513D9" w14:textId="733E7402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0.01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- 2.336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5468424F" w14:textId="28F13E6E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1.962 ± 2.558</w:t>
            </w:r>
          </w:p>
        </w:tc>
        <w:tc>
          <w:tcPr>
            <w:tcW w:w="625" w:type="dxa"/>
            <w:tcMar>
              <w:left w:w="29" w:type="dxa"/>
              <w:right w:w="29" w:type="dxa"/>
            </w:tcMar>
            <w:vAlign w:val="center"/>
          </w:tcPr>
          <w:p w14:paraId="46685619" w14:textId="4FA6A7B8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0.34</w:t>
            </w:r>
            <w:r w:rsidR="008E7748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- 16.92</w:t>
            </w:r>
          </w:p>
        </w:tc>
      </w:tr>
      <w:tr w:rsidR="0039653E" w:rsidRPr="00C214EB" w14:paraId="2E3944EE" w14:textId="2BBBDF51" w:rsidTr="00633C75">
        <w:trPr>
          <w:trHeight w:val="557"/>
        </w:trPr>
        <w:tc>
          <w:tcPr>
            <w:tcW w:w="614" w:type="dxa"/>
            <w:vMerge/>
            <w:tcMar>
              <w:left w:w="29" w:type="dxa"/>
              <w:right w:w="29" w:type="dxa"/>
            </w:tcMar>
            <w:vAlign w:val="center"/>
          </w:tcPr>
          <w:p w14:paraId="1BEF30F8" w14:textId="2FB813ED" w:rsidR="0039653E" w:rsidRPr="00663C61" w:rsidRDefault="0039653E" w:rsidP="0039653E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42364F98" w14:textId="267DA519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POD0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38984838" w14:textId="5A22E4FD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3.790 ± 2.240</w:t>
            </w:r>
          </w:p>
        </w:tc>
        <w:tc>
          <w:tcPr>
            <w:tcW w:w="629" w:type="dxa"/>
            <w:tcMar>
              <w:left w:w="29" w:type="dxa"/>
              <w:right w:w="29" w:type="dxa"/>
            </w:tcMar>
            <w:vAlign w:val="center"/>
          </w:tcPr>
          <w:p w14:paraId="4517698E" w14:textId="32F21BCC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0.863 - 9.979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64658E5D" w14:textId="585CE111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5.118 ± 4.372</w:t>
            </w:r>
          </w:p>
        </w:tc>
        <w:tc>
          <w:tcPr>
            <w:tcW w:w="589" w:type="dxa"/>
            <w:tcMar>
              <w:left w:w="29" w:type="dxa"/>
              <w:right w:w="29" w:type="dxa"/>
            </w:tcMar>
            <w:vAlign w:val="center"/>
          </w:tcPr>
          <w:p w14:paraId="23F3BAFB" w14:textId="3EB3DDA5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0.720 - 20.28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6868B79F" w14:textId="0DB9AFCE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1.850 ± 1.463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A6140E3" w14:textId="1B40A2FD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0.221 - 8.092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61A7EB24" w14:textId="1DECAB6B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0.644 ± 0.428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294449BF" w14:textId="3DF563F7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0.127 - 2.305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18E0AC8B" w14:textId="49F4DCB3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11.40 ± 6.194</w:t>
            </w:r>
          </w:p>
        </w:tc>
        <w:tc>
          <w:tcPr>
            <w:tcW w:w="625" w:type="dxa"/>
            <w:tcMar>
              <w:left w:w="29" w:type="dxa"/>
              <w:right w:w="29" w:type="dxa"/>
            </w:tcMar>
            <w:vAlign w:val="center"/>
          </w:tcPr>
          <w:p w14:paraId="6172DEEC" w14:textId="36DC768A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2.437 - 31.57</w:t>
            </w:r>
          </w:p>
        </w:tc>
      </w:tr>
      <w:tr w:rsidR="0039653E" w:rsidRPr="00C214EB" w14:paraId="5FEC70F0" w14:textId="77777777" w:rsidTr="00633C75">
        <w:trPr>
          <w:trHeight w:val="530"/>
        </w:trPr>
        <w:tc>
          <w:tcPr>
            <w:tcW w:w="614" w:type="dxa"/>
            <w:vMerge/>
            <w:tcMar>
              <w:left w:w="29" w:type="dxa"/>
              <w:right w:w="29" w:type="dxa"/>
            </w:tcMar>
            <w:vAlign w:val="center"/>
          </w:tcPr>
          <w:p w14:paraId="46A8C40D" w14:textId="77777777" w:rsidR="0039653E" w:rsidRPr="00663C61" w:rsidRDefault="0039653E" w:rsidP="0039653E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5375F3F9" w14:textId="0CB58227" w:rsidR="0039653E" w:rsidRPr="0039653E" w:rsidRDefault="0039653E" w:rsidP="00633C75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9653E">
              <w:rPr>
                <w:rFonts w:ascii="Arial" w:hAnsi="Arial" w:cs="Arial"/>
                <w:sz w:val="17"/>
                <w:szCs w:val="17"/>
              </w:rPr>
              <w:t>POD1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6F1D7BB5" w14:textId="07B79774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1.360 ± 0.8962</w:t>
            </w:r>
          </w:p>
        </w:tc>
        <w:tc>
          <w:tcPr>
            <w:tcW w:w="629" w:type="dxa"/>
            <w:tcMar>
              <w:left w:w="29" w:type="dxa"/>
              <w:right w:w="29" w:type="dxa"/>
            </w:tcMar>
            <w:vAlign w:val="center"/>
          </w:tcPr>
          <w:p w14:paraId="591FD04E" w14:textId="2AD6CCFA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0.461 - 7.712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vAlign w:val="center"/>
          </w:tcPr>
          <w:p w14:paraId="34871C6D" w14:textId="7E3334D8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1.781 ± 3.640</w:t>
            </w:r>
          </w:p>
        </w:tc>
        <w:tc>
          <w:tcPr>
            <w:tcW w:w="589" w:type="dxa"/>
            <w:tcMar>
              <w:left w:w="29" w:type="dxa"/>
              <w:right w:w="29" w:type="dxa"/>
            </w:tcMar>
            <w:vAlign w:val="center"/>
          </w:tcPr>
          <w:p w14:paraId="3E5A3E24" w14:textId="24235631" w:rsidR="0039653E" w:rsidRPr="0039653E" w:rsidRDefault="00CC6F3E" w:rsidP="00633C7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C6F3E">
              <w:rPr>
                <w:rFonts w:ascii="Arial" w:hAnsi="Arial" w:cs="Arial"/>
                <w:color w:val="000000"/>
                <w:sz w:val="17"/>
                <w:szCs w:val="17"/>
              </w:rPr>
              <w:t>0.127 - 26.15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270EBBED" w14:textId="279A2277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1.257 ± 1.185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7B4C4C8F" w14:textId="7BB2BC4C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0.035 - 6.545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39220582" w14:textId="56EC9547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0.44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± 0.548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14:paraId="693A13EE" w14:textId="5BF91A94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0.0</w:t>
            </w:r>
            <w:r w:rsidR="003C2CBD"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- 2.478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14:paraId="741B8B24" w14:textId="51C39798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4.839 ± 4.984</w:t>
            </w:r>
          </w:p>
        </w:tc>
        <w:tc>
          <w:tcPr>
            <w:tcW w:w="625" w:type="dxa"/>
            <w:tcMar>
              <w:left w:w="29" w:type="dxa"/>
              <w:right w:w="29" w:type="dxa"/>
            </w:tcMar>
            <w:vAlign w:val="center"/>
          </w:tcPr>
          <w:p w14:paraId="5FB5E3AE" w14:textId="7382B0A8" w:rsidR="0039653E" w:rsidRPr="0039653E" w:rsidRDefault="0039653E" w:rsidP="00633C75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>0.99</w:t>
            </w:r>
            <w:r w:rsidR="008E7748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39653E">
              <w:rPr>
                <w:rFonts w:ascii="Arial" w:hAnsi="Arial" w:cs="Arial"/>
                <w:color w:val="000000"/>
                <w:sz w:val="17"/>
                <w:szCs w:val="17"/>
              </w:rPr>
              <w:t xml:space="preserve"> - 33.08</w:t>
            </w:r>
          </w:p>
        </w:tc>
      </w:tr>
    </w:tbl>
    <w:p w14:paraId="3AD9C616" w14:textId="77777777" w:rsidR="00037321" w:rsidRPr="00037321" w:rsidRDefault="00037321" w:rsidP="001E2821">
      <w:pPr>
        <w:rPr>
          <w:rFonts w:ascii="Arial" w:hAnsi="Arial" w:cs="Arial"/>
        </w:rPr>
      </w:pPr>
    </w:p>
    <w:sectPr w:rsidR="00037321" w:rsidRPr="00037321" w:rsidSect="00F450A1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918D" w14:textId="77777777" w:rsidR="001D32BB" w:rsidRDefault="001D32BB" w:rsidP="00F450A1">
      <w:pPr>
        <w:spacing w:after="0" w:line="240" w:lineRule="auto"/>
      </w:pPr>
      <w:r>
        <w:separator/>
      </w:r>
    </w:p>
  </w:endnote>
  <w:endnote w:type="continuationSeparator" w:id="0">
    <w:p w14:paraId="7C711C3F" w14:textId="77777777" w:rsidR="001D32BB" w:rsidRDefault="001D32BB" w:rsidP="00F4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2206" w14:textId="77777777" w:rsidR="001D32BB" w:rsidRDefault="001D32BB" w:rsidP="00F450A1">
      <w:pPr>
        <w:spacing w:after="0" w:line="240" w:lineRule="auto"/>
      </w:pPr>
      <w:r>
        <w:separator/>
      </w:r>
    </w:p>
  </w:footnote>
  <w:footnote w:type="continuationSeparator" w:id="0">
    <w:p w14:paraId="4EE028E7" w14:textId="77777777" w:rsidR="001D32BB" w:rsidRDefault="001D32BB" w:rsidP="00F4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C544" w14:textId="77777777" w:rsidR="00F450A1" w:rsidRPr="00F450A1" w:rsidRDefault="00F450A1" w:rsidP="00F450A1">
    <w:pPr>
      <w:pStyle w:val="Header"/>
      <w:rPr>
        <w:rFonts w:ascii="Arial" w:hAnsi="Arial" w:cs="Arial"/>
        <w:b/>
        <w:bCs/>
      </w:rPr>
    </w:pPr>
    <w:r w:rsidRPr="00F450A1">
      <w:rPr>
        <w:rFonts w:ascii="Arial" w:hAnsi="Arial" w:cs="Arial"/>
        <w:b/>
        <w:bCs/>
      </w:rPr>
      <w:t>Supplement</w:t>
    </w:r>
  </w:p>
  <w:p w14:paraId="4E579113" w14:textId="77777777" w:rsidR="00F450A1" w:rsidRDefault="00F450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CE"/>
    <w:rsid w:val="00024061"/>
    <w:rsid w:val="00037321"/>
    <w:rsid w:val="00066AF7"/>
    <w:rsid w:val="0007529B"/>
    <w:rsid w:val="000858A3"/>
    <w:rsid w:val="001D32BB"/>
    <w:rsid w:val="001E2821"/>
    <w:rsid w:val="00203AAF"/>
    <w:rsid w:val="00275E0D"/>
    <w:rsid w:val="002A6DF6"/>
    <w:rsid w:val="002C6882"/>
    <w:rsid w:val="002D4EEA"/>
    <w:rsid w:val="00327BCD"/>
    <w:rsid w:val="003537E7"/>
    <w:rsid w:val="0039653E"/>
    <w:rsid w:val="003C2CBD"/>
    <w:rsid w:val="004115C6"/>
    <w:rsid w:val="004537E7"/>
    <w:rsid w:val="00504DDB"/>
    <w:rsid w:val="00516390"/>
    <w:rsid w:val="005215DF"/>
    <w:rsid w:val="00525089"/>
    <w:rsid w:val="00596B91"/>
    <w:rsid w:val="005B1BA3"/>
    <w:rsid w:val="005B7730"/>
    <w:rsid w:val="005D0F46"/>
    <w:rsid w:val="00633C75"/>
    <w:rsid w:val="0067088A"/>
    <w:rsid w:val="00682EE5"/>
    <w:rsid w:val="006E1C70"/>
    <w:rsid w:val="00762D2C"/>
    <w:rsid w:val="007B486F"/>
    <w:rsid w:val="008939D9"/>
    <w:rsid w:val="008C1BC1"/>
    <w:rsid w:val="008E7748"/>
    <w:rsid w:val="009148D1"/>
    <w:rsid w:val="00985D92"/>
    <w:rsid w:val="00995FFD"/>
    <w:rsid w:val="009E589E"/>
    <w:rsid w:val="00A34E17"/>
    <w:rsid w:val="00A571B2"/>
    <w:rsid w:val="00A62644"/>
    <w:rsid w:val="00A92497"/>
    <w:rsid w:val="00B77422"/>
    <w:rsid w:val="00BB1B84"/>
    <w:rsid w:val="00BE2772"/>
    <w:rsid w:val="00C633A4"/>
    <w:rsid w:val="00CC6F3E"/>
    <w:rsid w:val="00CF51B0"/>
    <w:rsid w:val="00CF60AE"/>
    <w:rsid w:val="00D06BCE"/>
    <w:rsid w:val="00D10598"/>
    <w:rsid w:val="00D20533"/>
    <w:rsid w:val="00D22DAC"/>
    <w:rsid w:val="00D75633"/>
    <w:rsid w:val="00D940B8"/>
    <w:rsid w:val="00E4564D"/>
    <w:rsid w:val="00E677C7"/>
    <w:rsid w:val="00E973AD"/>
    <w:rsid w:val="00F02F98"/>
    <w:rsid w:val="00F24D3A"/>
    <w:rsid w:val="00F4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169A"/>
  <w15:chartTrackingRefBased/>
  <w15:docId w15:val="{406BB4D6-A571-49F3-973F-2E11A306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BC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A1"/>
  </w:style>
  <w:style w:type="paragraph" w:styleId="Footer">
    <w:name w:val="footer"/>
    <w:basedOn w:val="Normal"/>
    <w:link w:val="FooterChar"/>
    <w:uiPriority w:val="99"/>
    <w:unhideWhenUsed/>
    <w:rsid w:val="00F4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A1"/>
  </w:style>
  <w:style w:type="table" w:styleId="TableGrid">
    <w:name w:val="Table Grid"/>
    <w:basedOn w:val="TableNormal"/>
    <w:uiPriority w:val="39"/>
    <w:rsid w:val="0006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F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2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394377E5243C8967DEC0648F1C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2C61-B3B3-4F70-A4A4-E9CAB1E233AE}"/>
      </w:docPartPr>
      <w:docPartBody>
        <w:p w:rsidR="00054F33" w:rsidRDefault="008B3DFF" w:rsidP="008B3DFF">
          <w:pPr>
            <w:pStyle w:val="D19394377E5243C8967DEC0648F1CA02"/>
          </w:pPr>
          <w:r w:rsidRPr="00DF19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FF"/>
    <w:rsid w:val="00054F33"/>
    <w:rsid w:val="00110BF4"/>
    <w:rsid w:val="001A6F4D"/>
    <w:rsid w:val="003076DB"/>
    <w:rsid w:val="00487DE9"/>
    <w:rsid w:val="004F140F"/>
    <w:rsid w:val="00556337"/>
    <w:rsid w:val="005A65B8"/>
    <w:rsid w:val="007B793E"/>
    <w:rsid w:val="008B3DFF"/>
    <w:rsid w:val="00B64476"/>
    <w:rsid w:val="00C80808"/>
    <w:rsid w:val="00D25B86"/>
    <w:rsid w:val="00E430D3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DFF"/>
    <w:rPr>
      <w:color w:val="808080"/>
    </w:rPr>
  </w:style>
  <w:style w:type="paragraph" w:customStyle="1" w:styleId="D19394377E5243C8967DEC0648F1CA02">
    <w:name w:val="D19394377E5243C8967DEC0648F1CA02"/>
    <w:rsid w:val="008B3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Guerrelli, Devon</dc:creator>
  <cp:keywords/>
  <dc:description/>
  <cp:lastModifiedBy>nikki posnack</cp:lastModifiedBy>
  <cp:revision>3</cp:revision>
  <dcterms:created xsi:type="dcterms:W3CDTF">2023-04-03T21:00:00Z</dcterms:created>
  <dcterms:modified xsi:type="dcterms:W3CDTF">2023-04-05T18:45:00Z</dcterms:modified>
</cp:coreProperties>
</file>