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E7B95" w14:textId="34827412" w:rsidR="00922E84" w:rsidRPr="00A97761" w:rsidRDefault="00922E84" w:rsidP="009F3504">
      <w:pPr>
        <w:spacing w:after="0" w:line="240" w:lineRule="auto"/>
        <w:rPr>
          <w:rFonts w:ascii="Arial" w:hAnsi="Arial" w:cs="Arial"/>
          <w:b/>
          <w:bCs/>
          <w:sz w:val="20"/>
          <w:szCs w:val="20"/>
        </w:rPr>
      </w:pPr>
      <w:r w:rsidRPr="00A97761">
        <w:rPr>
          <w:rFonts w:ascii="Arial" w:hAnsi="Arial" w:cs="Arial"/>
          <w:b/>
          <w:bCs/>
          <w:sz w:val="20"/>
          <w:szCs w:val="20"/>
        </w:rPr>
        <w:t>Materials and Methods</w:t>
      </w:r>
    </w:p>
    <w:p w14:paraId="53B45541" w14:textId="77777777" w:rsidR="00922E84" w:rsidRPr="00A97761" w:rsidRDefault="00922E84" w:rsidP="009F3504">
      <w:pPr>
        <w:spacing w:after="0" w:line="240" w:lineRule="auto"/>
        <w:rPr>
          <w:rFonts w:ascii="Arial" w:hAnsi="Arial" w:cs="Arial"/>
          <w:b/>
          <w:bCs/>
          <w:sz w:val="20"/>
          <w:szCs w:val="20"/>
          <w:u w:val="single"/>
        </w:rPr>
      </w:pPr>
    </w:p>
    <w:p w14:paraId="3AE33D0B" w14:textId="2D4AD15C" w:rsidR="009F3504" w:rsidRPr="00A97761" w:rsidRDefault="009F3504" w:rsidP="009F3504">
      <w:pPr>
        <w:spacing w:after="0" w:line="240" w:lineRule="auto"/>
        <w:rPr>
          <w:rFonts w:ascii="Arial" w:hAnsi="Arial" w:cs="Arial"/>
          <w:b/>
          <w:bCs/>
          <w:sz w:val="20"/>
          <w:szCs w:val="20"/>
        </w:rPr>
      </w:pPr>
      <w:r w:rsidRPr="00A97761">
        <w:rPr>
          <w:rFonts w:ascii="Arial" w:hAnsi="Arial" w:cs="Arial"/>
          <w:b/>
          <w:bCs/>
          <w:sz w:val="20"/>
          <w:szCs w:val="20"/>
        </w:rPr>
        <w:t>Assessing the Impact of Stimulus Intensity on Frequency-Position Map</w:t>
      </w:r>
    </w:p>
    <w:p w14:paraId="3AA9B07A" w14:textId="77777777" w:rsidR="009F3504" w:rsidRPr="00A97761" w:rsidRDefault="009F3504" w:rsidP="009F3504">
      <w:pPr>
        <w:spacing w:after="0" w:line="240" w:lineRule="auto"/>
        <w:jc w:val="both"/>
        <w:rPr>
          <w:rFonts w:ascii="Arial" w:hAnsi="Arial" w:cs="Arial"/>
          <w:sz w:val="20"/>
          <w:szCs w:val="20"/>
        </w:rPr>
      </w:pPr>
      <w:r w:rsidRPr="00A97761">
        <w:rPr>
          <w:rFonts w:ascii="Arial" w:hAnsi="Arial" w:cs="Arial"/>
          <w:sz w:val="20"/>
          <w:szCs w:val="20"/>
        </w:rPr>
        <w:t xml:space="preserve">The influence of stimulus intensity on cochlear frequency tuning was examined through electrophysiological recordings in 22 subjects, which included twenty from the initial pool of 50 subjects and two with auditory neuropathy spectrum disorder. After identifying the BF electrode at the highest intensity stimulus (determined by the speaker's limit) for a specific frequency, we reduced the stimulus intensity in 5-dB increments. We conducted these measurements at the BF electrode and the adjacent electrodes to ascertain whether a decrease in stimulus intensity would lead to an apical or basal shift of the BF. For these measurements, a single sweep was </w:t>
      </w:r>
      <w:proofErr w:type="gramStart"/>
      <w:r w:rsidRPr="00A97761">
        <w:rPr>
          <w:rFonts w:ascii="Arial" w:hAnsi="Arial" w:cs="Arial"/>
          <w:sz w:val="20"/>
          <w:szCs w:val="20"/>
        </w:rPr>
        <w:t>performed</w:t>
      </w:r>
      <w:proofErr w:type="gramEnd"/>
      <w:r w:rsidRPr="00A97761">
        <w:rPr>
          <w:rFonts w:ascii="Arial" w:hAnsi="Arial" w:cs="Arial"/>
          <w:sz w:val="20"/>
          <w:szCs w:val="20"/>
        </w:rPr>
        <w:t xml:space="preserve"> and the noise floor was set at ~1.0 </w:t>
      </w:r>
      <w:proofErr w:type="spellStart"/>
      <w:r w:rsidRPr="00A97761">
        <w:rPr>
          <w:rFonts w:ascii="Arial" w:hAnsi="Arial" w:cs="Arial"/>
          <w:sz w:val="20"/>
          <w:szCs w:val="20"/>
        </w:rPr>
        <w:t>μV</w:t>
      </w:r>
      <w:proofErr w:type="spellEnd"/>
      <w:r w:rsidRPr="00A97761">
        <w:rPr>
          <w:rFonts w:ascii="Arial" w:hAnsi="Arial" w:cs="Arial"/>
          <w:sz w:val="20"/>
          <w:szCs w:val="20"/>
        </w:rPr>
        <w:t>. All other parameters related to stimulus and recording, including signal processing, were identical to the procedure described earlier.</w:t>
      </w:r>
    </w:p>
    <w:p w14:paraId="1AE41E3A" w14:textId="77777777" w:rsidR="009F3504" w:rsidRPr="00A97761" w:rsidRDefault="009F3504" w:rsidP="009F3504">
      <w:pPr>
        <w:spacing w:after="0" w:line="240" w:lineRule="auto"/>
        <w:jc w:val="both"/>
        <w:rPr>
          <w:rFonts w:ascii="Arial" w:hAnsi="Arial" w:cs="Arial"/>
          <w:sz w:val="20"/>
          <w:szCs w:val="20"/>
        </w:rPr>
      </w:pPr>
      <w:r w:rsidRPr="00A97761">
        <w:rPr>
          <w:rFonts w:ascii="Arial" w:hAnsi="Arial" w:cs="Arial"/>
          <w:sz w:val="20"/>
          <w:szCs w:val="20"/>
        </w:rPr>
        <w:tab/>
      </w:r>
      <w:proofErr w:type="gramStart"/>
      <w:r w:rsidRPr="00A97761">
        <w:rPr>
          <w:rFonts w:ascii="Arial" w:hAnsi="Arial" w:cs="Arial"/>
          <w:sz w:val="20"/>
          <w:szCs w:val="20"/>
        </w:rPr>
        <w:t>In order to</w:t>
      </w:r>
      <w:proofErr w:type="gramEnd"/>
      <w:r w:rsidRPr="00A97761">
        <w:rPr>
          <w:rFonts w:ascii="Arial" w:hAnsi="Arial" w:cs="Arial"/>
          <w:sz w:val="20"/>
          <w:szCs w:val="20"/>
        </w:rPr>
        <w:t xml:space="preserve"> model the effects of stimulus intensity changes on BF place in a cochlea with significantly preserved hair cell function, we selected two patients with auditory neuropathy spectrum disorder. These patients exhibited both present distortion-product otoacoustic emissions (DPOAEs) between 2 and 8 kHz and auditory brainstem response waveforms characteristic of a CM with absent neural waveforms. Post electrode array placement, measurements were taken across every electrode along the array at high-intensity (~90 dB HL, conversation-level intensity (~70 dB HL), and near threshold (~20-30 dB HL) for five stimulus frequencies (500-, 1000-, 2000-, 3000, and 4000-Hz). For these subjects, thirty sweeps were performed, and the CM tuning curves were generated for varying intensities and frequencies.</w:t>
      </w:r>
    </w:p>
    <w:p w14:paraId="3C684BBF" w14:textId="77777777" w:rsidR="009F3504" w:rsidRPr="00A97761" w:rsidRDefault="009F3504" w:rsidP="009F3504">
      <w:pPr>
        <w:spacing w:after="0" w:line="240" w:lineRule="auto"/>
        <w:jc w:val="both"/>
        <w:rPr>
          <w:rFonts w:ascii="Arial" w:hAnsi="Arial" w:cs="Arial"/>
          <w:sz w:val="20"/>
          <w:szCs w:val="20"/>
        </w:rPr>
      </w:pPr>
    </w:p>
    <w:p w14:paraId="082EAC77" w14:textId="77777777" w:rsidR="009F3504" w:rsidRPr="00A97761" w:rsidRDefault="009F3504" w:rsidP="009F3504">
      <w:pPr>
        <w:spacing w:after="0" w:line="240" w:lineRule="auto"/>
        <w:rPr>
          <w:rFonts w:ascii="Arial" w:hAnsi="Arial" w:cs="Arial"/>
          <w:b/>
          <w:bCs/>
          <w:sz w:val="20"/>
          <w:szCs w:val="20"/>
        </w:rPr>
      </w:pPr>
      <w:r w:rsidRPr="00A97761">
        <w:rPr>
          <w:rFonts w:ascii="Arial" w:hAnsi="Arial" w:cs="Arial"/>
          <w:b/>
          <w:bCs/>
          <w:sz w:val="20"/>
          <w:szCs w:val="20"/>
        </w:rPr>
        <w:t>Examining Pitch Discrimination with Electrode Array</w:t>
      </w:r>
    </w:p>
    <w:p w14:paraId="019B0F0D" w14:textId="77777777" w:rsidR="009F3504" w:rsidRPr="00A97761" w:rsidRDefault="009F3504" w:rsidP="009F3504">
      <w:pPr>
        <w:spacing w:after="0" w:line="240" w:lineRule="auto"/>
        <w:jc w:val="both"/>
        <w:rPr>
          <w:rFonts w:ascii="Arial" w:hAnsi="Arial" w:cs="Arial"/>
          <w:sz w:val="20"/>
          <w:szCs w:val="20"/>
        </w:rPr>
      </w:pPr>
      <w:proofErr w:type="gramStart"/>
      <w:r w:rsidRPr="00A97761">
        <w:rPr>
          <w:rFonts w:ascii="Arial" w:hAnsi="Arial" w:cs="Arial"/>
          <w:sz w:val="20"/>
          <w:szCs w:val="20"/>
        </w:rPr>
        <w:t>In order to</w:t>
      </w:r>
      <w:proofErr w:type="gramEnd"/>
      <w:r w:rsidRPr="00A97761">
        <w:rPr>
          <w:rFonts w:ascii="Arial" w:hAnsi="Arial" w:cs="Arial"/>
          <w:sz w:val="20"/>
          <w:szCs w:val="20"/>
        </w:rPr>
        <w:t xml:space="preserve"> investigate the electrode's influence on the frequency-position map, we conducted acoustic pitch-discrimination comparisons between ears in two subjects with unilateral cochlear implants. The cochlear implant processor was not utilized during this part of the test. Both subjects had been implanted for less than six months and had preserved residual hearing in the implanted ear after the operation (postoperative low-frequency pure tone average of 125-, 250-, and 500-Hz &lt;60 dB HL). Furthermore, both subjects had comparable residual hearing in the non-implanted ear.</w:t>
      </w:r>
    </w:p>
    <w:p w14:paraId="349D1394" w14:textId="77777777" w:rsidR="009F3504" w:rsidRPr="00A97761" w:rsidRDefault="009F3504" w:rsidP="009F3504">
      <w:pPr>
        <w:spacing w:after="0" w:line="240" w:lineRule="auto"/>
        <w:ind w:firstLine="720"/>
        <w:jc w:val="both"/>
        <w:rPr>
          <w:rFonts w:ascii="Arial" w:hAnsi="Arial" w:cs="Arial"/>
          <w:sz w:val="20"/>
          <w:szCs w:val="20"/>
        </w:rPr>
      </w:pPr>
      <w:r w:rsidRPr="00A97761">
        <w:rPr>
          <w:rFonts w:ascii="Arial" w:hAnsi="Arial" w:cs="Arial"/>
          <w:sz w:val="20"/>
          <w:szCs w:val="20"/>
        </w:rPr>
        <w:t xml:space="preserve">Each participant attended two sessions, with a minimum interval of two weeks between them. Each session lasted approximately two hours and took place in a double-walled sound booth. Audiometric air conduction thresholds ranging from 250 Hz to 8 kHz were recorded using insert earphones for each ear. We first balanced the loudness of the acoustic stimuli at the tested frequency between ears, employing a seven-point loudness scale ranging from inaudible to uncomfortably loud </w:t>
      </w:r>
      <w:r w:rsidRPr="00A97761">
        <w:rPr>
          <w:rFonts w:ascii="Arial" w:hAnsi="Arial" w:cs="Arial"/>
          <w:sz w:val="20"/>
          <w:szCs w:val="20"/>
        </w:rPr>
        <w:fldChar w:fldCharType="begin"/>
      </w:r>
      <w:r w:rsidRPr="00A97761">
        <w:rPr>
          <w:rFonts w:ascii="Arial" w:hAnsi="Arial" w:cs="Arial"/>
          <w:sz w:val="20"/>
          <w:szCs w:val="20"/>
        </w:rPr>
        <w:instrText xml:space="preserve"> ADDIN EN.CITE &lt;EndNote&gt;&lt;Cite&gt;&lt;Author&gt;Blamey&lt;/Author&gt;&lt;Year&gt;2009&lt;/Year&gt;&lt;RecNum&gt;88&lt;/RecNum&gt;&lt;DisplayText&gt;(29)&lt;/DisplayText&gt;&lt;record&gt;&lt;rec-number&gt;88&lt;/rec-number&gt;&lt;foreign-keys&gt;&lt;key app="EN" db-id="t2s9pzwzs20pwveptrqxz0fzw9zztf9stete" timestamp="1671186995"&gt;88&lt;/key&gt;&lt;/foreign-keys&gt;&lt;ref-type name="Journal Article"&gt;17&lt;/ref-type&gt;&lt;contributors&gt;&lt;authors&gt;&lt;author&gt;Blamey, P. J.&lt;/author&gt;&lt;author&gt;Martin, L. F.&lt;/author&gt;&lt;/authors&gt;&lt;/contributors&gt;&lt;auth-address&gt;Dynamic Hearing Pty Ltd, Richmond, Victoria, Australia. pblamey@dynamichearing.com.au&lt;/auth-address&gt;&lt;titles&gt;&lt;title&gt;Loudness and satisfaction ratings for hearing aid users&lt;/title&gt;&lt;secondary-title&gt;J Am Acad Audiol&lt;/secondary-title&gt;&lt;/titles&gt;&lt;periodical&gt;&lt;full-title&gt;J Am Acad Audiol&lt;/full-title&gt;&lt;/periodical&gt;&lt;pages&gt;272-82&lt;/pages&gt;&lt;volume&gt;20&lt;/volume&gt;&lt;number&gt;4&lt;/number&gt;&lt;edition&gt;2009/11/26&lt;/edition&gt;&lt;keywords&gt;&lt;keyword&gt;Adult&lt;/keyword&gt;&lt;keyword&gt;Aged&lt;/keyword&gt;&lt;keyword&gt;Aged, 80 and over&lt;/keyword&gt;&lt;keyword&gt;*Hearing Aids&lt;/keyword&gt;&lt;keyword&gt;Humans&lt;/keyword&gt;&lt;keyword&gt;Loudness Perception&lt;/keyword&gt;&lt;keyword&gt;Middle Aged&lt;/keyword&gt;&lt;keyword&gt;*Patient Satisfaction&lt;/keyword&gt;&lt;/keywords&gt;&lt;dates&gt;&lt;year&gt;2009&lt;/year&gt;&lt;pub-dates&gt;&lt;date&gt;Apr&lt;/date&gt;&lt;/pub-dates&gt;&lt;/dates&gt;&lt;isbn&gt;1050-0545 (Print)&amp;#xD;1050-0545&lt;/isbn&gt;&lt;accession-num&gt;19927699&lt;/accession-num&gt;&lt;urls&gt;&lt;/urls&gt;&lt;electronic-resource-num&gt;10.3766/jaaa.20.4.7&lt;/electronic-resource-num&gt;&lt;remote-database-provider&gt;NLM&lt;/remote-database-provider&gt;&lt;language&gt;eng&lt;/language&gt;&lt;/record&gt;&lt;/Cite&gt;&lt;/EndNote&gt;</w:instrText>
      </w:r>
      <w:r w:rsidRPr="00A97761">
        <w:rPr>
          <w:rFonts w:ascii="Arial" w:hAnsi="Arial" w:cs="Arial"/>
          <w:sz w:val="20"/>
          <w:szCs w:val="20"/>
        </w:rPr>
        <w:fldChar w:fldCharType="separate"/>
      </w:r>
      <w:r w:rsidRPr="00A97761">
        <w:rPr>
          <w:rFonts w:ascii="Arial" w:hAnsi="Arial" w:cs="Arial"/>
          <w:noProof/>
          <w:sz w:val="20"/>
          <w:szCs w:val="20"/>
        </w:rPr>
        <w:t>(29)</w:t>
      </w:r>
      <w:r w:rsidRPr="00A97761">
        <w:rPr>
          <w:rFonts w:ascii="Arial" w:hAnsi="Arial" w:cs="Arial"/>
          <w:sz w:val="20"/>
          <w:szCs w:val="20"/>
        </w:rPr>
        <w:fldChar w:fldCharType="end"/>
      </w:r>
      <w:r w:rsidRPr="00A97761">
        <w:rPr>
          <w:rFonts w:ascii="Arial" w:hAnsi="Arial" w:cs="Arial"/>
          <w:sz w:val="20"/>
          <w:szCs w:val="20"/>
        </w:rPr>
        <w:t>. This allowed us to confirm that the stimulus intensity was comfortable for both ears. Subsequently, we kept the stimulus intensity of the non-implanted ear constant at a comfortable level, while adjusting the acoustic stimulus intensity of the implanted ear in 5-dB and then 1-dB increments to pinpoint the exact stimulus level at which the tone sounded similar in both ears. This process was repeated three times for each frequency tested (250-, 500-, 1000-Hz), and we used the median value for the pitch-discrimination part of the test.</w:t>
      </w:r>
    </w:p>
    <w:p w14:paraId="0904F4E7" w14:textId="77777777" w:rsidR="009F3504" w:rsidRPr="00A97761" w:rsidRDefault="009F3504" w:rsidP="009F3504">
      <w:pPr>
        <w:spacing w:after="0" w:line="240" w:lineRule="auto"/>
        <w:ind w:firstLine="720"/>
        <w:jc w:val="both"/>
        <w:rPr>
          <w:rFonts w:ascii="Arial" w:hAnsi="Arial" w:cs="Arial"/>
          <w:sz w:val="20"/>
          <w:szCs w:val="20"/>
        </w:rPr>
      </w:pPr>
      <w:r w:rsidRPr="00A97761">
        <w:rPr>
          <w:rFonts w:ascii="Arial" w:hAnsi="Arial" w:cs="Arial"/>
          <w:sz w:val="20"/>
          <w:szCs w:val="20"/>
        </w:rPr>
        <w:t xml:space="preserve">After achieving loudness balance at a comfortable level, we kept the tested frequency (250-, 500-, 1000-Hz) constant in the non-implant ear, while presenting the implant ear with acoustic pure tones that spanned 2 octaves from the non-implant ear's constant frequency, in a randomized order. A total of 80 individual presentations of various pure tones were made. The subject was then asked to specify whether the pitches presented to each ear separately sounded 'same' or 'different'. We defined outliers as instances where the subject's response deviated from the other four responses, an occurrence often attributed to fatigue in pitch-discrimination testing </w:t>
      </w:r>
      <w:r w:rsidRPr="00A97761">
        <w:rPr>
          <w:rFonts w:ascii="Arial" w:hAnsi="Arial" w:cs="Arial"/>
          <w:sz w:val="20"/>
          <w:szCs w:val="20"/>
        </w:rPr>
        <w:fldChar w:fldCharType="begin"/>
      </w:r>
      <w:r w:rsidRPr="00A97761">
        <w:rPr>
          <w:rFonts w:ascii="Arial" w:hAnsi="Arial" w:cs="Arial"/>
          <w:sz w:val="20"/>
          <w:szCs w:val="20"/>
        </w:rPr>
        <w:instrText xml:space="preserve"> ADDIN EN.CITE &lt;EndNote&gt;&lt;Cite&gt;&lt;Author&gt;Elliott&lt;/Author&gt;&lt;Year&gt;1964&lt;/Year&gt;&lt;RecNum&gt;93&lt;/RecNum&gt;&lt;DisplayText&gt;(45)&lt;/DisplayText&gt;&lt;record&gt;&lt;rec-number&gt;93&lt;/rec-number&gt;&lt;foreign-keys&gt;&lt;key app="EN" db-id="t2s9pzwzs20pwveptrqxz0fzw9zztf9stete" timestamp="1678626029"&gt;93&lt;/key&gt;&lt;/foreign-keys&gt;&lt;ref-type name="Journal Article"&gt;17&lt;/ref-type&gt;&lt;contributors&gt;&lt;authors&gt;&lt;author&gt;Elliott, D. N.&lt;/author&gt;&lt;author&gt;Sheposh, J.&lt;/author&gt;&lt;author&gt;Frazier, L.&lt;/author&gt;&lt;/authors&gt;&lt;/contributors&gt;&lt;titles&gt;&lt;title&gt;Effect of Monaural Fatigue upon Pitch Matching and Discrimination&lt;/title&gt;&lt;secondary-title&gt;The Journal of the Acoustical Society of America&lt;/secondary-title&gt;&lt;/titles&gt;&lt;periodical&gt;&lt;full-title&gt;The Journal of the Acoustical Society of America&lt;/full-title&gt;&lt;/periodical&gt;&lt;pages&gt;752-756&lt;/pages&gt;&lt;volume&gt;36&lt;/volume&gt;&lt;number&gt;4&lt;/number&gt;&lt;dates&gt;&lt;year&gt;1964&lt;/year&gt;&lt;pub-dates&gt;&lt;date&gt;1964/04/01&lt;/date&gt;&lt;/pub-dates&gt;&lt;/dates&gt;&lt;publisher&gt;Acoustical Society of America&lt;/publisher&gt;&lt;isbn&gt;0001-4966&lt;/isbn&gt;&lt;urls&gt;&lt;related-urls&gt;&lt;url&gt;https://doi.org/10.1121/1.1919061&lt;/url&gt;&lt;/related-urls&gt;&lt;/urls&gt;&lt;electronic-resource-num&gt;10.1121/1.1919061&lt;/electronic-resource-num&gt;&lt;access-date&gt;2023/03/12&lt;/access-date&gt;&lt;/record&gt;&lt;/Cite&gt;&lt;/EndNote&gt;</w:instrText>
      </w:r>
      <w:r w:rsidRPr="00A97761">
        <w:rPr>
          <w:rFonts w:ascii="Arial" w:hAnsi="Arial" w:cs="Arial"/>
          <w:sz w:val="20"/>
          <w:szCs w:val="20"/>
        </w:rPr>
        <w:fldChar w:fldCharType="separate"/>
      </w:r>
      <w:r w:rsidRPr="00A97761">
        <w:rPr>
          <w:rFonts w:ascii="Arial" w:hAnsi="Arial" w:cs="Arial"/>
          <w:noProof/>
          <w:sz w:val="20"/>
          <w:szCs w:val="20"/>
        </w:rPr>
        <w:t>(45)</w:t>
      </w:r>
      <w:r w:rsidRPr="00A97761">
        <w:rPr>
          <w:rFonts w:ascii="Arial" w:hAnsi="Arial" w:cs="Arial"/>
          <w:sz w:val="20"/>
          <w:szCs w:val="20"/>
        </w:rPr>
        <w:fldChar w:fldCharType="end"/>
      </w:r>
      <w:r w:rsidRPr="00A97761">
        <w:rPr>
          <w:rFonts w:ascii="Arial" w:hAnsi="Arial" w:cs="Arial"/>
          <w:sz w:val="20"/>
          <w:szCs w:val="20"/>
        </w:rPr>
        <w:t>. This procedure was repeated in a separate session, but this time, the implant ear frequency remained constant while the non-implant ear frequency was varied.</w:t>
      </w:r>
    </w:p>
    <w:p w14:paraId="1E34029F" w14:textId="77777777" w:rsidR="009F3504" w:rsidRPr="00A97761" w:rsidRDefault="009F3504" w:rsidP="009F3504">
      <w:pPr>
        <w:spacing w:after="0" w:line="240" w:lineRule="auto"/>
        <w:ind w:firstLine="720"/>
        <w:jc w:val="both"/>
        <w:rPr>
          <w:rFonts w:ascii="Arial" w:hAnsi="Arial" w:cs="Arial"/>
          <w:sz w:val="20"/>
          <w:szCs w:val="20"/>
        </w:rPr>
      </w:pPr>
    </w:p>
    <w:p w14:paraId="4C554E89" w14:textId="77777777" w:rsidR="009F3504" w:rsidRPr="00A97761" w:rsidRDefault="009F3504" w:rsidP="009F3504">
      <w:pPr>
        <w:spacing w:after="0" w:line="240" w:lineRule="auto"/>
        <w:rPr>
          <w:rFonts w:ascii="Arial" w:hAnsi="Arial" w:cs="Arial"/>
          <w:b/>
          <w:bCs/>
          <w:sz w:val="20"/>
          <w:szCs w:val="20"/>
        </w:rPr>
      </w:pPr>
      <w:r w:rsidRPr="00A97761">
        <w:rPr>
          <w:rFonts w:ascii="Arial" w:hAnsi="Arial" w:cs="Arial"/>
          <w:b/>
          <w:bCs/>
          <w:sz w:val="20"/>
          <w:szCs w:val="20"/>
        </w:rPr>
        <w:t>Assessing the Impact of a Third Window on the Frequency-Position Map</w:t>
      </w:r>
    </w:p>
    <w:p w14:paraId="7FB2CBE0" w14:textId="77777777" w:rsidR="009F3504" w:rsidRPr="00A97761" w:rsidRDefault="009F3504" w:rsidP="009F3504">
      <w:pPr>
        <w:spacing w:after="0" w:line="240" w:lineRule="auto"/>
        <w:jc w:val="both"/>
        <w:rPr>
          <w:rFonts w:ascii="Arial" w:hAnsi="Arial" w:cs="Arial"/>
          <w:sz w:val="20"/>
          <w:szCs w:val="20"/>
        </w:rPr>
      </w:pPr>
      <w:r w:rsidRPr="00A97761">
        <w:rPr>
          <w:rFonts w:ascii="Arial" w:hAnsi="Arial" w:cs="Arial"/>
          <w:sz w:val="20"/>
          <w:szCs w:val="20"/>
        </w:rPr>
        <w:t xml:space="preserve">Previous </w:t>
      </w:r>
      <w:r w:rsidRPr="00A97761">
        <w:rPr>
          <w:rFonts w:ascii="Arial" w:hAnsi="Arial" w:cs="Arial"/>
          <w:i/>
          <w:iCs/>
          <w:sz w:val="20"/>
          <w:szCs w:val="20"/>
        </w:rPr>
        <w:t>in vitro</w:t>
      </w:r>
      <w:r w:rsidRPr="00A97761">
        <w:rPr>
          <w:rFonts w:ascii="Arial" w:hAnsi="Arial" w:cs="Arial"/>
          <w:sz w:val="20"/>
          <w:szCs w:val="20"/>
        </w:rPr>
        <w:t xml:space="preserve"> studies investigating tonotopy, including those conducted by von </w:t>
      </w:r>
      <w:proofErr w:type="spellStart"/>
      <w:r w:rsidRPr="00A97761">
        <w:rPr>
          <w:rFonts w:ascii="Arial" w:hAnsi="Arial" w:cs="Arial"/>
          <w:sz w:val="20"/>
          <w:szCs w:val="20"/>
        </w:rPr>
        <w:t>Békésy</w:t>
      </w:r>
      <w:proofErr w:type="spellEnd"/>
      <w:r w:rsidRPr="00A97761">
        <w:rPr>
          <w:rFonts w:ascii="Arial" w:hAnsi="Arial" w:cs="Arial"/>
          <w:sz w:val="20"/>
          <w:szCs w:val="20"/>
        </w:rPr>
        <w:t xml:space="preserve">, have utilized a fenestration of the cochlear lumen for direct observation or recording of the traveling wave. However, the potential influence of this artifact on the frequency-position map remains unexplored. To assess the effect of a third window on electrophysiologic recordings, we conducted a study involving a human subject with excellent residual hearing. This subject was undergoing a </w:t>
      </w:r>
      <w:proofErr w:type="spellStart"/>
      <w:r w:rsidRPr="00A97761">
        <w:rPr>
          <w:rFonts w:ascii="Arial" w:hAnsi="Arial" w:cs="Arial"/>
          <w:sz w:val="20"/>
          <w:szCs w:val="20"/>
        </w:rPr>
        <w:t>translabyrinthine</w:t>
      </w:r>
      <w:proofErr w:type="spellEnd"/>
      <w:r w:rsidRPr="00A97761">
        <w:rPr>
          <w:rFonts w:ascii="Arial" w:hAnsi="Arial" w:cs="Arial"/>
          <w:sz w:val="20"/>
          <w:szCs w:val="20"/>
        </w:rPr>
        <w:t xml:space="preserve"> craniotomy, a procedure that intentionally destroys residual hearing, for the removal of a vestibular schwannoma.</w:t>
      </w:r>
    </w:p>
    <w:p w14:paraId="09443A54" w14:textId="77777777" w:rsidR="009F3504" w:rsidRPr="00A97761" w:rsidRDefault="009F3504" w:rsidP="009F3504">
      <w:pPr>
        <w:spacing w:after="0" w:line="240" w:lineRule="auto"/>
        <w:ind w:firstLine="720"/>
        <w:jc w:val="both"/>
        <w:rPr>
          <w:rFonts w:ascii="Arial" w:hAnsi="Arial" w:cs="Arial"/>
          <w:sz w:val="20"/>
          <w:szCs w:val="20"/>
        </w:rPr>
      </w:pPr>
      <w:r w:rsidRPr="00A97761">
        <w:rPr>
          <w:rFonts w:ascii="Arial" w:hAnsi="Arial" w:cs="Arial"/>
          <w:sz w:val="20"/>
          <w:szCs w:val="20"/>
        </w:rPr>
        <w:t xml:space="preserve">Before the labyrinthine resection, the cochlea was </w:t>
      </w:r>
      <w:proofErr w:type="gramStart"/>
      <w:r w:rsidRPr="00A97761">
        <w:rPr>
          <w:rFonts w:ascii="Arial" w:hAnsi="Arial" w:cs="Arial"/>
          <w:sz w:val="20"/>
          <w:szCs w:val="20"/>
        </w:rPr>
        <w:t>accessed</w:t>
      </w:r>
      <w:proofErr w:type="gramEnd"/>
      <w:r w:rsidRPr="00A97761">
        <w:rPr>
          <w:rFonts w:ascii="Arial" w:hAnsi="Arial" w:cs="Arial"/>
          <w:sz w:val="20"/>
          <w:szCs w:val="20"/>
        </w:rPr>
        <w:t xml:space="preserve"> and the same type of device as described above was inserted. The BF was identified along the array for stimulus frequencies of 250-, 500-</w:t>
      </w:r>
      <w:r w:rsidRPr="00A97761">
        <w:rPr>
          <w:rFonts w:ascii="Arial" w:hAnsi="Arial" w:cs="Arial"/>
          <w:sz w:val="20"/>
          <w:szCs w:val="20"/>
        </w:rPr>
        <w:lastRenderedPageBreak/>
        <w:t>, 1000-, 2000-, 3000-, and 4000-Hz at the maximum intensity output of the speaker. The signals were processed following the previously described methods. After generating the CM tuning curves, a 1-mm diamond burr was used to create a fenestration near the upper cochlear turns. Subsequently, CM tuning curves were generated again to investigate if the third window had altered the location of the BF. Following these procedures, the implant was removed, and the surgery proceeded without complications. The CM tuning curves were generated for individual frequencies to allow a comparison between pre- and post-fenestration of a third window.</w:t>
      </w:r>
    </w:p>
    <w:p w14:paraId="39237E08" w14:textId="77777777" w:rsidR="000604AE" w:rsidRPr="00A97761" w:rsidRDefault="000604AE">
      <w:pPr>
        <w:rPr>
          <w:rFonts w:ascii="Arial" w:hAnsi="Arial" w:cs="Arial"/>
          <w:sz w:val="20"/>
          <w:szCs w:val="20"/>
        </w:rPr>
      </w:pPr>
    </w:p>
    <w:p w14:paraId="08E440CA" w14:textId="77777777" w:rsidR="00922E84" w:rsidRPr="00A97761" w:rsidRDefault="00922E84">
      <w:pPr>
        <w:rPr>
          <w:rFonts w:ascii="Arial" w:hAnsi="Arial" w:cs="Arial"/>
          <w:sz w:val="20"/>
          <w:szCs w:val="20"/>
        </w:rPr>
      </w:pPr>
    </w:p>
    <w:p w14:paraId="1B7745EC" w14:textId="77777777" w:rsidR="00922E84" w:rsidRPr="00A97761" w:rsidRDefault="00922E84">
      <w:pPr>
        <w:rPr>
          <w:rFonts w:ascii="Arial" w:hAnsi="Arial" w:cs="Arial"/>
          <w:sz w:val="20"/>
          <w:szCs w:val="20"/>
        </w:rPr>
      </w:pPr>
    </w:p>
    <w:p w14:paraId="37A7434A" w14:textId="77777777" w:rsidR="00922E84" w:rsidRPr="00A97761" w:rsidRDefault="00922E84">
      <w:pPr>
        <w:rPr>
          <w:rFonts w:ascii="Arial" w:hAnsi="Arial" w:cs="Arial"/>
          <w:sz w:val="20"/>
          <w:szCs w:val="20"/>
        </w:rPr>
      </w:pPr>
    </w:p>
    <w:p w14:paraId="2C3416A8" w14:textId="77777777" w:rsidR="00922E84" w:rsidRPr="00A97761" w:rsidRDefault="00922E84">
      <w:pPr>
        <w:rPr>
          <w:rFonts w:ascii="Arial" w:hAnsi="Arial" w:cs="Arial"/>
          <w:sz w:val="20"/>
          <w:szCs w:val="20"/>
        </w:rPr>
      </w:pPr>
    </w:p>
    <w:p w14:paraId="2DE94900" w14:textId="77777777" w:rsidR="00922E84" w:rsidRPr="00A97761" w:rsidRDefault="00922E84">
      <w:pPr>
        <w:rPr>
          <w:rFonts w:ascii="Arial" w:hAnsi="Arial" w:cs="Arial"/>
          <w:sz w:val="20"/>
          <w:szCs w:val="20"/>
        </w:rPr>
      </w:pPr>
    </w:p>
    <w:p w14:paraId="06BBE045" w14:textId="5B840988" w:rsidR="00922E84" w:rsidRPr="00A97761" w:rsidRDefault="00A97761" w:rsidP="00A97761">
      <w:pPr>
        <w:rPr>
          <w:rFonts w:ascii="Arial" w:hAnsi="Arial" w:cs="Arial"/>
          <w:sz w:val="20"/>
          <w:szCs w:val="20"/>
        </w:rPr>
      </w:pPr>
      <w:r>
        <w:rPr>
          <w:rFonts w:ascii="Arial" w:hAnsi="Arial" w:cs="Arial"/>
          <w:sz w:val="20"/>
          <w:szCs w:val="20"/>
        </w:rPr>
        <w:br w:type="column"/>
      </w:r>
      <w:r w:rsidR="00922E84" w:rsidRPr="00A97761">
        <w:rPr>
          <w:rFonts w:ascii="Arial" w:hAnsi="Arial" w:cs="Arial"/>
          <w:b/>
          <w:bCs/>
          <w:sz w:val="20"/>
          <w:szCs w:val="20"/>
        </w:rPr>
        <w:lastRenderedPageBreak/>
        <w:t>Supplementary Figures</w:t>
      </w:r>
    </w:p>
    <w:p w14:paraId="70976764" w14:textId="77777777" w:rsidR="00922E84" w:rsidRDefault="00922E84" w:rsidP="00922E84">
      <w:pPr>
        <w:spacing w:line="240" w:lineRule="auto"/>
        <w:rPr>
          <w:rFonts w:ascii="Arial" w:hAnsi="Arial" w:cs="Arial"/>
          <w:b/>
          <w:bCs/>
          <w:sz w:val="20"/>
          <w:szCs w:val="20"/>
        </w:rPr>
      </w:pPr>
      <w:r w:rsidRPr="00A97761">
        <w:rPr>
          <w:rFonts w:ascii="Arial" w:hAnsi="Arial" w:cs="Arial"/>
          <w:b/>
          <w:bCs/>
          <w:noProof/>
          <w:sz w:val="20"/>
          <w:szCs w:val="20"/>
        </w:rPr>
        <w:drawing>
          <wp:inline distT="0" distB="0" distL="0" distR="0" wp14:anchorId="00047AB9" wp14:editId="46E4B7F0">
            <wp:extent cx="5943600" cy="4736465"/>
            <wp:effectExtent l="0" t="0" r="0" b="635"/>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4"/>
                    <a:stretch>
                      <a:fillRect/>
                    </a:stretch>
                  </pic:blipFill>
                  <pic:spPr>
                    <a:xfrm>
                      <a:off x="0" y="0"/>
                      <a:ext cx="5943600" cy="4736465"/>
                    </a:xfrm>
                    <a:prstGeom prst="rect">
                      <a:avLst/>
                    </a:prstGeom>
                  </pic:spPr>
                </pic:pic>
              </a:graphicData>
            </a:graphic>
          </wp:inline>
        </w:drawing>
      </w:r>
    </w:p>
    <w:p w14:paraId="72DE6FAD" w14:textId="5A6F2560" w:rsidR="00A97761" w:rsidRPr="00A97761" w:rsidRDefault="00A97761" w:rsidP="00922E84">
      <w:pPr>
        <w:spacing w:line="240" w:lineRule="auto"/>
        <w:rPr>
          <w:rFonts w:ascii="Arial" w:hAnsi="Arial" w:cs="Arial"/>
          <w:b/>
          <w:bCs/>
          <w:sz w:val="20"/>
          <w:szCs w:val="20"/>
        </w:rPr>
      </w:pPr>
      <w:r w:rsidRPr="00A97761">
        <w:rPr>
          <w:rFonts w:ascii="Arial" w:hAnsi="Arial" w:cs="Arial"/>
          <w:b/>
          <w:bCs/>
          <w:sz w:val="20"/>
          <w:szCs w:val="20"/>
        </w:rPr>
        <w:t>Fig. S1. Stimulus intensity and the frequency-position map, Part A.</w:t>
      </w:r>
      <w:r w:rsidRPr="00A97761">
        <w:rPr>
          <w:rFonts w:ascii="Arial" w:hAnsi="Arial" w:cs="Arial"/>
          <w:sz w:val="20"/>
          <w:szCs w:val="20"/>
        </w:rPr>
        <w:t xml:space="preserve"> The impact of </w:t>
      </w:r>
      <w:proofErr w:type="spellStart"/>
      <w:r w:rsidRPr="00A97761">
        <w:rPr>
          <w:rFonts w:ascii="Arial" w:hAnsi="Arial" w:cs="Arial"/>
          <w:sz w:val="20"/>
          <w:szCs w:val="20"/>
        </w:rPr>
        <w:t>stimulusintensity</w:t>
      </w:r>
      <w:proofErr w:type="spellEnd"/>
      <w:r w:rsidRPr="00A97761">
        <w:rPr>
          <w:rFonts w:ascii="Arial" w:hAnsi="Arial" w:cs="Arial"/>
          <w:sz w:val="20"/>
          <w:szCs w:val="20"/>
        </w:rPr>
        <w:t xml:space="preserve"> on the frequency tuning curve of the cochlea was evaluated in 20 subjects. Once the best frequency (BF) electrode was identified at the highest intensity stimulus (as defined by the limit of the speaker) for a particular frequency, the stimulus intensity was </w:t>
      </w:r>
      <w:proofErr w:type="gramStart"/>
      <w:r w:rsidRPr="00A97761">
        <w:rPr>
          <w:rFonts w:ascii="Arial" w:hAnsi="Arial" w:cs="Arial"/>
          <w:sz w:val="20"/>
          <w:szCs w:val="20"/>
        </w:rPr>
        <w:t>decreased</w:t>
      </w:r>
      <w:proofErr w:type="gramEnd"/>
      <w:r w:rsidRPr="00A97761">
        <w:rPr>
          <w:rFonts w:ascii="Arial" w:hAnsi="Arial" w:cs="Arial"/>
          <w:sz w:val="20"/>
          <w:szCs w:val="20"/>
        </w:rPr>
        <w:t xml:space="preserve"> and measurements were performed at the BF electrode and immediately adjacent electrodes to determine whether there would be an apical shift or basal shift of the BF with decreasing stimulus intensity. The frequency tuning and location of the BF did not shift with decreases in stimulus intensity, albeit responses were limited by the amount of residual hearing which necessitated high stimulus levels, in 20 subjects that we tested.</w:t>
      </w:r>
    </w:p>
    <w:p w14:paraId="7B666D99" w14:textId="77777777" w:rsidR="00922E84" w:rsidRPr="00A97761" w:rsidRDefault="00922E84" w:rsidP="00922E84">
      <w:pPr>
        <w:spacing w:line="240" w:lineRule="auto"/>
        <w:rPr>
          <w:rFonts w:ascii="Arial" w:hAnsi="Arial" w:cs="Arial"/>
          <w:b/>
          <w:bCs/>
          <w:sz w:val="20"/>
          <w:szCs w:val="20"/>
        </w:rPr>
      </w:pPr>
    </w:p>
    <w:p w14:paraId="2387739B" w14:textId="77777777" w:rsidR="00922E84" w:rsidRPr="00A97761" w:rsidRDefault="00922E84" w:rsidP="00922E84">
      <w:pPr>
        <w:spacing w:line="240" w:lineRule="auto"/>
        <w:rPr>
          <w:rFonts w:ascii="Arial" w:hAnsi="Arial" w:cs="Arial"/>
          <w:b/>
          <w:bCs/>
          <w:sz w:val="20"/>
          <w:szCs w:val="20"/>
        </w:rPr>
      </w:pPr>
    </w:p>
    <w:p w14:paraId="1E6ABFE0" w14:textId="77777777" w:rsidR="00922E84" w:rsidRPr="00A97761" w:rsidRDefault="00922E84" w:rsidP="00922E84">
      <w:pPr>
        <w:spacing w:line="240" w:lineRule="auto"/>
        <w:rPr>
          <w:rFonts w:ascii="Arial" w:hAnsi="Arial" w:cs="Arial"/>
          <w:b/>
          <w:bCs/>
          <w:sz w:val="20"/>
          <w:szCs w:val="20"/>
        </w:rPr>
      </w:pPr>
    </w:p>
    <w:p w14:paraId="004FC18E" w14:textId="77777777" w:rsidR="00922E84" w:rsidRPr="00A97761" w:rsidRDefault="00922E84" w:rsidP="00922E84">
      <w:pPr>
        <w:spacing w:line="240" w:lineRule="auto"/>
        <w:rPr>
          <w:rFonts w:ascii="Arial" w:hAnsi="Arial" w:cs="Arial"/>
          <w:b/>
          <w:bCs/>
          <w:sz w:val="20"/>
          <w:szCs w:val="20"/>
        </w:rPr>
      </w:pPr>
    </w:p>
    <w:p w14:paraId="2149298A" w14:textId="43B364E5" w:rsidR="00922E84" w:rsidRPr="00A97761" w:rsidRDefault="00922E84" w:rsidP="00922E84">
      <w:pPr>
        <w:spacing w:line="240" w:lineRule="auto"/>
        <w:rPr>
          <w:rFonts w:ascii="Arial" w:hAnsi="Arial" w:cs="Arial"/>
          <w:b/>
          <w:bCs/>
          <w:sz w:val="20"/>
          <w:szCs w:val="20"/>
        </w:rPr>
      </w:pPr>
    </w:p>
    <w:p w14:paraId="0ECB56C7" w14:textId="77777777" w:rsidR="00922E84" w:rsidRDefault="00922E84" w:rsidP="00922E84">
      <w:pPr>
        <w:spacing w:line="240" w:lineRule="auto"/>
        <w:rPr>
          <w:rFonts w:ascii="Arial" w:hAnsi="Arial" w:cs="Arial"/>
          <w:b/>
          <w:bCs/>
          <w:sz w:val="20"/>
          <w:szCs w:val="20"/>
        </w:rPr>
      </w:pPr>
      <w:r w:rsidRPr="00A97761">
        <w:rPr>
          <w:rFonts w:ascii="Arial" w:hAnsi="Arial" w:cs="Arial"/>
          <w:b/>
          <w:bCs/>
          <w:noProof/>
          <w:sz w:val="20"/>
          <w:szCs w:val="20"/>
        </w:rPr>
        <w:lastRenderedPageBreak/>
        <w:drawing>
          <wp:inline distT="0" distB="0" distL="0" distR="0" wp14:anchorId="4F715CE3" wp14:editId="4B054AFA">
            <wp:extent cx="5943600" cy="4664710"/>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5"/>
                    <a:stretch>
                      <a:fillRect/>
                    </a:stretch>
                  </pic:blipFill>
                  <pic:spPr>
                    <a:xfrm>
                      <a:off x="0" y="0"/>
                      <a:ext cx="5943600" cy="4664710"/>
                    </a:xfrm>
                    <a:prstGeom prst="rect">
                      <a:avLst/>
                    </a:prstGeom>
                  </pic:spPr>
                </pic:pic>
              </a:graphicData>
            </a:graphic>
          </wp:inline>
        </w:drawing>
      </w:r>
    </w:p>
    <w:p w14:paraId="2D9F85D7" w14:textId="01E65D45" w:rsidR="00A97761" w:rsidRPr="00A97761" w:rsidRDefault="00A97761" w:rsidP="00922E84">
      <w:pPr>
        <w:spacing w:line="240" w:lineRule="auto"/>
        <w:rPr>
          <w:rFonts w:ascii="Arial" w:hAnsi="Arial" w:cs="Arial"/>
          <w:b/>
          <w:bCs/>
          <w:sz w:val="20"/>
          <w:szCs w:val="20"/>
        </w:rPr>
      </w:pPr>
      <w:r w:rsidRPr="00A97761">
        <w:rPr>
          <w:rFonts w:ascii="Arial" w:hAnsi="Arial" w:cs="Arial"/>
          <w:b/>
          <w:bCs/>
          <w:sz w:val="20"/>
          <w:szCs w:val="20"/>
        </w:rPr>
        <w:t>Fig. S</w:t>
      </w:r>
      <w:r w:rsidR="001242E6">
        <w:rPr>
          <w:rFonts w:ascii="Arial" w:hAnsi="Arial" w:cs="Arial"/>
          <w:b/>
          <w:bCs/>
          <w:sz w:val="20"/>
          <w:szCs w:val="20"/>
        </w:rPr>
        <w:t>2</w:t>
      </w:r>
      <w:r w:rsidRPr="00A97761">
        <w:rPr>
          <w:rFonts w:ascii="Arial" w:hAnsi="Arial" w:cs="Arial"/>
          <w:b/>
          <w:bCs/>
          <w:sz w:val="20"/>
          <w:szCs w:val="20"/>
        </w:rPr>
        <w:t>. Stimulus intensity and the frequency-position map, Part B</w:t>
      </w:r>
    </w:p>
    <w:p w14:paraId="29CCCC76" w14:textId="77777777" w:rsidR="00922E84" w:rsidRPr="00A97761" w:rsidRDefault="00922E84" w:rsidP="00922E84">
      <w:pPr>
        <w:spacing w:line="240" w:lineRule="auto"/>
        <w:rPr>
          <w:rFonts w:ascii="Arial" w:hAnsi="Arial" w:cs="Arial"/>
          <w:b/>
          <w:bCs/>
          <w:sz w:val="20"/>
          <w:szCs w:val="20"/>
        </w:rPr>
      </w:pPr>
    </w:p>
    <w:p w14:paraId="30CC9F3D" w14:textId="77777777" w:rsidR="00922E84" w:rsidRPr="00A97761" w:rsidRDefault="00922E84" w:rsidP="00922E84">
      <w:pPr>
        <w:spacing w:line="240" w:lineRule="auto"/>
        <w:rPr>
          <w:rFonts w:ascii="Arial" w:hAnsi="Arial" w:cs="Arial"/>
          <w:b/>
          <w:bCs/>
          <w:sz w:val="20"/>
          <w:szCs w:val="20"/>
        </w:rPr>
      </w:pPr>
    </w:p>
    <w:p w14:paraId="3505AEDE" w14:textId="77777777" w:rsidR="00922E84" w:rsidRPr="00A97761" w:rsidRDefault="00922E84" w:rsidP="00922E84">
      <w:pPr>
        <w:spacing w:line="240" w:lineRule="auto"/>
        <w:rPr>
          <w:rFonts w:ascii="Arial" w:hAnsi="Arial" w:cs="Arial"/>
          <w:b/>
          <w:bCs/>
          <w:sz w:val="20"/>
          <w:szCs w:val="20"/>
        </w:rPr>
      </w:pPr>
    </w:p>
    <w:p w14:paraId="36124DF8" w14:textId="77777777" w:rsidR="00922E84" w:rsidRPr="00A97761" w:rsidRDefault="00922E84" w:rsidP="00922E84">
      <w:pPr>
        <w:spacing w:line="240" w:lineRule="auto"/>
        <w:rPr>
          <w:rFonts w:ascii="Arial" w:hAnsi="Arial" w:cs="Arial"/>
          <w:b/>
          <w:bCs/>
          <w:sz w:val="20"/>
          <w:szCs w:val="20"/>
        </w:rPr>
      </w:pPr>
    </w:p>
    <w:p w14:paraId="7745FC55" w14:textId="77777777" w:rsidR="00922E84" w:rsidRPr="00A97761" w:rsidRDefault="00922E84" w:rsidP="00922E84">
      <w:pPr>
        <w:spacing w:line="240" w:lineRule="auto"/>
        <w:rPr>
          <w:rFonts w:ascii="Arial" w:hAnsi="Arial" w:cs="Arial"/>
          <w:b/>
          <w:bCs/>
          <w:sz w:val="20"/>
          <w:szCs w:val="20"/>
        </w:rPr>
      </w:pPr>
    </w:p>
    <w:p w14:paraId="52EE2F88" w14:textId="77777777" w:rsidR="00922E84" w:rsidRPr="00A97761" w:rsidRDefault="00922E84" w:rsidP="00922E84">
      <w:pPr>
        <w:spacing w:line="240" w:lineRule="auto"/>
        <w:rPr>
          <w:rFonts w:ascii="Arial" w:hAnsi="Arial" w:cs="Arial"/>
          <w:b/>
          <w:bCs/>
          <w:sz w:val="20"/>
          <w:szCs w:val="20"/>
        </w:rPr>
      </w:pPr>
    </w:p>
    <w:p w14:paraId="16A2488E" w14:textId="77777777" w:rsidR="00922E84" w:rsidRPr="00A97761" w:rsidRDefault="00922E84" w:rsidP="00922E84">
      <w:pPr>
        <w:spacing w:line="240" w:lineRule="auto"/>
        <w:rPr>
          <w:rFonts w:ascii="Arial" w:hAnsi="Arial" w:cs="Arial"/>
          <w:b/>
          <w:bCs/>
          <w:sz w:val="20"/>
          <w:szCs w:val="20"/>
        </w:rPr>
      </w:pPr>
    </w:p>
    <w:p w14:paraId="6AC62263" w14:textId="77777777" w:rsidR="00922E84" w:rsidRPr="00A97761" w:rsidRDefault="00922E84" w:rsidP="00922E84">
      <w:pPr>
        <w:spacing w:line="240" w:lineRule="auto"/>
        <w:rPr>
          <w:rFonts w:ascii="Arial" w:hAnsi="Arial" w:cs="Arial"/>
          <w:b/>
          <w:bCs/>
          <w:sz w:val="20"/>
          <w:szCs w:val="20"/>
        </w:rPr>
      </w:pPr>
    </w:p>
    <w:p w14:paraId="4E220FA6" w14:textId="77777777" w:rsidR="00922E84" w:rsidRPr="00A97761" w:rsidRDefault="00922E84" w:rsidP="00922E84">
      <w:pPr>
        <w:spacing w:line="240" w:lineRule="auto"/>
        <w:rPr>
          <w:rFonts w:ascii="Arial" w:hAnsi="Arial" w:cs="Arial"/>
          <w:b/>
          <w:bCs/>
          <w:sz w:val="20"/>
          <w:szCs w:val="20"/>
        </w:rPr>
      </w:pPr>
    </w:p>
    <w:p w14:paraId="0BBF2B80" w14:textId="77777777" w:rsidR="00922E84" w:rsidRPr="00A97761" w:rsidRDefault="00922E84" w:rsidP="00922E84">
      <w:pPr>
        <w:spacing w:line="240" w:lineRule="auto"/>
        <w:rPr>
          <w:rFonts w:ascii="Arial" w:hAnsi="Arial" w:cs="Arial"/>
          <w:b/>
          <w:bCs/>
          <w:sz w:val="20"/>
          <w:szCs w:val="20"/>
        </w:rPr>
      </w:pPr>
    </w:p>
    <w:p w14:paraId="3FF478F5" w14:textId="77777777" w:rsidR="00922E84" w:rsidRPr="00A97761" w:rsidRDefault="00922E84" w:rsidP="00922E84">
      <w:pPr>
        <w:spacing w:line="240" w:lineRule="auto"/>
        <w:rPr>
          <w:rFonts w:ascii="Arial" w:hAnsi="Arial" w:cs="Arial"/>
          <w:b/>
          <w:bCs/>
          <w:sz w:val="20"/>
          <w:szCs w:val="20"/>
        </w:rPr>
      </w:pPr>
    </w:p>
    <w:p w14:paraId="20D13655" w14:textId="4A2B2BC1" w:rsidR="00922E84" w:rsidRPr="00A97761" w:rsidRDefault="00922E84" w:rsidP="00922E84">
      <w:pPr>
        <w:spacing w:line="240" w:lineRule="auto"/>
        <w:rPr>
          <w:rFonts w:ascii="Arial" w:hAnsi="Arial" w:cs="Arial"/>
          <w:b/>
          <w:bCs/>
          <w:sz w:val="20"/>
          <w:szCs w:val="20"/>
        </w:rPr>
      </w:pPr>
    </w:p>
    <w:p w14:paraId="151E20DD" w14:textId="77777777" w:rsidR="00922E84" w:rsidRPr="00A97761" w:rsidRDefault="00922E84" w:rsidP="00922E84">
      <w:pPr>
        <w:spacing w:line="240" w:lineRule="auto"/>
        <w:rPr>
          <w:rFonts w:ascii="Arial" w:hAnsi="Arial" w:cs="Arial"/>
          <w:b/>
          <w:bCs/>
          <w:sz w:val="20"/>
          <w:szCs w:val="20"/>
        </w:rPr>
      </w:pPr>
    </w:p>
    <w:p w14:paraId="3FDF8ACA" w14:textId="77777777" w:rsidR="00922E84" w:rsidRDefault="00922E84" w:rsidP="00922E84">
      <w:pPr>
        <w:spacing w:line="240" w:lineRule="auto"/>
        <w:rPr>
          <w:rFonts w:ascii="Arial" w:hAnsi="Arial" w:cs="Arial"/>
          <w:b/>
          <w:bCs/>
          <w:sz w:val="20"/>
          <w:szCs w:val="20"/>
        </w:rPr>
      </w:pPr>
      <w:r w:rsidRPr="00A97761">
        <w:rPr>
          <w:rFonts w:ascii="Arial" w:hAnsi="Arial" w:cs="Arial"/>
          <w:b/>
          <w:bCs/>
          <w:noProof/>
          <w:sz w:val="20"/>
          <w:szCs w:val="20"/>
        </w:rPr>
        <w:lastRenderedPageBreak/>
        <w:drawing>
          <wp:inline distT="0" distB="0" distL="0" distR="0" wp14:anchorId="251A42D9" wp14:editId="7B833321">
            <wp:extent cx="5943600" cy="25908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6"/>
                    <a:stretch>
                      <a:fillRect/>
                    </a:stretch>
                  </pic:blipFill>
                  <pic:spPr>
                    <a:xfrm>
                      <a:off x="0" y="0"/>
                      <a:ext cx="5943600" cy="2590800"/>
                    </a:xfrm>
                    <a:prstGeom prst="rect">
                      <a:avLst/>
                    </a:prstGeom>
                  </pic:spPr>
                </pic:pic>
              </a:graphicData>
            </a:graphic>
          </wp:inline>
        </w:drawing>
      </w:r>
    </w:p>
    <w:p w14:paraId="5D25ABF7" w14:textId="4EE68B4D" w:rsidR="00A97761" w:rsidRPr="00A97761" w:rsidRDefault="00A97761" w:rsidP="00922E84">
      <w:pPr>
        <w:spacing w:line="240" w:lineRule="auto"/>
        <w:rPr>
          <w:rFonts w:ascii="Arial" w:hAnsi="Arial" w:cs="Arial"/>
          <w:b/>
          <w:bCs/>
          <w:sz w:val="20"/>
          <w:szCs w:val="20"/>
        </w:rPr>
      </w:pPr>
      <w:r w:rsidRPr="00A97761">
        <w:rPr>
          <w:rFonts w:ascii="Arial" w:hAnsi="Arial" w:cs="Arial"/>
          <w:b/>
          <w:bCs/>
          <w:sz w:val="20"/>
          <w:szCs w:val="20"/>
        </w:rPr>
        <w:t>Fig. S</w:t>
      </w:r>
      <w:r w:rsidR="001242E6">
        <w:rPr>
          <w:rFonts w:ascii="Arial" w:hAnsi="Arial" w:cs="Arial"/>
          <w:b/>
          <w:bCs/>
          <w:sz w:val="20"/>
          <w:szCs w:val="20"/>
        </w:rPr>
        <w:t>3</w:t>
      </w:r>
      <w:r w:rsidRPr="00A97761">
        <w:rPr>
          <w:rFonts w:ascii="Arial" w:hAnsi="Arial" w:cs="Arial"/>
          <w:b/>
          <w:bCs/>
          <w:sz w:val="20"/>
          <w:szCs w:val="20"/>
        </w:rPr>
        <w:t>. Stimulus intensity and the frequency-position map, Part C.</w:t>
      </w:r>
    </w:p>
    <w:p w14:paraId="7DDC2C50" w14:textId="77777777" w:rsidR="00922E84" w:rsidRPr="00A97761" w:rsidRDefault="00922E84" w:rsidP="00922E84">
      <w:pPr>
        <w:spacing w:line="240" w:lineRule="auto"/>
        <w:rPr>
          <w:rFonts w:ascii="Arial" w:hAnsi="Arial" w:cs="Arial"/>
          <w:b/>
          <w:bCs/>
          <w:sz w:val="20"/>
          <w:szCs w:val="20"/>
        </w:rPr>
      </w:pPr>
    </w:p>
    <w:p w14:paraId="029CFD77" w14:textId="77777777" w:rsidR="00922E84" w:rsidRPr="00A97761" w:rsidRDefault="00922E84" w:rsidP="00922E84">
      <w:pPr>
        <w:spacing w:line="240" w:lineRule="auto"/>
        <w:rPr>
          <w:rFonts w:ascii="Arial" w:hAnsi="Arial" w:cs="Arial"/>
          <w:b/>
          <w:bCs/>
          <w:sz w:val="20"/>
          <w:szCs w:val="20"/>
        </w:rPr>
      </w:pPr>
    </w:p>
    <w:p w14:paraId="5BB47035" w14:textId="77777777" w:rsidR="00922E84" w:rsidRPr="00A97761" w:rsidRDefault="00922E84" w:rsidP="00922E84">
      <w:pPr>
        <w:spacing w:line="240" w:lineRule="auto"/>
        <w:rPr>
          <w:rFonts w:ascii="Arial" w:hAnsi="Arial" w:cs="Arial"/>
          <w:b/>
          <w:bCs/>
          <w:sz w:val="20"/>
          <w:szCs w:val="20"/>
        </w:rPr>
      </w:pPr>
    </w:p>
    <w:p w14:paraId="34418104" w14:textId="77777777" w:rsidR="00922E84" w:rsidRPr="00A97761" w:rsidRDefault="00922E84" w:rsidP="00922E84">
      <w:pPr>
        <w:spacing w:line="240" w:lineRule="auto"/>
        <w:rPr>
          <w:rFonts w:ascii="Arial" w:hAnsi="Arial" w:cs="Arial"/>
          <w:b/>
          <w:bCs/>
          <w:sz w:val="20"/>
          <w:szCs w:val="20"/>
        </w:rPr>
      </w:pPr>
    </w:p>
    <w:p w14:paraId="4FFF462D" w14:textId="77777777" w:rsidR="00922E84" w:rsidRPr="00A97761" w:rsidRDefault="00922E84" w:rsidP="00922E84">
      <w:pPr>
        <w:spacing w:line="240" w:lineRule="auto"/>
        <w:rPr>
          <w:rFonts w:ascii="Arial" w:hAnsi="Arial" w:cs="Arial"/>
          <w:b/>
          <w:bCs/>
          <w:sz w:val="20"/>
          <w:szCs w:val="20"/>
        </w:rPr>
      </w:pPr>
    </w:p>
    <w:p w14:paraId="0F341061" w14:textId="77777777" w:rsidR="00922E84" w:rsidRPr="00A97761" w:rsidRDefault="00922E84" w:rsidP="00922E84">
      <w:pPr>
        <w:spacing w:line="240" w:lineRule="auto"/>
        <w:rPr>
          <w:rFonts w:ascii="Arial" w:hAnsi="Arial" w:cs="Arial"/>
          <w:b/>
          <w:bCs/>
          <w:sz w:val="20"/>
          <w:szCs w:val="20"/>
        </w:rPr>
      </w:pPr>
    </w:p>
    <w:p w14:paraId="5B651F85" w14:textId="77777777" w:rsidR="00922E84" w:rsidRPr="00A97761" w:rsidRDefault="00922E84" w:rsidP="00922E84">
      <w:pPr>
        <w:spacing w:line="240" w:lineRule="auto"/>
        <w:rPr>
          <w:rFonts w:ascii="Arial" w:hAnsi="Arial" w:cs="Arial"/>
          <w:b/>
          <w:bCs/>
          <w:sz w:val="20"/>
          <w:szCs w:val="20"/>
        </w:rPr>
      </w:pPr>
    </w:p>
    <w:p w14:paraId="517719B1" w14:textId="77777777" w:rsidR="00922E84" w:rsidRPr="00A97761" w:rsidRDefault="00922E84" w:rsidP="00922E84">
      <w:pPr>
        <w:spacing w:line="240" w:lineRule="auto"/>
        <w:rPr>
          <w:rFonts w:ascii="Arial" w:hAnsi="Arial" w:cs="Arial"/>
          <w:b/>
          <w:bCs/>
          <w:sz w:val="20"/>
          <w:szCs w:val="20"/>
        </w:rPr>
      </w:pPr>
    </w:p>
    <w:p w14:paraId="6121761D" w14:textId="77777777" w:rsidR="00922E84" w:rsidRPr="00A97761" w:rsidRDefault="00922E84" w:rsidP="00922E84">
      <w:pPr>
        <w:spacing w:line="240" w:lineRule="auto"/>
        <w:rPr>
          <w:rFonts w:ascii="Arial" w:hAnsi="Arial" w:cs="Arial"/>
          <w:b/>
          <w:bCs/>
          <w:sz w:val="20"/>
          <w:szCs w:val="20"/>
        </w:rPr>
      </w:pPr>
    </w:p>
    <w:p w14:paraId="0277C392" w14:textId="77777777" w:rsidR="00922E84" w:rsidRPr="00A97761" w:rsidRDefault="00922E84" w:rsidP="00922E84">
      <w:pPr>
        <w:rPr>
          <w:rFonts w:ascii="Arial" w:hAnsi="Arial" w:cs="Arial"/>
          <w:b/>
          <w:bCs/>
          <w:sz w:val="20"/>
          <w:szCs w:val="20"/>
        </w:rPr>
      </w:pPr>
      <w:r w:rsidRPr="00A97761">
        <w:rPr>
          <w:rFonts w:ascii="Arial" w:hAnsi="Arial" w:cs="Arial"/>
          <w:b/>
          <w:bCs/>
          <w:sz w:val="20"/>
          <w:szCs w:val="20"/>
        </w:rPr>
        <w:br/>
      </w:r>
      <w:r w:rsidRPr="00A97761">
        <w:rPr>
          <w:rFonts w:ascii="Arial" w:hAnsi="Arial" w:cs="Arial"/>
          <w:b/>
          <w:bCs/>
          <w:sz w:val="20"/>
          <w:szCs w:val="20"/>
        </w:rPr>
        <w:br/>
      </w:r>
      <w:r w:rsidRPr="00A97761">
        <w:rPr>
          <w:rFonts w:ascii="Arial" w:hAnsi="Arial" w:cs="Arial"/>
          <w:b/>
          <w:bCs/>
          <w:sz w:val="20"/>
          <w:szCs w:val="20"/>
        </w:rPr>
        <w:br/>
      </w:r>
      <w:r w:rsidRPr="00A97761">
        <w:rPr>
          <w:rFonts w:ascii="Arial" w:hAnsi="Arial" w:cs="Arial"/>
          <w:b/>
          <w:bCs/>
          <w:sz w:val="20"/>
          <w:szCs w:val="20"/>
        </w:rPr>
        <w:br/>
      </w:r>
      <w:r w:rsidRPr="00A97761">
        <w:rPr>
          <w:rFonts w:ascii="Arial" w:hAnsi="Arial" w:cs="Arial"/>
          <w:b/>
          <w:bCs/>
          <w:sz w:val="20"/>
          <w:szCs w:val="20"/>
        </w:rPr>
        <w:br/>
      </w:r>
      <w:r w:rsidRPr="00A97761">
        <w:rPr>
          <w:rFonts w:ascii="Arial" w:hAnsi="Arial" w:cs="Arial"/>
          <w:b/>
          <w:bCs/>
          <w:sz w:val="20"/>
          <w:szCs w:val="20"/>
        </w:rPr>
        <w:br/>
      </w:r>
    </w:p>
    <w:p w14:paraId="7A564445" w14:textId="40CFA11A" w:rsidR="00A97761" w:rsidRDefault="00A97761" w:rsidP="00A97761">
      <w:pPr>
        <w:spacing w:line="240" w:lineRule="auto"/>
        <w:rPr>
          <w:rFonts w:ascii="Arial" w:hAnsi="Arial" w:cs="Arial"/>
          <w:b/>
          <w:bCs/>
          <w:sz w:val="20"/>
          <w:szCs w:val="20"/>
        </w:rPr>
      </w:pPr>
      <w:r>
        <w:rPr>
          <w:rFonts w:ascii="Arial" w:hAnsi="Arial" w:cs="Arial"/>
          <w:b/>
          <w:bCs/>
          <w:sz w:val="20"/>
          <w:szCs w:val="20"/>
        </w:rPr>
        <w:br w:type="column"/>
      </w:r>
      <w:r w:rsidR="001242E6">
        <w:rPr>
          <w:rFonts w:ascii="Arial" w:hAnsi="Arial" w:cs="Arial"/>
          <w:b/>
          <w:bCs/>
          <w:noProof/>
          <w:sz w:val="20"/>
          <w:szCs w:val="20"/>
          <w14:ligatures w14:val="standardContextual"/>
        </w:rPr>
        <w:lastRenderedPageBreak/>
        <w:drawing>
          <wp:inline distT="0" distB="0" distL="0" distR="0" wp14:anchorId="74299757" wp14:editId="3222B336">
            <wp:extent cx="5943600" cy="7546975"/>
            <wp:effectExtent l="0" t="0" r="0" b="0"/>
            <wp:docPr id="1031584471" name="Picture 1" descr="A picture containing diagram, tex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84471" name="Picture 1" descr="A picture containing diagram, text, line, plo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546975"/>
                    </a:xfrm>
                    <a:prstGeom prst="rect">
                      <a:avLst/>
                    </a:prstGeom>
                  </pic:spPr>
                </pic:pic>
              </a:graphicData>
            </a:graphic>
          </wp:inline>
        </w:drawing>
      </w:r>
    </w:p>
    <w:p w14:paraId="381911D0" w14:textId="655B8FF6" w:rsidR="001242E6" w:rsidRPr="001242E6" w:rsidRDefault="001242E6" w:rsidP="00A97761">
      <w:pPr>
        <w:spacing w:line="240" w:lineRule="auto"/>
        <w:rPr>
          <w:rFonts w:ascii="Arial" w:hAnsi="Arial" w:cs="Arial"/>
          <w:sz w:val="20"/>
          <w:szCs w:val="20"/>
        </w:rPr>
      </w:pPr>
      <w:r>
        <w:rPr>
          <w:rFonts w:ascii="Arial" w:hAnsi="Arial" w:cs="Arial"/>
          <w:b/>
          <w:bCs/>
          <w:sz w:val="20"/>
          <w:szCs w:val="20"/>
        </w:rPr>
        <w:t xml:space="preserve">Fig. S4. </w:t>
      </w:r>
      <w:r w:rsidRPr="001242E6">
        <w:rPr>
          <w:rFonts w:ascii="Arial" w:hAnsi="Arial" w:cs="Arial"/>
          <w:b/>
          <w:bCs/>
          <w:sz w:val="20"/>
          <w:szCs w:val="20"/>
        </w:rPr>
        <w:t xml:space="preserve">Influence of Intensity Stimulus Variation on Frequency-Position Mapping in Auditory Neuropathy Spectrum Disorder. </w:t>
      </w:r>
      <w:r w:rsidRPr="001242E6">
        <w:rPr>
          <w:rFonts w:ascii="Arial" w:hAnsi="Arial" w:cs="Arial"/>
          <w:sz w:val="20"/>
          <w:szCs w:val="20"/>
        </w:rPr>
        <w:t xml:space="preserve">The tonotopic tuning derived from the intracochlear electrocochleography of a patient with auditory neuropathy spectrum disorder (characterized by </w:t>
      </w:r>
      <w:r w:rsidRPr="001242E6">
        <w:rPr>
          <w:rFonts w:ascii="Arial" w:hAnsi="Arial" w:cs="Arial"/>
          <w:sz w:val="20"/>
          <w:szCs w:val="20"/>
        </w:rPr>
        <w:lastRenderedPageBreak/>
        <w:t xml:space="preserve">significant preservation of cochlear hair cell function) was examined under varied stimulus intensities. </w:t>
      </w:r>
      <w:r>
        <w:rPr>
          <w:rFonts w:ascii="Arial" w:hAnsi="Arial" w:cs="Arial"/>
          <w:sz w:val="20"/>
          <w:szCs w:val="20"/>
        </w:rPr>
        <w:t>The panels here</w:t>
      </w:r>
      <w:r w:rsidRPr="001242E6">
        <w:rPr>
          <w:rFonts w:ascii="Arial" w:hAnsi="Arial" w:cs="Arial"/>
          <w:sz w:val="20"/>
          <w:szCs w:val="20"/>
        </w:rPr>
        <w:t xml:space="preserve"> illustrate apical shifts in frequency-position mapping at reduced stimulus levels for</w:t>
      </w:r>
      <w:r>
        <w:rPr>
          <w:rFonts w:ascii="Arial" w:hAnsi="Arial" w:cs="Arial"/>
          <w:sz w:val="20"/>
          <w:szCs w:val="20"/>
        </w:rPr>
        <w:t xml:space="preserve"> 500 Hz,</w:t>
      </w:r>
      <w:r w:rsidRPr="001242E6">
        <w:rPr>
          <w:rFonts w:ascii="Arial" w:hAnsi="Arial" w:cs="Arial"/>
          <w:sz w:val="20"/>
          <w:szCs w:val="20"/>
        </w:rPr>
        <w:t xml:space="preserve"> 1000 Hz, 2000 Hz, 3000 Hz, and 4000 Hz frequencies. The depicted amplitudes correspond to the fast Fourier transformation amplitudes of the difference response, largely indicative of the cochlear microphonic tuning curve (outer hair cell tuning curve). Asterisks (*) denote the best frequency (BF) electrode for each frequency at a given stimulus intensity. Notably, response patterns at conversation-like stimulus levels mirrored those observed at peak stimulation levels, suggesting that frequency-position maps during conversation are more consistent with high-intensity, </w:t>
      </w:r>
      <w:proofErr w:type="spellStart"/>
      <w:proofErr w:type="gramStart"/>
      <w:r w:rsidRPr="001242E6">
        <w:rPr>
          <w:rFonts w:ascii="Arial" w:hAnsi="Arial" w:cs="Arial"/>
          <w:sz w:val="20"/>
          <w:szCs w:val="20"/>
        </w:rPr>
        <w:t>electrophysiologically</w:t>
      </w:r>
      <w:proofErr w:type="spellEnd"/>
      <w:r w:rsidRPr="001242E6">
        <w:rPr>
          <w:rFonts w:ascii="Arial" w:hAnsi="Arial" w:cs="Arial"/>
          <w:sz w:val="20"/>
          <w:szCs w:val="20"/>
        </w:rPr>
        <w:t>-derived</w:t>
      </w:r>
      <w:proofErr w:type="gramEnd"/>
      <w:r w:rsidRPr="001242E6">
        <w:rPr>
          <w:rFonts w:ascii="Arial" w:hAnsi="Arial" w:cs="Arial"/>
          <w:sz w:val="20"/>
          <w:szCs w:val="20"/>
        </w:rPr>
        <w:t xml:space="preserve"> maps than those predicted by the Greenwood function.</w:t>
      </w:r>
    </w:p>
    <w:p w14:paraId="132D302C" w14:textId="479DC833" w:rsidR="001242E6" w:rsidRDefault="001242E6">
      <w:pPr>
        <w:spacing w:after="0" w:line="240" w:lineRule="auto"/>
        <w:rPr>
          <w:sz w:val="21"/>
        </w:rPr>
      </w:pPr>
      <w:r>
        <w:rPr>
          <w:sz w:val="21"/>
        </w:rPr>
        <w:br w:type="page"/>
      </w:r>
    </w:p>
    <w:p w14:paraId="0B16198F" w14:textId="77777777" w:rsidR="001242E6" w:rsidRPr="008C294C" w:rsidRDefault="001242E6" w:rsidP="00A97761">
      <w:pPr>
        <w:spacing w:after="0" w:line="240" w:lineRule="auto"/>
        <w:rPr>
          <w:sz w:val="21"/>
        </w:rPr>
      </w:pPr>
    </w:p>
    <w:p w14:paraId="64F7D5F7" w14:textId="77777777" w:rsidR="00A97761" w:rsidRDefault="00A97761" w:rsidP="00A97761">
      <w:pPr>
        <w:spacing w:after="0"/>
        <w:jc w:val="center"/>
      </w:pPr>
      <w:r>
        <w:rPr>
          <w:noProof/>
        </w:rPr>
        <w:drawing>
          <wp:inline distT="0" distB="0" distL="0" distR="0" wp14:anchorId="0F6CAE28" wp14:editId="5761F857">
            <wp:extent cx="5943600" cy="2287905"/>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87905"/>
                    </a:xfrm>
                    <a:prstGeom prst="rect">
                      <a:avLst/>
                    </a:prstGeom>
                  </pic:spPr>
                </pic:pic>
              </a:graphicData>
            </a:graphic>
          </wp:inline>
        </w:drawing>
      </w:r>
    </w:p>
    <w:p w14:paraId="7EDABAF8" w14:textId="37D810CE" w:rsidR="00A97761" w:rsidRDefault="00A97761" w:rsidP="00A97761">
      <w:pPr>
        <w:spacing w:after="0" w:line="240" w:lineRule="auto"/>
      </w:pPr>
      <w:r w:rsidRPr="00A97761">
        <w:rPr>
          <w:rFonts w:ascii="Arial" w:hAnsi="Arial" w:cs="Arial"/>
          <w:b/>
          <w:bCs/>
          <w:sz w:val="20"/>
          <w:szCs w:val="20"/>
        </w:rPr>
        <w:t>Fig. S</w:t>
      </w:r>
      <w:r w:rsidR="0019472D">
        <w:rPr>
          <w:rFonts w:ascii="Arial" w:hAnsi="Arial" w:cs="Arial"/>
          <w:b/>
          <w:bCs/>
          <w:sz w:val="20"/>
          <w:szCs w:val="20"/>
        </w:rPr>
        <w:t>5</w:t>
      </w:r>
      <w:r w:rsidRPr="00A97761">
        <w:rPr>
          <w:rFonts w:ascii="Arial" w:hAnsi="Arial" w:cs="Arial"/>
          <w:b/>
          <w:bCs/>
          <w:sz w:val="20"/>
          <w:szCs w:val="20"/>
        </w:rPr>
        <w:t>. Pitch-discrimination testing to determine impact of presence of electrode on frequency-position map.</w:t>
      </w:r>
      <w:r w:rsidRPr="00A97761">
        <w:rPr>
          <w:rFonts w:ascii="Arial" w:hAnsi="Arial" w:cs="Arial"/>
          <w:sz w:val="20"/>
          <w:szCs w:val="20"/>
        </w:rPr>
        <w:t xml:space="preserve"> Pitch comparisons were obtained between acoustic stimuli presented sequentially to both the non-implanted ear and the implanted ear to determine whether the presence of the electrode had an impact on the acoustic-frequency position map. The cochlear implant processor was not used for this portion of the testing. (A) Two subjects were selected for this portion of the testing who had residual acoustic hearing preserved in the implanted ear and similar hearing in the contralateral, non-implanted ear. The acoustic stimuli were first balanced for loudness at </w:t>
      </w:r>
      <w:proofErr w:type="gramStart"/>
      <w:r w:rsidRPr="00A97761">
        <w:rPr>
          <w:rFonts w:ascii="Arial" w:hAnsi="Arial" w:cs="Arial"/>
          <w:sz w:val="20"/>
          <w:szCs w:val="20"/>
        </w:rPr>
        <w:t>all of</w:t>
      </w:r>
      <w:proofErr w:type="gramEnd"/>
      <w:r w:rsidRPr="00A97761">
        <w:rPr>
          <w:rFonts w:ascii="Arial" w:hAnsi="Arial" w:cs="Arial"/>
          <w:sz w:val="20"/>
          <w:szCs w:val="20"/>
        </w:rPr>
        <w:t xml:space="preserve"> the tested frequencies. Then one ear was held constant as the reference where a single, brief pure tone was delivered alternating randomly with varying frequency pure tones in the contralateral ear. The subject was then asked to indicate whether the pitches presented to each ear sequentially sounded the ‘same’ or ‘different’. In both subjects shown, the left graph in (B and C) shows the results where the non-implant ear was held </w:t>
      </w:r>
      <w:proofErr w:type="gramStart"/>
      <w:r w:rsidRPr="00A97761">
        <w:rPr>
          <w:rFonts w:ascii="Arial" w:hAnsi="Arial" w:cs="Arial"/>
          <w:sz w:val="20"/>
          <w:szCs w:val="20"/>
        </w:rPr>
        <w:t>constant</w:t>
      </w:r>
      <w:proofErr w:type="gramEnd"/>
      <w:r w:rsidRPr="00A97761">
        <w:rPr>
          <w:rFonts w:ascii="Arial" w:hAnsi="Arial" w:cs="Arial"/>
          <w:sz w:val="20"/>
          <w:szCs w:val="20"/>
        </w:rPr>
        <w:t xml:space="preserve"> and the acoustic stimulus was varied in the implant ear. The right graphs show the results where the implant ear was held </w:t>
      </w:r>
      <w:proofErr w:type="gramStart"/>
      <w:r w:rsidRPr="00A97761">
        <w:rPr>
          <w:rFonts w:ascii="Arial" w:hAnsi="Arial" w:cs="Arial"/>
          <w:sz w:val="20"/>
          <w:szCs w:val="20"/>
        </w:rPr>
        <w:t>constant</w:t>
      </w:r>
      <w:proofErr w:type="gramEnd"/>
      <w:r w:rsidRPr="00A97761">
        <w:rPr>
          <w:rFonts w:ascii="Arial" w:hAnsi="Arial" w:cs="Arial"/>
          <w:sz w:val="20"/>
          <w:szCs w:val="20"/>
        </w:rPr>
        <w:t xml:space="preserve"> and the non-implant ear was varied. The blue dots represent when the patient indicated that both pitches sound the same and the black dots represent when the patient indicated that both pitches sound different. The outliers in red were defined where the subject had one response that was different from the other 4 responses, which is commonly noted as a component of fatigue in pitch-discrimination testing. For subject 1 (B), there was a mean 1.30 semitone difference for the acoustic perception of pure tones for both ears. For subject 2 (C), there was mean 1.65 semitone difference for both ears. This testing indicates that the </w:t>
      </w:r>
      <w:proofErr w:type="spellStart"/>
      <w:r w:rsidRPr="00A97761">
        <w:rPr>
          <w:rFonts w:ascii="Arial" w:hAnsi="Arial" w:cs="Arial"/>
          <w:sz w:val="20"/>
          <w:szCs w:val="20"/>
        </w:rPr>
        <w:t>perimodiolar</w:t>
      </w:r>
      <w:proofErr w:type="spellEnd"/>
      <w:r w:rsidRPr="00A97761">
        <w:rPr>
          <w:rFonts w:ascii="Arial" w:hAnsi="Arial" w:cs="Arial"/>
          <w:sz w:val="20"/>
          <w:szCs w:val="20"/>
        </w:rPr>
        <w:t xml:space="preserve"> electrode did not impact the acoustic frequency tuning of the cochlea to a degree that could explain the shift shown between the </w:t>
      </w:r>
      <w:proofErr w:type="spellStart"/>
      <w:r w:rsidRPr="00A97761">
        <w:rPr>
          <w:rFonts w:ascii="Arial" w:hAnsi="Arial" w:cs="Arial"/>
          <w:sz w:val="20"/>
          <w:szCs w:val="20"/>
        </w:rPr>
        <w:t>electrophysiologically</w:t>
      </w:r>
      <w:proofErr w:type="spellEnd"/>
      <w:r w:rsidRPr="00A97761">
        <w:rPr>
          <w:rFonts w:ascii="Arial" w:hAnsi="Arial" w:cs="Arial"/>
          <w:sz w:val="20"/>
          <w:szCs w:val="20"/>
        </w:rPr>
        <w:t xml:space="preserve">-derived frequency-position and those </w:t>
      </w:r>
      <w:proofErr w:type="gramStart"/>
      <w:r w:rsidRPr="00A97761">
        <w:rPr>
          <w:rFonts w:ascii="Arial" w:hAnsi="Arial" w:cs="Arial"/>
          <w:sz w:val="20"/>
          <w:szCs w:val="20"/>
        </w:rPr>
        <w:t>previously-established</w:t>
      </w:r>
      <w:proofErr w:type="gramEnd"/>
      <w:r w:rsidRPr="00A97761">
        <w:rPr>
          <w:rFonts w:ascii="Arial" w:hAnsi="Arial" w:cs="Arial"/>
          <w:sz w:val="20"/>
          <w:szCs w:val="20"/>
        </w:rPr>
        <w:t xml:space="preserve"> for the organ of </w:t>
      </w:r>
      <w:proofErr w:type="spellStart"/>
      <w:r w:rsidRPr="00A97761">
        <w:rPr>
          <w:rFonts w:ascii="Arial" w:hAnsi="Arial" w:cs="Arial"/>
          <w:sz w:val="20"/>
          <w:szCs w:val="20"/>
        </w:rPr>
        <w:t>Corti</w:t>
      </w:r>
      <w:proofErr w:type="spellEnd"/>
      <w:r w:rsidRPr="00A97761">
        <w:rPr>
          <w:rFonts w:ascii="Arial" w:hAnsi="Arial" w:cs="Arial"/>
          <w:sz w:val="20"/>
          <w:szCs w:val="20"/>
        </w:rPr>
        <w:t xml:space="preserve"> and spiral ganglion (2D).</w:t>
      </w:r>
    </w:p>
    <w:p w14:paraId="12D84BD6" w14:textId="77777777" w:rsidR="00A97761" w:rsidRPr="00106587" w:rsidRDefault="00A97761" w:rsidP="00A97761">
      <w:pPr>
        <w:spacing w:line="240" w:lineRule="auto"/>
      </w:pPr>
      <w:r>
        <w:br w:type="page"/>
      </w:r>
    </w:p>
    <w:p w14:paraId="05F39B34" w14:textId="77777777" w:rsidR="00922E84" w:rsidRDefault="00922E84" w:rsidP="00922E84">
      <w:pPr>
        <w:spacing w:line="240" w:lineRule="auto"/>
        <w:rPr>
          <w:rFonts w:ascii="Arial" w:hAnsi="Arial" w:cs="Arial"/>
          <w:sz w:val="20"/>
          <w:szCs w:val="20"/>
        </w:rPr>
      </w:pPr>
      <w:r w:rsidRPr="00A97761">
        <w:rPr>
          <w:rFonts w:ascii="Arial" w:hAnsi="Arial" w:cs="Arial"/>
          <w:noProof/>
          <w:sz w:val="20"/>
          <w:szCs w:val="20"/>
        </w:rPr>
        <w:lastRenderedPageBreak/>
        <w:drawing>
          <wp:inline distT="0" distB="0" distL="0" distR="0" wp14:anchorId="27339DFA" wp14:editId="02404B47">
            <wp:extent cx="5943600" cy="5174615"/>
            <wp:effectExtent l="0" t="0" r="0" b="0"/>
            <wp:docPr id="8" name="Picture 8" descr="A picture containing drawing, diagram, tex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rawing, diagram, text, cir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174615"/>
                    </a:xfrm>
                    <a:prstGeom prst="rect">
                      <a:avLst/>
                    </a:prstGeom>
                  </pic:spPr>
                </pic:pic>
              </a:graphicData>
            </a:graphic>
          </wp:inline>
        </w:drawing>
      </w:r>
    </w:p>
    <w:p w14:paraId="226B6E6E" w14:textId="3FEA9344" w:rsidR="00A97761" w:rsidRPr="00A97761" w:rsidRDefault="00A97761" w:rsidP="00A97761">
      <w:pPr>
        <w:spacing w:line="240" w:lineRule="auto"/>
        <w:rPr>
          <w:rFonts w:ascii="Arial" w:hAnsi="Arial" w:cs="Arial"/>
          <w:sz w:val="20"/>
          <w:szCs w:val="20"/>
        </w:rPr>
      </w:pPr>
      <w:r w:rsidRPr="00A97761">
        <w:rPr>
          <w:rFonts w:ascii="Arial" w:hAnsi="Arial" w:cs="Arial"/>
          <w:b/>
          <w:bCs/>
          <w:sz w:val="20"/>
          <w:szCs w:val="20"/>
        </w:rPr>
        <w:t>Fig. S</w:t>
      </w:r>
      <w:r w:rsidR="0019472D">
        <w:rPr>
          <w:rFonts w:ascii="Arial" w:hAnsi="Arial" w:cs="Arial"/>
          <w:b/>
          <w:bCs/>
          <w:sz w:val="20"/>
          <w:szCs w:val="20"/>
        </w:rPr>
        <w:t>6</w:t>
      </w:r>
      <w:r w:rsidRPr="00A97761">
        <w:rPr>
          <w:rFonts w:ascii="Arial" w:hAnsi="Arial" w:cs="Arial"/>
          <w:b/>
          <w:bCs/>
          <w:sz w:val="20"/>
          <w:szCs w:val="20"/>
        </w:rPr>
        <w:t>. Third window fenestration and the frequency-position map.</w:t>
      </w:r>
      <w:r w:rsidRPr="00A97761">
        <w:rPr>
          <w:rFonts w:ascii="Arial" w:hAnsi="Arial" w:cs="Arial"/>
          <w:sz w:val="20"/>
          <w:szCs w:val="20"/>
        </w:rPr>
        <w:t xml:space="preserve"> Previous </w:t>
      </w:r>
      <w:r w:rsidRPr="00A97761">
        <w:rPr>
          <w:rFonts w:ascii="Arial" w:hAnsi="Arial" w:cs="Arial"/>
          <w:i/>
          <w:iCs/>
          <w:sz w:val="20"/>
          <w:szCs w:val="20"/>
        </w:rPr>
        <w:t>ex vivo</w:t>
      </w:r>
      <w:r w:rsidRPr="00A97761">
        <w:rPr>
          <w:rFonts w:ascii="Arial" w:hAnsi="Arial" w:cs="Arial"/>
          <w:sz w:val="20"/>
          <w:szCs w:val="20"/>
        </w:rPr>
        <w:t xml:space="preserve"> experiments on tonotopy in humans have used a fenestration of the cochlear lumen to observe the traveling wave, but the potential impact of this artifact has not been studied. Impact of the third window on electrophysiologic recordings was evaluated in a human subject with excellent residual hearing who was undergoing a </w:t>
      </w:r>
      <w:proofErr w:type="spellStart"/>
      <w:r w:rsidRPr="00A97761">
        <w:rPr>
          <w:rFonts w:ascii="Arial" w:hAnsi="Arial" w:cs="Arial"/>
          <w:sz w:val="20"/>
          <w:szCs w:val="20"/>
        </w:rPr>
        <w:t>translabyrinthine</w:t>
      </w:r>
      <w:proofErr w:type="spellEnd"/>
      <w:r w:rsidRPr="00A97761">
        <w:rPr>
          <w:rFonts w:ascii="Arial" w:hAnsi="Arial" w:cs="Arial"/>
          <w:sz w:val="20"/>
          <w:szCs w:val="20"/>
        </w:rPr>
        <w:t xml:space="preserve"> craniotomy (which intentionally destroys residual hearing) for resection of a vestibular schwannoma. Prior to resection, the cochlea was approached identical to the electrophysiologic recordings performed previously and the best frequency (BF) was identified along the electrode array for 250-, 500-, 1000-, 2000-, 3000-, and 4000-Hz for the cochlear microphonic tuning curves (black dots in right panel). Following the recordings, a 1-mm diamond burr was used to create a fenestration near the upper cochlear turns (as shown in the left panel), and the CM tuning curves were generated for the individual frequencies (white dots in right panel).</w:t>
      </w:r>
    </w:p>
    <w:p w14:paraId="7D9D8217" w14:textId="329D0739" w:rsidR="00922E84" w:rsidRPr="00A97761" w:rsidRDefault="00A97761" w:rsidP="00A97761">
      <w:pPr>
        <w:spacing w:line="240" w:lineRule="auto"/>
        <w:rPr>
          <w:rFonts w:ascii="Arial" w:hAnsi="Arial" w:cs="Arial"/>
          <w:sz w:val="20"/>
          <w:szCs w:val="20"/>
        </w:rPr>
      </w:pPr>
      <w:r>
        <w:rPr>
          <w:rFonts w:ascii="Arial" w:hAnsi="Arial" w:cs="Arial"/>
          <w:sz w:val="20"/>
          <w:szCs w:val="20"/>
        </w:rPr>
        <w:br w:type="column"/>
      </w:r>
      <w:r w:rsidR="00922E84" w:rsidRPr="00A97761">
        <w:rPr>
          <w:rFonts w:ascii="Arial" w:hAnsi="Arial" w:cs="Arial"/>
          <w:b/>
          <w:bCs/>
          <w:sz w:val="20"/>
          <w:szCs w:val="20"/>
        </w:rPr>
        <w:lastRenderedPageBreak/>
        <w:t>Supplementary Tables.</w:t>
      </w:r>
    </w:p>
    <w:p w14:paraId="6CEA4606" w14:textId="44D09C3F" w:rsidR="00922E84" w:rsidRPr="00A97761" w:rsidRDefault="00922E84" w:rsidP="00922E84">
      <w:pPr>
        <w:spacing w:line="240" w:lineRule="auto"/>
        <w:rPr>
          <w:rFonts w:ascii="Arial" w:hAnsi="Arial" w:cs="Arial"/>
          <w:b/>
          <w:bCs/>
          <w:sz w:val="20"/>
          <w:szCs w:val="20"/>
        </w:rPr>
      </w:pPr>
      <w:r w:rsidRPr="00A97761">
        <w:rPr>
          <w:rFonts w:ascii="Arial" w:hAnsi="Arial" w:cs="Arial"/>
          <w:b/>
          <w:bCs/>
          <w:sz w:val="20"/>
          <w:szCs w:val="20"/>
        </w:rPr>
        <w:t xml:space="preserve">Table S1. Demographic, audiologic, and imaging information of fifty subjects tested to construct </w:t>
      </w:r>
      <w:proofErr w:type="spellStart"/>
      <w:proofErr w:type="gramStart"/>
      <w:r w:rsidRPr="00A97761">
        <w:rPr>
          <w:rFonts w:ascii="Arial" w:hAnsi="Arial" w:cs="Arial"/>
          <w:b/>
          <w:bCs/>
          <w:sz w:val="20"/>
          <w:szCs w:val="20"/>
        </w:rPr>
        <w:t>electrophysiologically</w:t>
      </w:r>
      <w:proofErr w:type="spellEnd"/>
      <w:r w:rsidRPr="00A97761">
        <w:rPr>
          <w:rFonts w:ascii="Arial" w:hAnsi="Arial" w:cs="Arial"/>
          <w:b/>
          <w:bCs/>
          <w:sz w:val="20"/>
          <w:szCs w:val="20"/>
        </w:rPr>
        <w:t>-derived</w:t>
      </w:r>
      <w:proofErr w:type="gramEnd"/>
      <w:r w:rsidRPr="00A97761">
        <w:rPr>
          <w:rFonts w:ascii="Arial" w:hAnsi="Arial" w:cs="Arial"/>
          <w:b/>
          <w:bCs/>
          <w:sz w:val="20"/>
          <w:szCs w:val="20"/>
        </w:rPr>
        <w:t xml:space="preserve"> frequency-position map.</w:t>
      </w:r>
    </w:p>
    <w:tbl>
      <w:tblPr>
        <w:tblStyle w:val="TableGrid"/>
        <w:tblW w:w="0" w:type="auto"/>
        <w:tblLook w:val="04A0" w:firstRow="1" w:lastRow="0" w:firstColumn="1" w:lastColumn="0" w:noHBand="0" w:noVBand="1"/>
      </w:tblPr>
      <w:tblGrid>
        <w:gridCol w:w="5575"/>
        <w:gridCol w:w="3775"/>
      </w:tblGrid>
      <w:tr w:rsidR="00922E84" w:rsidRPr="00A97761" w14:paraId="3A5EB1AB" w14:textId="77777777" w:rsidTr="00C93AF6">
        <w:tc>
          <w:tcPr>
            <w:tcW w:w="5575" w:type="dxa"/>
          </w:tcPr>
          <w:p w14:paraId="728D5055" w14:textId="77777777" w:rsidR="00922E84" w:rsidRPr="00A97761" w:rsidRDefault="00922E84" w:rsidP="00922E84">
            <w:pPr>
              <w:spacing w:after="0" w:line="240" w:lineRule="auto"/>
              <w:rPr>
                <w:rFonts w:ascii="Arial" w:hAnsi="Arial" w:cs="Arial"/>
                <w:sz w:val="20"/>
                <w:szCs w:val="20"/>
              </w:rPr>
            </w:pPr>
          </w:p>
        </w:tc>
        <w:tc>
          <w:tcPr>
            <w:tcW w:w="3775" w:type="dxa"/>
          </w:tcPr>
          <w:p w14:paraId="324FCC55"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Mean ± STD or N (%)</w:t>
            </w:r>
          </w:p>
        </w:tc>
      </w:tr>
      <w:tr w:rsidR="00922E84" w:rsidRPr="00A97761" w14:paraId="3522165B" w14:textId="77777777" w:rsidTr="00C93AF6">
        <w:tc>
          <w:tcPr>
            <w:tcW w:w="5575" w:type="dxa"/>
          </w:tcPr>
          <w:p w14:paraId="5DD2D053"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Age (</w:t>
            </w:r>
            <w:proofErr w:type="spellStart"/>
            <w:r w:rsidRPr="00A97761">
              <w:rPr>
                <w:rFonts w:ascii="Arial" w:hAnsi="Arial" w:cs="Arial"/>
                <w:sz w:val="20"/>
                <w:szCs w:val="20"/>
              </w:rPr>
              <w:t>yrs</w:t>
            </w:r>
            <w:proofErr w:type="spellEnd"/>
            <w:r w:rsidRPr="00A97761">
              <w:rPr>
                <w:rFonts w:ascii="Arial" w:hAnsi="Arial" w:cs="Arial"/>
                <w:sz w:val="20"/>
                <w:szCs w:val="20"/>
              </w:rPr>
              <w:t>)</w:t>
            </w:r>
          </w:p>
        </w:tc>
        <w:tc>
          <w:tcPr>
            <w:tcW w:w="3775" w:type="dxa"/>
          </w:tcPr>
          <w:p w14:paraId="7B8EECDF"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69.6 ± 18.3</w:t>
            </w:r>
          </w:p>
        </w:tc>
      </w:tr>
      <w:tr w:rsidR="00922E84" w:rsidRPr="00A97761" w14:paraId="2DC4A067" w14:textId="77777777" w:rsidTr="00C93AF6">
        <w:tc>
          <w:tcPr>
            <w:tcW w:w="9350" w:type="dxa"/>
            <w:gridSpan w:val="2"/>
          </w:tcPr>
          <w:p w14:paraId="77C077E6"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Gender</w:t>
            </w:r>
          </w:p>
        </w:tc>
      </w:tr>
      <w:tr w:rsidR="00922E84" w:rsidRPr="00A97761" w14:paraId="09165BA5" w14:textId="77777777" w:rsidTr="00C93AF6">
        <w:tc>
          <w:tcPr>
            <w:tcW w:w="5575" w:type="dxa"/>
          </w:tcPr>
          <w:p w14:paraId="6B4A4DFB" w14:textId="77777777" w:rsidR="00922E84" w:rsidRPr="00A97761" w:rsidRDefault="00922E84" w:rsidP="00922E84">
            <w:pPr>
              <w:spacing w:after="0" w:line="240" w:lineRule="auto"/>
              <w:ind w:left="720"/>
              <w:rPr>
                <w:rFonts w:ascii="Arial" w:hAnsi="Arial" w:cs="Arial"/>
                <w:sz w:val="20"/>
                <w:szCs w:val="20"/>
              </w:rPr>
            </w:pPr>
            <w:r w:rsidRPr="00A97761">
              <w:rPr>
                <w:rFonts w:ascii="Arial" w:hAnsi="Arial" w:cs="Arial"/>
                <w:sz w:val="20"/>
                <w:szCs w:val="20"/>
              </w:rPr>
              <w:t>Female</w:t>
            </w:r>
          </w:p>
        </w:tc>
        <w:tc>
          <w:tcPr>
            <w:tcW w:w="3775" w:type="dxa"/>
          </w:tcPr>
          <w:p w14:paraId="1C9E89BA"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31 (62.0)</w:t>
            </w:r>
          </w:p>
        </w:tc>
      </w:tr>
      <w:tr w:rsidR="00922E84" w:rsidRPr="00A97761" w14:paraId="38995D91" w14:textId="77777777" w:rsidTr="00C93AF6">
        <w:tc>
          <w:tcPr>
            <w:tcW w:w="5575" w:type="dxa"/>
          </w:tcPr>
          <w:p w14:paraId="39C68FD3" w14:textId="77777777" w:rsidR="00922E84" w:rsidRPr="00A97761" w:rsidRDefault="00922E84" w:rsidP="00922E84">
            <w:pPr>
              <w:spacing w:after="0" w:line="240" w:lineRule="auto"/>
              <w:ind w:left="720"/>
              <w:rPr>
                <w:rFonts w:ascii="Arial" w:hAnsi="Arial" w:cs="Arial"/>
                <w:sz w:val="20"/>
                <w:szCs w:val="20"/>
              </w:rPr>
            </w:pPr>
            <w:r w:rsidRPr="00A97761">
              <w:rPr>
                <w:rFonts w:ascii="Arial" w:hAnsi="Arial" w:cs="Arial"/>
                <w:sz w:val="20"/>
                <w:szCs w:val="20"/>
              </w:rPr>
              <w:t>Male</w:t>
            </w:r>
          </w:p>
        </w:tc>
        <w:tc>
          <w:tcPr>
            <w:tcW w:w="3775" w:type="dxa"/>
          </w:tcPr>
          <w:p w14:paraId="1188650D"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19 (38.0)</w:t>
            </w:r>
          </w:p>
        </w:tc>
      </w:tr>
      <w:tr w:rsidR="00922E84" w:rsidRPr="00A97761" w14:paraId="18AB68FC" w14:textId="77777777" w:rsidTr="00C93AF6">
        <w:tc>
          <w:tcPr>
            <w:tcW w:w="5575" w:type="dxa"/>
          </w:tcPr>
          <w:p w14:paraId="6EA76634"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Duration of hearing loss (</w:t>
            </w:r>
            <w:proofErr w:type="spellStart"/>
            <w:r w:rsidRPr="00A97761">
              <w:rPr>
                <w:rFonts w:ascii="Arial" w:hAnsi="Arial" w:cs="Arial"/>
                <w:sz w:val="20"/>
                <w:szCs w:val="20"/>
              </w:rPr>
              <w:t>yrs</w:t>
            </w:r>
            <w:proofErr w:type="spellEnd"/>
            <w:r w:rsidRPr="00A97761">
              <w:rPr>
                <w:rFonts w:ascii="Arial" w:hAnsi="Arial" w:cs="Arial"/>
                <w:sz w:val="20"/>
                <w:szCs w:val="20"/>
              </w:rPr>
              <w:t>)</w:t>
            </w:r>
          </w:p>
        </w:tc>
        <w:tc>
          <w:tcPr>
            <w:tcW w:w="3775" w:type="dxa"/>
          </w:tcPr>
          <w:p w14:paraId="2708D3A0"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29.0 ± 18.6</w:t>
            </w:r>
          </w:p>
        </w:tc>
      </w:tr>
      <w:tr w:rsidR="00922E84" w:rsidRPr="00A97761" w14:paraId="1FA169C4" w14:textId="77777777" w:rsidTr="00C93AF6">
        <w:tc>
          <w:tcPr>
            <w:tcW w:w="5575" w:type="dxa"/>
          </w:tcPr>
          <w:p w14:paraId="02E74672"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Duration of severe-to-profound hearing loss (</w:t>
            </w:r>
            <w:proofErr w:type="spellStart"/>
            <w:r w:rsidRPr="00A97761">
              <w:rPr>
                <w:rFonts w:ascii="Arial" w:hAnsi="Arial" w:cs="Arial"/>
                <w:sz w:val="20"/>
                <w:szCs w:val="20"/>
              </w:rPr>
              <w:t>yrs</w:t>
            </w:r>
            <w:proofErr w:type="spellEnd"/>
            <w:r w:rsidRPr="00A97761">
              <w:rPr>
                <w:rFonts w:ascii="Arial" w:hAnsi="Arial" w:cs="Arial"/>
                <w:sz w:val="20"/>
                <w:szCs w:val="20"/>
              </w:rPr>
              <w:t>)</w:t>
            </w:r>
          </w:p>
        </w:tc>
        <w:tc>
          <w:tcPr>
            <w:tcW w:w="3775" w:type="dxa"/>
          </w:tcPr>
          <w:p w14:paraId="7D862E0B"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8.6 ± 10.4</w:t>
            </w:r>
          </w:p>
        </w:tc>
      </w:tr>
      <w:tr w:rsidR="00922E84" w:rsidRPr="00A97761" w14:paraId="10E2CE4C" w14:textId="77777777" w:rsidTr="00C93AF6">
        <w:tc>
          <w:tcPr>
            <w:tcW w:w="9350" w:type="dxa"/>
            <w:gridSpan w:val="2"/>
          </w:tcPr>
          <w:p w14:paraId="0E6341DF"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Etiology of hearing loss</w:t>
            </w:r>
          </w:p>
        </w:tc>
      </w:tr>
      <w:tr w:rsidR="00922E84" w:rsidRPr="00A97761" w14:paraId="6CEE2FEF" w14:textId="77777777" w:rsidTr="00C93AF6">
        <w:tc>
          <w:tcPr>
            <w:tcW w:w="5575" w:type="dxa"/>
          </w:tcPr>
          <w:p w14:paraId="6810FB9E" w14:textId="77777777" w:rsidR="00922E84" w:rsidRPr="00A97761" w:rsidRDefault="00922E84" w:rsidP="00922E84">
            <w:pPr>
              <w:spacing w:after="0" w:line="240" w:lineRule="auto"/>
              <w:ind w:left="720"/>
              <w:rPr>
                <w:rFonts w:ascii="Arial" w:hAnsi="Arial" w:cs="Arial"/>
                <w:sz w:val="20"/>
                <w:szCs w:val="20"/>
              </w:rPr>
            </w:pPr>
            <w:r w:rsidRPr="00A97761">
              <w:rPr>
                <w:rFonts w:ascii="Arial" w:hAnsi="Arial" w:cs="Arial"/>
                <w:sz w:val="20"/>
                <w:szCs w:val="20"/>
              </w:rPr>
              <w:t>Unknown</w:t>
            </w:r>
          </w:p>
        </w:tc>
        <w:tc>
          <w:tcPr>
            <w:tcW w:w="3775" w:type="dxa"/>
          </w:tcPr>
          <w:p w14:paraId="6E91DD93"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43 (86.0)</w:t>
            </w:r>
          </w:p>
        </w:tc>
      </w:tr>
      <w:tr w:rsidR="00922E84" w:rsidRPr="00A97761" w14:paraId="29DF97FC" w14:textId="77777777" w:rsidTr="00C93AF6">
        <w:tc>
          <w:tcPr>
            <w:tcW w:w="5575" w:type="dxa"/>
          </w:tcPr>
          <w:p w14:paraId="08B1D472" w14:textId="77777777" w:rsidR="00922E84" w:rsidRPr="00A97761" w:rsidRDefault="00922E84" w:rsidP="00922E84">
            <w:pPr>
              <w:spacing w:after="0" w:line="240" w:lineRule="auto"/>
              <w:ind w:left="720"/>
              <w:rPr>
                <w:rFonts w:ascii="Arial" w:hAnsi="Arial" w:cs="Arial"/>
                <w:sz w:val="20"/>
                <w:szCs w:val="20"/>
              </w:rPr>
            </w:pPr>
            <w:r w:rsidRPr="00A97761">
              <w:rPr>
                <w:rFonts w:ascii="Arial" w:hAnsi="Arial" w:cs="Arial"/>
                <w:sz w:val="20"/>
                <w:szCs w:val="20"/>
              </w:rPr>
              <w:t>Sudden sensorineural hearing loss</w:t>
            </w:r>
          </w:p>
        </w:tc>
        <w:tc>
          <w:tcPr>
            <w:tcW w:w="3775" w:type="dxa"/>
          </w:tcPr>
          <w:p w14:paraId="292FCD31"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2 (4.0)</w:t>
            </w:r>
          </w:p>
        </w:tc>
      </w:tr>
      <w:tr w:rsidR="00922E84" w:rsidRPr="00A97761" w14:paraId="04CDAE52" w14:textId="77777777" w:rsidTr="00C93AF6">
        <w:tc>
          <w:tcPr>
            <w:tcW w:w="5575" w:type="dxa"/>
          </w:tcPr>
          <w:p w14:paraId="01D66775" w14:textId="77777777" w:rsidR="00922E84" w:rsidRPr="00A97761" w:rsidRDefault="00922E84" w:rsidP="00922E84">
            <w:pPr>
              <w:spacing w:after="0" w:line="240" w:lineRule="auto"/>
              <w:ind w:left="720"/>
              <w:rPr>
                <w:rFonts w:ascii="Arial" w:hAnsi="Arial" w:cs="Arial"/>
                <w:sz w:val="20"/>
                <w:szCs w:val="20"/>
              </w:rPr>
            </w:pPr>
            <w:r w:rsidRPr="00A97761">
              <w:rPr>
                <w:rFonts w:ascii="Arial" w:hAnsi="Arial" w:cs="Arial"/>
                <w:sz w:val="20"/>
                <w:szCs w:val="20"/>
              </w:rPr>
              <w:t>Congenital</w:t>
            </w:r>
          </w:p>
        </w:tc>
        <w:tc>
          <w:tcPr>
            <w:tcW w:w="3775" w:type="dxa"/>
          </w:tcPr>
          <w:p w14:paraId="194B9CDE"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5 (10.0)</w:t>
            </w:r>
          </w:p>
        </w:tc>
      </w:tr>
      <w:tr w:rsidR="00922E84" w:rsidRPr="00A97761" w14:paraId="5736C541" w14:textId="77777777" w:rsidTr="00C93AF6">
        <w:tc>
          <w:tcPr>
            <w:tcW w:w="5575" w:type="dxa"/>
          </w:tcPr>
          <w:p w14:paraId="61A536B6"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Low-frequency Pure Tone Average (LFPTA; 125, 250, 500 Hz; dB HL)</w:t>
            </w:r>
          </w:p>
        </w:tc>
        <w:tc>
          <w:tcPr>
            <w:tcW w:w="3775" w:type="dxa"/>
          </w:tcPr>
          <w:p w14:paraId="1A30C36E"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56.3 ± 25.5</w:t>
            </w:r>
          </w:p>
          <w:p w14:paraId="5BC6083C" w14:textId="77777777" w:rsidR="00922E84" w:rsidRPr="00A97761" w:rsidRDefault="00922E84" w:rsidP="00922E84">
            <w:pPr>
              <w:spacing w:after="0" w:line="240" w:lineRule="auto"/>
              <w:jc w:val="center"/>
              <w:rPr>
                <w:rFonts w:ascii="Arial" w:hAnsi="Arial" w:cs="Arial"/>
                <w:sz w:val="20"/>
                <w:szCs w:val="20"/>
              </w:rPr>
            </w:pPr>
          </w:p>
        </w:tc>
      </w:tr>
      <w:tr w:rsidR="00922E84" w:rsidRPr="00A97761" w14:paraId="5EAAD0FD" w14:textId="77777777" w:rsidTr="00C93AF6">
        <w:tc>
          <w:tcPr>
            <w:tcW w:w="5575" w:type="dxa"/>
          </w:tcPr>
          <w:p w14:paraId="6B3A382F"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Pure Tone Average (PTA; 500, 1000, 2000, 4000 Hz; dB HL)</w:t>
            </w:r>
          </w:p>
        </w:tc>
        <w:tc>
          <w:tcPr>
            <w:tcW w:w="3775" w:type="dxa"/>
          </w:tcPr>
          <w:p w14:paraId="338A60A8"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56.1 ± 20.8</w:t>
            </w:r>
          </w:p>
        </w:tc>
      </w:tr>
      <w:tr w:rsidR="00922E84" w:rsidRPr="00A97761" w14:paraId="2EA37AC0" w14:textId="77777777" w:rsidTr="00C93AF6">
        <w:tc>
          <w:tcPr>
            <w:tcW w:w="5575" w:type="dxa"/>
          </w:tcPr>
          <w:p w14:paraId="5A207072" w14:textId="77777777" w:rsidR="00922E84" w:rsidRPr="00A97761" w:rsidRDefault="00922E84" w:rsidP="00922E84">
            <w:pPr>
              <w:spacing w:after="0" w:line="240" w:lineRule="auto"/>
              <w:rPr>
                <w:rFonts w:ascii="Arial" w:hAnsi="Arial" w:cs="Arial"/>
                <w:b/>
                <w:bCs/>
                <w:sz w:val="20"/>
                <w:szCs w:val="20"/>
              </w:rPr>
            </w:pPr>
            <w:r w:rsidRPr="00A97761">
              <w:rPr>
                <w:rFonts w:ascii="Arial" w:hAnsi="Arial" w:cs="Arial"/>
                <w:b/>
                <w:bCs/>
                <w:sz w:val="20"/>
                <w:szCs w:val="20"/>
              </w:rPr>
              <w:t>CT 3-D Reconstructions</w:t>
            </w:r>
          </w:p>
        </w:tc>
        <w:tc>
          <w:tcPr>
            <w:tcW w:w="3775" w:type="dxa"/>
          </w:tcPr>
          <w:p w14:paraId="2986ACE4" w14:textId="77777777" w:rsidR="00922E84" w:rsidRPr="00A97761" w:rsidRDefault="00922E84" w:rsidP="00922E84">
            <w:pPr>
              <w:spacing w:after="0" w:line="240" w:lineRule="auto"/>
              <w:jc w:val="center"/>
              <w:rPr>
                <w:rFonts w:ascii="Arial" w:hAnsi="Arial" w:cs="Arial"/>
                <w:sz w:val="20"/>
                <w:szCs w:val="20"/>
              </w:rPr>
            </w:pPr>
          </w:p>
        </w:tc>
      </w:tr>
      <w:tr w:rsidR="00922E84" w:rsidRPr="00A97761" w14:paraId="084896ED" w14:textId="77777777" w:rsidTr="00C93AF6">
        <w:tc>
          <w:tcPr>
            <w:tcW w:w="5575" w:type="dxa"/>
          </w:tcPr>
          <w:p w14:paraId="50A8DC02"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Apical Electrode Insertion Angle (deg)</w:t>
            </w:r>
          </w:p>
        </w:tc>
        <w:tc>
          <w:tcPr>
            <w:tcW w:w="3775" w:type="dxa"/>
          </w:tcPr>
          <w:p w14:paraId="790D24C5"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404.3 ± 35.3</w:t>
            </w:r>
          </w:p>
        </w:tc>
      </w:tr>
      <w:tr w:rsidR="00922E84" w:rsidRPr="00A97761" w14:paraId="220BA6A3" w14:textId="77777777" w:rsidTr="00C93AF6">
        <w:tc>
          <w:tcPr>
            <w:tcW w:w="5575" w:type="dxa"/>
          </w:tcPr>
          <w:p w14:paraId="63D2B13A"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Cochlear Diameter Center to Round Window (mm)</w:t>
            </w:r>
          </w:p>
        </w:tc>
        <w:tc>
          <w:tcPr>
            <w:tcW w:w="3775" w:type="dxa"/>
          </w:tcPr>
          <w:p w14:paraId="24E5E194" w14:textId="77777777" w:rsidR="00922E84" w:rsidRPr="00A97761" w:rsidRDefault="00922E84" w:rsidP="00922E84">
            <w:pPr>
              <w:spacing w:after="0" w:line="240" w:lineRule="auto"/>
              <w:jc w:val="center"/>
              <w:rPr>
                <w:rFonts w:ascii="Arial" w:hAnsi="Arial" w:cs="Arial"/>
                <w:sz w:val="20"/>
                <w:szCs w:val="20"/>
              </w:rPr>
            </w:pPr>
            <w:r w:rsidRPr="00A97761">
              <w:rPr>
                <w:rFonts w:ascii="Arial" w:hAnsi="Arial" w:cs="Arial"/>
                <w:sz w:val="20"/>
                <w:szCs w:val="20"/>
              </w:rPr>
              <w:t>9.2 ± 0.4</w:t>
            </w:r>
          </w:p>
        </w:tc>
      </w:tr>
    </w:tbl>
    <w:p w14:paraId="340473B6" w14:textId="77777777" w:rsidR="00922E84" w:rsidRPr="00A97761" w:rsidRDefault="00922E84" w:rsidP="00922E84">
      <w:pPr>
        <w:spacing w:line="240" w:lineRule="auto"/>
        <w:rPr>
          <w:rFonts w:ascii="Arial" w:hAnsi="Arial" w:cs="Arial"/>
          <w:b/>
          <w:bCs/>
          <w:sz w:val="20"/>
          <w:szCs w:val="20"/>
        </w:rPr>
      </w:pPr>
    </w:p>
    <w:p w14:paraId="29D7E54F" w14:textId="77777777" w:rsidR="00922E84" w:rsidRPr="00A97761" w:rsidRDefault="00922E84" w:rsidP="00922E84">
      <w:pPr>
        <w:spacing w:line="240" w:lineRule="auto"/>
        <w:rPr>
          <w:rFonts w:ascii="Arial" w:hAnsi="Arial" w:cs="Arial"/>
          <w:b/>
          <w:bCs/>
          <w:sz w:val="20"/>
          <w:szCs w:val="20"/>
        </w:rPr>
      </w:pPr>
    </w:p>
    <w:p w14:paraId="5A84D985" w14:textId="77777777" w:rsidR="00922E84" w:rsidRPr="00A97761" w:rsidRDefault="00922E84" w:rsidP="00922E84">
      <w:pPr>
        <w:spacing w:line="240" w:lineRule="auto"/>
        <w:rPr>
          <w:rFonts w:ascii="Arial" w:hAnsi="Arial" w:cs="Arial"/>
          <w:b/>
          <w:bCs/>
          <w:sz w:val="20"/>
          <w:szCs w:val="20"/>
        </w:rPr>
      </w:pPr>
    </w:p>
    <w:p w14:paraId="3599AAA5" w14:textId="77777777" w:rsidR="00922E84" w:rsidRPr="00A97761" w:rsidRDefault="00922E84" w:rsidP="00922E84">
      <w:pPr>
        <w:spacing w:line="240" w:lineRule="auto"/>
        <w:rPr>
          <w:rFonts w:ascii="Arial" w:hAnsi="Arial" w:cs="Arial"/>
          <w:b/>
          <w:bCs/>
          <w:sz w:val="20"/>
          <w:szCs w:val="20"/>
        </w:rPr>
      </w:pPr>
    </w:p>
    <w:p w14:paraId="633441EC" w14:textId="77777777" w:rsidR="00922E84" w:rsidRPr="00A97761" w:rsidRDefault="00922E84" w:rsidP="00922E84">
      <w:pPr>
        <w:spacing w:line="240" w:lineRule="auto"/>
        <w:rPr>
          <w:rFonts w:ascii="Arial" w:hAnsi="Arial" w:cs="Arial"/>
          <w:b/>
          <w:bCs/>
          <w:sz w:val="20"/>
          <w:szCs w:val="20"/>
        </w:rPr>
      </w:pPr>
    </w:p>
    <w:p w14:paraId="66D1ED99" w14:textId="77777777" w:rsidR="00922E84" w:rsidRPr="00A97761" w:rsidRDefault="00922E84" w:rsidP="00922E84">
      <w:pPr>
        <w:spacing w:line="240" w:lineRule="auto"/>
        <w:rPr>
          <w:rFonts w:ascii="Arial" w:hAnsi="Arial" w:cs="Arial"/>
          <w:b/>
          <w:bCs/>
          <w:sz w:val="20"/>
          <w:szCs w:val="20"/>
        </w:rPr>
      </w:pPr>
    </w:p>
    <w:p w14:paraId="1E94F1E2" w14:textId="77777777" w:rsidR="00922E84" w:rsidRPr="00A97761" w:rsidRDefault="00922E84" w:rsidP="00922E84">
      <w:pPr>
        <w:spacing w:line="240" w:lineRule="auto"/>
        <w:rPr>
          <w:rFonts w:ascii="Arial" w:hAnsi="Arial" w:cs="Arial"/>
          <w:b/>
          <w:bCs/>
          <w:sz w:val="20"/>
          <w:szCs w:val="20"/>
        </w:rPr>
      </w:pPr>
    </w:p>
    <w:p w14:paraId="531022C6" w14:textId="77777777" w:rsidR="00922E84" w:rsidRPr="00A97761" w:rsidRDefault="00922E84" w:rsidP="00922E84">
      <w:pPr>
        <w:spacing w:line="240" w:lineRule="auto"/>
        <w:rPr>
          <w:rFonts w:ascii="Arial" w:hAnsi="Arial" w:cs="Arial"/>
          <w:b/>
          <w:bCs/>
          <w:sz w:val="20"/>
          <w:szCs w:val="20"/>
        </w:rPr>
      </w:pPr>
    </w:p>
    <w:p w14:paraId="2D12DE32" w14:textId="77777777" w:rsidR="00922E84" w:rsidRPr="00A97761" w:rsidRDefault="00922E84" w:rsidP="00922E84">
      <w:pPr>
        <w:spacing w:line="240" w:lineRule="auto"/>
        <w:rPr>
          <w:rFonts w:ascii="Arial" w:hAnsi="Arial" w:cs="Arial"/>
          <w:b/>
          <w:bCs/>
          <w:sz w:val="20"/>
          <w:szCs w:val="20"/>
        </w:rPr>
      </w:pPr>
    </w:p>
    <w:p w14:paraId="47E2FCF4" w14:textId="77777777" w:rsidR="00922E84" w:rsidRPr="00A97761" w:rsidRDefault="00922E84" w:rsidP="00922E84">
      <w:pPr>
        <w:spacing w:line="240" w:lineRule="auto"/>
        <w:rPr>
          <w:rFonts w:ascii="Arial" w:hAnsi="Arial" w:cs="Arial"/>
          <w:b/>
          <w:bCs/>
          <w:sz w:val="20"/>
          <w:szCs w:val="20"/>
        </w:rPr>
      </w:pPr>
    </w:p>
    <w:p w14:paraId="6A0EFFD8" w14:textId="77777777" w:rsidR="00922E84" w:rsidRPr="00A97761" w:rsidRDefault="00922E84" w:rsidP="00922E84">
      <w:pPr>
        <w:spacing w:line="240" w:lineRule="auto"/>
        <w:rPr>
          <w:rFonts w:ascii="Arial" w:hAnsi="Arial" w:cs="Arial"/>
          <w:b/>
          <w:bCs/>
          <w:sz w:val="20"/>
          <w:szCs w:val="20"/>
        </w:rPr>
      </w:pPr>
    </w:p>
    <w:p w14:paraId="5C79EE30" w14:textId="77777777" w:rsidR="00922E84" w:rsidRPr="00A97761" w:rsidRDefault="00922E84" w:rsidP="00922E84">
      <w:pPr>
        <w:spacing w:line="240" w:lineRule="auto"/>
        <w:rPr>
          <w:rFonts w:ascii="Arial" w:hAnsi="Arial" w:cs="Arial"/>
          <w:b/>
          <w:bCs/>
          <w:sz w:val="20"/>
          <w:szCs w:val="20"/>
        </w:rPr>
      </w:pPr>
    </w:p>
    <w:p w14:paraId="4CB396C8" w14:textId="77777777" w:rsidR="00922E84" w:rsidRPr="00A97761" w:rsidRDefault="00922E84" w:rsidP="00922E84">
      <w:pPr>
        <w:spacing w:line="240" w:lineRule="auto"/>
        <w:rPr>
          <w:rFonts w:ascii="Arial" w:hAnsi="Arial" w:cs="Arial"/>
          <w:b/>
          <w:bCs/>
          <w:sz w:val="20"/>
          <w:szCs w:val="20"/>
        </w:rPr>
      </w:pPr>
    </w:p>
    <w:p w14:paraId="20AC4D5A" w14:textId="77777777" w:rsidR="00922E84" w:rsidRPr="00A97761" w:rsidRDefault="00922E84" w:rsidP="00922E84">
      <w:pPr>
        <w:spacing w:line="240" w:lineRule="auto"/>
        <w:rPr>
          <w:rFonts w:ascii="Arial" w:hAnsi="Arial" w:cs="Arial"/>
          <w:b/>
          <w:bCs/>
          <w:sz w:val="20"/>
          <w:szCs w:val="20"/>
        </w:rPr>
      </w:pPr>
    </w:p>
    <w:p w14:paraId="009F7D48" w14:textId="77777777" w:rsidR="00A97761" w:rsidRDefault="00A97761" w:rsidP="00922E84">
      <w:pPr>
        <w:spacing w:line="240" w:lineRule="auto"/>
        <w:rPr>
          <w:rFonts w:ascii="Arial" w:hAnsi="Arial" w:cs="Arial"/>
          <w:b/>
          <w:bCs/>
          <w:sz w:val="20"/>
          <w:szCs w:val="20"/>
        </w:rPr>
      </w:pPr>
    </w:p>
    <w:p w14:paraId="6CFD3AB2" w14:textId="77777777" w:rsidR="00A97761" w:rsidRDefault="00A97761" w:rsidP="00922E84">
      <w:pPr>
        <w:spacing w:line="240" w:lineRule="auto"/>
        <w:rPr>
          <w:rFonts w:ascii="Arial" w:hAnsi="Arial" w:cs="Arial"/>
          <w:b/>
          <w:bCs/>
          <w:sz w:val="20"/>
          <w:szCs w:val="20"/>
        </w:rPr>
      </w:pPr>
    </w:p>
    <w:p w14:paraId="29079251" w14:textId="77777777" w:rsidR="00A97761" w:rsidRDefault="00A97761" w:rsidP="00922E84">
      <w:pPr>
        <w:spacing w:line="240" w:lineRule="auto"/>
        <w:rPr>
          <w:rFonts w:ascii="Arial" w:hAnsi="Arial" w:cs="Arial"/>
          <w:b/>
          <w:bCs/>
          <w:sz w:val="20"/>
          <w:szCs w:val="20"/>
        </w:rPr>
      </w:pPr>
    </w:p>
    <w:p w14:paraId="6340FB36" w14:textId="77777777" w:rsidR="00A97761" w:rsidRDefault="00A97761" w:rsidP="00922E84">
      <w:pPr>
        <w:spacing w:line="240" w:lineRule="auto"/>
        <w:rPr>
          <w:rFonts w:ascii="Arial" w:hAnsi="Arial" w:cs="Arial"/>
          <w:b/>
          <w:bCs/>
          <w:sz w:val="20"/>
          <w:szCs w:val="20"/>
        </w:rPr>
      </w:pPr>
    </w:p>
    <w:p w14:paraId="3C99FA3C" w14:textId="77777777" w:rsidR="00A97761" w:rsidRDefault="00A97761" w:rsidP="00922E84">
      <w:pPr>
        <w:spacing w:line="240" w:lineRule="auto"/>
        <w:rPr>
          <w:rFonts w:ascii="Arial" w:hAnsi="Arial" w:cs="Arial"/>
          <w:b/>
          <w:bCs/>
          <w:sz w:val="20"/>
          <w:szCs w:val="20"/>
        </w:rPr>
      </w:pPr>
    </w:p>
    <w:p w14:paraId="5A95DD90" w14:textId="4EF232F7" w:rsidR="00922E84" w:rsidRPr="00A97761" w:rsidRDefault="00922E84" w:rsidP="00922E84">
      <w:pPr>
        <w:spacing w:line="240" w:lineRule="auto"/>
        <w:rPr>
          <w:rFonts w:ascii="Arial" w:hAnsi="Arial" w:cs="Arial"/>
          <w:b/>
          <w:bCs/>
          <w:sz w:val="20"/>
          <w:szCs w:val="20"/>
        </w:rPr>
      </w:pPr>
      <w:r w:rsidRPr="00A97761">
        <w:rPr>
          <w:rFonts w:ascii="Arial" w:hAnsi="Arial" w:cs="Arial"/>
          <w:b/>
          <w:bCs/>
          <w:sz w:val="20"/>
          <w:szCs w:val="20"/>
        </w:rPr>
        <w:lastRenderedPageBreak/>
        <w:t xml:space="preserve">Table S2. Comparative Analysis of Frequency-Position Functions: </w:t>
      </w:r>
      <w:r w:rsidRPr="00A97761">
        <w:rPr>
          <w:rFonts w:ascii="Arial" w:hAnsi="Arial" w:cs="Arial"/>
          <w:b/>
          <w:bCs/>
          <w:i/>
          <w:iCs/>
          <w:sz w:val="20"/>
          <w:szCs w:val="20"/>
        </w:rPr>
        <w:t xml:space="preserve">In Vivo </w:t>
      </w:r>
      <w:r w:rsidRPr="00A97761">
        <w:rPr>
          <w:rFonts w:ascii="Arial" w:hAnsi="Arial" w:cs="Arial"/>
          <w:b/>
          <w:bCs/>
          <w:sz w:val="20"/>
          <w:szCs w:val="20"/>
        </w:rPr>
        <w:t>vs. Greenwood Functions.</w:t>
      </w:r>
    </w:p>
    <w:p w14:paraId="4261C9E2" w14:textId="77777777" w:rsidR="00922E84" w:rsidRPr="00A97761" w:rsidRDefault="00922E84" w:rsidP="00922E84">
      <w:pPr>
        <w:spacing w:line="240" w:lineRule="auto"/>
        <w:rPr>
          <w:rFonts w:ascii="Arial" w:hAnsi="Arial" w:cs="Arial"/>
          <w:b/>
          <w:bCs/>
          <w:sz w:val="20"/>
          <w:szCs w:val="20"/>
        </w:rPr>
      </w:pPr>
    </w:p>
    <w:tbl>
      <w:tblPr>
        <w:tblStyle w:val="TableGrid"/>
        <w:tblW w:w="0" w:type="auto"/>
        <w:tblLook w:val="04A0" w:firstRow="1" w:lastRow="0" w:firstColumn="1" w:lastColumn="0" w:noHBand="0" w:noVBand="1"/>
      </w:tblPr>
      <w:tblGrid>
        <w:gridCol w:w="1025"/>
        <w:gridCol w:w="1640"/>
        <w:gridCol w:w="1696"/>
        <w:gridCol w:w="1315"/>
        <w:gridCol w:w="1386"/>
        <w:gridCol w:w="1362"/>
        <w:gridCol w:w="926"/>
      </w:tblGrid>
      <w:tr w:rsidR="00922E84" w:rsidRPr="00A97761" w14:paraId="12CA50D1" w14:textId="77777777" w:rsidTr="00C93AF6">
        <w:trPr>
          <w:trHeight w:val="1986"/>
        </w:trPr>
        <w:tc>
          <w:tcPr>
            <w:tcW w:w="0" w:type="auto"/>
            <w:noWrap/>
            <w:hideMark/>
          </w:tcPr>
          <w:p w14:paraId="3C8AC482" w14:textId="77777777" w:rsidR="00922E84" w:rsidRPr="00A97761" w:rsidRDefault="00922E84" w:rsidP="00922E84">
            <w:pPr>
              <w:spacing w:after="0" w:line="240" w:lineRule="auto"/>
              <w:rPr>
                <w:rFonts w:ascii="Arial" w:hAnsi="Arial" w:cs="Arial"/>
                <w:b/>
                <w:bCs/>
                <w:sz w:val="20"/>
                <w:szCs w:val="20"/>
              </w:rPr>
            </w:pPr>
            <w:r w:rsidRPr="00A97761">
              <w:rPr>
                <w:rFonts w:ascii="Arial" w:hAnsi="Arial" w:cs="Arial"/>
                <w:b/>
                <w:bCs/>
                <w:sz w:val="20"/>
                <w:szCs w:val="20"/>
              </w:rPr>
              <w:t>Stimulus Frequency</w:t>
            </w:r>
          </w:p>
        </w:tc>
        <w:tc>
          <w:tcPr>
            <w:tcW w:w="0" w:type="auto"/>
            <w:noWrap/>
            <w:hideMark/>
          </w:tcPr>
          <w:p w14:paraId="32A18E29" w14:textId="77777777" w:rsidR="00922E84" w:rsidRPr="00A97761" w:rsidRDefault="00922E84" w:rsidP="00922E84">
            <w:pPr>
              <w:spacing w:after="0" w:line="240" w:lineRule="auto"/>
              <w:rPr>
                <w:rFonts w:ascii="Arial" w:hAnsi="Arial" w:cs="Arial"/>
                <w:b/>
                <w:bCs/>
                <w:sz w:val="20"/>
                <w:szCs w:val="20"/>
              </w:rPr>
            </w:pPr>
            <w:r w:rsidRPr="00A97761">
              <w:rPr>
                <w:rFonts w:ascii="Arial" w:hAnsi="Arial" w:cs="Arial"/>
                <w:b/>
                <w:bCs/>
                <w:sz w:val="20"/>
                <w:szCs w:val="20"/>
              </w:rPr>
              <w:t>Best Frequency Location (Degrees)</w:t>
            </w:r>
          </w:p>
        </w:tc>
        <w:tc>
          <w:tcPr>
            <w:tcW w:w="0" w:type="auto"/>
            <w:noWrap/>
            <w:hideMark/>
          </w:tcPr>
          <w:p w14:paraId="7AD79A0D" w14:textId="77777777" w:rsidR="00922E84" w:rsidRPr="00A97761" w:rsidRDefault="00922E84" w:rsidP="00922E84">
            <w:pPr>
              <w:spacing w:after="0" w:line="240" w:lineRule="auto"/>
              <w:rPr>
                <w:rFonts w:ascii="Arial" w:hAnsi="Arial" w:cs="Arial"/>
                <w:b/>
                <w:bCs/>
                <w:sz w:val="20"/>
                <w:szCs w:val="20"/>
              </w:rPr>
            </w:pPr>
            <w:r w:rsidRPr="00A97761">
              <w:rPr>
                <w:rFonts w:ascii="Arial" w:hAnsi="Arial" w:cs="Arial"/>
                <w:b/>
                <w:bCs/>
                <w:sz w:val="20"/>
                <w:szCs w:val="20"/>
              </w:rPr>
              <w:t>Average Greenwood Place (Degrees)</w:t>
            </w:r>
          </w:p>
        </w:tc>
        <w:tc>
          <w:tcPr>
            <w:tcW w:w="0" w:type="auto"/>
            <w:noWrap/>
            <w:hideMark/>
          </w:tcPr>
          <w:p w14:paraId="3C3DD8CA" w14:textId="77777777" w:rsidR="00922E84" w:rsidRPr="00A97761" w:rsidRDefault="00922E84" w:rsidP="00922E84">
            <w:pPr>
              <w:spacing w:after="0" w:line="240" w:lineRule="auto"/>
              <w:rPr>
                <w:rFonts w:ascii="Arial" w:hAnsi="Arial" w:cs="Arial"/>
                <w:b/>
                <w:bCs/>
                <w:sz w:val="20"/>
                <w:szCs w:val="20"/>
              </w:rPr>
            </w:pPr>
            <w:r w:rsidRPr="00A97761">
              <w:rPr>
                <w:rFonts w:ascii="Arial" w:hAnsi="Arial" w:cs="Arial"/>
                <w:b/>
                <w:bCs/>
                <w:sz w:val="20"/>
                <w:szCs w:val="20"/>
              </w:rPr>
              <w:t>Greenwood Frequency (Hz)</w:t>
            </w:r>
          </w:p>
        </w:tc>
        <w:tc>
          <w:tcPr>
            <w:tcW w:w="0" w:type="auto"/>
            <w:noWrap/>
            <w:hideMark/>
          </w:tcPr>
          <w:p w14:paraId="2BB27ECC" w14:textId="77777777" w:rsidR="00922E84" w:rsidRPr="00A97761" w:rsidRDefault="00922E84" w:rsidP="00922E84">
            <w:pPr>
              <w:spacing w:after="0" w:line="240" w:lineRule="auto"/>
              <w:rPr>
                <w:rFonts w:ascii="Arial" w:hAnsi="Arial" w:cs="Arial"/>
                <w:b/>
                <w:bCs/>
                <w:sz w:val="20"/>
                <w:szCs w:val="20"/>
              </w:rPr>
            </w:pPr>
            <w:r w:rsidRPr="00A97761">
              <w:rPr>
                <w:rFonts w:ascii="Arial" w:hAnsi="Arial" w:cs="Arial"/>
                <w:b/>
                <w:bCs/>
                <w:sz w:val="20"/>
                <w:szCs w:val="20"/>
              </w:rPr>
              <w:t xml:space="preserve">Difference in Place (Degrees) </w:t>
            </w:r>
          </w:p>
        </w:tc>
        <w:tc>
          <w:tcPr>
            <w:tcW w:w="0" w:type="auto"/>
            <w:noWrap/>
            <w:hideMark/>
          </w:tcPr>
          <w:p w14:paraId="79B72189" w14:textId="77777777" w:rsidR="00922E84" w:rsidRPr="00A97761" w:rsidRDefault="00922E84" w:rsidP="00922E84">
            <w:pPr>
              <w:spacing w:after="0" w:line="240" w:lineRule="auto"/>
              <w:rPr>
                <w:rFonts w:ascii="Arial" w:hAnsi="Arial" w:cs="Arial"/>
                <w:b/>
                <w:bCs/>
                <w:sz w:val="20"/>
                <w:szCs w:val="20"/>
              </w:rPr>
            </w:pPr>
            <w:r w:rsidRPr="00A97761">
              <w:rPr>
                <w:rFonts w:ascii="Arial" w:hAnsi="Arial" w:cs="Arial"/>
                <w:b/>
                <w:bCs/>
                <w:sz w:val="20"/>
                <w:szCs w:val="20"/>
              </w:rPr>
              <w:t>Difference in Frequency (Hz)</w:t>
            </w:r>
          </w:p>
          <w:p w14:paraId="018E8547" w14:textId="77777777" w:rsidR="00922E84" w:rsidRPr="00A97761" w:rsidRDefault="00922E84" w:rsidP="00922E84">
            <w:pPr>
              <w:spacing w:after="0" w:line="240" w:lineRule="auto"/>
              <w:rPr>
                <w:rFonts w:ascii="Arial" w:hAnsi="Arial" w:cs="Arial"/>
                <w:b/>
                <w:bCs/>
                <w:sz w:val="20"/>
                <w:szCs w:val="20"/>
              </w:rPr>
            </w:pPr>
          </w:p>
        </w:tc>
        <w:tc>
          <w:tcPr>
            <w:tcW w:w="0" w:type="auto"/>
            <w:noWrap/>
            <w:hideMark/>
          </w:tcPr>
          <w:p w14:paraId="539B95B0" w14:textId="77777777" w:rsidR="00922E84" w:rsidRPr="00A97761" w:rsidRDefault="00922E84" w:rsidP="00922E84">
            <w:pPr>
              <w:spacing w:after="0" w:line="240" w:lineRule="auto"/>
              <w:rPr>
                <w:rFonts w:ascii="Arial" w:hAnsi="Arial" w:cs="Arial"/>
                <w:b/>
                <w:bCs/>
                <w:sz w:val="20"/>
                <w:szCs w:val="20"/>
              </w:rPr>
            </w:pPr>
            <w:r w:rsidRPr="00A97761">
              <w:rPr>
                <w:rFonts w:ascii="Arial" w:hAnsi="Arial" w:cs="Arial"/>
                <w:b/>
                <w:bCs/>
                <w:sz w:val="20"/>
                <w:szCs w:val="20"/>
              </w:rPr>
              <w:t>Octave difference</w:t>
            </w:r>
          </w:p>
        </w:tc>
      </w:tr>
      <w:tr w:rsidR="00922E84" w:rsidRPr="00A97761" w14:paraId="2095FCAF" w14:textId="77777777" w:rsidTr="00C93AF6">
        <w:trPr>
          <w:trHeight w:val="320"/>
        </w:trPr>
        <w:tc>
          <w:tcPr>
            <w:tcW w:w="0" w:type="auto"/>
            <w:noWrap/>
            <w:hideMark/>
          </w:tcPr>
          <w:p w14:paraId="768B12A0"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500</w:t>
            </w:r>
          </w:p>
        </w:tc>
        <w:tc>
          <w:tcPr>
            <w:tcW w:w="0" w:type="auto"/>
            <w:noWrap/>
            <w:hideMark/>
          </w:tcPr>
          <w:p w14:paraId="505686E0"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325.6 ± 28.1</w:t>
            </w:r>
          </w:p>
        </w:tc>
        <w:tc>
          <w:tcPr>
            <w:tcW w:w="0" w:type="auto"/>
            <w:noWrap/>
            <w:hideMark/>
          </w:tcPr>
          <w:p w14:paraId="228117DE"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475.6 ± 23.2</w:t>
            </w:r>
          </w:p>
        </w:tc>
        <w:tc>
          <w:tcPr>
            <w:tcW w:w="0" w:type="auto"/>
            <w:noWrap/>
            <w:hideMark/>
          </w:tcPr>
          <w:p w14:paraId="4D7D66FB"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1083.8 ± 221.4</w:t>
            </w:r>
          </w:p>
        </w:tc>
        <w:tc>
          <w:tcPr>
            <w:tcW w:w="0" w:type="auto"/>
            <w:noWrap/>
            <w:hideMark/>
          </w:tcPr>
          <w:p w14:paraId="5EE48206"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150.0 ± 39.0</w:t>
            </w:r>
          </w:p>
        </w:tc>
        <w:tc>
          <w:tcPr>
            <w:tcW w:w="0" w:type="auto"/>
            <w:noWrap/>
            <w:hideMark/>
          </w:tcPr>
          <w:p w14:paraId="7F5D0E05"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583.8 ± 221.4</w:t>
            </w:r>
          </w:p>
        </w:tc>
        <w:tc>
          <w:tcPr>
            <w:tcW w:w="0" w:type="auto"/>
            <w:noWrap/>
            <w:hideMark/>
          </w:tcPr>
          <w:p w14:paraId="2FEFE0F6"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1.1164</w:t>
            </w:r>
          </w:p>
        </w:tc>
      </w:tr>
      <w:tr w:rsidR="00922E84" w:rsidRPr="00A97761" w14:paraId="5BFB5053" w14:textId="77777777" w:rsidTr="00C93AF6">
        <w:trPr>
          <w:trHeight w:val="320"/>
        </w:trPr>
        <w:tc>
          <w:tcPr>
            <w:tcW w:w="0" w:type="auto"/>
            <w:noWrap/>
            <w:hideMark/>
          </w:tcPr>
          <w:p w14:paraId="350B8BB5"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1000</w:t>
            </w:r>
          </w:p>
        </w:tc>
        <w:tc>
          <w:tcPr>
            <w:tcW w:w="0" w:type="auto"/>
            <w:noWrap/>
            <w:hideMark/>
          </w:tcPr>
          <w:p w14:paraId="16FB7932"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211.3 ± 36.5</w:t>
            </w:r>
          </w:p>
        </w:tc>
        <w:tc>
          <w:tcPr>
            <w:tcW w:w="0" w:type="auto"/>
            <w:noWrap/>
            <w:hideMark/>
          </w:tcPr>
          <w:p w14:paraId="48652FDB"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336.5 ± 14.1</w:t>
            </w:r>
          </w:p>
        </w:tc>
        <w:tc>
          <w:tcPr>
            <w:tcW w:w="0" w:type="auto"/>
            <w:noWrap/>
            <w:hideMark/>
          </w:tcPr>
          <w:p w14:paraId="6CE9C357"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2295.8 ± 625.0</w:t>
            </w:r>
          </w:p>
        </w:tc>
        <w:tc>
          <w:tcPr>
            <w:tcW w:w="0" w:type="auto"/>
            <w:noWrap/>
            <w:hideMark/>
          </w:tcPr>
          <w:p w14:paraId="5EF7D831"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125.2 ± 40.3</w:t>
            </w:r>
          </w:p>
        </w:tc>
        <w:tc>
          <w:tcPr>
            <w:tcW w:w="0" w:type="auto"/>
            <w:noWrap/>
            <w:hideMark/>
          </w:tcPr>
          <w:p w14:paraId="652DA5BE"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1295.8 ± 625.0</w:t>
            </w:r>
          </w:p>
        </w:tc>
        <w:tc>
          <w:tcPr>
            <w:tcW w:w="0" w:type="auto"/>
            <w:noWrap/>
            <w:hideMark/>
          </w:tcPr>
          <w:p w14:paraId="233C50FA"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1.1899</w:t>
            </w:r>
          </w:p>
        </w:tc>
      </w:tr>
      <w:tr w:rsidR="00922E84" w:rsidRPr="00A97761" w14:paraId="335676EF" w14:textId="77777777" w:rsidTr="00C93AF6">
        <w:trPr>
          <w:trHeight w:val="320"/>
        </w:trPr>
        <w:tc>
          <w:tcPr>
            <w:tcW w:w="0" w:type="auto"/>
            <w:noWrap/>
            <w:hideMark/>
          </w:tcPr>
          <w:p w14:paraId="53456142"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2000</w:t>
            </w:r>
          </w:p>
        </w:tc>
        <w:tc>
          <w:tcPr>
            <w:tcW w:w="0" w:type="auto"/>
            <w:noWrap/>
            <w:hideMark/>
          </w:tcPr>
          <w:p w14:paraId="27B10A67"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137.2 ± 28.0</w:t>
            </w:r>
          </w:p>
        </w:tc>
        <w:tc>
          <w:tcPr>
            <w:tcW w:w="0" w:type="auto"/>
            <w:noWrap/>
            <w:hideMark/>
          </w:tcPr>
          <w:p w14:paraId="4DE8DAB3"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224.7 ± 7.9</w:t>
            </w:r>
          </w:p>
        </w:tc>
        <w:tc>
          <w:tcPr>
            <w:tcW w:w="0" w:type="auto"/>
            <w:noWrap/>
            <w:hideMark/>
          </w:tcPr>
          <w:p w14:paraId="791AD13A"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4007.5 ± 889.2</w:t>
            </w:r>
          </w:p>
        </w:tc>
        <w:tc>
          <w:tcPr>
            <w:tcW w:w="0" w:type="auto"/>
            <w:noWrap/>
            <w:hideMark/>
          </w:tcPr>
          <w:p w14:paraId="14D993DC"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87.5 ± 28.7</w:t>
            </w:r>
          </w:p>
        </w:tc>
        <w:tc>
          <w:tcPr>
            <w:tcW w:w="0" w:type="auto"/>
            <w:noWrap/>
            <w:hideMark/>
          </w:tcPr>
          <w:p w14:paraId="7A0A2713"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2007.5 ± 889.2</w:t>
            </w:r>
          </w:p>
        </w:tc>
        <w:tc>
          <w:tcPr>
            <w:tcW w:w="0" w:type="auto"/>
            <w:noWrap/>
            <w:hideMark/>
          </w:tcPr>
          <w:p w14:paraId="728A0108"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1.0232</w:t>
            </w:r>
          </w:p>
        </w:tc>
      </w:tr>
      <w:tr w:rsidR="00922E84" w:rsidRPr="00A97761" w14:paraId="0FF116F7" w14:textId="77777777" w:rsidTr="00C93AF6">
        <w:trPr>
          <w:trHeight w:val="320"/>
        </w:trPr>
        <w:tc>
          <w:tcPr>
            <w:tcW w:w="0" w:type="auto"/>
            <w:noWrap/>
            <w:hideMark/>
          </w:tcPr>
          <w:p w14:paraId="171D7F60"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3000</w:t>
            </w:r>
          </w:p>
        </w:tc>
        <w:tc>
          <w:tcPr>
            <w:tcW w:w="0" w:type="auto"/>
            <w:noWrap/>
            <w:hideMark/>
          </w:tcPr>
          <w:p w14:paraId="61AC4377"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115.0 ± 18.3</w:t>
            </w:r>
          </w:p>
        </w:tc>
        <w:tc>
          <w:tcPr>
            <w:tcW w:w="0" w:type="auto"/>
            <w:noWrap/>
            <w:hideMark/>
          </w:tcPr>
          <w:p w14:paraId="28A511E9"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168.9 ± 3.8</w:t>
            </w:r>
          </w:p>
        </w:tc>
        <w:tc>
          <w:tcPr>
            <w:tcW w:w="0" w:type="auto"/>
            <w:noWrap/>
            <w:hideMark/>
          </w:tcPr>
          <w:p w14:paraId="5FACDDC7"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4724.2 ± 746.3</w:t>
            </w:r>
          </w:p>
        </w:tc>
        <w:tc>
          <w:tcPr>
            <w:tcW w:w="0" w:type="auto"/>
            <w:noWrap/>
            <w:hideMark/>
          </w:tcPr>
          <w:p w14:paraId="05C4F5BC"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53.9 ± 18.8</w:t>
            </w:r>
          </w:p>
        </w:tc>
        <w:tc>
          <w:tcPr>
            <w:tcW w:w="0" w:type="auto"/>
            <w:noWrap/>
            <w:hideMark/>
          </w:tcPr>
          <w:p w14:paraId="7013E9FC"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1724.2 ± 746.3</w:t>
            </w:r>
          </w:p>
        </w:tc>
        <w:tc>
          <w:tcPr>
            <w:tcW w:w="0" w:type="auto"/>
            <w:noWrap/>
            <w:hideMark/>
          </w:tcPr>
          <w:p w14:paraId="47046DB2"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0.6207</w:t>
            </w:r>
          </w:p>
        </w:tc>
      </w:tr>
      <w:tr w:rsidR="00922E84" w:rsidRPr="00A97761" w14:paraId="20BF17C1" w14:textId="77777777" w:rsidTr="00C93AF6">
        <w:trPr>
          <w:trHeight w:val="320"/>
        </w:trPr>
        <w:tc>
          <w:tcPr>
            <w:tcW w:w="0" w:type="auto"/>
            <w:noWrap/>
            <w:hideMark/>
          </w:tcPr>
          <w:p w14:paraId="2F0AB848"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4000</w:t>
            </w:r>
          </w:p>
        </w:tc>
        <w:tc>
          <w:tcPr>
            <w:tcW w:w="0" w:type="auto"/>
            <w:noWrap/>
            <w:hideMark/>
          </w:tcPr>
          <w:p w14:paraId="494C5EA0"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93.7 ± 16.6</w:t>
            </w:r>
          </w:p>
        </w:tc>
        <w:tc>
          <w:tcPr>
            <w:tcW w:w="0" w:type="auto"/>
            <w:noWrap/>
            <w:hideMark/>
          </w:tcPr>
          <w:p w14:paraId="11D6EA02"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133.1 ± 2.9</w:t>
            </w:r>
          </w:p>
        </w:tc>
        <w:tc>
          <w:tcPr>
            <w:tcW w:w="0" w:type="auto"/>
            <w:noWrap/>
            <w:hideMark/>
          </w:tcPr>
          <w:p w14:paraId="7CDC05F2"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5666.4 ± 844.5</w:t>
            </w:r>
          </w:p>
        </w:tc>
        <w:tc>
          <w:tcPr>
            <w:tcW w:w="0" w:type="auto"/>
            <w:noWrap/>
            <w:hideMark/>
          </w:tcPr>
          <w:p w14:paraId="1FDD1019"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39.4 ± 17.3</w:t>
            </w:r>
          </w:p>
        </w:tc>
        <w:tc>
          <w:tcPr>
            <w:tcW w:w="0" w:type="auto"/>
            <w:noWrap/>
            <w:hideMark/>
          </w:tcPr>
          <w:p w14:paraId="7EBF5A3B"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1666.4 ± 844.5</w:t>
            </w:r>
          </w:p>
        </w:tc>
        <w:tc>
          <w:tcPr>
            <w:tcW w:w="0" w:type="auto"/>
            <w:noWrap/>
            <w:hideMark/>
          </w:tcPr>
          <w:p w14:paraId="0DF590C2" w14:textId="77777777" w:rsidR="00922E84" w:rsidRPr="00A97761" w:rsidRDefault="00922E84" w:rsidP="00922E84">
            <w:pPr>
              <w:spacing w:after="0" w:line="240" w:lineRule="auto"/>
              <w:rPr>
                <w:rFonts w:ascii="Arial" w:hAnsi="Arial" w:cs="Arial"/>
                <w:sz w:val="20"/>
                <w:szCs w:val="20"/>
              </w:rPr>
            </w:pPr>
            <w:r w:rsidRPr="00A97761">
              <w:rPr>
                <w:rFonts w:ascii="Arial" w:hAnsi="Arial" w:cs="Arial"/>
                <w:sz w:val="20"/>
                <w:szCs w:val="20"/>
              </w:rPr>
              <w:t>0.5232</w:t>
            </w:r>
          </w:p>
        </w:tc>
      </w:tr>
    </w:tbl>
    <w:p w14:paraId="5DFF0035" w14:textId="77777777" w:rsidR="00922E84" w:rsidRPr="00A97761" w:rsidRDefault="00922E84" w:rsidP="00922E84">
      <w:pPr>
        <w:spacing w:line="240" w:lineRule="auto"/>
        <w:rPr>
          <w:rFonts w:ascii="Arial" w:hAnsi="Arial" w:cs="Arial"/>
          <w:b/>
          <w:bCs/>
          <w:sz w:val="20"/>
          <w:szCs w:val="20"/>
        </w:rPr>
      </w:pPr>
    </w:p>
    <w:p w14:paraId="12B3E03F" w14:textId="77777777" w:rsidR="00922E84" w:rsidRPr="00A97761" w:rsidRDefault="00922E84" w:rsidP="00922E84">
      <w:pPr>
        <w:spacing w:line="240" w:lineRule="auto"/>
        <w:rPr>
          <w:rFonts w:ascii="Arial" w:hAnsi="Arial" w:cs="Arial"/>
          <w:b/>
          <w:bCs/>
          <w:sz w:val="20"/>
          <w:szCs w:val="20"/>
        </w:rPr>
      </w:pPr>
    </w:p>
    <w:p w14:paraId="19AE9766" w14:textId="77777777" w:rsidR="00922E84" w:rsidRPr="00A97761" w:rsidRDefault="00922E84" w:rsidP="00922E84">
      <w:pPr>
        <w:spacing w:line="240" w:lineRule="auto"/>
        <w:rPr>
          <w:rFonts w:ascii="Arial" w:hAnsi="Arial" w:cs="Arial"/>
          <w:b/>
          <w:bCs/>
          <w:sz w:val="20"/>
          <w:szCs w:val="20"/>
        </w:rPr>
      </w:pPr>
    </w:p>
    <w:p w14:paraId="59F2D49B" w14:textId="77777777" w:rsidR="00922E84" w:rsidRPr="00A97761" w:rsidRDefault="00922E84" w:rsidP="00922E84">
      <w:pPr>
        <w:spacing w:line="240" w:lineRule="auto"/>
        <w:rPr>
          <w:rFonts w:ascii="Arial" w:hAnsi="Arial" w:cs="Arial"/>
          <w:b/>
          <w:bCs/>
          <w:sz w:val="20"/>
          <w:szCs w:val="20"/>
        </w:rPr>
      </w:pPr>
    </w:p>
    <w:p w14:paraId="53D3331F" w14:textId="77777777" w:rsidR="00922E84" w:rsidRPr="00A97761" w:rsidRDefault="00922E84" w:rsidP="00922E84">
      <w:pPr>
        <w:spacing w:line="240" w:lineRule="auto"/>
        <w:rPr>
          <w:rFonts w:ascii="Arial" w:hAnsi="Arial" w:cs="Arial"/>
          <w:b/>
          <w:bCs/>
          <w:sz w:val="20"/>
          <w:szCs w:val="20"/>
        </w:rPr>
      </w:pPr>
    </w:p>
    <w:p w14:paraId="685D0CEB" w14:textId="77777777" w:rsidR="00922E84" w:rsidRPr="00A97761" w:rsidRDefault="00922E84" w:rsidP="00922E84">
      <w:pPr>
        <w:spacing w:line="240" w:lineRule="auto"/>
        <w:rPr>
          <w:rFonts w:ascii="Arial" w:hAnsi="Arial" w:cs="Arial"/>
          <w:b/>
          <w:bCs/>
          <w:sz w:val="20"/>
          <w:szCs w:val="20"/>
        </w:rPr>
      </w:pPr>
    </w:p>
    <w:p w14:paraId="54C57959" w14:textId="77777777" w:rsidR="00922E84" w:rsidRPr="00A97761" w:rsidRDefault="00922E84" w:rsidP="00922E84">
      <w:pPr>
        <w:spacing w:line="240" w:lineRule="auto"/>
        <w:rPr>
          <w:rFonts w:ascii="Arial" w:hAnsi="Arial" w:cs="Arial"/>
          <w:b/>
          <w:bCs/>
          <w:sz w:val="20"/>
          <w:szCs w:val="20"/>
        </w:rPr>
      </w:pPr>
    </w:p>
    <w:p w14:paraId="36CD2D57" w14:textId="77777777" w:rsidR="00922E84" w:rsidRPr="00A97761" w:rsidRDefault="00922E84" w:rsidP="00922E84">
      <w:pPr>
        <w:spacing w:line="240" w:lineRule="auto"/>
        <w:rPr>
          <w:rFonts w:ascii="Arial" w:hAnsi="Arial" w:cs="Arial"/>
          <w:b/>
          <w:bCs/>
          <w:sz w:val="20"/>
          <w:szCs w:val="20"/>
        </w:rPr>
      </w:pPr>
    </w:p>
    <w:p w14:paraId="78512C8E" w14:textId="77777777" w:rsidR="00922E84" w:rsidRPr="00A97761" w:rsidRDefault="00922E84" w:rsidP="00922E84">
      <w:pPr>
        <w:spacing w:line="240" w:lineRule="auto"/>
        <w:rPr>
          <w:rFonts w:ascii="Arial" w:hAnsi="Arial" w:cs="Arial"/>
          <w:b/>
          <w:bCs/>
          <w:sz w:val="20"/>
          <w:szCs w:val="20"/>
        </w:rPr>
      </w:pPr>
    </w:p>
    <w:p w14:paraId="5D274E80" w14:textId="77777777" w:rsidR="00922E84" w:rsidRPr="00A97761" w:rsidRDefault="00922E84" w:rsidP="00922E84">
      <w:pPr>
        <w:spacing w:line="240" w:lineRule="auto"/>
        <w:rPr>
          <w:rFonts w:ascii="Arial" w:hAnsi="Arial" w:cs="Arial"/>
          <w:b/>
          <w:bCs/>
          <w:sz w:val="20"/>
          <w:szCs w:val="20"/>
        </w:rPr>
      </w:pPr>
    </w:p>
    <w:p w14:paraId="196BE81C" w14:textId="77777777" w:rsidR="00922E84" w:rsidRPr="00A97761" w:rsidRDefault="00922E84">
      <w:pPr>
        <w:rPr>
          <w:rFonts w:ascii="Arial" w:hAnsi="Arial" w:cs="Arial"/>
          <w:sz w:val="20"/>
          <w:szCs w:val="20"/>
        </w:rPr>
      </w:pPr>
    </w:p>
    <w:sectPr w:rsidR="00922E84" w:rsidRPr="00A977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2"/>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04"/>
    <w:rsid w:val="0002309A"/>
    <w:rsid w:val="00031CD7"/>
    <w:rsid w:val="00041F1D"/>
    <w:rsid w:val="00042191"/>
    <w:rsid w:val="0004536C"/>
    <w:rsid w:val="00045669"/>
    <w:rsid w:val="000604AE"/>
    <w:rsid w:val="00061F3E"/>
    <w:rsid w:val="00067854"/>
    <w:rsid w:val="00071D7C"/>
    <w:rsid w:val="000817B3"/>
    <w:rsid w:val="00082EA3"/>
    <w:rsid w:val="000A4159"/>
    <w:rsid w:val="000B11E0"/>
    <w:rsid w:val="000B27FB"/>
    <w:rsid w:val="000B2ECF"/>
    <w:rsid w:val="000F4104"/>
    <w:rsid w:val="000F6912"/>
    <w:rsid w:val="00122106"/>
    <w:rsid w:val="0012373A"/>
    <w:rsid w:val="001242E6"/>
    <w:rsid w:val="00141D5F"/>
    <w:rsid w:val="00151049"/>
    <w:rsid w:val="0016451A"/>
    <w:rsid w:val="0019472D"/>
    <w:rsid w:val="0019583E"/>
    <w:rsid w:val="001B3448"/>
    <w:rsid w:val="001B653C"/>
    <w:rsid w:val="001D788F"/>
    <w:rsid w:val="002112EF"/>
    <w:rsid w:val="00240054"/>
    <w:rsid w:val="002452F2"/>
    <w:rsid w:val="0024576F"/>
    <w:rsid w:val="00266719"/>
    <w:rsid w:val="00275DFC"/>
    <w:rsid w:val="0027608C"/>
    <w:rsid w:val="002865DE"/>
    <w:rsid w:val="002A5032"/>
    <w:rsid w:val="002C7EEF"/>
    <w:rsid w:val="0031012C"/>
    <w:rsid w:val="00310FC9"/>
    <w:rsid w:val="003155E2"/>
    <w:rsid w:val="00380710"/>
    <w:rsid w:val="0039422E"/>
    <w:rsid w:val="003B05FF"/>
    <w:rsid w:val="003E6766"/>
    <w:rsid w:val="003F27EA"/>
    <w:rsid w:val="003F40F9"/>
    <w:rsid w:val="00404449"/>
    <w:rsid w:val="00406A74"/>
    <w:rsid w:val="00417FEB"/>
    <w:rsid w:val="00426CB5"/>
    <w:rsid w:val="0042761D"/>
    <w:rsid w:val="00430077"/>
    <w:rsid w:val="004333FD"/>
    <w:rsid w:val="004347E0"/>
    <w:rsid w:val="004502E9"/>
    <w:rsid w:val="004775C3"/>
    <w:rsid w:val="00486975"/>
    <w:rsid w:val="00491223"/>
    <w:rsid w:val="00495868"/>
    <w:rsid w:val="004A1CC2"/>
    <w:rsid w:val="004A6334"/>
    <w:rsid w:val="004B05F9"/>
    <w:rsid w:val="004B750A"/>
    <w:rsid w:val="004C5223"/>
    <w:rsid w:val="00535601"/>
    <w:rsid w:val="0054055A"/>
    <w:rsid w:val="00557CCF"/>
    <w:rsid w:val="005618C5"/>
    <w:rsid w:val="00593D64"/>
    <w:rsid w:val="005940E4"/>
    <w:rsid w:val="005A08B2"/>
    <w:rsid w:val="005A2053"/>
    <w:rsid w:val="005E3B04"/>
    <w:rsid w:val="005E5B60"/>
    <w:rsid w:val="006017BD"/>
    <w:rsid w:val="006538B9"/>
    <w:rsid w:val="00662ABA"/>
    <w:rsid w:val="00663FD5"/>
    <w:rsid w:val="00675DEA"/>
    <w:rsid w:val="0069542C"/>
    <w:rsid w:val="006C77D5"/>
    <w:rsid w:val="006D7A60"/>
    <w:rsid w:val="006E414E"/>
    <w:rsid w:val="00702A6E"/>
    <w:rsid w:val="007038ED"/>
    <w:rsid w:val="007126AB"/>
    <w:rsid w:val="00724A9C"/>
    <w:rsid w:val="007330DC"/>
    <w:rsid w:val="007415C6"/>
    <w:rsid w:val="00747493"/>
    <w:rsid w:val="007549BB"/>
    <w:rsid w:val="007556CE"/>
    <w:rsid w:val="007A4B45"/>
    <w:rsid w:val="007C746C"/>
    <w:rsid w:val="007C7FB3"/>
    <w:rsid w:val="007E588B"/>
    <w:rsid w:val="007E5ECF"/>
    <w:rsid w:val="007F1A4B"/>
    <w:rsid w:val="007F24A4"/>
    <w:rsid w:val="00815614"/>
    <w:rsid w:val="00817172"/>
    <w:rsid w:val="00867ED6"/>
    <w:rsid w:val="008A49A3"/>
    <w:rsid w:val="008B248E"/>
    <w:rsid w:val="008C4F73"/>
    <w:rsid w:val="008D0A60"/>
    <w:rsid w:val="00912153"/>
    <w:rsid w:val="00922E84"/>
    <w:rsid w:val="00934987"/>
    <w:rsid w:val="00937B7C"/>
    <w:rsid w:val="0095288E"/>
    <w:rsid w:val="00952A3D"/>
    <w:rsid w:val="0099793C"/>
    <w:rsid w:val="009A79AA"/>
    <w:rsid w:val="009D5CB9"/>
    <w:rsid w:val="009E2819"/>
    <w:rsid w:val="009E35AF"/>
    <w:rsid w:val="009F3504"/>
    <w:rsid w:val="009F7068"/>
    <w:rsid w:val="00A27715"/>
    <w:rsid w:val="00A37304"/>
    <w:rsid w:val="00A42DD2"/>
    <w:rsid w:val="00A55F2F"/>
    <w:rsid w:val="00A5761C"/>
    <w:rsid w:val="00A63A0E"/>
    <w:rsid w:val="00A7183E"/>
    <w:rsid w:val="00A752EA"/>
    <w:rsid w:val="00A97761"/>
    <w:rsid w:val="00AA36E5"/>
    <w:rsid w:val="00AA7E25"/>
    <w:rsid w:val="00AB4CB7"/>
    <w:rsid w:val="00B04CA0"/>
    <w:rsid w:val="00B05E3B"/>
    <w:rsid w:val="00B10509"/>
    <w:rsid w:val="00B235FB"/>
    <w:rsid w:val="00B31DCD"/>
    <w:rsid w:val="00B46CDA"/>
    <w:rsid w:val="00B50DDA"/>
    <w:rsid w:val="00B51244"/>
    <w:rsid w:val="00B51804"/>
    <w:rsid w:val="00B64EB2"/>
    <w:rsid w:val="00B801BA"/>
    <w:rsid w:val="00B81FB1"/>
    <w:rsid w:val="00B82418"/>
    <w:rsid w:val="00B84B06"/>
    <w:rsid w:val="00B97359"/>
    <w:rsid w:val="00BB3150"/>
    <w:rsid w:val="00BE3694"/>
    <w:rsid w:val="00BE4F8B"/>
    <w:rsid w:val="00BF1243"/>
    <w:rsid w:val="00C1377F"/>
    <w:rsid w:val="00C1682B"/>
    <w:rsid w:val="00C23482"/>
    <w:rsid w:val="00C701AD"/>
    <w:rsid w:val="00C87709"/>
    <w:rsid w:val="00C907B9"/>
    <w:rsid w:val="00C91A97"/>
    <w:rsid w:val="00C936D3"/>
    <w:rsid w:val="00CA7CA2"/>
    <w:rsid w:val="00CB4880"/>
    <w:rsid w:val="00CC0DBE"/>
    <w:rsid w:val="00CC341C"/>
    <w:rsid w:val="00CE46D9"/>
    <w:rsid w:val="00CE50F8"/>
    <w:rsid w:val="00CF4229"/>
    <w:rsid w:val="00D034B0"/>
    <w:rsid w:val="00D05C0B"/>
    <w:rsid w:val="00D16477"/>
    <w:rsid w:val="00D364A7"/>
    <w:rsid w:val="00D41885"/>
    <w:rsid w:val="00D42202"/>
    <w:rsid w:val="00D47830"/>
    <w:rsid w:val="00D57A03"/>
    <w:rsid w:val="00D64B45"/>
    <w:rsid w:val="00D73D9C"/>
    <w:rsid w:val="00D74925"/>
    <w:rsid w:val="00D74959"/>
    <w:rsid w:val="00D926AC"/>
    <w:rsid w:val="00D94263"/>
    <w:rsid w:val="00D9520B"/>
    <w:rsid w:val="00DB6547"/>
    <w:rsid w:val="00DC6683"/>
    <w:rsid w:val="00DF2A37"/>
    <w:rsid w:val="00E02EAE"/>
    <w:rsid w:val="00E13712"/>
    <w:rsid w:val="00E168D8"/>
    <w:rsid w:val="00E17EC7"/>
    <w:rsid w:val="00E34E1F"/>
    <w:rsid w:val="00E3500E"/>
    <w:rsid w:val="00E43CCC"/>
    <w:rsid w:val="00E623C1"/>
    <w:rsid w:val="00E6583A"/>
    <w:rsid w:val="00E771A7"/>
    <w:rsid w:val="00E820FB"/>
    <w:rsid w:val="00E85D7A"/>
    <w:rsid w:val="00E94281"/>
    <w:rsid w:val="00E94391"/>
    <w:rsid w:val="00EA0C91"/>
    <w:rsid w:val="00EA43C1"/>
    <w:rsid w:val="00EB3D7E"/>
    <w:rsid w:val="00ED3E37"/>
    <w:rsid w:val="00EE32E3"/>
    <w:rsid w:val="00F06A3F"/>
    <w:rsid w:val="00F12144"/>
    <w:rsid w:val="00F21D54"/>
    <w:rsid w:val="00F4081F"/>
    <w:rsid w:val="00F45116"/>
    <w:rsid w:val="00F5569A"/>
    <w:rsid w:val="00F6044F"/>
    <w:rsid w:val="00F60BF2"/>
    <w:rsid w:val="00F739E4"/>
    <w:rsid w:val="00F879DC"/>
    <w:rsid w:val="00FA7308"/>
    <w:rsid w:val="00FC7A1B"/>
    <w:rsid w:val="00FE0939"/>
    <w:rsid w:val="00FF3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DED2DB"/>
  <w15:chartTrackingRefBased/>
  <w15:docId w15:val="{E269AB92-53D4-DC47-8FF2-30B13161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04"/>
    <w:pPr>
      <w:spacing w:after="160" w:line="480" w:lineRule="auto"/>
    </w:pPr>
    <w:rPr>
      <w:rFonts w:ascii="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2E84"/>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2274</Words>
  <Characters>12963</Characters>
  <Application>Microsoft Office Word</Application>
  <DocSecurity>0</DocSecurity>
  <Lines>108</Lines>
  <Paragraphs>30</Paragraphs>
  <ScaleCrop>false</ScaleCrop>
  <Company/>
  <LinksUpToDate>false</LinksUpToDate>
  <CharactersWithSpaces>15207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Walia, Amit</dc:creator>
  <cp:keywords/>
  <dc:description/>
  <cp:lastModifiedBy>Walia, Amit</cp:lastModifiedBy>
  <cp:revision>2</cp:revision>
  <dcterms:created xsi:type="dcterms:W3CDTF">2023-05-22T19:56:00Z</dcterms:created>
  <dcterms:modified xsi:type="dcterms:W3CDTF">2023-05-22T19:56:00Z</dcterms:modified>
</cp:coreProperties>
</file>