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3C75" w14:textId="3DBC7910" w:rsidR="0010670E" w:rsidRPr="007527BF" w:rsidRDefault="007527BF" w:rsidP="007527BF">
      <w:pPr>
        <w:pStyle w:val="NoSpacing"/>
        <w:jc w:val="center"/>
        <w:rPr>
          <w:rFonts w:ascii="Times New Roman" w:hAnsi="Times New Roman" w:cs="Times New Roman"/>
          <w:b/>
          <w:bCs/>
          <w:sz w:val="24"/>
          <w:szCs w:val="24"/>
        </w:rPr>
      </w:pPr>
      <w:r w:rsidRPr="007527BF">
        <w:rPr>
          <w:rFonts w:ascii="Times New Roman" w:hAnsi="Times New Roman" w:cs="Times New Roman"/>
          <w:b/>
          <w:bCs/>
          <w:sz w:val="24"/>
          <w:szCs w:val="24"/>
        </w:rPr>
        <w:t>Supplementary Material</w:t>
      </w:r>
    </w:p>
    <w:p w14:paraId="4FB934DA" w14:textId="77777777" w:rsidR="007527BF" w:rsidRPr="007527BF" w:rsidRDefault="007527BF" w:rsidP="007527BF">
      <w:pPr>
        <w:pStyle w:val="NoSpacing"/>
        <w:rPr>
          <w:rFonts w:ascii="Times New Roman" w:hAnsi="Times New Roman" w:cs="Times New Roman"/>
        </w:rPr>
      </w:pPr>
    </w:p>
    <w:p w14:paraId="28996049" w14:textId="0AF335B4" w:rsidR="007527BF" w:rsidRPr="007527BF" w:rsidRDefault="007527BF" w:rsidP="007527BF">
      <w:pPr>
        <w:pStyle w:val="NoSpacing"/>
        <w:rPr>
          <w:rFonts w:ascii="Times New Roman" w:hAnsi="Times New Roman" w:cs="Times New Roman"/>
          <w:sz w:val="20"/>
          <w:szCs w:val="20"/>
        </w:rPr>
      </w:pPr>
      <w:bookmarkStart w:id="0" w:name="_Toc127537675"/>
      <w:r w:rsidRPr="007527BF">
        <w:rPr>
          <w:rFonts w:ascii="Times New Roman" w:hAnsi="Times New Roman" w:cs="Times New Roman"/>
          <w:sz w:val="20"/>
          <w:szCs w:val="20"/>
        </w:rPr>
        <w:t>E-Table 1: Patient Ns by year, pain status, and 2019 state cannabis law status for patients included in the prevalence mode</w:t>
      </w:r>
      <w:r w:rsidRPr="007527BF">
        <w:rPr>
          <w:rFonts w:ascii="Times New Roman" w:hAnsi="Times New Roman" w:cs="Times New Roman"/>
          <w:sz w:val="20"/>
          <w:szCs w:val="20"/>
        </w:rPr>
        <w:t>l (page 2)</w:t>
      </w:r>
    </w:p>
    <w:p w14:paraId="34301DD0" w14:textId="77777777" w:rsidR="007527BF" w:rsidRPr="007527BF" w:rsidRDefault="007527BF" w:rsidP="007527BF">
      <w:pPr>
        <w:pStyle w:val="NoSpacing"/>
        <w:rPr>
          <w:rFonts w:ascii="Times New Roman" w:hAnsi="Times New Roman" w:cs="Times New Roman"/>
          <w:sz w:val="20"/>
          <w:szCs w:val="20"/>
        </w:rPr>
      </w:pPr>
    </w:p>
    <w:p w14:paraId="78CF6D6E" w14:textId="41BB335D" w:rsidR="007527BF" w:rsidRPr="007527BF" w:rsidRDefault="007527BF" w:rsidP="007527BF">
      <w:pPr>
        <w:pStyle w:val="NoSpacing"/>
        <w:rPr>
          <w:rFonts w:ascii="Times New Roman" w:hAnsi="Times New Roman" w:cs="Times New Roman"/>
          <w:color w:val="000000"/>
          <w:sz w:val="20"/>
          <w:szCs w:val="20"/>
        </w:rPr>
      </w:pPr>
      <w:r w:rsidRPr="007527BF">
        <w:rPr>
          <w:rFonts w:ascii="Times New Roman" w:hAnsi="Times New Roman" w:cs="Times New Roman"/>
          <w:color w:val="000000"/>
          <w:sz w:val="20"/>
          <w:szCs w:val="20"/>
        </w:rPr>
        <w:t>E-Table 2. Patient Demographics by Any Chronic Pain, 2005 and 2019</w:t>
      </w:r>
      <w:r w:rsidRPr="007527BF">
        <w:rPr>
          <w:rFonts w:ascii="Times New Roman" w:hAnsi="Times New Roman" w:cs="Times New Roman"/>
          <w:color w:val="000000"/>
          <w:sz w:val="20"/>
          <w:szCs w:val="20"/>
        </w:rPr>
        <w:t xml:space="preserve"> (page 3)</w:t>
      </w:r>
    </w:p>
    <w:p w14:paraId="25AC47D6" w14:textId="77777777" w:rsidR="007527BF" w:rsidRPr="007527BF" w:rsidRDefault="007527BF" w:rsidP="007527BF">
      <w:pPr>
        <w:pStyle w:val="NoSpacing"/>
        <w:rPr>
          <w:rFonts w:ascii="Times New Roman" w:hAnsi="Times New Roman" w:cs="Times New Roman"/>
          <w:color w:val="000000"/>
          <w:sz w:val="20"/>
          <w:szCs w:val="20"/>
        </w:rPr>
      </w:pPr>
    </w:p>
    <w:p w14:paraId="2FB56205" w14:textId="0F91791B" w:rsidR="007527BF" w:rsidRPr="007527BF" w:rsidRDefault="007527BF" w:rsidP="007527BF">
      <w:pPr>
        <w:pStyle w:val="NoSpacing"/>
        <w:rPr>
          <w:rFonts w:ascii="Times New Roman" w:hAnsi="Times New Roman" w:cs="Times New Roman"/>
          <w:sz w:val="20"/>
          <w:szCs w:val="20"/>
          <w:shd w:val="clear" w:color="auto" w:fill="FFFFFF"/>
        </w:rPr>
      </w:pPr>
      <w:r w:rsidRPr="007527BF">
        <w:rPr>
          <w:rFonts w:ascii="Times New Roman" w:hAnsi="Times New Roman" w:cs="Times New Roman"/>
          <w:sz w:val="20"/>
          <w:szCs w:val="20"/>
          <w:shd w:val="clear" w:color="auto" w:fill="FFFFFF"/>
        </w:rPr>
        <w:t xml:space="preserve">E-Table 3. Adjusted CUD </w:t>
      </w:r>
      <w:proofErr w:type="spellStart"/>
      <w:r w:rsidRPr="007527BF">
        <w:rPr>
          <w:rFonts w:ascii="Times New Roman" w:hAnsi="Times New Roman" w:cs="Times New Roman"/>
          <w:sz w:val="20"/>
          <w:szCs w:val="20"/>
          <w:shd w:val="clear" w:color="auto" w:fill="FFFFFF"/>
        </w:rPr>
        <w:t>prevalence</w:t>
      </w:r>
      <w:r w:rsidRPr="007527BF">
        <w:rPr>
          <w:rFonts w:ascii="Times New Roman" w:hAnsi="Times New Roman" w:cs="Times New Roman"/>
          <w:sz w:val="20"/>
          <w:szCs w:val="20"/>
          <w:shd w:val="clear" w:color="auto" w:fill="FFFFFF"/>
          <w:vertAlign w:val="superscript"/>
        </w:rPr>
        <w:t>a</w:t>
      </w:r>
      <w:proofErr w:type="spellEnd"/>
      <w:r w:rsidRPr="007527BF">
        <w:rPr>
          <w:rFonts w:ascii="Times New Roman" w:hAnsi="Times New Roman" w:cs="Times New Roman"/>
          <w:sz w:val="20"/>
          <w:szCs w:val="20"/>
          <w:shd w:val="clear" w:color="auto" w:fill="FFFFFF"/>
        </w:rPr>
        <w:t xml:space="preserve"> in VHA patients in 2005 and 2019 by whether states permitted legal operation of dispensaries, and absolute change over time</w:t>
      </w:r>
      <w:r w:rsidRPr="007527BF">
        <w:rPr>
          <w:rFonts w:ascii="Times New Roman" w:hAnsi="Times New Roman" w:cs="Times New Roman"/>
          <w:sz w:val="20"/>
          <w:szCs w:val="20"/>
          <w:shd w:val="clear" w:color="auto" w:fill="FFFFFF"/>
        </w:rPr>
        <w:t xml:space="preserve"> (page 4)</w:t>
      </w:r>
    </w:p>
    <w:p w14:paraId="6D070E70" w14:textId="77777777" w:rsidR="007527BF" w:rsidRPr="007527BF" w:rsidRDefault="007527BF" w:rsidP="007527BF">
      <w:pPr>
        <w:pStyle w:val="NoSpacing"/>
        <w:rPr>
          <w:rFonts w:ascii="Times New Roman" w:hAnsi="Times New Roman" w:cs="Times New Roman"/>
          <w:sz w:val="20"/>
          <w:szCs w:val="20"/>
          <w:shd w:val="clear" w:color="auto" w:fill="FFFFFF"/>
        </w:rPr>
      </w:pPr>
    </w:p>
    <w:p w14:paraId="0ACEC37E" w14:textId="77777777" w:rsidR="007527BF" w:rsidRPr="007527BF" w:rsidRDefault="007527BF" w:rsidP="007527BF">
      <w:pPr>
        <w:pStyle w:val="NoSpacing"/>
        <w:rPr>
          <w:rFonts w:ascii="Times New Roman" w:hAnsi="Times New Roman" w:cs="Times New Roman"/>
          <w:color w:val="000000"/>
          <w:sz w:val="20"/>
          <w:szCs w:val="20"/>
          <w:shd w:val="clear" w:color="auto" w:fill="FFFFFF"/>
        </w:rPr>
      </w:pPr>
      <w:r w:rsidRPr="007527BF">
        <w:rPr>
          <w:rFonts w:ascii="Times New Roman" w:hAnsi="Times New Roman" w:cs="Times New Roman"/>
          <w:color w:val="000000"/>
          <w:sz w:val="20"/>
          <w:szCs w:val="20"/>
          <w:shd w:val="clear" w:color="auto" w:fill="FFFFFF"/>
        </w:rPr>
        <w:t xml:space="preserve">E-Table 4. Effects on CUD prevalence of changes due to whether states legally permitted dispensaries  </w:t>
      </w:r>
    </w:p>
    <w:p w14:paraId="07675FFE" w14:textId="2A21AAE1" w:rsidR="007527BF" w:rsidRPr="007527BF" w:rsidRDefault="007527BF" w:rsidP="007527BF">
      <w:pPr>
        <w:pStyle w:val="NoSpacing"/>
        <w:rPr>
          <w:rFonts w:ascii="Times New Roman" w:hAnsi="Times New Roman" w:cs="Times New Roman"/>
          <w:color w:val="000000"/>
          <w:sz w:val="20"/>
          <w:szCs w:val="20"/>
          <w:shd w:val="clear" w:color="auto" w:fill="FFFFFF"/>
        </w:rPr>
      </w:pPr>
      <w:r w:rsidRPr="007527BF">
        <w:rPr>
          <w:rFonts w:ascii="Times New Roman" w:hAnsi="Times New Roman" w:cs="Times New Roman"/>
          <w:color w:val="000000"/>
          <w:sz w:val="20"/>
          <w:szCs w:val="20"/>
          <w:shd w:val="clear" w:color="auto" w:fill="FFFFFF"/>
        </w:rPr>
        <w:t>Difference-in-difference (</w:t>
      </w:r>
      <w:proofErr w:type="spellStart"/>
      <w:r w:rsidRPr="007527BF">
        <w:rPr>
          <w:rFonts w:ascii="Times New Roman" w:hAnsi="Times New Roman" w:cs="Times New Roman"/>
          <w:color w:val="000000"/>
          <w:sz w:val="20"/>
          <w:szCs w:val="20"/>
          <w:shd w:val="clear" w:color="auto" w:fill="FFFFFF"/>
        </w:rPr>
        <w:t>DiD</w:t>
      </w:r>
      <w:proofErr w:type="spellEnd"/>
      <w:r w:rsidRPr="007527BF">
        <w:rPr>
          <w:rFonts w:ascii="Times New Roman" w:hAnsi="Times New Roman" w:cs="Times New Roman"/>
          <w:color w:val="000000"/>
          <w:sz w:val="20"/>
          <w:szCs w:val="20"/>
          <w:shd w:val="clear" w:color="auto" w:fill="FFFFFF"/>
        </w:rPr>
        <w:t>)</w:t>
      </w:r>
      <w:r w:rsidRPr="007527BF">
        <w:rPr>
          <w:rFonts w:ascii="Times New Roman" w:hAnsi="Times New Roman" w:cs="Times New Roman"/>
          <w:color w:val="000000"/>
          <w:sz w:val="20"/>
          <w:szCs w:val="20"/>
          <w:shd w:val="clear" w:color="auto" w:fill="FFFFFF"/>
          <w:vertAlign w:val="superscript"/>
        </w:rPr>
        <w:t>a</w:t>
      </w:r>
      <w:r w:rsidRPr="007527BF">
        <w:rPr>
          <w:rFonts w:ascii="Times New Roman" w:hAnsi="Times New Roman" w:cs="Times New Roman"/>
          <w:color w:val="000000"/>
          <w:sz w:val="20"/>
          <w:szCs w:val="20"/>
          <w:shd w:val="clear" w:color="auto" w:fill="FFFFFF"/>
        </w:rPr>
        <w:t xml:space="preserve"> estimates incorporating data on VHA patients across all years 2005 – 2019</w:t>
      </w:r>
      <w:r w:rsidRPr="007527BF">
        <w:rPr>
          <w:rFonts w:ascii="Times New Roman" w:hAnsi="Times New Roman" w:cs="Times New Roman"/>
          <w:color w:val="000000"/>
          <w:sz w:val="20"/>
          <w:szCs w:val="20"/>
          <w:shd w:val="clear" w:color="auto" w:fill="FFFFFF"/>
        </w:rPr>
        <w:t xml:space="preserve"> (page 5)</w:t>
      </w:r>
    </w:p>
    <w:p w14:paraId="0A2C0AA8" w14:textId="77777777" w:rsidR="007527BF" w:rsidRPr="007527BF" w:rsidRDefault="007527BF" w:rsidP="007527BF">
      <w:pPr>
        <w:pStyle w:val="NoSpacing"/>
        <w:rPr>
          <w:rFonts w:ascii="Times New Roman" w:hAnsi="Times New Roman" w:cs="Times New Roman"/>
          <w:color w:val="000000"/>
          <w:sz w:val="20"/>
          <w:szCs w:val="20"/>
          <w:shd w:val="clear" w:color="auto" w:fill="FFFFFF"/>
        </w:rPr>
      </w:pPr>
    </w:p>
    <w:p w14:paraId="0BAB7754" w14:textId="271FC5E9" w:rsidR="007527BF" w:rsidRPr="007527BF" w:rsidRDefault="007527BF" w:rsidP="007527BF">
      <w:pPr>
        <w:pStyle w:val="NoSpacing"/>
        <w:rPr>
          <w:rFonts w:ascii="Times New Roman" w:hAnsi="Times New Roman" w:cs="Times New Roman"/>
          <w:color w:val="000000"/>
          <w:sz w:val="20"/>
          <w:szCs w:val="20"/>
          <w:shd w:val="clear" w:color="auto" w:fill="FFFFFF"/>
        </w:rPr>
      </w:pPr>
      <w:r w:rsidRPr="007527BF">
        <w:rPr>
          <w:rFonts w:ascii="Times New Roman" w:hAnsi="Times New Roman" w:cs="Times New Roman"/>
          <w:color w:val="000000"/>
          <w:sz w:val="20"/>
          <w:szCs w:val="20"/>
          <w:shd w:val="clear" w:color="auto" w:fill="FFFFFF"/>
        </w:rPr>
        <w:t xml:space="preserve">E-Table 5. Adjusted CUD </w:t>
      </w:r>
      <w:proofErr w:type="spellStart"/>
      <w:r w:rsidRPr="007527BF">
        <w:rPr>
          <w:rFonts w:ascii="Times New Roman" w:hAnsi="Times New Roman" w:cs="Times New Roman"/>
          <w:color w:val="000000"/>
          <w:sz w:val="20"/>
          <w:szCs w:val="20"/>
          <w:shd w:val="clear" w:color="auto" w:fill="FFFFFF"/>
        </w:rPr>
        <w:t>prevalence</w:t>
      </w:r>
      <w:r w:rsidRPr="007527BF">
        <w:rPr>
          <w:rFonts w:ascii="Times New Roman" w:hAnsi="Times New Roman" w:cs="Times New Roman"/>
          <w:color w:val="000000"/>
          <w:sz w:val="20"/>
          <w:szCs w:val="20"/>
          <w:shd w:val="clear" w:color="auto" w:fill="FFFFFF"/>
          <w:vertAlign w:val="superscript"/>
        </w:rPr>
        <w:t>a</w:t>
      </w:r>
      <w:proofErr w:type="spellEnd"/>
      <w:r w:rsidRPr="007527BF">
        <w:rPr>
          <w:rFonts w:ascii="Times New Roman" w:hAnsi="Times New Roman" w:cs="Times New Roman"/>
          <w:color w:val="000000"/>
          <w:sz w:val="20"/>
          <w:szCs w:val="20"/>
          <w:shd w:val="clear" w:color="auto" w:fill="FFFFFF"/>
          <w:vertAlign w:val="superscript"/>
        </w:rPr>
        <w:t xml:space="preserve"> </w:t>
      </w:r>
      <w:r w:rsidRPr="007527BF">
        <w:rPr>
          <w:rFonts w:ascii="Times New Roman" w:hAnsi="Times New Roman" w:cs="Times New Roman"/>
          <w:color w:val="000000"/>
          <w:sz w:val="20"/>
          <w:szCs w:val="20"/>
          <w:shd w:val="clear" w:color="auto" w:fill="FFFFFF"/>
        </w:rPr>
        <w:t>in VHA patients in 2005 and 2019 by enacted state law status with 1-year lag, and absolute change over time</w:t>
      </w:r>
      <w:r w:rsidRPr="007527BF">
        <w:rPr>
          <w:rFonts w:ascii="Times New Roman" w:hAnsi="Times New Roman" w:cs="Times New Roman"/>
          <w:color w:val="000000"/>
          <w:sz w:val="20"/>
          <w:szCs w:val="20"/>
          <w:shd w:val="clear" w:color="auto" w:fill="FFFFFF"/>
        </w:rPr>
        <w:t xml:space="preserve"> (page 6)</w:t>
      </w:r>
    </w:p>
    <w:p w14:paraId="36DD479A" w14:textId="77777777" w:rsidR="007527BF" w:rsidRPr="007527BF" w:rsidRDefault="007527BF" w:rsidP="007527BF">
      <w:pPr>
        <w:pStyle w:val="NoSpacing"/>
        <w:rPr>
          <w:rFonts w:ascii="Times New Roman" w:hAnsi="Times New Roman" w:cs="Times New Roman"/>
          <w:sz w:val="20"/>
          <w:szCs w:val="20"/>
        </w:rPr>
      </w:pPr>
    </w:p>
    <w:p w14:paraId="4684FF72" w14:textId="787CC660" w:rsidR="007527BF" w:rsidRPr="007527BF" w:rsidRDefault="007527BF" w:rsidP="007527BF">
      <w:pPr>
        <w:pStyle w:val="NoSpacing"/>
        <w:rPr>
          <w:rFonts w:ascii="Times New Roman" w:hAnsi="Times New Roman" w:cs="Times New Roman"/>
          <w:sz w:val="20"/>
          <w:szCs w:val="20"/>
        </w:rPr>
        <w:sectPr w:rsidR="007527BF" w:rsidRPr="007527BF" w:rsidSect="007527BF">
          <w:headerReference w:type="default" r:id="rId8"/>
          <w:pgSz w:w="15840" w:h="12240" w:orient="landscape"/>
          <w:pgMar w:top="720" w:right="720" w:bottom="720" w:left="720" w:header="720" w:footer="720" w:gutter="0"/>
          <w:cols w:space="720"/>
          <w:docGrid w:linePitch="360"/>
        </w:sectPr>
      </w:pPr>
      <w:r w:rsidRPr="007527BF">
        <w:rPr>
          <w:rFonts w:ascii="Times New Roman" w:hAnsi="Times New Roman" w:cs="Times New Roman"/>
          <w:color w:val="000000"/>
          <w:sz w:val="20"/>
          <w:szCs w:val="20"/>
          <w:shd w:val="clear" w:color="auto" w:fill="FFFFFF"/>
        </w:rPr>
        <w:t>E-Table 6. Effects of changes due to state MCL and RCL enactment plus a 1-year lag on CUD prevalence in VHA patients incorporating data across all years 2005 – 2019: Difference-in-difference (</w:t>
      </w:r>
      <w:proofErr w:type="spellStart"/>
      <w:r w:rsidRPr="007527BF">
        <w:rPr>
          <w:rFonts w:ascii="Times New Roman" w:hAnsi="Times New Roman" w:cs="Times New Roman"/>
          <w:color w:val="000000"/>
          <w:sz w:val="20"/>
          <w:szCs w:val="20"/>
          <w:shd w:val="clear" w:color="auto" w:fill="FFFFFF"/>
        </w:rPr>
        <w:t>DiD</w:t>
      </w:r>
      <w:proofErr w:type="spellEnd"/>
      <w:r w:rsidRPr="007527BF">
        <w:rPr>
          <w:rFonts w:ascii="Times New Roman" w:hAnsi="Times New Roman" w:cs="Times New Roman"/>
          <w:color w:val="000000"/>
          <w:sz w:val="20"/>
          <w:szCs w:val="20"/>
          <w:shd w:val="clear" w:color="auto" w:fill="FFFFFF"/>
        </w:rPr>
        <w:t xml:space="preserve">) </w:t>
      </w:r>
      <w:proofErr w:type="spellStart"/>
      <w:r w:rsidRPr="007527BF">
        <w:rPr>
          <w:rFonts w:ascii="Times New Roman" w:hAnsi="Times New Roman" w:cs="Times New Roman"/>
          <w:color w:val="000000"/>
          <w:sz w:val="20"/>
          <w:szCs w:val="20"/>
          <w:shd w:val="clear" w:color="auto" w:fill="FFFFFF"/>
        </w:rPr>
        <w:t>estimates</w:t>
      </w:r>
      <w:r w:rsidRPr="007527BF">
        <w:rPr>
          <w:rFonts w:ascii="Times New Roman" w:hAnsi="Times New Roman" w:cs="Times New Roman"/>
          <w:color w:val="000000"/>
          <w:sz w:val="20"/>
          <w:szCs w:val="20"/>
          <w:shd w:val="clear" w:color="auto" w:fill="FFFFFF"/>
          <w:vertAlign w:val="superscript"/>
        </w:rPr>
        <w:t>a</w:t>
      </w:r>
      <w:proofErr w:type="spellEnd"/>
      <w:r w:rsidRPr="007527BF">
        <w:rPr>
          <w:rFonts w:ascii="Times New Roman" w:hAnsi="Times New Roman" w:cs="Times New Roman"/>
          <w:color w:val="000000"/>
          <w:sz w:val="20"/>
          <w:szCs w:val="20"/>
          <w:shd w:val="clear" w:color="auto" w:fill="FFFFFF"/>
        </w:rPr>
        <w:t xml:space="preserve"> (page 7)</w:t>
      </w:r>
    </w:p>
    <w:tbl>
      <w:tblPr>
        <w:tblW w:w="11080" w:type="dxa"/>
        <w:jc w:val="center"/>
        <w:tblLayout w:type="fixed"/>
        <w:tblCellMar>
          <w:left w:w="0" w:type="dxa"/>
          <w:right w:w="0" w:type="dxa"/>
        </w:tblCellMar>
        <w:tblLook w:val="0000" w:firstRow="0" w:lastRow="0" w:firstColumn="0" w:lastColumn="0" w:noHBand="0" w:noVBand="0"/>
      </w:tblPr>
      <w:tblGrid>
        <w:gridCol w:w="491"/>
        <w:gridCol w:w="934"/>
        <w:gridCol w:w="934"/>
        <w:gridCol w:w="934"/>
        <w:gridCol w:w="934"/>
        <w:gridCol w:w="934"/>
        <w:gridCol w:w="772"/>
        <w:gridCol w:w="772"/>
        <w:gridCol w:w="772"/>
        <w:gridCol w:w="934"/>
        <w:gridCol w:w="854"/>
        <w:gridCol w:w="990"/>
        <w:gridCol w:w="825"/>
      </w:tblGrid>
      <w:tr w:rsidR="00373609" w:rsidRPr="007527BF" w14:paraId="7B0AE1D6" w14:textId="77777777" w:rsidTr="005960C6">
        <w:trPr>
          <w:cantSplit/>
          <w:tblHeader/>
          <w:jc w:val="center"/>
        </w:trPr>
        <w:tc>
          <w:tcPr>
            <w:tcW w:w="11080" w:type="dxa"/>
            <w:gridSpan w:val="13"/>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32D6F1E6" w14:textId="4A490D3F" w:rsidR="00373609" w:rsidRPr="007527BF" w:rsidRDefault="00373609" w:rsidP="007527BF">
            <w:pPr>
              <w:keepNext/>
              <w:autoSpaceDE w:val="0"/>
              <w:autoSpaceDN w:val="0"/>
              <w:jc w:val="center"/>
              <w:outlineLvl w:val="0"/>
              <w:rPr>
                <w:b/>
                <w:bCs/>
                <w:kern w:val="32"/>
                <w:sz w:val="20"/>
                <w:szCs w:val="20"/>
              </w:rPr>
            </w:pPr>
            <w:r w:rsidRPr="007527BF">
              <w:rPr>
                <w:b/>
                <w:bCs/>
                <w:kern w:val="32"/>
                <w:sz w:val="20"/>
                <w:szCs w:val="20"/>
              </w:rPr>
              <w:lastRenderedPageBreak/>
              <w:t>E-Table 1: Patient Ns by year, pain status, and 2019 state cannabis law status for patients included in the prevalence model.</w:t>
            </w:r>
            <w:bookmarkEnd w:id="0"/>
          </w:p>
        </w:tc>
      </w:tr>
      <w:tr w:rsidR="00373609" w:rsidRPr="007527BF" w14:paraId="000A741A" w14:textId="77777777" w:rsidTr="005960C6">
        <w:trPr>
          <w:cantSplit/>
          <w:tblHeader/>
          <w:jc w:val="center"/>
        </w:trPr>
        <w:tc>
          <w:tcPr>
            <w:tcW w:w="491"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6B86D469" w14:textId="77777777" w:rsidR="00373609" w:rsidRPr="007527BF" w:rsidRDefault="00373609" w:rsidP="000862C6">
            <w:pPr>
              <w:adjustRightInd w:val="0"/>
              <w:spacing w:before="29" w:after="29"/>
              <w:jc w:val="center"/>
              <w:rPr>
                <w:b/>
                <w:bCs/>
                <w:color w:val="000000"/>
                <w:sz w:val="16"/>
                <w:szCs w:val="16"/>
              </w:rPr>
            </w:pPr>
            <w:r w:rsidRPr="007527BF">
              <w:rPr>
                <w:b/>
                <w:bCs/>
                <w:color w:val="000000"/>
                <w:sz w:val="16"/>
                <w:szCs w:val="16"/>
              </w:rPr>
              <w:br w:type="page"/>
            </w:r>
            <w:bookmarkStart w:id="1" w:name="IDX2"/>
            <w:bookmarkEnd w:id="1"/>
          </w:p>
        </w:tc>
        <w:tc>
          <w:tcPr>
            <w:tcW w:w="3736" w:type="dxa"/>
            <w:gridSpan w:val="4"/>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2E8FC226" w14:textId="77777777" w:rsidR="00373609" w:rsidRPr="007527BF" w:rsidRDefault="00373609" w:rsidP="000862C6">
            <w:pPr>
              <w:adjustRightInd w:val="0"/>
              <w:spacing w:before="29" w:after="29"/>
              <w:jc w:val="center"/>
              <w:rPr>
                <w:b/>
                <w:bCs/>
                <w:color w:val="000000"/>
                <w:sz w:val="16"/>
                <w:szCs w:val="16"/>
              </w:rPr>
            </w:pPr>
            <w:r w:rsidRPr="007527BF">
              <w:rPr>
                <w:b/>
                <w:bCs/>
                <w:color w:val="000000"/>
                <w:sz w:val="16"/>
                <w:szCs w:val="16"/>
              </w:rPr>
              <w:t>Overall</w:t>
            </w:r>
          </w:p>
        </w:tc>
        <w:tc>
          <w:tcPr>
            <w:tcW w:w="3250" w:type="dxa"/>
            <w:gridSpan w:val="4"/>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5C17E4F9" w14:textId="451E2AE1" w:rsidR="00373609" w:rsidRPr="007527BF" w:rsidRDefault="00C942E3" w:rsidP="000862C6">
            <w:pPr>
              <w:adjustRightInd w:val="0"/>
              <w:spacing w:before="29" w:after="29"/>
              <w:jc w:val="center"/>
              <w:rPr>
                <w:b/>
                <w:bCs/>
                <w:color w:val="000000"/>
                <w:sz w:val="16"/>
                <w:szCs w:val="16"/>
              </w:rPr>
            </w:pPr>
            <w:r w:rsidRPr="007527BF">
              <w:rPr>
                <w:b/>
                <w:bCs/>
                <w:color w:val="000000"/>
                <w:sz w:val="16"/>
                <w:szCs w:val="16"/>
              </w:rPr>
              <w:t xml:space="preserve">Patients without chronic </w:t>
            </w:r>
            <w:r w:rsidR="00373609" w:rsidRPr="007527BF">
              <w:rPr>
                <w:b/>
                <w:bCs/>
                <w:color w:val="000000"/>
                <w:sz w:val="16"/>
                <w:szCs w:val="16"/>
              </w:rPr>
              <w:t>pain</w:t>
            </w:r>
          </w:p>
        </w:tc>
        <w:tc>
          <w:tcPr>
            <w:tcW w:w="3603" w:type="dxa"/>
            <w:gridSpan w:val="4"/>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1BB81500" w14:textId="06137451" w:rsidR="00373609" w:rsidRPr="007527BF" w:rsidRDefault="00C942E3" w:rsidP="000862C6">
            <w:pPr>
              <w:adjustRightInd w:val="0"/>
              <w:spacing w:before="29" w:after="29"/>
              <w:jc w:val="center"/>
              <w:rPr>
                <w:b/>
                <w:bCs/>
                <w:color w:val="000000"/>
                <w:sz w:val="16"/>
                <w:szCs w:val="16"/>
              </w:rPr>
            </w:pPr>
            <w:r w:rsidRPr="007527BF">
              <w:rPr>
                <w:b/>
                <w:bCs/>
                <w:color w:val="000000"/>
                <w:sz w:val="16"/>
                <w:szCs w:val="16"/>
              </w:rPr>
              <w:t xml:space="preserve">Patients with chronic </w:t>
            </w:r>
            <w:r w:rsidR="00373609" w:rsidRPr="007527BF">
              <w:rPr>
                <w:b/>
                <w:bCs/>
                <w:color w:val="000000"/>
                <w:sz w:val="16"/>
                <w:szCs w:val="16"/>
              </w:rPr>
              <w:t>Pain</w:t>
            </w:r>
          </w:p>
        </w:tc>
      </w:tr>
      <w:tr w:rsidR="00901052" w:rsidRPr="007527BF" w14:paraId="09F68C48" w14:textId="77777777" w:rsidTr="005960C6">
        <w:trPr>
          <w:cantSplit/>
          <w:trHeight w:val="54"/>
          <w:tblHeader/>
          <w:jc w:val="center"/>
        </w:trPr>
        <w:tc>
          <w:tcPr>
            <w:tcW w:w="491"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2C14A76B" w14:textId="77777777"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Year</w:t>
            </w:r>
          </w:p>
        </w:tc>
        <w:tc>
          <w:tcPr>
            <w:tcW w:w="934"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2F678087" w14:textId="77777777"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Overall</w:t>
            </w:r>
          </w:p>
        </w:tc>
        <w:tc>
          <w:tcPr>
            <w:tcW w:w="934"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30BA7530" w14:textId="77777777"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None</w:t>
            </w:r>
          </w:p>
        </w:tc>
        <w:tc>
          <w:tcPr>
            <w:tcW w:w="934"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7C2E8A7A" w14:textId="77777777"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MCL only</w:t>
            </w:r>
          </w:p>
        </w:tc>
        <w:tc>
          <w:tcPr>
            <w:tcW w:w="934"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20835492" w14:textId="77777777"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RCL</w:t>
            </w:r>
          </w:p>
        </w:tc>
        <w:tc>
          <w:tcPr>
            <w:tcW w:w="934"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69502E64" w14:textId="77777777"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Overall</w:t>
            </w:r>
          </w:p>
        </w:tc>
        <w:tc>
          <w:tcPr>
            <w:tcW w:w="772"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4410ABDD" w14:textId="77777777"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None</w:t>
            </w:r>
          </w:p>
        </w:tc>
        <w:tc>
          <w:tcPr>
            <w:tcW w:w="772"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4E9E0896" w14:textId="77777777"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MCL only</w:t>
            </w:r>
          </w:p>
        </w:tc>
        <w:tc>
          <w:tcPr>
            <w:tcW w:w="772"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1FBC5163" w14:textId="77777777"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RCL</w:t>
            </w:r>
          </w:p>
        </w:tc>
        <w:tc>
          <w:tcPr>
            <w:tcW w:w="934"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168B1637" w14:textId="39A4ADCF"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Overall</w:t>
            </w:r>
          </w:p>
        </w:tc>
        <w:tc>
          <w:tcPr>
            <w:tcW w:w="854"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70DFE7E3" w14:textId="6365889A"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None</w:t>
            </w:r>
          </w:p>
        </w:tc>
        <w:tc>
          <w:tcPr>
            <w:tcW w:w="990"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58CFDA3D" w14:textId="77777777"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MCL only</w:t>
            </w:r>
          </w:p>
        </w:tc>
        <w:tc>
          <w:tcPr>
            <w:tcW w:w="825" w:type="dxa"/>
            <w:tcBorders>
              <w:top w:val="single" w:sz="4" w:space="0" w:color="000000"/>
              <w:left w:val="single" w:sz="4" w:space="0" w:color="C1C1C1"/>
              <w:bottom w:val="single" w:sz="2" w:space="0" w:color="000000"/>
              <w:right w:val="single" w:sz="2" w:space="0" w:color="C1C1C1"/>
            </w:tcBorders>
            <w:shd w:val="clear" w:color="auto" w:fill="FFFFFF"/>
            <w:tcMar>
              <w:left w:w="29" w:type="dxa"/>
              <w:right w:w="29" w:type="dxa"/>
            </w:tcMar>
            <w:vAlign w:val="bottom"/>
          </w:tcPr>
          <w:p w14:paraId="38F429DB" w14:textId="77777777" w:rsidR="00363B06" w:rsidRPr="007527BF" w:rsidRDefault="00363B06" w:rsidP="00363B06">
            <w:pPr>
              <w:adjustRightInd w:val="0"/>
              <w:spacing w:before="29" w:after="29"/>
              <w:jc w:val="center"/>
              <w:rPr>
                <w:b/>
                <w:bCs/>
                <w:color w:val="000000"/>
                <w:sz w:val="16"/>
                <w:szCs w:val="16"/>
              </w:rPr>
            </w:pPr>
            <w:r w:rsidRPr="007527BF">
              <w:rPr>
                <w:b/>
                <w:bCs/>
                <w:color w:val="000000"/>
                <w:sz w:val="16"/>
                <w:szCs w:val="16"/>
              </w:rPr>
              <w:t>RCL</w:t>
            </w:r>
          </w:p>
        </w:tc>
      </w:tr>
      <w:tr w:rsidR="00373609" w:rsidRPr="007527BF" w14:paraId="16129A80"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27051D7" w14:textId="77777777" w:rsidR="00373609" w:rsidRPr="007527BF" w:rsidRDefault="00373609" w:rsidP="000862C6">
            <w:pPr>
              <w:adjustRightInd w:val="0"/>
              <w:spacing w:before="29" w:after="29"/>
              <w:rPr>
                <w:color w:val="000000"/>
                <w:sz w:val="16"/>
                <w:szCs w:val="16"/>
              </w:rPr>
            </w:pPr>
            <w:r w:rsidRPr="007527BF">
              <w:rPr>
                <w:color w:val="000000"/>
                <w:sz w:val="16"/>
                <w:szCs w:val="16"/>
              </w:rPr>
              <w:t>2005</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A007AF9"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3,234,382</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7A827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1,159,878</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9EAF6AD"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1,353,409</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6062B9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721,095</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5C2B9B6"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1,952,361</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A5B590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683,578</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D7245B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818,892</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3E87854"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449,891</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85D3756"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1,282,021</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B20ABC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476,300</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F6B648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534,517</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5FBC07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271,204</w:t>
            </w:r>
          </w:p>
        </w:tc>
      </w:tr>
      <w:tr w:rsidR="00373609" w:rsidRPr="007527BF" w14:paraId="66AFD939"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2BDE61B" w14:textId="77777777" w:rsidR="00373609" w:rsidRPr="007527BF" w:rsidRDefault="00373609" w:rsidP="000862C6">
            <w:pPr>
              <w:adjustRightInd w:val="0"/>
              <w:spacing w:before="29" w:after="29"/>
              <w:rPr>
                <w:color w:val="000000"/>
                <w:sz w:val="16"/>
                <w:szCs w:val="16"/>
              </w:rPr>
            </w:pPr>
            <w:r w:rsidRPr="007527BF">
              <w:rPr>
                <w:color w:val="000000"/>
                <w:sz w:val="16"/>
                <w:szCs w:val="16"/>
              </w:rPr>
              <w:t>2006</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A31903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3,289,537</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A75A7B4"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1,194,583</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EAF808E"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1,361,484</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DE38B19"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733,470</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D5C0AC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1,964,776</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F17810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698,737</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3BE2E4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812,725</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2033FB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453,314</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1B090CC"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1,324,761</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DAFADDD"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495,846</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7ADC34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548,759</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028C23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280,156</w:t>
            </w:r>
          </w:p>
        </w:tc>
      </w:tr>
      <w:tr w:rsidR="00373609" w:rsidRPr="007527BF" w14:paraId="63585710"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32D5BB8" w14:textId="77777777" w:rsidR="00373609" w:rsidRPr="007527BF" w:rsidRDefault="00373609" w:rsidP="000862C6">
            <w:pPr>
              <w:adjustRightInd w:val="0"/>
              <w:spacing w:before="29" w:after="29"/>
              <w:rPr>
                <w:color w:val="000000"/>
                <w:sz w:val="16"/>
                <w:szCs w:val="16"/>
              </w:rPr>
            </w:pPr>
            <w:r w:rsidRPr="007527BF">
              <w:rPr>
                <w:color w:val="000000"/>
                <w:sz w:val="16"/>
                <w:szCs w:val="16"/>
              </w:rPr>
              <w:t>2007</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E24468E"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3,337,837</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0B3B5F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1,220,475</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957AECD"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1,367,857</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3D9B68E"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749,505</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23D356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1,951,815</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135DB99"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696,731</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A36651B"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800,081</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3D1A58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455,003</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CC9363D"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1,386,022</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E32B374"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523,744</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A1B353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567,776</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0D480A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294,502</w:t>
            </w:r>
          </w:p>
        </w:tc>
      </w:tr>
      <w:tr w:rsidR="00373609" w:rsidRPr="007527BF" w14:paraId="0ED248B8"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F10FD31" w14:textId="77777777" w:rsidR="00373609" w:rsidRPr="007527BF" w:rsidRDefault="00373609" w:rsidP="000862C6">
            <w:pPr>
              <w:adjustRightInd w:val="0"/>
              <w:spacing w:before="29" w:after="29"/>
              <w:rPr>
                <w:color w:val="000000"/>
                <w:sz w:val="16"/>
                <w:szCs w:val="16"/>
              </w:rPr>
            </w:pPr>
            <w:r w:rsidRPr="007527BF">
              <w:rPr>
                <w:color w:val="000000"/>
                <w:sz w:val="16"/>
                <w:szCs w:val="16"/>
              </w:rPr>
              <w:t>2008</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9CE2EB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3,404,980</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5E3349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1,250,746</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865665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1,379,758</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513D72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774,476</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531817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1,943,038</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74119C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698,875</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7860BA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789,319</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C7A003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454,844</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F68776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1,461,942</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5B8C63E"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551,871</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C99F1B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590,439</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8DA03D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319,632</w:t>
            </w:r>
          </w:p>
        </w:tc>
      </w:tr>
      <w:tr w:rsidR="00373609" w:rsidRPr="007527BF" w14:paraId="32EE06CB"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43C66C1" w14:textId="77777777" w:rsidR="00373609" w:rsidRPr="007527BF" w:rsidRDefault="00373609" w:rsidP="000862C6">
            <w:pPr>
              <w:adjustRightInd w:val="0"/>
              <w:spacing w:before="29" w:after="29"/>
              <w:rPr>
                <w:color w:val="000000"/>
                <w:sz w:val="16"/>
                <w:szCs w:val="16"/>
              </w:rPr>
            </w:pPr>
            <w:r w:rsidRPr="007527BF">
              <w:rPr>
                <w:color w:val="000000"/>
                <w:sz w:val="16"/>
                <w:szCs w:val="16"/>
              </w:rPr>
              <w:t>2009</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C3EBE8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3,618,644</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E1FEE4C"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1,324,601</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A05CEB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1,460,108</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BD8656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833,935</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7B5E95E"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2,041,051</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8C69EA6"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726,682</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6C14EE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829,086</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0FCAC7C"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485,283</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87216A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1,577,593</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DB8CB0"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597,919</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0B1001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631,022</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15E8A5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348,652</w:t>
            </w:r>
          </w:p>
        </w:tc>
      </w:tr>
      <w:tr w:rsidR="00373609" w:rsidRPr="007527BF" w14:paraId="14D47927"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08775C1" w14:textId="77777777" w:rsidR="00373609" w:rsidRPr="007527BF" w:rsidRDefault="00373609" w:rsidP="000862C6">
            <w:pPr>
              <w:adjustRightInd w:val="0"/>
              <w:spacing w:before="29" w:after="29"/>
              <w:rPr>
                <w:color w:val="000000"/>
                <w:sz w:val="16"/>
                <w:szCs w:val="16"/>
              </w:rPr>
            </w:pPr>
            <w:r w:rsidRPr="007527BF">
              <w:rPr>
                <w:color w:val="000000"/>
                <w:sz w:val="16"/>
                <w:szCs w:val="16"/>
              </w:rPr>
              <w:t>2010</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7BD6F6B"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3,786,314</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9680A8D"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1,388,359</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769A349"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1,521,952</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AA9D5B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876,003</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07A035C"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2,107,740</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3DFCDBE"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752,466</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BE4CC6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854,396</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381CE0E"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500,878</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5CAABB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1,678,574</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B29F034"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635,893</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2F0F69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667,556</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131213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375,125</w:t>
            </w:r>
          </w:p>
        </w:tc>
      </w:tr>
      <w:tr w:rsidR="00373609" w:rsidRPr="007527BF" w14:paraId="13511519"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63880CB" w14:textId="77777777" w:rsidR="00373609" w:rsidRPr="007527BF" w:rsidRDefault="00373609" w:rsidP="000862C6">
            <w:pPr>
              <w:adjustRightInd w:val="0"/>
              <w:spacing w:before="29" w:after="29"/>
              <w:rPr>
                <w:color w:val="000000"/>
                <w:sz w:val="16"/>
                <w:szCs w:val="16"/>
              </w:rPr>
            </w:pPr>
            <w:r w:rsidRPr="007527BF">
              <w:rPr>
                <w:color w:val="000000"/>
                <w:sz w:val="16"/>
                <w:szCs w:val="16"/>
              </w:rPr>
              <w:t>2011</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0B1CB5B"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3,942,527</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FD3333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1,455,077</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460473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1,571,263</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C99672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916,187</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416BF9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2,194,552</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7C028AB"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793,239</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1E4FFDE"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876,177</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9388FA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525,136</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9EC2016"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1,747,975</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297AFB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661,838</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03D543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695,086</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BD41C5D"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391,051</w:t>
            </w:r>
          </w:p>
        </w:tc>
      </w:tr>
      <w:tr w:rsidR="00373609" w:rsidRPr="007527BF" w14:paraId="6BACCEB2"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8A3168F" w14:textId="77777777" w:rsidR="00373609" w:rsidRPr="007527BF" w:rsidRDefault="00373609" w:rsidP="000862C6">
            <w:pPr>
              <w:adjustRightInd w:val="0"/>
              <w:spacing w:before="29" w:after="29"/>
              <w:rPr>
                <w:color w:val="000000"/>
                <w:sz w:val="16"/>
                <w:szCs w:val="16"/>
              </w:rPr>
            </w:pPr>
            <w:r w:rsidRPr="007527BF">
              <w:rPr>
                <w:color w:val="000000"/>
                <w:sz w:val="16"/>
                <w:szCs w:val="16"/>
              </w:rPr>
              <w:t>2012</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3A5217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4,045,945</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10106C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1,502,718</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F6DDD8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1,603,070</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4D7763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940,157</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8DE88A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2,180,818</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C2D276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794,674</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B4CEE0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863,376</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155A146"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522,768</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D18BC9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1,865,127</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907D59B"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708,044</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C9A7E10"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739,694</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E31516"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417,389</w:t>
            </w:r>
          </w:p>
        </w:tc>
      </w:tr>
      <w:tr w:rsidR="00373609" w:rsidRPr="007527BF" w14:paraId="641536B7"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F827D78" w14:textId="77777777" w:rsidR="00373609" w:rsidRPr="007527BF" w:rsidRDefault="00373609" w:rsidP="000862C6">
            <w:pPr>
              <w:adjustRightInd w:val="0"/>
              <w:spacing w:before="29" w:after="29"/>
              <w:rPr>
                <w:color w:val="000000"/>
                <w:sz w:val="16"/>
                <w:szCs w:val="16"/>
              </w:rPr>
            </w:pPr>
            <w:r w:rsidRPr="007527BF">
              <w:rPr>
                <w:color w:val="000000"/>
                <w:sz w:val="16"/>
                <w:szCs w:val="16"/>
              </w:rPr>
              <w:t>2013</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C1459B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4,156,005</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3C24AEC"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1,545,017</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FC1153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1,639,068</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58359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971,920</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C0C2AA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2,184,067</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9CC67B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797,652</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1B3894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860,689</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FA76D8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525,726</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5216EA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1,971,938</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E9E75F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747,365</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021B17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778,379</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7A22FEC"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446,194</w:t>
            </w:r>
          </w:p>
        </w:tc>
      </w:tr>
      <w:tr w:rsidR="00373609" w:rsidRPr="007527BF" w14:paraId="073480BF"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CE0FD59" w14:textId="77777777" w:rsidR="00373609" w:rsidRPr="007527BF" w:rsidRDefault="00373609" w:rsidP="000862C6">
            <w:pPr>
              <w:adjustRightInd w:val="0"/>
              <w:spacing w:before="29" w:after="29"/>
              <w:rPr>
                <w:color w:val="000000"/>
                <w:sz w:val="16"/>
                <w:szCs w:val="16"/>
              </w:rPr>
            </w:pPr>
            <w:r w:rsidRPr="007527BF">
              <w:rPr>
                <w:color w:val="000000"/>
                <w:sz w:val="16"/>
                <w:szCs w:val="16"/>
              </w:rPr>
              <w:t>2014</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E64044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4,303,997</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E0482BD"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1,605,665</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E186500"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1,688,419</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8E790C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1,009,913</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6A941B6"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2,234,878</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64AB7C9"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814,693</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B797D9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877,794</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ED43FC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542,391</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F9FB664"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2,069,119</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25194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790,972</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346C76C"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810,625</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D5D8140"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467,522</w:t>
            </w:r>
          </w:p>
        </w:tc>
      </w:tr>
      <w:tr w:rsidR="00373609" w:rsidRPr="007527BF" w14:paraId="3C0E77C4"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43BC2AF" w14:textId="77777777" w:rsidR="00373609" w:rsidRPr="007527BF" w:rsidRDefault="00373609" w:rsidP="000862C6">
            <w:pPr>
              <w:adjustRightInd w:val="0"/>
              <w:spacing w:before="29" w:after="29"/>
              <w:rPr>
                <w:color w:val="000000"/>
                <w:sz w:val="16"/>
                <w:szCs w:val="16"/>
              </w:rPr>
            </w:pPr>
            <w:r w:rsidRPr="007527BF">
              <w:rPr>
                <w:color w:val="000000"/>
                <w:sz w:val="16"/>
                <w:szCs w:val="16"/>
              </w:rPr>
              <w:t>2015</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3A855E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4,397,541</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BF3ED0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1,650,720</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7D8561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1,720,341</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16CA86C"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1,026,480</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08603D0"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2,230,246</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04D0E7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815,298</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730C52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873,338</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507F516"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541,610</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D520A4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2,167,295</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F615C5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835,422</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51FB2D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847,003</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C1CE874"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484,870</w:t>
            </w:r>
          </w:p>
        </w:tc>
      </w:tr>
      <w:tr w:rsidR="00373609" w:rsidRPr="007527BF" w14:paraId="72E3755C"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2157AF0" w14:textId="77777777" w:rsidR="00373609" w:rsidRPr="007527BF" w:rsidRDefault="00373609" w:rsidP="000862C6">
            <w:pPr>
              <w:adjustRightInd w:val="0"/>
              <w:spacing w:before="29" w:after="29"/>
              <w:rPr>
                <w:color w:val="000000"/>
                <w:sz w:val="16"/>
                <w:szCs w:val="16"/>
              </w:rPr>
            </w:pPr>
            <w:r w:rsidRPr="007527BF">
              <w:rPr>
                <w:color w:val="000000"/>
                <w:sz w:val="16"/>
                <w:szCs w:val="16"/>
              </w:rPr>
              <w:t>2016</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D1A0FC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4,472,206</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DBD67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1,691,419</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BBEEA7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1,741,974</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635DE9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1,038,813</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BAA8296"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2,320,109</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7605BAE"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853,242</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6A9FBF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909,172</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2347086"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557,695</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0CDA23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2,152,097</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BD3FFA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838,177</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F0378F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832,802</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343962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481,118</w:t>
            </w:r>
          </w:p>
        </w:tc>
      </w:tr>
      <w:tr w:rsidR="00373609" w:rsidRPr="007527BF" w14:paraId="4DD56C53"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B1A308D" w14:textId="77777777" w:rsidR="00373609" w:rsidRPr="007527BF" w:rsidRDefault="00373609" w:rsidP="000862C6">
            <w:pPr>
              <w:adjustRightInd w:val="0"/>
              <w:spacing w:before="29" w:after="29"/>
              <w:rPr>
                <w:color w:val="000000"/>
                <w:sz w:val="16"/>
                <w:szCs w:val="16"/>
              </w:rPr>
            </w:pPr>
            <w:r w:rsidRPr="007527BF">
              <w:rPr>
                <w:color w:val="000000"/>
                <w:sz w:val="16"/>
                <w:szCs w:val="16"/>
              </w:rPr>
              <w:t>2017</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6C55AE0"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4,519,353</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C3C326B"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1,722,918</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C67140D"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1,757,122</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9792730"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1,039,313</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37E14EEE"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2,240,038</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99DC8EA"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828,796</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531ABA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879,467</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D92D5B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531,775</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51CF80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2,279,315</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36554F4"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894,122</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178F81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877,655</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8D1A5E0"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507,538</w:t>
            </w:r>
          </w:p>
        </w:tc>
      </w:tr>
      <w:tr w:rsidR="00373609" w:rsidRPr="007527BF" w14:paraId="04F0C9D4" w14:textId="77777777" w:rsidTr="005960C6">
        <w:trPr>
          <w:cantSplit/>
          <w:jc w:val="center"/>
        </w:trPr>
        <w:tc>
          <w:tcPr>
            <w:tcW w:w="491"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FA97FDA" w14:textId="77777777" w:rsidR="00373609" w:rsidRPr="007527BF" w:rsidRDefault="00373609" w:rsidP="000862C6">
            <w:pPr>
              <w:adjustRightInd w:val="0"/>
              <w:spacing w:before="29" w:after="29"/>
              <w:rPr>
                <w:color w:val="000000"/>
                <w:sz w:val="16"/>
                <w:szCs w:val="16"/>
              </w:rPr>
            </w:pPr>
            <w:r w:rsidRPr="007527BF">
              <w:rPr>
                <w:color w:val="000000"/>
                <w:sz w:val="16"/>
                <w:szCs w:val="16"/>
              </w:rPr>
              <w:t>2018</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49A7D8C"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4,556,541</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5CF5C44"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1,745,199</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5F139902"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1,768,309</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DE1C8AE"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1,043,033</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9DC84B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2,158,816</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BDC419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800,187</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BCD00EB"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845,469</w:t>
            </w:r>
          </w:p>
        </w:tc>
        <w:tc>
          <w:tcPr>
            <w:tcW w:w="772"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22A900A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513,160</w:t>
            </w:r>
          </w:p>
        </w:tc>
        <w:tc>
          <w:tcPr>
            <w:tcW w:w="93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488AD2D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2,397,725</w:t>
            </w:r>
          </w:p>
        </w:tc>
        <w:tc>
          <w:tcPr>
            <w:tcW w:w="854"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10C88470"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945,012</w:t>
            </w:r>
          </w:p>
        </w:tc>
        <w:tc>
          <w:tcPr>
            <w:tcW w:w="990"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778D84D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922,840</w:t>
            </w:r>
          </w:p>
        </w:tc>
        <w:tc>
          <w:tcPr>
            <w:tcW w:w="825" w:type="dxa"/>
            <w:tcBorders>
              <w:top w:val="nil"/>
              <w:left w:val="single" w:sz="4" w:space="0" w:color="C1C1C1"/>
              <w:bottom w:val="single" w:sz="2" w:space="0" w:color="C1C1C1"/>
              <w:right w:val="single" w:sz="2" w:space="0" w:color="C1C1C1"/>
            </w:tcBorders>
            <w:shd w:val="clear" w:color="auto" w:fill="FFFFFF"/>
            <w:tcMar>
              <w:left w:w="29" w:type="dxa"/>
              <w:right w:w="29" w:type="dxa"/>
            </w:tcMar>
          </w:tcPr>
          <w:p w14:paraId="0B2E293D"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529,873</w:t>
            </w:r>
          </w:p>
        </w:tc>
      </w:tr>
      <w:tr w:rsidR="00373609" w:rsidRPr="007527BF" w14:paraId="694DA5BB" w14:textId="77777777" w:rsidTr="005960C6">
        <w:trPr>
          <w:cantSplit/>
          <w:jc w:val="center"/>
        </w:trPr>
        <w:tc>
          <w:tcPr>
            <w:tcW w:w="491" w:type="dxa"/>
            <w:tcBorders>
              <w:top w:val="nil"/>
              <w:left w:val="single" w:sz="4" w:space="0" w:color="C1C1C1"/>
              <w:bottom w:val="nil"/>
              <w:right w:val="single" w:sz="2" w:space="0" w:color="C1C1C1"/>
            </w:tcBorders>
            <w:shd w:val="clear" w:color="auto" w:fill="FFFFFF"/>
            <w:tcMar>
              <w:left w:w="29" w:type="dxa"/>
              <w:right w:w="29" w:type="dxa"/>
            </w:tcMar>
          </w:tcPr>
          <w:p w14:paraId="247B7421" w14:textId="77777777" w:rsidR="00373609" w:rsidRPr="007527BF" w:rsidRDefault="00373609" w:rsidP="000862C6">
            <w:pPr>
              <w:adjustRightInd w:val="0"/>
              <w:spacing w:before="29" w:after="29"/>
              <w:rPr>
                <w:color w:val="000000"/>
                <w:sz w:val="16"/>
                <w:szCs w:val="16"/>
              </w:rPr>
            </w:pPr>
            <w:r w:rsidRPr="007527BF">
              <w:rPr>
                <w:color w:val="000000"/>
                <w:sz w:val="16"/>
                <w:szCs w:val="16"/>
              </w:rPr>
              <w:t>2019</w:t>
            </w:r>
          </w:p>
        </w:tc>
        <w:tc>
          <w:tcPr>
            <w:tcW w:w="934" w:type="dxa"/>
            <w:tcBorders>
              <w:top w:val="nil"/>
              <w:left w:val="single" w:sz="4" w:space="0" w:color="C1C1C1"/>
              <w:bottom w:val="nil"/>
              <w:right w:val="single" w:sz="2" w:space="0" w:color="C1C1C1"/>
            </w:tcBorders>
            <w:shd w:val="clear" w:color="auto" w:fill="FFFFFF"/>
            <w:tcMar>
              <w:left w:w="29" w:type="dxa"/>
              <w:right w:w="29" w:type="dxa"/>
            </w:tcMar>
          </w:tcPr>
          <w:p w14:paraId="2F22CC9D"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4,579,994</w:t>
            </w:r>
          </w:p>
        </w:tc>
        <w:tc>
          <w:tcPr>
            <w:tcW w:w="934" w:type="dxa"/>
            <w:tcBorders>
              <w:top w:val="nil"/>
              <w:left w:val="single" w:sz="4" w:space="0" w:color="C1C1C1"/>
              <w:bottom w:val="nil"/>
              <w:right w:val="single" w:sz="2" w:space="0" w:color="C1C1C1"/>
            </w:tcBorders>
            <w:shd w:val="clear" w:color="auto" w:fill="FFFFFF"/>
            <w:tcMar>
              <w:left w:w="29" w:type="dxa"/>
              <w:right w:w="29" w:type="dxa"/>
            </w:tcMar>
          </w:tcPr>
          <w:p w14:paraId="65106678"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1,771,798</w:t>
            </w:r>
          </w:p>
        </w:tc>
        <w:tc>
          <w:tcPr>
            <w:tcW w:w="934" w:type="dxa"/>
            <w:tcBorders>
              <w:top w:val="nil"/>
              <w:left w:val="single" w:sz="4" w:space="0" w:color="C1C1C1"/>
              <w:bottom w:val="nil"/>
              <w:right w:val="single" w:sz="2" w:space="0" w:color="C1C1C1"/>
            </w:tcBorders>
            <w:shd w:val="clear" w:color="auto" w:fill="FFFFFF"/>
            <w:tcMar>
              <w:left w:w="29" w:type="dxa"/>
              <w:right w:w="29" w:type="dxa"/>
            </w:tcMar>
          </w:tcPr>
          <w:p w14:paraId="4137F5B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1,775,376</w:t>
            </w:r>
          </w:p>
        </w:tc>
        <w:tc>
          <w:tcPr>
            <w:tcW w:w="934" w:type="dxa"/>
            <w:tcBorders>
              <w:top w:val="nil"/>
              <w:left w:val="single" w:sz="4" w:space="0" w:color="C1C1C1"/>
              <w:bottom w:val="nil"/>
              <w:right w:val="single" w:sz="2" w:space="0" w:color="C1C1C1"/>
            </w:tcBorders>
            <w:shd w:val="clear" w:color="auto" w:fill="FFFFFF"/>
            <w:tcMar>
              <w:left w:w="29" w:type="dxa"/>
              <w:right w:w="29" w:type="dxa"/>
            </w:tcMar>
          </w:tcPr>
          <w:p w14:paraId="1ADA4B7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1,032,820</w:t>
            </w:r>
          </w:p>
        </w:tc>
        <w:tc>
          <w:tcPr>
            <w:tcW w:w="934" w:type="dxa"/>
            <w:tcBorders>
              <w:top w:val="nil"/>
              <w:left w:val="single" w:sz="4" w:space="0" w:color="C1C1C1"/>
              <w:bottom w:val="nil"/>
              <w:right w:val="single" w:sz="2" w:space="0" w:color="C1C1C1"/>
            </w:tcBorders>
            <w:shd w:val="clear" w:color="auto" w:fill="FFFFFF"/>
            <w:tcMar>
              <w:left w:w="29" w:type="dxa"/>
              <w:right w:w="29" w:type="dxa"/>
            </w:tcMar>
          </w:tcPr>
          <w:p w14:paraId="438CFF59"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2,086,807</w:t>
            </w:r>
          </w:p>
        </w:tc>
        <w:tc>
          <w:tcPr>
            <w:tcW w:w="772" w:type="dxa"/>
            <w:tcBorders>
              <w:top w:val="nil"/>
              <w:left w:val="single" w:sz="4" w:space="0" w:color="C1C1C1"/>
              <w:bottom w:val="nil"/>
              <w:right w:val="single" w:sz="2" w:space="0" w:color="C1C1C1"/>
            </w:tcBorders>
            <w:shd w:val="clear" w:color="auto" w:fill="FFFFFF"/>
            <w:tcMar>
              <w:left w:w="29" w:type="dxa"/>
              <w:right w:w="29" w:type="dxa"/>
            </w:tcMar>
          </w:tcPr>
          <w:p w14:paraId="132CD63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780,943</w:t>
            </w:r>
          </w:p>
        </w:tc>
        <w:tc>
          <w:tcPr>
            <w:tcW w:w="772" w:type="dxa"/>
            <w:tcBorders>
              <w:top w:val="nil"/>
              <w:left w:val="single" w:sz="4" w:space="0" w:color="C1C1C1"/>
              <w:bottom w:val="nil"/>
              <w:right w:val="single" w:sz="2" w:space="0" w:color="C1C1C1"/>
            </w:tcBorders>
            <w:shd w:val="clear" w:color="auto" w:fill="FFFFFF"/>
            <w:tcMar>
              <w:left w:w="29" w:type="dxa"/>
              <w:right w:w="29" w:type="dxa"/>
            </w:tcMar>
          </w:tcPr>
          <w:p w14:paraId="3A23EB5B"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812,351</w:t>
            </w:r>
          </w:p>
        </w:tc>
        <w:tc>
          <w:tcPr>
            <w:tcW w:w="772" w:type="dxa"/>
            <w:tcBorders>
              <w:top w:val="nil"/>
              <w:left w:val="single" w:sz="4" w:space="0" w:color="C1C1C1"/>
              <w:bottom w:val="nil"/>
              <w:right w:val="single" w:sz="2" w:space="0" w:color="C1C1C1"/>
            </w:tcBorders>
            <w:shd w:val="clear" w:color="auto" w:fill="FFFFFF"/>
            <w:tcMar>
              <w:left w:w="29" w:type="dxa"/>
              <w:right w:w="29" w:type="dxa"/>
            </w:tcMar>
          </w:tcPr>
          <w:p w14:paraId="0F08CBF1"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493,513</w:t>
            </w:r>
          </w:p>
        </w:tc>
        <w:tc>
          <w:tcPr>
            <w:tcW w:w="934" w:type="dxa"/>
            <w:tcBorders>
              <w:top w:val="nil"/>
              <w:left w:val="single" w:sz="4" w:space="0" w:color="C1C1C1"/>
              <w:bottom w:val="nil"/>
              <w:right w:val="single" w:sz="2" w:space="0" w:color="C1C1C1"/>
            </w:tcBorders>
            <w:shd w:val="clear" w:color="auto" w:fill="FFFFFF"/>
            <w:tcMar>
              <w:left w:w="29" w:type="dxa"/>
              <w:right w:w="29" w:type="dxa"/>
            </w:tcMar>
          </w:tcPr>
          <w:p w14:paraId="5F8493C5"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2,493,187</w:t>
            </w:r>
          </w:p>
        </w:tc>
        <w:tc>
          <w:tcPr>
            <w:tcW w:w="854" w:type="dxa"/>
            <w:tcBorders>
              <w:top w:val="nil"/>
              <w:left w:val="single" w:sz="4" w:space="0" w:color="C1C1C1"/>
              <w:bottom w:val="nil"/>
              <w:right w:val="single" w:sz="2" w:space="0" w:color="C1C1C1"/>
            </w:tcBorders>
            <w:shd w:val="clear" w:color="auto" w:fill="FFFFFF"/>
            <w:tcMar>
              <w:left w:w="29" w:type="dxa"/>
              <w:right w:w="29" w:type="dxa"/>
            </w:tcMar>
          </w:tcPr>
          <w:p w14:paraId="7C25E7BF"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990,855</w:t>
            </w:r>
          </w:p>
        </w:tc>
        <w:tc>
          <w:tcPr>
            <w:tcW w:w="990" w:type="dxa"/>
            <w:tcBorders>
              <w:top w:val="nil"/>
              <w:left w:val="single" w:sz="4" w:space="0" w:color="C1C1C1"/>
              <w:bottom w:val="nil"/>
              <w:right w:val="single" w:sz="2" w:space="0" w:color="C1C1C1"/>
            </w:tcBorders>
            <w:shd w:val="clear" w:color="auto" w:fill="FFFFFF"/>
            <w:tcMar>
              <w:left w:w="29" w:type="dxa"/>
              <w:right w:w="29" w:type="dxa"/>
            </w:tcMar>
          </w:tcPr>
          <w:p w14:paraId="55387BE7"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963,025</w:t>
            </w:r>
          </w:p>
        </w:tc>
        <w:tc>
          <w:tcPr>
            <w:tcW w:w="825" w:type="dxa"/>
            <w:tcBorders>
              <w:top w:val="nil"/>
              <w:left w:val="single" w:sz="4" w:space="0" w:color="C1C1C1"/>
              <w:bottom w:val="nil"/>
              <w:right w:val="single" w:sz="2" w:space="0" w:color="C1C1C1"/>
            </w:tcBorders>
            <w:shd w:val="clear" w:color="auto" w:fill="FFFFFF"/>
            <w:tcMar>
              <w:left w:w="29" w:type="dxa"/>
              <w:right w:w="29" w:type="dxa"/>
            </w:tcMar>
          </w:tcPr>
          <w:p w14:paraId="72F62DF3" w14:textId="77777777" w:rsidR="00373609" w:rsidRPr="007527BF" w:rsidRDefault="00373609" w:rsidP="000862C6">
            <w:pPr>
              <w:adjustRightInd w:val="0"/>
              <w:spacing w:before="29" w:after="29"/>
              <w:jc w:val="right"/>
              <w:rPr>
                <w:color w:val="000000"/>
                <w:sz w:val="16"/>
                <w:szCs w:val="16"/>
              </w:rPr>
            </w:pPr>
            <w:r w:rsidRPr="007527BF">
              <w:rPr>
                <w:color w:val="000000"/>
                <w:sz w:val="16"/>
                <w:szCs w:val="16"/>
              </w:rPr>
              <w:t>539,307</w:t>
            </w:r>
          </w:p>
        </w:tc>
      </w:tr>
      <w:tr w:rsidR="00373609" w:rsidRPr="007527BF" w14:paraId="29CD6099" w14:textId="77777777" w:rsidTr="005960C6">
        <w:trPr>
          <w:cantSplit/>
          <w:jc w:val="center"/>
        </w:trPr>
        <w:tc>
          <w:tcPr>
            <w:tcW w:w="11080" w:type="dxa"/>
            <w:gridSpan w:val="13"/>
            <w:tcBorders>
              <w:top w:val="nil"/>
              <w:left w:val="single" w:sz="4" w:space="0" w:color="C1C1C1"/>
              <w:bottom w:val="single" w:sz="2" w:space="0" w:color="C1C1C1"/>
              <w:right w:val="single" w:sz="2" w:space="0" w:color="C1C1C1"/>
            </w:tcBorders>
            <w:shd w:val="clear" w:color="auto" w:fill="FFFFFF"/>
            <w:tcMar>
              <w:left w:w="29" w:type="dxa"/>
              <w:right w:w="29" w:type="dxa"/>
            </w:tcMar>
          </w:tcPr>
          <w:p w14:paraId="62DBEAD9" w14:textId="4BC19D3F" w:rsidR="00373609" w:rsidRPr="007527BF" w:rsidRDefault="00373609" w:rsidP="000862C6">
            <w:pPr>
              <w:rPr>
                <w:color w:val="000000"/>
                <w:sz w:val="16"/>
                <w:szCs w:val="16"/>
              </w:rPr>
            </w:pPr>
            <w:r w:rsidRPr="007527BF">
              <w:rPr>
                <w:sz w:val="16"/>
                <w:szCs w:val="16"/>
              </w:rPr>
              <w:t xml:space="preserve">N minima and maxima across 15 years: Overall: min = 3,234,382 (2005), max = </w:t>
            </w:r>
            <w:r w:rsidR="00363B06" w:rsidRPr="007527BF">
              <w:rPr>
                <w:sz w:val="16"/>
                <w:szCs w:val="16"/>
              </w:rPr>
              <w:t>4,579,994</w:t>
            </w:r>
            <w:r w:rsidRPr="007527BF">
              <w:rPr>
                <w:sz w:val="16"/>
                <w:szCs w:val="16"/>
              </w:rPr>
              <w:t xml:space="preserve"> (2019). No pain: min = 1,943,038 (2008), max = 2,320,109 (2016). Pain: min = 1,282,021 (2005), max = 2,493,187 (2019).</w:t>
            </w:r>
          </w:p>
        </w:tc>
      </w:tr>
    </w:tbl>
    <w:p w14:paraId="4F9B8D08" w14:textId="77777777" w:rsidR="005960C6" w:rsidRPr="007527BF" w:rsidRDefault="005960C6" w:rsidP="000862C6">
      <w:pPr>
        <w:pBdr>
          <w:top w:val="none" w:sz="0" w:space="0" w:color="000000"/>
          <w:left w:val="none" w:sz="0" w:space="0" w:color="000000"/>
          <w:bottom w:val="none" w:sz="0" w:space="0" w:color="000000"/>
          <w:right w:val="none" w:sz="0" w:space="0" w:color="000000"/>
        </w:pBdr>
        <w:spacing w:before="100" w:after="100"/>
        <w:ind w:left="100" w:right="100"/>
        <w:jc w:val="center"/>
        <w:rPr>
          <w:color w:val="000000" w:themeColor="text1"/>
          <w:kern w:val="32"/>
          <w:sz w:val="16"/>
          <w:szCs w:val="16"/>
        </w:rPr>
        <w:sectPr w:rsidR="005960C6" w:rsidRPr="007527BF" w:rsidSect="005960C6">
          <w:pgSz w:w="15840" w:h="12240" w:orient="landscape"/>
          <w:pgMar w:top="720" w:right="720" w:bottom="720" w:left="720" w:header="720" w:footer="720" w:gutter="0"/>
          <w:cols w:space="720"/>
          <w:docGrid w:linePitch="360"/>
        </w:sectPr>
      </w:pPr>
    </w:p>
    <w:tbl>
      <w:tblPr>
        <w:tblW w:w="15408" w:type="dxa"/>
        <w:jc w:val="center"/>
        <w:tblLayout w:type="fixed"/>
        <w:tblLook w:val="0420" w:firstRow="1" w:lastRow="0" w:firstColumn="0" w:lastColumn="0" w:noHBand="0" w:noVBand="1"/>
      </w:tblPr>
      <w:tblGrid>
        <w:gridCol w:w="2448"/>
        <w:gridCol w:w="1296"/>
        <w:gridCol w:w="1152"/>
        <w:gridCol w:w="288"/>
        <w:gridCol w:w="1296"/>
        <w:gridCol w:w="1152"/>
        <w:gridCol w:w="288"/>
        <w:gridCol w:w="1296"/>
        <w:gridCol w:w="1152"/>
        <w:gridCol w:w="288"/>
        <w:gridCol w:w="1296"/>
        <w:gridCol w:w="1152"/>
        <w:gridCol w:w="288"/>
        <w:gridCol w:w="1008"/>
        <w:gridCol w:w="1008"/>
      </w:tblGrid>
      <w:tr w:rsidR="00F464A2" w:rsidRPr="007527BF" w14:paraId="34F52F4B" w14:textId="77777777" w:rsidTr="005960C6">
        <w:trPr>
          <w:cantSplit/>
          <w:tblHeader/>
          <w:jc w:val="center"/>
        </w:trPr>
        <w:tc>
          <w:tcPr>
            <w:tcW w:w="15408" w:type="dxa"/>
            <w:gridSpan w:val="15"/>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CC10BFA" w14:textId="67FF7E42" w:rsidR="00F464A2" w:rsidRPr="007527BF" w:rsidRDefault="0010670E" w:rsidP="000862C6">
            <w:pPr>
              <w:pBdr>
                <w:top w:val="none" w:sz="0" w:space="0" w:color="000000"/>
                <w:left w:val="none" w:sz="0" w:space="0" w:color="000000"/>
                <w:bottom w:val="none" w:sz="0" w:space="0" w:color="000000"/>
                <w:right w:val="none" w:sz="0" w:space="0" w:color="000000"/>
              </w:pBdr>
              <w:spacing w:before="100" w:after="100"/>
              <w:ind w:left="100" w:right="100"/>
              <w:jc w:val="center"/>
              <w:rPr>
                <w:rFonts w:eastAsia="Arial"/>
                <w:b/>
                <w:bCs/>
                <w:color w:val="000000"/>
                <w:sz w:val="16"/>
                <w:szCs w:val="16"/>
              </w:rPr>
            </w:pPr>
            <w:r w:rsidRPr="007527BF">
              <w:rPr>
                <w:color w:val="000000" w:themeColor="text1"/>
                <w:kern w:val="32"/>
                <w:sz w:val="16"/>
                <w:szCs w:val="16"/>
              </w:rPr>
              <w:lastRenderedPageBreak/>
              <w:br w:type="page"/>
            </w:r>
            <w:r w:rsidR="00373609" w:rsidRPr="007527BF">
              <w:rPr>
                <w:color w:val="000000" w:themeColor="text1"/>
                <w:kern w:val="32"/>
                <w:sz w:val="16"/>
                <w:szCs w:val="16"/>
              </w:rPr>
              <w:br w:type="page"/>
            </w:r>
            <w:r w:rsidR="00F464A2" w:rsidRPr="007527BF">
              <w:rPr>
                <w:b/>
                <w:bCs/>
                <w:color w:val="000000"/>
                <w:sz w:val="20"/>
                <w:szCs w:val="20"/>
              </w:rPr>
              <w:t>E-Table 2. Patient Demographics by Any Chronic Pain, 2005 and 2019</w:t>
            </w:r>
          </w:p>
        </w:tc>
      </w:tr>
      <w:tr w:rsidR="00F464A2" w:rsidRPr="007527BF" w14:paraId="46F82558" w14:textId="77777777" w:rsidTr="005960C6">
        <w:trPr>
          <w:cantSplit/>
          <w:tblHeader/>
          <w:jc w:val="center"/>
        </w:trPr>
        <w:tc>
          <w:tcPr>
            <w:tcW w:w="2448" w:type="dxa"/>
            <w:vMerge w:val="restart"/>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D240FF0"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5184" w:type="dxa"/>
            <w:gridSpan w:val="5"/>
            <w:tcBorders>
              <w:top w:val="single" w:sz="16"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B842CCD"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2005 (N=3,234,382)</w:t>
            </w:r>
          </w:p>
        </w:tc>
        <w:tc>
          <w:tcPr>
            <w:tcW w:w="288" w:type="dxa"/>
            <w:tcBorders>
              <w:top w:val="single" w:sz="16"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08B77A4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p>
        </w:tc>
        <w:tc>
          <w:tcPr>
            <w:tcW w:w="5184" w:type="dxa"/>
            <w:gridSpan w:val="5"/>
            <w:tcBorders>
              <w:top w:val="single" w:sz="16"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01DBE74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2019 (N=4,579,994)</w:t>
            </w:r>
          </w:p>
        </w:tc>
        <w:tc>
          <w:tcPr>
            <w:tcW w:w="288" w:type="dxa"/>
            <w:tcBorders>
              <w:top w:val="single" w:sz="16"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C43E8E0"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p>
        </w:tc>
        <w:tc>
          <w:tcPr>
            <w:tcW w:w="1008" w:type="dxa"/>
            <w:vMerge w:val="restart"/>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449DD0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proofErr w:type="spellStart"/>
            <w:r w:rsidRPr="007527BF">
              <w:rPr>
                <w:rFonts w:eastAsia="Arial"/>
                <w:b/>
                <w:bCs/>
                <w:color w:val="000000"/>
                <w:sz w:val="16"/>
                <w:szCs w:val="16"/>
              </w:rPr>
              <w:t>SMD</w:t>
            </w:r>
            <w:r w:rsidRPr="007527BF">
              <w:rPr>
                <w:rFonts w:eastAsia="Arial"/>
                <w:b/>
                <w:bCs/>
                <w:color w:val="000000"/>
                <w:sz w:val="16"/>
                <w:szCs w:val="16"/>
                <w:vertAlign w:val="superscript"/>
              </w:rPr>
              <w:t>a</w:t>
            </w:r>
            <w:proofErr w:type="spellEnd"/>
          </w:p>
        </w:tc>
        <w:tc>
          <w:tcPr>
            <w:tcW w:w="1008" w:type="dxa"/>
            <w:vMerge w:val="restart"/>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0B1257E"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p</w:t>
            </w:r>
            <w:r w:rsidRPr="007527BF">
              <w:rPr>
                <w:rFonts w:eastAsia="Arial"/>
                <w:b/>
                <w:bCs/>
                <w:color w:val="000000"/>
                <w:sz w:val="16"/>
                <w:szCs w:val="16"/>
                <w:vertAlign w:val="superscript"/>
              </w:rPr>
              <w:t>b</w:t>
            </w:r>
          </w:p>
        </w:tc>
      </w:tr>
      <w:tr w:rsidR="00F464A2" w:rsidRPr="007527BF" w14:paraId="646C67AD" w14:textId="77777777" w:rsidTr="005960C6">
        <w:trPr>
          <w:cantSplit/>
          <w:tblHeader/>
          <w:jc w:val="center"/>
        </w:trPr>
        <w:tc>
          <w:tcPr>
            <w:tcW w:w="2448" w:type="dxa"/>
            <w:vMerge/>
            <w:tcBorders>
              <w:top w:val="single" w:sz="8"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8BD814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448" w:type="dxa"/>
            <w:gridSpan w:val="2"/>
            <w:tcBorders>
              <w:top w:val="single" w:sz="8"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9145DBF" w14:textId="315FE03E" w:rsidR="00F464A2" w:rsidRPr="007527BF" w:rsidRDefault="00C942E3"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 xml:space="preserve">Patients without </w:t>
            </w:r>
            <w:r w:rsidR="00F464A2" w:rsidRPr="007527BF">
              <w:rPr>
                <w:rFonts w:eastAsia="Arial"/>
                <w:b/>
                <w:bCs/>
                <w:color w:val="000000"/>
                <w:sz w:val="16"/>
                <w:szCs w:val="16"/>
              </w:rPr>
              <w:t>pain (N=1,952,361)</w:t>
            </w:r>
          </w:p>
        </w:tc>
        <w:tc>
          <w:tcPr>
            <w:tcW w:w="288" w:type="dxa"/>
            <w:tcBorders>
              <w:top w:val="single" w:sz="8"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7D5D5EF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p>
        </w:tc>
        <w:tc>
          <w:tcPr>
            <w:tcW w:w="2448" w:type="dxa"/>
            <w:gridSpan w:val="2"/>
            <w:tcBorders>
              <w:top w:val="single" w:sz="8"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02124B16" w14:textId="0D98D819" w:rsidR="00F464A2" w:rsidRPr="007527BF" w:rsidRDefault="00C942E3"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 xml:space="preserve">Patients with </w:t>
            </w:r>
            <w:r w:rsidR="00F464A2" w:rsidRPr="007527BF">
              <w:rPr>
                <w:rFonts w:eastAsia="Arial"/>
                <w:b/>
                <w:bCs/>
                <w:color w:val="000000"/>
                <w:sz w:val="16"/>
                <w:szCs w:val="16"/>
              </w:rPr>
              <w:t>Pain (N=1,282,021)</w:t>
            </w:r>
          </w:p>
        </w:tc>
        <w:tc>
          <w:tcPr>
            <w:tcW w:w="288" w:type="dxa"/>
            <w:tcBorders>
              <w:top w:val="single" w:sz="8"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2D7349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p>
        </w:tc>
        <w:tc>
          <w:tcPr>
            <w:tcW w:w="2448" w:type="dxa"/>
            <w:gridSpan w:val="2"/>
            <w:tcBorders>
              <w:top w:val="single" w:sz="8"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508E456" w14:textId="462A7095" w:rsidR="00F464A2" w:rsidRPr="007527BF" w:rsidRDefault="00C942E3"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 xml:space="preserve">Patients without </w:t>
            </w:r>
            <w:r w:rsidR="00F464A2" w:rsidRPr="007527BF">
              <w:rPr>
                <w:rFonts w:eastAsia="Arial"/>
                <w:b/>
                <w:bCs/>
                <w:color w:val="000000"/>
                <w:sz w:val="16"/>
                <w:szCs w:val="16"/>
              </w:rPr>
              <w:t>pain (N=2,086,807)</w:t>
            </w:r>
          </w:p>
        </w:tc>
        <w:tc>
          <w:tcPr>
            <w:tcW w:w="288" w:type="dxa"/>
            <w:tcBorders>
              <w:top w:val="single" w:sz="8"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12CAE8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p>
        </w:tc>
        <w:tc>
          <w:tcPr>
            <w:tcW w:w="2448" w:type="dxa"/>
            <w:gridSpan w:val="2"/>
            <w:tcBorders>
              <w:top w:val="single" w:sz="8"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4A30517A" w14:textId="2BF3D440" w:rsidR="00F464A2" w:rsidRPr="007527BF" w:rsidRDefault="00C942E3"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 xml:space="preserve">Patients with </w:t>
            </w:r>
            <w:r w:rsidR="00F464A2" w:rsidRPr="007527BF">
              <w:rPr>
                <w:rFonts w:eastAsia="Arial"/>
                <w:b/>
                <w:bCs/>
                <w:color w:val="000000"/>
                <w:sz w:val="16"/>
                <w:szCs w:val="16"/>
              </w:rPr>
              <w:t>Pain (N=2,493,187)</w:t>
            </w:r>
          </w:p>
        </w:tc>
        <w:tc>
          <w:tcPr>
            <w:tcW w:w="288" w:type="dxa"/>
            <w:tcBorders>
              <w:top w:val="single" w:sz="8"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AB2866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vMerge/>
            <w:tcBorders>
              <w:top w:val="single" w:sz="8"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DDA98B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vMerge/>
            <w:tcBorders>
              <w:top w:val="single" w:sz="8"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7620D3D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53867139" w14:textId="77777777" w:rsidTr="005960C6">
        <w:trPr>
          <w:cantSplit/>
          <w:tblHeader/>
          <w:jc w:val="center"/>
        </w:trPr>
        <w:tc>
          <w:tcPr>
            <w:tcW w:w="2448" w:type="dxa"/>
            <w:vMerge/>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DD2401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5F0E5C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n</w:t>
            </w:r>
          </w:p>
        </w:tc>
        <w:tc>
          <w:tcPr>
            <w:tcW w:w="1152"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5ABEB1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 or Mean (SD)</w:t>
            </w:r>
          </w:p>
        </w:tc>
        <w:tc>
          <w:tcPr>
            <w:tcW w:w="288"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F65DB0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p>
        </w:tc>
        <w:tc>
          <w:tcPr>
            <w:tcW w:w="1296"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191161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n</w:t>
            </w:r>
          </w:p>
        </w:tc>
        <w:tc>
          <w:tcPr>
            <w:tcW w:w="1152"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609CCDE"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 or Mean (SD)</w:t>
            </w:r>
          </w:p>
        </w:tc>
        <w:tc>
          <w:tcPr>
            <w:tcW w:w="288"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105504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p>
        </w:tc>
        <w:tc>
          <w:tcPr>
            <w:tcW w:w="1296"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3E6197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n</w:t>
            </w:r>
          </w:p>
        </w:tc>
        <w:tc>
          <w:tcPr>
            <w:tcW w:w="1152"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D6B203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 or Mean (SD)</w:t>
            </w:r>
          </w:p>
        </w:tc>
        <w:tc>
          <w:tcPr>
            <w:tcW w:w="288"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1BF330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p>
        </w:tc>
        <w:tc>
          <w:tcPr>
            <w:tcW w:w="1296"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F162A2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n</w:t>
            </w:r>
          </w:p>
        </w:tc>
        <w:tc>
          <w:tcPr>
            <w:tcW w:w="1152"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05AF48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b/>
                <w:bCs/>
                <w:sz w:val="16"/>
                <w:szCs w:val="16"/>
              </w:rPr>
            </w:pPr>
            <w:r w:rsidRPr="007527BF">
              <w:rPr>
                <w:rFonts w:eastAsia="Arial"/>
                <w:b/>
                <w:bCs/>
                <w:color w:val="000000"/>
                <w:sz w:val="16"/>
                <w:szCs w:val="16"/>
              </w:rPr>
              <w:t>% or Mean (SD)</w:t>
            </w:r>
          </w:p>
        </w:tc>
        <w:tc>
          <w:tcPr>
            <w:tcW w:w="288"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C62BB66"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vMerge/>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2BC1D4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vMerge/>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5BC4A9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48144F8C" w14:textId="77777777" w:rsidTr="005960C6">
        <w:trPr>
          <w:cantSplit/>
          <w:jc w:val="center"/>
        </w:trPr>
        <w:tc>
          <w:tcPr>
            <w:tcW w:w="2448"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286F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Age (continuous)</w:t>
            </w:r>
          </w:p>
        </w:tc>
        <w:tc>
          <w:tcPr>
            <w:tcW w:w="1296"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0F48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1,952,361</w:t>
            </w:r>
          </w:p>
        </w:tc>
        <w:tc>
          <w:tcPr>
            <w:tcW w:w="1152"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25C87" w14:textId="2FD21490"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58</w:t>
            </w:r>
            <w:r w:rsidR="007957F4" w:rsidRPr="007527BF">
              <w:rPr>
                <w:sz w:val="16"/>
                <w:szCs w:val="16"/>
                <w:shd w:val="clear" w:color="auto" w:fill="FFFFFF"/>
              </w:rPr>
              <w:t>·</w:t>
            </w:r>
            <w:r w:rsidRPr="007527BF">
              <w:rPr>
                <w:rFonts w:eastAsia="Arial"/>
                <w:color w:val="000000"/>
                <w:sz w:val="16"/>
                <w:szCs w:val="16"/>
              </w:rPr>
              <w:t>33 (12</w:t>
            </w:r>
            <w:r w:rsidR="007957F4" w:rsidRPr="007527BF">
              <w:rPr>
                <w:sz w:val="16"/>
                <w:szCs w:val="16"/>
                <w:shd w:val="clear" w:color="auto" w:fill="FFFFFF"/>
              </w:rPr>
              <w:t>·</w:t>
            </w:r>
            <w:r w:rsidRPr="007527BF">
              <w:rPr>
                <w:rFonts w:eastAsia="Arial"/>
                <w:color w:val="000000"/>
                <w:sz w:val="16"/>
                <w:szCs w:val="16"/>
              </w:rPr>
              <w:t>59)</w:t>
            </w:r>
          </w:p>
        </w:tc>
        <w:tc>
          <w:tcPr>
            <w:tcW w:w="288"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46D5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2F18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1,282,021</w:t>
            </w:r>
          </w:p>
        </w:tc>
        <w:tc>
          <w:tcPr>
            <w:tcW w:w="1152"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8A2DC" w14:textId="33F13A83"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57.23 (11</w:t>
            </w:r>
            <w:r w:rsidR="007957F4" w:rsidRPr="007527BF">
              <w:rPr>
                <w:rFonts w:eastAsia="Arial"/>
                <w:color w:val="000000"/>
                <w:sz w:val="16"/>
                <w:szCs w:val="16"/>
              </w:rPr>
              <w:t>·</w:t>
            </w:r>
            <w:r w:rsidRPr="007527BF">
              <w:rPr>
                <w:rFonts w:eastAsia="Arial"/>
                <w:color w:val="000000"/>
                <w:sz w:val="16"/>
                <w:szCs w:val="16"/>
              </w:rPr>
              <w:t>39)</w:t>
            </w:r>
          </w:p>
        </w:tc>
        <w:tc>
          <w:tcPr>
            <w:tcW w:w="288"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C8B1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0E1E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2,086,807</w:t>
            </w:r>
          </w:p>
        </w:tc>
        <w:tc>
          <w:tcPr>
            <w:tcW w:w="1152"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707A6" w14:textId="3C15FE3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56</w:t>
            </w:r>
            <w:r w:rsidR="007957F4" w:rsidRPr="007527BF">
              <w:rPr>
                <w:rFonts w:eastAsia="Arial"/>
                <w:color w:val="000000"/>
                <w:sz w:val="16"/>
                <w:szCs w:val="16"/>
              </w:rPr>
              <w:t>·</w:t>
            </w:r>
            <w:r w:rsidRPr="007527BF">
              <w:rPr>
                <w:rFonts w:eastAsia="Arial"/>
                <w:color w:val="000000"/>
                <w:sz w:val="16"/>
                <w:szCs w:val="16"/>
              </w:rPr>
              <w:t>67 (15</w:t>
            </w:r>
            <w:r w:rsidR="007957F4" w:rsidRPr="007527BF">
              <w:rPr>
                <w:rFonts w:eastAsia="Arial"/>
                <w:color w:val="000000"/>
                <w:sz w:val="16"/>
                <w:szCs w:val="16"/>
              </w:rPr>
              <w:t>·</w:t>
            </w:r>
            <w:r w:rsidRPr="007527BF">
              <w:rPr>
                <w:rFonts w:eastAsia="Arial"/>
                <w:color w:val="000000"/>
                <w:sz w:val="16"/>
                <w:szCs w:val="16"/>
              </w:rPr>
              <w:t>17)</w:t>
            </w:r>
          </w:p>
        </w:tc>
        <w:tc>
          <w:tcPr>
            <w:tcW w:w="288"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D561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C10E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2,493,187</w:t>
            </w:r>
          </w:p>
        </w:tc>
        <w:tc>
          <w:tcPr>
            <w:tcW w:w="1152"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0A336" w14:textId="510FEDB3"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57</w:t>
            </w:r>
            <w:r w:rsidR="007957F4" w:rsidRPr="007527BF">
              <w:rPr>
                <w:rFonts w:eastAsia="Arial"/>
                <w:color w:val="000000"/>
                <w:sz w:val="16"/>
                <w:szCs w:val="16"/>
              </w:rPr>
              <w:t>·</w:t>
            </w:r>
            <w:r w:rsidRPr="007527BF">
              <w:rPr>
                <w:rFonts w:eastAsia="Arial"/>
                <w:color w:val="000000"/>
                <w:sz w:val="16"/>
                <w:szCs w:val="16"/>
              </w:rPr>
              <w:t>19 (13</w:t>
            </w:r>
            <w:r w:rsidR="007957F4" w:rsidRPr="007527BF">
              <w:rPr>
                <w:rFonts w:eastAsia="Arial"/>
                <w:color w:val="000000"/>
                <w:sz w:val="16"/>
                <w:szCs w:val="16"/>
              </w:rPr>
              <w:t>·</w:t>
            </w:r>
            <w:r w:rsidRPr="007527BF">
              <w:rPr>
                <w:rFonts w:eastAsia="Arial"/>
                <w:color w:val="000000"/>
                <w:sz w:val="16"/>
                <w:szCs w:val="16"/>
              </w:rPr>
              <w:t>78)</w:t>
            </w:r>
          </w:p>
        </w:tc>
        <w:tc>
          <w:tcPr>
            <w:tcW w:w="288"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24B2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9C672" w14:textId="157A3441"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062</w:t>
            </w:r>
          </w:p>
        </w:tc>
        <w:tc>
          <w:tcPr>
            <w:tcW w:w="1008"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EF4DB" w14:textId="2C8CF46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&lt;0</w:t>
            </w:r>
            <w:r w:rsidR="007957F4" w:rsidRPr="007527BF">
              <w:rPr>
                <w:rFonts w:eastAsia="Arial"/>
                <w:color w:val="000000"/>
                <w:sz w:val="16"/>
                <w:szCs w:val="16"/>
              </w:rPr>
              <w:t>·</w:t>
            </w:r>
            <w:r w:rsidRPr="007527BF">
              <w:rPr>
                <w:rFonts w:eastAsia="Arial"/>
                <w:color w:val="000000"/>
                <w:sz w:val="16"/>
                <w:szCs w:val="16"/>
              </w:rPr>
              <w:t>001</w:t>
            </w:r>
          </w:p>
        </w:tc>
      </w:tr>
      <w:tr w:rsidR="00F464A2" w:rsidRPr="007527BF" w14:paraId="3FA9507C"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C8D7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Age (categorical)</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C05B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518F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CD9B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8E43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9298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A84B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16F0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DAC5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8AFE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0791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2818E"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11DBE"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EF736"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EAFC1" w14:textId="3BB2A94A"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&lt;0</w:t>
            </w:r>
            <w:r w:rsidR="007957F4" w:rsidRPr="007527BF">
              <w:rPr>
                <w:rFonts w:eastAsia="Arial"/>
                <w:color w:val="000000"/>
                <w:sz w:val="16"/>
                <w:szCs w:val="16"/>
              </w:rPr>
              <w:t>·</w:t>
            </w:r>
            <w:r w:rsidRPr="007527BF">
              <w:rPr>
                <w:rFonts w:eastAsia="Arial"/>
                <w:color w:val="000000"/>
                <w:sz w:val="16"/>
                <w:szCs w:val="16"/>
              </w:rPr>
              <w:t>001</w:t>
            </w:r>
          </w:p>
        </w:tc>
      </w:tr>
      <w:tr w:rsidR="00F464A2" w:rsidRPr="007527BF" w14:paraId="32944C51"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188ED"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&lt;35</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ECACE"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122,708</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73174" w14:textId="5E32E41E"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6</w:t>
            </w:r>
            <w:r w:rsidR="007957F4" w:rsidRPr="007527BF">
              <w:rPr>
                <w:rFonts w:eastAsia="Arial"/>
                <w:color w:val="000000"/>
                <w:sz w:val="16"/>
                <w:szCs w:val="16"/>
              </w:rPr>
              <w:t>·</w:t>
            </w:r>
            <w:r w:rsidRPr="007527BF">
              <w:rPr>
                <w:rFonts w:eastAsia="Arial"/>
                <w:color w:val="000000"/>
                <w:sz w:val="16"/>
                <w:szCs w:val="16"/>
              </w:rPr>
              <w:t>3%</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1093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AF67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60,101</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E269F" w14:textId="2AEE3C62"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4</w:t>
            </w:r>
            <w:r w:rsidR="007957F4" w:rsidRPr="007527BF">
              <w:rPr>
                <w:rFonts w:eastAsia="Arial"/>
                <w:color w:val="000000"/>
                <w:sz w:val="16"/>
                <w:szCs w:val="16"/>
              </w:rPr>
              <w:t>·</w:t>
            </w:r>
            <w:r w:rsidRPr="007527BF">
              <w:rPr>
                <w:rFonts w:eastAsia="Arial"/>
                <w:color w:val="000000"/>
                <w:sz w:val="16"/>
                <w:szCs w:val="16"/>
              </w:rPr>
              <w:t>7%</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C711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C26B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261,075</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66218" w14:textId="60C5DBA9"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12</w:t>
            </w:r>
            <w:r w:rsidR="007957F4" w:rsidRPr="007527BF">
              <w:rPr>
                <w:rFonts w:eastAsia="Arial"/>
                <w:color w:val="000000"/>
                <w:sz w:val="16"/>
                <w:szCs w:val="16"/>
              </w:rPr>
              <w:t>·</w:t>
            </w:r>
            <w:r w:rsidRPr="007527BF">
              <w:rPr>
                <w:rFonts w:eastAsia="Arial"/>
                <w:color w:val="000000"/>
                <w:sz w:val="16"/>
                <w:szCs w:val="16"/>
              </w:rPr>
              <w:t>5%</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E193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A65C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221,418</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EE3AC" w14:textId="1650D3F8"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8</w:t>
            </w:r>
            <w:r w:rsidR="007957F4" w:rsidRPr="007527BF">
              <w:rPr>
                <w:rFonts w:eastAsia="Arial"/>
                <w:color w:val="000000"/>
                <w:sz w:val="16"/>
                <w:szCs w:val="16"/>
              </w:rPr>
              <w:t>·</w:t>
            </w:r>
            <w:r w:rsidRPr="007527BF">
              <w:rPr>
                <w:rFonts w:eastAsia="Arial"/>
                <w:color w:val="000000"/>
                <w:sz w:val="16"/>
                <w:szCs w:val="16"/>
              </w:rPr>
              <w:t>9%</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124A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845CE" w14:textId="05A5F489"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558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AC49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5238B1E1"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07E2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35-64</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4063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1,125,137</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E5AD8" w14:textId="6721711F"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57</w:t>
            </w:r>
            <w:r w:rsidR="007957F4" w:rsidRPr="007527BF">
              <w:rPr>
                <w:rFonts w:eastAsia="Arial"/>
                <w:color w:val="000000"/>
                <w:sz w:val="16"/>
                <w:szCs w:val="16"/>
              </w:rPr>
              <w:t>·</w:t>
            </w:r>
            <w:r w:rsidRPr="007527BF">
              <w:rPr>
                <w:rFonts w:eastAsia="Arial"/>
                <w:color w:val="000000"/>
                <w:sz w:val="16"/>
                <w:szCs w:val="16"/>
              </w:rPr>
              <w:t>6%</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FF08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B3FA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868,355</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52CD4" w14:textId="07CB4FDF"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67</w:t>
            </w:r>
            <w:r w:rsidR="007957F4" w:rsidRPr="007527BF">
              <w:rPr>
                <w:rFonts w:eastAsia="Arial"/>
                <w:color w:val="000000"/>
                <w:sz w:val="16"/>
                <w:szCs w:val="16"/>
              </w:rPr>
              <w:t>·</w:t>
            </w:r>
            <w:r w:rsidRPr="007527BF">
              <w:rPr>
                <w:rFonts w:eastAsia="Arial"/>
                <w:color w:val="000000"/>
                <w:sz w:val="16"/>
                <w:szCs w:val="16"/>
              </w:rPr>
              <w:t>7%</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587F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E35D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939,778</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39560" w14:textId="7D06318B"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45</w:t>
            </w:r>
            <w:r w:rsidR="007957F4" w:rsidRPr="007527BF">
              <w:rPr>
                <w:rFonts w:eastAsia="Arial"/>
                <w:color w:val="000000"/>
                <w:sz w:val="16"/>
                <w:szCs w:val="16"/>
              </w:rPr>
              <w:t>·</w:t>
            </w:r>
            <w:r w:rsidRPr="007527BF">
              <w:rPr>
                <w:rFonts w:eastAsia="Arial"/>
                <w:color w:val="000000"/>
                <w:sz w:val="16"/>
                <w:szCs w:val="16"/>
              </w:rPr>
              <w:t>0%</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666C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1D78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1,295,657</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54954" w14:textId="465DA880"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52</w:t>
            </w:r>
            <w:r w:rsidR="007957F4" w:rsidRPr="007527BF">
              <w:rPr>
                <w:rFonts w:eastAsia="Arial"/>
                <w:color w:val="000000"/>
                <w:sz w:val="16"/>
                <w:szCs w:val="16"/>
              </w:rPr>
              <w:t>·</w:t>
            </w:r>
            <w:r w:rsidRPr="007527BF">
              <w:rPr>
                <w:rFonts w:eastAsia="Arial"/>
                <w:color w:val="000000"/>
                <w:sz w:val="16"/>
                <w:szCs w:val="16"/>
              </w:rPr>
              <w:t>0%</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AF0B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13DBF" w14:textId="72193B50"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495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ABB1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6B785F39"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CF1F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65-75</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C23F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704,516</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BB4C2" w14:textId="601DAC3B"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36</w:t>
            </w:r>
            <w:r w:rsidR="007957F4" w:rsidRPr="007527BF">
              <w:rPr>
                <w:rFonts w:eastAsia="Arial"/>
                <w:color w:val="000000"/>
                <w:sz w:val="16"/>
                <w:szCs w:val="16"/>
              </w:rPr>
              <w:t>·</w:t>
            </w:r>
            <w:r w:rsidRPr="007527BF">
              <w:rPr>
                <w:rFonts w:eastAsia="Arial"/>
                <w:color w:val="000000"/>
                <w:sz w:val="16"/>
                <w:szCs w:val="16"/>
              </w:rPr>
              <w:t>1%</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2590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D761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353,565</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864CB" w14:textId="5EA8FB0A"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27</w:t>
            </w:r>
            <w:r w:rsidR="007957F4" w:rsidRPr="007527BF">
              <w:rPr>
                <w:rFonts w:eastAsia="Arial"/>
                <w:color w:val="000000"/>
                <w:sz w:val="16"/>
                <w:szCs w:val="16"/>
              </w:rPr>
              <w:t>·</w:t>
            </w:r>
            <w:r w:rsidRPr="007527BF">
              <w:rPr>
                <w:rFonts w:eastAsia="Arial"/>
                <w:color w:val="000000"/>
                <w:sz w:val="16"/>
                <w:szCs w:val="16"/>
              </w:rPr>
              <w:t>6%</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F6CB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A0EA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885,954</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01D37" w14:textId="6A565251"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42</w:t>
            </w:r>
            <w:r w:rsidR="007957F4" w:rsidRPr="007527BF">
              <w:rPr>
                <w:rFonts w:eastAsia="Arial"/>
                <w:color w:val="000000"/>
                <w:sz w:val="16"/>
                <w:szCs w:val="16"/>
              </w:rPr>
              <w:t>·</w:t>
            </w:r>
            <w:r w:rsidRPr="007527BF">
              <w:rPr>
                <w:rFonts w:eastAsia="Arial"/>
                <w:color w:val="000000"/>
                <w:sz w:val="16"/>
                <w:szCs w:val="16"/>
              </w:rPr>
              <w:t>5%</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DA20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D67E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976,112</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77A02" w14:textId="107EFC91"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39</w:t>
            </w:r>
            <w:r w:rsidR="007957F4" w:rsidRPr="007527BF">
              <w:rPr>
                <w:rFonts w:eastAsia="Arial"/>
                <w:color w:val="000000"/>
                <w:sz w:val="16"/>
                <w:szCs w:val="16"/>
              </w:rPr>
              <w:t>·</w:t>
            </w:r>
            <w:r w:rsidRPr="007527BF">
              <w:rPr>
                <w:rFonts w:eastAsia="Arial"/>
                <w:color w:val="000000"/>
                <w:sz w:val="16"/>
                <w:szCs w:val="16"/>
              </w:rPr>
              <w:t>2%</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072F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68E0C" w14:textId="4ACAFA4A"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340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43DE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7ACD36A5"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9FB6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Sex</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E754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552D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7271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29CC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563D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34DD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E608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963E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A2E0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449F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63B8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6B01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E3A7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5FECF" w14:textId="18B6188A"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&lt;0</w:t>
            </w:r>
            <w:r w:rsidR="007957F4" w:rsidRPr="007527BF">
              <w:rPr>
                <w:rFonts w:eastAsia="Arial"/>
                <w:color w:val="000000"/>
                <w:sz w:val="16"/>
                <w:szCs w:val="16"/>
              </w:rPr>
              <w:t>·</w:t>
            </w:r>
            <w:r w:rsidRPr="007527BF">
              <w:rPr>
                <w:rFonts w:eastAsia="Arial"/>
                <w:color w:val="000000"/>
                <w:sz w:val="16"/>
                <w:szCs w:val="16"/>
              </w:rPr>
              <w:t>001</w:t>
            </w:r>
          </w:p>
        </w:tc>
      </w:tr>
      <w:tr w:rsidR="00F464A2" w:rsidRPr="007527BF" w14:paraId="45639A16"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643E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Female</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8381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100,228</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D4452" w14:textId="2B2CF265"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5</w:t>
            </w:r>
            <w:r w:rsidR="007957F4" w:rsidRPr="007527BF">
              <w:rPr>
                <w:rFonts w:eastAsia="Arial"/>
                <w:color w:val="000000"/>
                <w:sz w:val="16"/>
                <w:szCs w:val="16"/>
              </w:rPr>
              <w:t>·</w:t>
            </w:r>
            <w:r w:rsidRPr="007527BF">
              <w:rPr>
                <w:rFonts w:eastAsia="Arial"/>
                <w:color w:val="000000"/>
                <w:sz w:val="16"/>
                <w:szCs w:val="16"/>
              </w:rPr>
              <w:t>1%</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2AF7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2527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90,918</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301E4" w14:textId="3C465C7F"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7</w:t>
            </w:r>
            <w:r w:rsidR="007957F4" w:rsidRPr="007527BF">
              <w:rPr>
                <w:rFonts w:eastAsia="Arial"/>
                <w:color w:val="000000"/>
                <w:sz w:val="16"/>
                <w:szCs w:val="16"/>
              </w:rPr>
              <w:t>·</w:t>
            </w:r>
            <w:r w:rsidRPr="007527BF">
              <w:rPr>
                <w:rFonts w:eastAsia="Arial"/>
                <w:color w:val="000000"/>
                <w:sz w:val="16"/>
                <w:szCs w:val="16"/>
              </w:rPr>
              <w:t>1%</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C4D1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5325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194,585</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9BB34" w14:textId="18FE5104"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9</w:t>
            </w:r>
            <w:r w:rsidR="007957F4" w:rsidRPr="007527BF">
              <w:rPr>
                <w:rFonts w:eastAsia="Arial"/>
                <w:color w:val="000000"/>
                <w:sz w:val="16"/>
                <w:szCs w:val="16"/>
              </w:rPr>
              <w:t>·</w:t>
            </w:r>
            <w:r w:rsidRPr="007527BF">
              <w:rPr>
                <w:rFonts w:eastAsia="Arial"/>
                <w:color w:val="000000"/>
                <w:sz w:val="16"/>
                <w:szCs w:val="16"/>
              </w:rPr>
              <w:t>3%</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F942E"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47DD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309,659</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C150A" w14:textId="381B38E5"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12</w:t>
            </w:r>
            <w:r w:rsidR="007957F4" w:rsidRPr="007527BF">
              <w:rPr>
                <w:rFonts w:eastAsia="Arial"/>
                <w:color w:val="000000"/>
                <w:sz w:val="16"/>
                <w:szCs w:val="16"/>
              </w:rPr>
              <w:t>·</w:t>
            </w:r>
            <w:r w:rsidRPr="007527BF">
              <w:rPr>
                <w:rFonts w:eastAsia="Arial"/>
                <w:color w:val="000000"/>
                <w:sz w:val="16"/>
                <w:szCs w:val="16"/>
              </w:rPr>
              <w:t>4%</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0177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133BB" w14:textId="660DC0D2"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495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A5E6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0F6B1591"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B189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Male</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AD6C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1,852,133</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DA705" w14:textId="1B35D05D"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94</w:t>
            </w:r>
            <w:r w:rsidR="007957F4" w:rsidRPr="007527BF">
              <w:rPr>
                <w:rFonts w:eastAsia="Arial"/>
                <w:color w:val="000000"/>
                <w:sz w:val="16"/>
                <w:szCs w:val="16"/>
              </w:rPr>
              <w:t>·</w:t>
            </w:r>
            <w:r w:rsidRPr="007527BF">
              <w:rPr>
                <w:rFonts w:eastAsia="Arial"/>
                <w:color w:val="000000"/>
                <w:sz w:val="16"/>
                <w:szCs w:val="16"/>
              </w:rPr>
              <w:t>9%</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D3CC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1E04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1,191,103</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60E43" w14:textId="302DDE5B"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92</w:t>
            </w:r>
            <w:r w:rsidR="007957F4" w:rsidRPr="007527BF">
              <w:rPr>
                <w:rFonts w:eastAsia="Arial"/>
                <w:color w:val="000000"/>
                <w:sz w:val="16"/>
                <w:szCs w:val="16"/>
              </w:rPr>
              <w:t>·</w:t>
            </w:r>
            <w:r w:rsidRPr="007527BF">
              <w:rPr>
                <w:rFonts w:eastAsia="Arial"/>
                <w:color w:val="000000"/>
                <w:sz w:val="16"/>
                <w:szCs w:val="16"/>
              </w:rPr>
              <w:t>9%</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DED9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09E1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1,892,222</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E735D" w14:textId="35D79AF3"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90</w:t>
            </w:r>
            <w:r w:rsidR="007957F4" w:rsidRPr="007527BF">
              <w:rPr>
                <w:rFonts w:eastAsia="Arial"/>
                <w:color w:val="000000"/>
                <w:sz w:val="16"/>
                <w:szCs w:val="16"/>
              </w:rPr>
              <w:t>·</w:t>
            </w:r>
            <w:r w:rsidRPr="007527BF">
              <w:rPr>
                <w:rFonts w:eastAsia="Arial"/>
                <w:color w:val="000000"/>
                <w:sz w:val="16"/>
                <w:szCs w:val="16"/>
              </w:rPr>
              <w:t>7%</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C6C6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8BA4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2,183,528</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E7150" w14:textId="25AFA712"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87</w:t>
            </w:r>
            <w:r w:rsidR="007957F4" w:rsidRPr="007527BF">
              <w:rPr>
                <w:rFonts w:eastAsia="Arial"/>
                <w:color w:val="000000"/>
                <w:sz w:val="16"/>
                <w:szCs w:val="16"/>
              </w:rPr>
              <w:t>·</w:t>
            </w:r>
            <w:r w:rsidRPr="007527BF">
              <w:rPr>
                <w:rFonts w:eastAsia="Arial"/>
                <w:color w:val="000000"/>
                <w:sz w:val="16"/>
                <w:szCs w:val="16"/>
              </w:rPr>
              <w:t>6%</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DBCC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06A19" w14:textId="1B59E5F3"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495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3345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44449C1A"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7251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Race/Ethnicity</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756F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F6F7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3CAE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C9D7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1E76D"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80A7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6C7E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FE41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E849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1C28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103A0"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4BC4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807F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6B1EE" w14:textId="7ABB3F59"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&lt;0</w:t>
            </w:r>
            <w:r w:rsidR="007957F4" w:rsidRPr="007527BF">
              <w:rPr>
                <w:rFonts w:eastAsia="Arial"/>
                <w:color w:val="000000"/>
                <w:sz w:val="16"/>
                <w:szCs w:val="16"/>
              </w:rPr>
              <w:t>·</w:t>
            </w:r>
            <w:r w:rsidRPr="007527BF">
              <w:rPr>
                <w:rFonts w:eastAsia="Arial"/>
                <w:color w:val="000000"/>
                <w:sz w:val="16"/>
                <w:szCs w:val="16"/>
              </w:rPr>
              <w:t>001</w:t>
            </w:r>
          </w:p>
        </w:tc>
      </w:tr>
      <w:tr w:rsidR="00F464A2" w:rsidRPr="007527BF" w14:paraId="3BD923C4"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5647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White</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C0CF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1,477,147</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A0A23" w14:textId="78150D7B"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75</w:t>
            </w:r>
            <w:r w:rsidR="007957F4" w:rsidRPr="007527BF">
              <w:rPr>
                <w:rFonts w:eastAsia="Arial"/>
                <w:color w:val="000000"/>
                <w:sz w:val="16"/>
                <w:szCs w:val="16"/>
              </w:rPr>
              <w:t>·</w:t>
            </w:r>
            <w:r w:rsidRPr="007527BF">
              <w:rPr>
                <w:rFonts w:eastAsia="Arial"/>
                <w:color w:val="000000"/>
                <w:sz w:val="16"/>
                <w:szCs w:val="16"/>
              </w:rPr>
              <w:t>7%</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3D99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EB5B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948,825</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E1B19" w14:textId="221A2EBD"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74</w:t>
            </w:r>
            <w:r w:rsidR="007957F4" w:rsidRPr="007527BF">
              <w:rPr>
                <w:rFonts w:eastAsia="Arial"/>
                <w:color w:val="000000"/>
                <w:sz w:val="16"/>
                <w:szCs w:val="16"/>
              </w:rPr>
              <w:t>·</w:t>
            </w:r>
            <w:r w:rsidRPr="007527BF">
              <w:rPr>
                <w:rFonts w:eastAsia="Arial"/>
                <w:color w:val="000000"/>
                <w:sz w:val="16"/>
                <w:szCs w:val="16"/>
              </w:rPr>
              <w:t>0%</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2845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B098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1,420,467</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9E58D" w14:textId="7C477D8C"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68</w:t>
            </w:r>
            <w:r w:rsidR="007957F4" w:rsidRPr="007527BF">
              <w:rPr>
                <w:rFonts w:eastAsia="Arial"/>
                <w:color w:val="000000"/>
                <w:sz w:val="16"/>
                <w:szCs w:val="16"/>
              </w:rPr>
              <w:t>·</w:t>
            </w:r>
            <w:r w:rsidRPr="007527BF">
              <w:rPr>
                <w:rFonts w:eastAsia="Arial"/>
                <w:color w:val="000000"/>
                <w:sz w:val="16"/>
                <w:szCs w:val="16"/>
              </w:rPr>
              <w:t>1%</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813C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BDD6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1,629,004</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8F0DC" w14:textId="1FD16E76"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65</w:t>
            </w:r>
            <w:r w:rsidR="007957F4" w:rsidRPr="007527BF">
              <w:rPr>
                <w:rFonts w:eastAsia="Arial"/>
                <w:color w:val="000000"/>
                <w:sz w:val="16"/>
                <w:szCs w:val="16"/>
              </w:rPr>
              <w:t>·</w:t>
            </w:r>
            <w:r w:rsidRPr="007527BF">
              <w:rPr>
                <w:rFonts w:eastAsia="Arial"/>
                <w:color w:val="000000"/>
                <w:sz w:val="16"/>
                <w:szCs w:val="16"/>
              </w:rPr>
              <w:t>3%</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D163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A2434" w14:textId="25F87B40"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293</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BD22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007B6E0C"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DDFB6"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Black</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C03DD"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305,221</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CF858" w14:textId="4D6C54F8"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15</w:t>
            </w:r>
            <w:r w:rsidR="007957F4" w:rsidRPr="007527BF">
              <w:rPr>
                <w:rFonts w:eastAsia="Arial"/>
                <w:color w:val="000000"/>
                <w:sz w:val="16"/>
                <w:szCs w:val="16"/>
              </w:rPr>
              <w:t>·</w:t>
            </w:r>
            <w:r w:rsidRPr="007527BF">
              <w:rPr>
                <w:rFonts w:eastAsia="Arial"/>
                <w:color w:val="000000"/>
                <w:sz w:val="16"/>
                <w:szCs w:val="16"/>
              </w:rPr>
              <w:t>6%</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0379D"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24E3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228,588</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04995" w14:textId="5938C97C"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17</w:t>
            </w:r>
            <w:r w:rsidR="007957F4" w:rsidRPr="007527BF">
              <w:rPr>
                <w:rFonts w:eastAsia="Arial"/>
                <w:color w:val="000000"/>
                <w:sz w:val="16"/>
                <w:szCs w:val="16"/>
              </w:rPr>
              <w:t>·</w:t>
            </w:r>
            <w:r w:rsidRPr="007527BF">
              <w:rPr>
                <w:rFonts w:eastAsia="Arial"/>
                <w:color w:val="000000"/>
                <w:sz w:val="16"/>
                <w:szCs w:val="16"/>
              </w:rPr>
              <w:t>8%</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3C7A6"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F021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379,810</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F536A" w14:textId="14B1518F"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18</w:t>
            </w:r>
            <w:r w:rsidR="007957F4" w:rsidRPr="007527BF">
              <w:rPr>
                <w:rFonts w:eastAsia="Arial"/>
                <w:color w:val="000000"/>
                <w:sz w:val="16"/>
                <w:szCs w:val="16"/>
              </w:rPr>
              <w:t>·</w:t>
            </w:r>
            <w:r w:rsidRPr="007527BF">
              <w:rPr>
                <w:rFonts w:eastAsia="Arial"/>
                <w:color w:val="000000"/>
                <w:sz w:val="16"/>
                <w:szCs w:val="16"/>
              </w:rPr>
              <w:t>2%</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FF27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644F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546,973</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03089" w14:textId="1D384B3D"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21</w:t>
            </w:r>
            <w:r w:rsidR="007957F4" w:rsidRPr="007527BF">
              <w:rPr>
                <w:rFonts w:eastAsia="Arial"/>
                <w:color w:val="000000"/>
                <w:sz w:val="16"/>
                <w:szCs w:val="16"/>
              </w:rPr>
              <w:t>·</w:t>
            </w:r>
            <w:r w:rsidRPr="007527BF">
              <w:rPr>
                <w:rFonts w:eastAsia="Arial"/>
                <w:color w:val="000000"/>
                <w:sz w:val="16"/>
                <w:szCs w:val="16"/>
              </w:rPr>
              <w:t>9%</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2E730"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BFA1A" w14:textId="28FA1593"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212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66CDE"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225FD021"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97D5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Hispanic/Latino</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9D77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70,609</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C7878" w14:textId="192C426D"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3</w:t>
            </w:r>
            <w:r w:rsidR="007957F4" w:rsidRPr="007527BF">
              <w:rPr>
                <w:rFonts w:eastAsia="Arial"/>
                <w:color w:val="000000"/>
                <w:sz w:val="16"/>
                <w:szCs w:val="16"/>
              </w:rPr>
              <w:t>·</w:t>
            </w:r>
            <w:r w:rsidRPr="007527BF">
              <w:rPr>
                <w:rFonts w:eastAsia="Arial"/>
                <w:color w:val="000000"/>
                <w:sz w:val="16"/>
                <w:szCs w:val="16"/>
              </w:rPr>
              <w:t>6%</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6493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33B8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49,960</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F6DE4" w14:textId="76991176"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3</w:t>
            </w:r>
            <w:r w:rsidR="007957F4" w:rsidRPr="007527BF">
              <w:rPr>
                <w:rFonts w:eastAsia="Arial"/>
                <w:color w:val="000000"/>
                <w:sz w:val="16"/>
                <w:szCs w:val="16"/>
              </w:rPr>
              <w:t>·</w:t>
            </w:r>
            <w:r w:rsidRPr="007527BF">
              <w:rPr>
                <w:rFonts w:eastAsia="Arial"/>
                <w:color w:val="000000"/>
                <w:sz w:val="16"/>
                <w:szCs w:val="16"/>
              </w:rPr>
              <w:t>9%</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79CB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48C7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136,680</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CDB71" w14:textId="5212AE79"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6</w:t>
            </w:r>
            <w:r w:rsidR="007957F4" w:rsidRPr="007527BF">
              <w:rPr>
                <w:rFonts w:eastAsia="Arial"/>
                <w:color w:val="000000"/>
                <w:sz w:val="16"/>
                <w:szCs w:val="16"/>
              </w:rPr>
              <w:t>·</w:t>
            </w:r>
            <w:r w:rsidRPr="007527BF">
              <w:rPr>
                <w:rFonts w:eastAsia="Arial"/>
                <w:color w:val="000000"/>
                <w:sz w:val="16"/>
                <w:szCs w:val="16"/>
              </w:rPr>
              <w:t>5%</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B325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7784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174,481</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EA7AB" w14:textId="1FA364AF"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7</w:t>
            </w:r>
            <w:r w:rsidR="007957F4" w:rsidRPr="007527BF">
              <w:rPr>
                <w:rFonts w:eastAsia="Arial"/>
                <w:color w:val="000000"/>
                <w:sz w:val="16"/>
                <w:szCs w:val="16"/>
              </w:rPr>
              <w:t>·</w:t>
            </w:r>
            <w:r w:rsidRPr="007527BF">
              <w:rPr>
                <w:rFonts w:eastAsia="Arial"/>
                <w:color w:val="000000"/>
                <w:sz w:val="16"/>
                <w:szCs w:val="16"/>
              </w:rPr>
              <w:t>0%</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31D7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E4FFA" w14:textId="558C69BA"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409</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ED2F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1922DFDA"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054A2"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Asian</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BB21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11,542</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C74D4" w14:textId="3206FDF6"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6%</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A935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3AF3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5,682</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5FB24" w14:textId="0F9F8DEC"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4%</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0815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E208D"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26,669</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37B11" w14:textId="611F2366"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w:t>
            </w:r>
            <w:r w:rsidR="007957F4" w:rsidRPr="007527BF">
              <w:rPr>
                <w:rFonts w:eastAsia="Arial"/>
                <w:color w:val="000000"/>
                <w:sz w:val="16"/>
                <w:szCs w:val="16"/>
              </w:rPr>
              <w:t>·</w:t>
            </w:r>
            <w:r w:rsidRPr="007527BF">
              <w:rPr>
                <w:rFonts w:eastAsia="Arial"/>
                <w:color w:val="000000"/>
                <w:sz w:val="16"/>
                <w:szCs w:val="16"/>
              </w:rPr>
              <w:t>3%</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51DB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17D20"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28,587</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9FC56" w14:textId="7F40DAE4"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w:t>
            </w:r>
            <w:r w:rsidR="007957F4" w:rsidRPr="007527BF">
              <w:rPr>
                <w:rFonts w:eastAsia="Arial"/>
                <w:color w:val="000000"/>
                <w:sz w:val="16"/>
                <w:szCs w:val="16"/>
              </w:rPr>
              <w:t>·</w:t>
            </w:r>
            <w:r w:rsidRPr="007527BF">
              <w:rPr>
                <w:rFonts w:eastAsia="Arial"/>
                <w:color w:val="000000"/>
                <w:sz w:val="16"/>
                <w:szCs w:val="16"/>
              </w:rPr>
              <w:t>1%</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21C3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0A9C6" w14:textId="6C02A97E"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555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DC1D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25821DB9"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27A3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w:t>
            </w:r>
            <w:proofErr w:type="spellStart"/>
            <w:r w:rsidRPr="007527BF">
              <w:rPr>
                <w:rFonts w:eastAsia="Arial"/>
                <w:b/>
                <w:bCs/>
                <w:color w:val="000000"/>
                <w:sz w:val="16"/>
                <w:szCs w:val="16"/>
              </w:rPr>
              <w:t>Amlnd</w:t>
            </w:r>
            <w:proofErr w:type="spellEnd"/>
            <w:r w:rsidRPr="007527BF">
              <w:rPr>
                <w:rFonts w:eastAsia="Arial"/>
                <w:b/>
                <w:bCs/>
                <w:color w:val="000000"/>
                <w:sz w:val="16"/>
                <w:szCs w:val="16"/>
              </w:rPr>
              <w:t>/</w:t>
            </w:r>
            <w:proofErr w:type="spellStart"/>
            <w:r w:rsidRPr="007527BF">
              <w:rPr>
                <w:rFonts w:eastAsia="Arial"/>
                <w:b/>
                <w:bCs/>
                <w:color w:val="000000"/>
                <w:sz w:val="16"/>
                <w:szCs w:val="16"/>
              </w:rPr>
              <w:t>AlaskNative</w:t>
            </w:r>
            <w:proofErr w:type="spellEnd"/>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8AABD"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10,190</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AE50E" w14:textId="0C17416F"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5%</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2467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63126"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8,062</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86A8D" w14:textId="78CD075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6%</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C84B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BD34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14,597</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5BF4A" w14:textId="3D6805A0"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7%</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8219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DA86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19,932</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22547" w14:textId="2A13C27E"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8%</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CCE8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D45E1" w14:textId="082DA51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224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E7B0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23844A11"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B10C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w:t>
            </w:r>
            <w:proofErr w:type="spellStart"/>
            <w:r w:rsidRPr="007527BF">
              <w:rPr>
                <w:rFonts w:eastAsia="Arial"/>
                <w:b/>
                <w:bCs/>
                <w:color w:val="000000"/>
                <w:sz w:val="16"/>
                <w:szCs w:val="16"/>
              </w:rPr>
              <w:t>PacIs</w:t>
            </w:r>
            <w:proofErr w:type="spellEnd"/>
            <w:r w:rsidRPr="007527BF">
              <w:rPr>
                <w:rFonts w:eastAsia="Arial"/>
                <w:b/>
                <w:bCs/>
                <w:color w:val="000000"/>
                <w:sz w:val="16"/>
                <w:szCs w:val="16"/>
              </w:rPr>
              <w:t>/</w:t>
            </w:r>
            <w:proofErr w:type="spellStart"/>
            <w:r w:rsidRPr="007527BF">
              <w:rPr>
                <w:rFonts w:eastAsia="Arial"/>
                <w:b/>
                <w:bCs/>
                <w:color w:val="000000"/>
                <w:sz w:val="16"/>
                <w:szCs w:val="16"/>
              </w:rPr>
              <w:t>NatHawaiian</w:t>
            </w:r>
            <w:proofErr w:type="spellEnd"/>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09D6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13,323</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462B2" w14:textId="11B95DD4"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7%</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B296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0D72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9,550</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A8839" w14:textId="39A0E396"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7%</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8CE1E"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845D0"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14,052</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B3281" w14:textId="18A9950E"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7%</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D2EBD"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70B7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19,180</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07395" w14:textId="5E337080"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8%</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EE54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FDACB" w14:textId="36C07620"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082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9887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5AF3BDC8" w14:textId="77777777" w:rsidTr="005960C6">
        <w:trPr>
          <w:cantSplit/>
          <w:jc w:val="center"/>
        </w:trPr>
        <w:tc>
          <w:tcPr>
            <w:tcW w:w="244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A410C"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w:t>
            </w:r>
            <w:proofErr w:type="spellStart"/>
            <w:r w:rsidRPr="007527BF">
              <w:rPr>
                <w:rFonts w:eastAsia="Arial"/>
                <w:b/>
                <w:bCs/>
                <w:color w:val="000000"/>
                <w:sz w:val="16"/>
                <w:szCs w:val="16"/>
              </w:rPr>
              <w:t>MultipleRace</w:t>
            </w:r>
            <w:proofErr w:type="spellEnd"/>
            <w:r w:rsidRPr="007527BF">
              <w:rPr>
                <w:rFonts w:eastAsia="Arial"/>
                <w:b/>
                <w:bCs/>
                <w:color w:val="000000"/>
                <w:sz w:val="16"/>
                <w:szCs w:val="16"/>
              </w:rPr>
              <w:t>/Eth</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E3F26"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12,175</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9942F" w14:textId="2985E8D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6%</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6A0D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478A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10,569</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5428F" w14:textId="3781C19B"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8%</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74217"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F338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17,595</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8FE0B" w14:textId="3224493C"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8%</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6955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CA816"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23,717</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940B6" w14:textId="4F386CB2"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w:t>
            </w:r>
            <w:r w:rsidR="007957F4" w:rsidRPr="007527BF">
              <w:rPr>
                <w:rFonts w:eastAsia="Arial"/>
                <w:color w:val="000000"/>
                <w:sz w:val="16"/>
                <w:szCs w:val="16"/>
              </w:rPr>
              <w:t>·</w:t>
            </w:r>
            <w:r w:rsidRPr="007527BF">
              <w:rPr>
                <w:rFonts w:eastAsia="Arial"/>
                <w:color w:val="000000"/>
                <w:sz w:val="16"/>
                <w:szCs w:val="16"/>
              </w:rPr>
              <w:t>0%</w:t>
            </w:r>
          </w:p>
        </w:tc>
        <w:tc>
          <w:tcPr>
            <w:tcW w:w="28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4758A"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DE66E" w14:textId="483CFFF2"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205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DE5C0"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60FA7202" w14:textId="77777777" w:rsidTr="005960C6">
        <w:trPr>
          <w:cantSplit/>
          <w:jc w:val="center"/>
        </w:trPr>
        <w:tc>
          <w:tcPr>
            <w:tcW w:w="2448"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3C482FD"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b/>
                <w:bCs/>
                <w:sz w:val="16"/>
                <w:szCs w:val="16"/>
              </w:rPr>
            </w:pPr>
            <w:r w:rsidRPr="007527BF">
              <w:rPr>
                <w:rFonts w:eastAsia="Arial"/>
                <w:b/>
                <w:bCs/>
                <w:color w:val="000000"/>
                <w:sz w:val="16"/>
                <w:szCs w:val="16"/>
              </w:rPr>
              <w:t xml:space="preserve">    Unknown</w:t>
            </w:r>
          </w:p>
        </w:tc>
        <w:tc>
          <w:tcPr>
            <w:tcW w:w="1296"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4E1FBE1"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52,154</w:t>
            </w:r>
          </w:p>
        </w:tc>
        <w:tc>
          <w:tcPr>
            <w:tcW w:w="1152"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C88A3A7" w14:textId="46FDC33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w:t>
            </w:r>
            <w:r w:rsidR="007957F4" w:rsidRPr="007527BF">
              <w:rPr>
                <w:rFonts w:eastAsia="Arial"/>
                <w:color w:val="000000"/>
                <w:sz w:val="16"/>
                <w:szCs w:val="16"/>
              </w:rPr>
              <w:t>·</w:t>
            </w:r>
            <w:r w:rsidRPr="007527BF">
              <w:rPr>
                <w:rFonts w:eastAsia="Arial"/>
                <w:color w:val="000000"/>
                <w:sz w:val="16"/>
                <w:szCs w:val="16"/>
              </w:rPr>
              <w:t>7%</w:t>
            </w:r>
          </w:p>
        </w:tc>
        <w:tc>
          <w:tcPr>
            <w:tcW w:w="288"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0FB315D"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FA15B4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20,785</w:t>
            </w:r>
          </w:p>
        </w:tc>
        <w:tc>
          <w:tcPr>
            <w:tcW w:w="1152"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C37B03A" w14:textId="29549EDB"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1</w:t>
            </w:r>
            <w:r w:rsidR="007957F4" w:rsidRPr="007527BF">
              <w:rPr>
                <w:rFonts w:eastAsia="Arial"/>
                <w:color w:val="000000"/>
                <w:sz w:val="16"/>
                <w:szCs w:val="16"/>
              </w:rPr>
              <w:t>·</w:t>
            </w:r>
            <w:r w:rsidRPr="007527BF">
              <w:rPr>
                <w:rFonts w:eastAsia="Arial"/>
                <w:color w:val="000000"/>
                <w:sz w:val="16"/>
                <w:szCs w:val="16"/>
              </w:rPr>
              <w:t>6%</w:t>
            </w:r>
          </w:p>
        </w:tc>
        <w:tc>
          <w:tcPr>
            <w:tcW w:w="288"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F70628E"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581D859"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76,937</w:t>
            </w:r>
          </w:p>
        </w:tc>
        <w:tc>
          <w:tcPr>
            <w:tcW w:w="1152"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155A46D" w14:textId="0D3A299D"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3</w:t>
            </w:r>
            <w:r w:rsidR="007957F4" w:rsidRPr="007527BF">
              <w:rPr>
                <w:rFonts w:eastAsia="Arial"/>
                <w:color w:val="000000"/>
                <w:sz w:val="16"/>
                <w:szCs w:val="16"/>
              </w:rPr>
              <w:t>·</w:t>
            </w:r>
            <w:r w:rsidRPr="007527BF">
              <w:rPr>
                <w:rFonts w:eastAsia="Arial"/>
                <w:color w:val="000000"/>
                <w:sz w:val="16"/>
                <w:szCs w:val="16"/>
              </w:rPr>
              <w:t>7%</w:t>
            </w:r>
          </w:p>
        </w:tc>
        <w:tc>
          <w:tcPr>
            <w:tcW w:w="288"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D91B81F"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96"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A5164E4"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51,313</w:t>
            </w:r>
          </w:p>
        </w:tc>
        <w:tc>
          <w:tcPr>
            <w:tcW w:w="1152"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F983A65" w14:textId="42982D78"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2</w:t>
            </w:r>
            <w:r w:rsidR="007957F4" w:rsidRPr="007527BF">
              <w:rPr>
                <w:rFonts w:eastAsia="Arial"/>
                <w:color w:val="000000"/>
                <w:sz w:val="16"/>
                <w:szCs w:val="16"/>
              </w:rPr>
              <w:t>·</w:t>
            </w:r>
            <w:r w:rsidRPr="007527BF">
              <w:rPr>
                <w:rFonts w:eastAsia="Arial"/>
                <w:color w:val="000000"/>
                <w:sz w:val="16"/>
                <w:szCs w:val="16"/>
              </w:rPr>
              <w:t>1%</w:t>
            </w:r>
          </w:p>
        </w:tc>
        <w:tc>
          <w:tcPr>
            <w:tcW w:w="288"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E051E0B"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08"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55E4E75" w14:textId="3CD17EF3"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7527BF">
              <w:rPr>
                <w:rFonts w:eastAsia="Arial"/>
                <w:color w:val="000000"/>
                <w:sz w:val="16"/>
                <w:szCs w:val="16"/>
              </w:rPr>
              <w:t>0</w:t>
            </w:r>
            <w:r w:rsidR="007957F4" w:rsidRPr="007527BF">
              <w:rPr>
                <w:rFonts w:eastAsia="Arial"/>
                <w:color w:val="000000"/>
                <w:sz w:val="16"/>
                <w:szCs w:val="16"/>
              </w:rPr>
              <w:t>·</w:t>
            </w:r>
            <w:r w:rsidRPr="007527BF">
              <w:rPr>
                <w:rFonts w:eastAsia="Arial"/>
                <w:color w:val="000000"/>
                <w:sz w:val="16"/>
                <w:szCs w:val="16"/>
              </w:rPr>
              <w:t>452</w:t>
            </w:r>
          </w:p>
        </w:tc>
        <w:tc>
          <w:tcPr>
            <w:tcW w:w="1008"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DF4BCC3"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r>
      <w:tr w:rsidR="00F464A2" w:rsidRPr="007527BF" w14:paraId="7F1AF126" w14:textId="77777777" w:rsidTr="005960C6">
        <w:trPr>
          <w:cantSplit/>
          <w:jc w:val="center"/>
        </w:trPr>
        <w:tc>
          <w:tcPr>
            <w:tcW w:w="15408" w:type="dxa"/>
            <w:gridSpan w:val="15"/>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4A998"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7527BF">
              <w:rPr>
                <w:rFonts w:eastAsia="Arial"/>
                <w:color w:val="000000"/>
                <w:sz w:val="16"/>
                <w:szCs w:val="16"/>
                <w:vertAlign w:val="superscript"/>
              </w:rPr>
              <w:t>a</w:t>
            </w:r>
            <w:r w:rsidRPr="007527BF">
              <w:rPr>
                <w:rFonts w:eastAsia="Arial"/>
                <w:color w:val="000000"/>
                <w:sz w:val="16"/>
                <w:szCs w:val="16"/>
              </w:rPr>
              <w:t>Standardized</w:t>
            </w:r>
            <w:proofErr w:type="spellEnd"/>
            <w:r w:rsidRPr="007527BF">
              <w:rPr>
                <w:rFonts w:eastAsia="Arial"/>
                <w:color w:val="000000"/>
                <w:sz w:val="16"/>
                <w:szCs w:val="16"/>
              </w:rPr>
              <w:t xml:space="preserve"> absolute mean difference is calculated as the average absolute difference between groups divided by the overall standard deviation.</w:t>
            </w:r>
          </w:p>
        </w:tc>
      </w:tr>
      <w:tr w:rsidR="00F464A2" w:rsidRPr="007527BF" w14:paraId="36F91129" w14:textId="77777777" w:rsidTr="005960C6">
        <w:trPr>
          <w:cantSplit/>
          <w:jc w:val="center"/>
        </w:trPr>
        <w:tc>
          <w:tcPr>
            <w:tcW w:w="15408" w:type="dxa"/>
            <w:gridSpan w:val="15"/>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7A24335" w14:textId="77777777" w:rsidR="00F464A2" w:rsidRPr="007527BF" w:rsidRDefault="00F464A2" w:rsidP="000862C6">
            <w:pPr>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7527BF">
              <w:rPr>
                <w:rFonts w:eastAsia="Arial"/>
                <w:color w:val="000000"/>
                <w:sz w:val="16"/>
                <w:szCs w:val="16"/>
                <w:vertAlign w:val="superscript"/>
              </w:rPr>
              <w:t>b</w:t>
            </w:r>
            <w:r w:rsidRPr="007527BF">
              <w:rPr>
                <w:rFonts w:eastAsia="Arial"/>
                <w:color w:val="000000"/>
                <w:sz w:val="16"/>
                <w:szCs w:val="16"/>
              </w:rPr>
              <w:t>p-values for t-test of continuous variables and chi-square tests of categorical variables.</w:t>
            </w:r>
          </w:p>
        </w:tc>
      </w:tr>
    </w:tbl>
    <w:p w14:paraId="76613E3E" w14:textId="1518DF6F" w:rsidR="00373609" w:rsidRPr="007527BF" w:rsidRDefault="00373609">
      <w:pPr>
        <w:widowControl w:val="0"/>
        <w:autoSpaceDE w:val="0"/>
        <w:autoSpaceDN w:val="0"/>
        <w:rPr>
          <w:color w:val="000000" w:themeColor="text1"/>
          <w:kern w:val="32"/>
          <w:sz w:val="16"/>
          <w:szCs w:val="16"/>
        </w:rPr>
      </w:pPr>
    </w:p>
    <w:p w14:paraId="0330B2FA" w14:textId="77777777" w:rsidR="0010670E" w:rsidRPr="007527BF" w:rsidRDefault="0010670E">
      <w:pPr>
        <w:widowControl w:val="0"/>
        <w:autoSpaceDE w:val="0"/>
        <w:autoSpaceDN w:val="0"/>
        <w:rPr>
          <w:color w:val="000000" w:themeColor="text1"/>
          <w:kern w:val="32"/>
          <w:sz w:val="16"/>
          <w:szCs w:val="16"/>
        </w:rPr>
      </w:pPr>
    </w:p>
    <w:p w14:paraId="6CF2C6A2" w14:textId="77777777" w:rsidR="007527BF" w:rsidRDefault="007527BF" w:rsidP="000862C6">
      <w:pPr>
        <w:jc w:val="center"/>
        <w:rPr>
          <w:b/>
          <w:bCs/>
          <w:color w:val="000000" w:themeColor="text1"/>
          <w:sz w:val="16"/>
          <w:szCs w:val="16"/>
          <w:shd w:val="clear" w:color="auto" w:fill="FFFFFF"/>
        </w:rPr>
        <w:sectPr w:rsidR="007527BF" w:rsidSect="005960C6">
          <w:pgSz w:w="15840" w:h="12240" w:orient="landscape"/>
          <w:pgMar w:top="720" w:right="720" w:bottom="720" w:left="720" w:header="720" w:footer="720" w:gutter="0"/>
          <w:cols w:space="720"/>
          <w:docGrid w:linePitch="360"/>
        </w:sectPr>
      </w:pPr>
    </w:p>
    <w:tbl>
      <w:tblPr>
        <w:tblW w:w="10142" w:type="dxa"/>
        <w:jc w:val="center"/>
        <w:tblLayout w:type="fixed"/>
        <w:tblCellMar>
          <w:left w:w="0" w:type="dxa"/>
          <w:right w:w="0" w:type="dxa"/>
        </w:tblCellMar>
        <w:tblLook w:val="0600" w:firstRow="0" w:lastRow="0" w:firstColumn="0" w:lastColumn="0" w:noHBand="1" w:noVBand="1"/>
      </w:tblPr>
      <w:tblGrid>
        <w:gridCol w:w="4682"/>
        <w:gridCol w:w="670"/>
        <w:gridCol w:w="670"/>
        <w:gridCol w:w="1150"/>
        <w:gridCol w:w="670"/>
        <w:gridCol w:w="1054"/>
        <w:gridCol w:w="1246"/>
      </w:tblGrid>
      <w:tr w:rsidR="0010670E" w:rsidRPr="007527BF" w14:paraId="7DBB3308" w14:textId="77777777" w:rsidTr="007527BF">
        <w:trPr>
          <w:trHeight w:val="298"/>
          <w:jc w:val="center"/>
        </w:trPr>
        <w:tc>
          <w:tcPr>
            <w:tcW w:w="10142" w:type="dxa"/>
            <w:gridSpan w:val="7"/>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5C5D2E04" w14:textId="588B240C"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20"/>
                <w:szCs w:val="20"/>
                <w:shd w:val="clear" w:color="auto" w:fill="FFFFFF"/>
              </w:rPr>
              <w:lastRenderedPageBreak/>
              <w:t xml:space="preserve">E-Table 3. Adjusted CUD </w:t>
            </w:r>
            <w:proofErr w:type="spellStart"/>
            <w:r w:rsidRPr="007527BF">
              <w:rPr>
                <w:b/>
                <w:bCs/>
                <w:color w:val="000000" w:themeColor="text1"/>
                <w:sz w:val="20"/>
                <w:szCs w:val="20"/>
                <w:shd w:val="clear" w:color="auto" w:fill="FFFFFF"/>
              </w:rPr>
              <w:t>prevalence</w:t>
            </w:r>
            <w:r w:rsidRPr="007527BF">
              <w:rPr>
                <w:b/>
                <w:bCs/>
                <w:color w:val="000000" w:themeColor="text1"/>
                <w:sz w:val="20"/>
                <w:szCs w:val="20"/>
                <w:shd w:val="clear" w:color="auto" w:fill="FFFFFF"/>
                <w:vertAlign w:val="superscript"/>
              </w:rPr>
              <w:t>a</w:t>
            </w:r>
            <w:proofErr w:type="spellEnd"/>
            <w:r w:rsidRPr="007527BF">
              <w:rPr>
                <w:b/>
                <w:bCs/>
                <w:color w:val="000000" w:themeColor="text1"/>
                <w:sz w:val="20"/>
                <w:szCs w:val="20"/>
                <w:shd w:val="clear" w:color="auto" w:fill="FFFFFF"/>
              </w:rPr>
              <w:t xml:space="preserve"> in VHA patients in 2005 and 2019 by whether states permitted legal operation of dispensaries, and absolute change over time </w:t>
            </w:r>
          </w:p>
        </w:tc>
      </w:tr>
      <w:tr w:rsidR="0010670E" w:rsidRPr="007527BF" w14:paraId="65529B15" w14:textId="77777777" w:rsidTr="007527BF">
        <w:trPr>
          <w:trHeight w:val="246"/>
          <w:jc w:val="center"/>
        </w:trPr>
        <w:tc>
          <w:tcPr>
            <w:tcW w:w="4682" w:type="dxa"/>
            <w:vMerge w:val="restart"/>
            <w:tcBorders>
              <w:top w:val="single" w:sz="8" w:space="0" w:color="000000"/>
              <w:left w:val="single" w:sz="8" w:space="0" w:color="000000"/>
              <w:right w:val="single" w:sz="8" w:space="0" w:color="000000"/>
            </w:tcBorders>
            <w:shd w:val="clear" w:color="auto" w:fill="auto"/>
            <w:tcMar>
              <w:top w:w="13" w:type="dxa"/>
              <w:left w:w="13" w:type="dxa"/>
              <w:bottom w:w="0" w:type="dxa"/>
              <w:right w:w="13" w:type="dxa"/>
            </w:tcMar>
            <w:hideMark/>
          </w:tcPr>
          <w:p w14:paraId="11A1A31C" w14:textId="77777777" w:rsidR="0010670E" w:rsidRPr="007527BF" w:rsidRDefault="0010670E" w:rsidP="000862C6">
            <w:pPr>
              <w:jc w:val="both"/>
              <w:rPr>
                <w:b/>
                <w:bCs/>
                <w:color w:val="000000" w:themeColor="text1"/>
                <w:sz w:val="16"/>
                <w:szCs w:val="16"/>
                <w:shd w:val="clear" w:color="auto" w:fill="FFFFFF"/>
              </w:rPr>
            </w:pPr>
          </w:p>
          <w:p w14:paraId="00FB1D8D" w14:textId="77777777" w:rsidR="0010670E" w:rsidRPr="007527BF" w:rsidRDefault="0010670E" w:rsidP="000862C6">
            <w:pPr>
              <w:jc w:val="both"/>
              <w:rPr>
                <w:b/>
                <w:bCs/>
                <w:color w:val="000000" w:themeColor="text1"/>
                <w:sz w:val="16"/>
                <w:szCs w:val="16"/>
                <w:shd w:val="clear" w:color="auto" w:fill="FFFFFF"/>
              </w:rPr>
            </w:pPr>
            <w:r w:rsidRPr="007527BF">
              <w:rPr>
                <w:b/>
                <w:bCs/>
                <w:color w:val="000000" w:themeColor="text1"/>
                <w:sz w:val="16"/>
                <w:szCs w:val="16"/>
                <w:shd w:val="clear" w:color="auto" w:fill="FFFFFF"/>
              </w:rPr>
              <w:t xml:space="preserve">Type of State </w:t>
            </w:r>
          </w:p>
          <w:p w14:paraId="3CA95C6D" w14:textId="77777777" w:rsidR="0010670E" w:rsidRPr="007527BF" w:rsidRDefault="0010670E" w:rsidP="000862C6">
            <w:pPr>
              <w:jc w:val="both"/>
              <w:rPr>
                <w:b/>
                <w:bCs/>
                <w:color w:val="000000" w:themeColor="text1"/>
                <w:sz w:val="16"/>
                <w:szCs w:val="16"/>
                <w:shd w:val="clear" w:color="auto" w:fill="FFFFFF"/>
              </w:rPr>
            </w:pPr>
          </w:p>
        </w:tc>
        <w:tc>
          <w:tcPr>
            <w:tcW w:w="1340"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13" w:type="dxa"/>
              <w:bottom w:w="0" w:type="dxa"/>
              <w:right w:w="13" w:type="dxa"/>
            </w:tcMar>
            <w:hideMark/>
          </w:tcPr>
          <w:p w14:paraId="484B8FE6" w14:textId="77777777"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16"/>
                <w:szCs w:val="16"/>
                <w:shd w:val="clear" w:color="auto" w:fill="FFFFFF"/>
              </w:rPr>
              <w:t xml:space="preserve">CUD prevalence </w:t>
            </w:r>
          </w:p>
        </w:tc>
        <w:tc>
          <w:tcPr>
            <w:tcW w:w="1149" w:type="dxa"/>
            <w:tcBorders>
              <w:top w:val="single" w:sz="8" w:space="0" w:color="000000"/>
              <w:left w:val="single" w:sz="8" w:space="0" w:color="000000"/>
              <w:bottom w:val="single" w:sz="4" w:space="0" w:color="auto"/>
              <w:right w:val="single" w:sz="8" w:space="0" w:color="000000"/>
            </w:tcBorders>
            <w:shd w:val="clear" w:color="auto" w:fill="auto"/>
          </w:tcPr>
          <w:p w14:paraId="15DC48BE" w14:textId="77777777"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16"/>
                <w:szCs w:val="16"/>
                <w:shd w:val="clear" w:color="auto" w:fill="FFFFFF"/>
              </w:rPr>
              <w:t>Absolute Change</w:t>
            </w:r>
          </w:p>
          <w:p w14:paraId="3EDF60DD" w14:textId="77777777"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16"/>
                <w:szCs w:val="16"/>
                <w:shd w:val="clear" w:color="auto" w:fill="FFFFFF"/>
              </w:rPr>
              <w:t xml:space="preserve"> </w:t>
            </w:r>
          </w:p>
        </w:tc>
        <w:tc>
          <w:tcPr>
            <w:tcW w:w="1724"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13" w:type="dxa"/>
              <w:bottom w:w="0" w:type="dxa"/>
              <w:right w:w="13" w:type="dxa"/>
            </w:tcMar>
            <w:hideMark/>
          </w:tcPr>
          <w:p w14:paraId="1A93CED6" w14:textId="77777777"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16"/>
                <w:szCs w:val="16"/>
                <w:shd w:val="clear" w:color="auto" w:fill="FFFFFF"/>
              </w:rPr>
              <w:t xml:space="preserve">CUD prevalence </w:t>
            </w:r>
          </w:p>
        </w:tc>
        <w:tc>
          <w:tcPr>
            <w:tcW w:w="1245" w:type="dxa"/>
            <w:tcBorders>
              <w:top w:val="single" w:sz="8" w:space="0" w:color="000000"/>
              <w:left w:val="single" w:sz="8" w:space="0" w:color="000000"/>
              <w:bottom w:val="single" w:sz="4" w:space="0" w:color="auto"/>
              <w:right w:val="single" w:sz="8" w:space="0" w:color="000000"/>
            </w:tcBorders>
            <w:shd w:val="clear" w:color="auto" w:fill="auto"/>
          </w:tcPr>
          <w:p w14:paraId="3372A556" w14:textId="77777777"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16"/>
                <w:szCs w:val="16"/>
                <w:shd w:val="clear" w:color="auto" w:fill="FFFFFF"/>
              </w:rPr>
              <w:t>Absolute Change</w:t>
            </w:r>
          </w:p>
          <w:p w14:paraId="503D938E" w14:textId="77777777" w:rsidR="0010670E" w:rsidRPr="007527BF" w:rsidRDefault="0010670E" w:rsidP="000862C6">
            <w:pPr>
              <w:jc w:val="center"/>
              <w:rPr>
                <w:b/>
                <w:bCs/>
                <w:color w:val="000000" w:themeColor="text1"/>
                <w:sz w:val="16"/>
                <w:szCs w:val="16"/>
                <w:shd w:val="clear" w:color="auto" w:fill="FFFFFF"/>
              </w:rPr>
            </w:pPr>
          </w:p>
        </w:tc>
      </w:tr>
      <w:tr w:rsidR="0010670E" w:rsidRPr="007527BF" w14:paraId="23EFE402" w14:textId="77777777" w:rsidTr="007527BF">
        <w:trPr>
          <w:trHeight w:val="24"/>
          <w:jc w:val="center"/>
        </w:trPr>
        <w:tc>
          <w:tcPr>
            <w:tcW w:w="4682" w:type="dxa"/>
            <w:vMerge/>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2D144F12" w14:textId="77777777" w:rsidR="0010670E" w:rsidRPr="007527BF" w:rsidRDefault="0010670E" w:rsidP="000862C6">
            <w:pPr>
              <w:jc w:val="both"/>
              <w:rPr>
                <w:b/>
                <w:bCs/>
                <w:color w:val="000000" w:themeColor="text1"/>
                <w:sz w:val="16"/>
                <w:szCs w:val="16"/>
                <w:shd w:val="clear" w:color="auto" w:fill="FFFFFF"/>
              </w:rPr>
            </w:pPr>
          </w:p>
        </w:tc>
        <w:tc>
          <w:tcPr>
            <w:tcW w:w="670" w:type="dxa"/>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7F2A223A" w14:textId="77777777"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16"/>
                <w:szCs w:val="16"/>
                <w:shd w:val="clear" w:color="auto" w:fill="FFFFFF"/>
              </w:rPr>
              <w:t>2005</w:t>
            </w:r>
          </w:p>
        </w:tc>
        <w:tc>
          <w:tcPr>
            <w:tcW w:w="670" w:type="dxa"/>
            <w:tcBorders>
              <w:left w:val="single" w:sz="8" w:space="0" w:color="000000"/>
              <w:bottom w:val="single" w:sz="8" w:space="0" w:color="000000"/>
              <w:right w:val="single" w:sz="8" w:space="0" w:color="000000"/>
            </w:tcBorders>
            <w:shd w:val="clear" w:color="auto" w:fill="auto"/>
          </w:tcPr>
          <w:p w14:paraId="0E701039" w14:textId="77777777"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16"/>
                <w:szCs w:val="16"/>
                <w:shd w:val="clear" w:color="auto" w:fill="FFFFFF"/>
              </w:rPr>
              <w:t>2019</w:t>
            </w:r>
          </w:p>
        </w:tc>
        <w:tc>
          <w:tcPr>
            <w:tcW w:w="1149" w:type="dxa"/>
            <w:tcBorders>
              <w:left w:val="single" w:sz="8" w:space="0" w:color="000000"/>
              <w:bottom w:val="single" w:sz="8" w:space="0" w:color="000000"/>
              <w:right w:val="single" w:sz="8" w:space="0" w:color="000000"/>
            </w:tcBorders>
            <w:shd w:val="clear" w:color="auto" w:fill="auto"/>
          </w:tcPr>
          <w:p w14:paraId="7C2B05A3" w14:textId="77777777"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16"/>
                <w:szCs w:val="16"/>
                <w:shd w:val="clear" w:color="auto" w:fill="FFFFFF"/>
              </w:rPr>
              <w:t>%</w:t>
            </w:r>
          </w:p>
        </w:tc>
        <w:tc>
          <w:tcPr>
            <w:tcW w:w="670" w:type="dxa"/>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1984417E" w14:textId="77777777"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16"/>
                <w:szCs w:val="16"/>
                <w:shd w:val="clear" w:color="auto" w:fill="FFFFFF"/>
              </w:rPr>
              <w:t>2005</w:t>
            </w:r>
          </w:p>
        </w:tc>
        <w:tc>
          <w:tcPr>
            <w:tcW w:w="1053" w:type="dxa"/>
            <w:tcBorders>
              <w:left w:val="single" w:sz="8" w:space="0" w:color="000000"/>
              <w:bottom w:val="single" w:sz="8" w:space="0" w:color="000000"/>
              <w:right w:val="single" w:sz="8" w:space="0" w:color="000000"/>
            </w:tcBorders>
            <w:shd w:val="clear" w:color="auto" w:fill="auto"/>
          </w:tcPr>
          <w:p w14:paraId="01D13B3F" w14:textId="77777777"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16"/>
                <w:szCs w:val="16"/>
                <w:shd w:val="clear" w:color="auto" w:fill="FFFFFF"/>
              </w:rPr>
              <w:t>2019</w:t>
            </w:r>
          </w:p>
        </w:tc>
        <w:tc>
          <w:tcPr>
            <w:tcW w:w="1245" w:type="dxa"/>
            <w:tcBorders>
              <w:left w:val="single" w:sz="8" w:space="0" w:color="000000"/>
              <w:bottom w:val="single" w:sz="8" w:space="0" w:color="000000"/>
              <w:right w:val="single" w:sz="8" w:space="0" w:color="000000"/>
            </w:tcBorders>
            <w:shd w:val="clear" w:color="auto" w:fill="auto"/>
          </w:tcPr>
          <w:p w14:paraId="52DA8367" w14:textId="77777777" w:rsidR="0010670E" w:rsidRPr="007527BF" w:rsidRDefault="0010670E" w:rsidP="000862C6">
            <w:pPr>
              <w:jc w:val="center"/>
              <w:rPr>
                <w:b/>
                <w:bCs/>
                <w:color w:val="000000" w:themeColor="text1"/>
                <w:sz w:val="16"/>
                <w:szCs w:val="16"/>
                <w:shd w:val="clear" w:color="auto" w:fill="FFFFFF"/>
              </w:rPr>
            </w:pPr>
            <w:r w:rsidRPr="007527BF">
              <w:rPr>
                <w:b/>
                <w:bCs/>
                <w:color w:val="000000" w:themeColor="text1"/>
                <w:sz w:val="16"/>
                <w:szCs w:val="16"/>
                <w:shd w:val="clear" w:color="auto" w:fill="FFFFFF"/>
              </w:rPr>
              <w:t>%</w:t>
            </w:r>
          </w:p>
        </w:tc>
      </w:tr>
      <w:tr w:rsidR="0010670E" w:rsidRPr="007527BF" w14:paraId="13933148" w14:textId="77777777" w:rsidTr="007527BF">
        <w:trPr>
          <w:trHeight w:val="266"/>
          <w:jc w:val="center"/>
        </w:trPr>
        <w:tc>
          <w:tcPr>
            <w:tcW w:w="46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450AE62F" w14:textId="77777777" w:rsidR="0010670E" w:rsidRPr="007527BF" w:rsidRDefault="0010670E" w:rsidP="000862C6">
            <w:pPr>
              <w:jc w:val="both"/>
              <w:rPr>
                <w:b/>
                <w:bCs/>
                <w:color w:val="000000" w:themeColor="text1"/>
                <w:sz w:val="16"/>
                <w:szCs w:val="16"/>
                <w:shd w:val="clear" w:color="auto" w:fill="FFFFFF"/>
              </w:rPr>
            </w:pP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4E2D8186" w14:textId="14BED0EE" w:rsidR="0010670E" w:rsidRPr="007527BF" w:rsidRDefault="00C942E3" w:rsidP="000862C6">
            <w:pPr>
              <w:jc w:val="center"/>
              <w:rPr>
                <w:b/>
                <w:bCs/>
                <w:color w:val="000000" w:themeColor="text1"/>
                <w:sz w:val="16"/>
                <w:szCs w:val="16"/>
                <w:shd w:val="clear" w:color="auto" w:fill="FFFFFF"/>
              </w:rPr>
            </w:pPr>
            <w:r w:rsidRPr="007527BF">
              <w:rPr>
                <w:b/>
                <w:bCs/>
                <w:color w:val="000000"/>
                <w:sz w:val="16"/>
                <w:szCs w:val="16"/>
                <w:shd w:val="clear" w:color="auto" w:fill="FFFFFF"/>
              </w:rPr>
              <w:t xml:space="preserve">Patients with chronic </w:t>
            </w:r>
            <w:r w:rsidR="0010670E" w:rsidRPr="007527BF">
              <w:rPr>
                <w:b/>
                <w:bCs/>
                <w:color w:val="000000" w:themeColor="text1"/>
                <w:sz w:val="16"/>
                <w:szCs w:val="16"/>
                <w:shd w:val="clear" w:color="auto" w:fill="FFFFFF"/>
              </w:rPr>
              <w:t>Pain</w:t>
            </w:r>
          </w:p>
        </w:tc>
        <w:tc>
          <w:tcPr>
            <w:tcW w:w="2969"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42CED376" w14:textId="04733C6D" w:rsidR="0010670E" w:rsidRPr="007527BF" w:rsidRDefault="00C942E3" w:rsidP="000862C6">
            <w:pPr>
              <w:jc w:val="center"/>
              <w:rPr>
                <w:b/>
                <w:bCs/>
                <w:color w:val="000000" w:themeColor="text1"/>
                <w:sz w:val="16"/>
                <w:szCs w:val="16"/>
                <w:shd w:val="clear" w:color="auto" w:fill="FFFFFF"/>
              </w:rPr>
            </w:pPr>
            <w:r w:rsidRPr="007527BF">
              <w:rPr>
                <w:b/>
                <w:bCs/>
                <w:color w:val="000000"/>
                <w:sz w:val="16"/>
                <w:szCs w:val="16"/>
                <w:shd w:val="clear" w:color="auto" w:fill="FFFFFF"/>
              </w:rPr>
              <w:t>Patients without chronic</w:t>
            </w:r>
            <w:r w:rsidR="0010670E" w:rsidRPr="007527BF">
              <w:rPr>
                <w:b/>
                <w:bCs/>
                <w:color w:val="000000" w:themeColor="text1"/>
                <w:sz w:val="16"/>
                <w:szCs w:val="16"/>
                <w:shd w:val="clear" w:color="auto" w:fill="FFFFFF"/>
              </w:rPr>
              <w:t xml:space="preserve"> pain</w:t>
            </w:r>
          </w:p>
        </w:tc>
      </w:tr>
      <w:tr w:rsidR="0010670E" w:rsidRPr="007527BF" w14:paraId="6E685702" w14:textId="77777777" w:rsidTr="007527BF">
        <w:trPr>
          <w:trHeight w:val="24"/>
          <w:jc w:val="center"/>
        </w:trPr>
        <w:tc>
          <w:tcPr>
            <w:tcW w:w="46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10D661B7" w14:textId="77777777" w:rsidR="0010670E" w:rsidRPr="007527BF" w:rsidRDefault="0010670E" w:rsidP="000862C6">
            <w:pPr>
              <w:rPr>
                <w:b/>
                <w:bCs/>
                <w:color w:val="000000" w:themeColor="text1"/>
                <w:sz w:val="16"/>
                <w:szCs w:val="16"/>
                <w:shd w:val="clear" w:color="auto" w:fill="FFFFFF"/>
              </w:rPr>
            </w:pPr>
            <w:r w:rsidRPr="007527BF">
              <w:rPr>
                <w:b/>
                <w:bCs/>
                <w:color w:val="000000" w:themeColor="text1"/>
                <w:sz w:val="16"/>
                <w:szCs w:val="16"/>
                <w:shd w:val="clear" w:color="auto" w:fill="FFFFFF"/>
              </w:rPr>
              <w:t>No dispensaries by 2019 (17 no-CL, 4 MCL-only states)</w:t>
            </w:r>
          </w:p>
        </w:tc>
        <w:tc>
          <w:tcPr>
            <w:tcW w:w="670" w:type="dxa"/>
            <w:tcBorders>
              <w:top w:val="single" w:sz="8" w:space="0" w:color="000000"/>
              <w:left w:val="single" w:sz="8" w:space="0" w:color="000000"/>
              <w:bottom w:val="single" w:sz="8" w:space="0" w:color="000000"/>
              <w:right w:val="single" w:sz="8" w:space="0" w:color="000000"/>
            </w:tcBorders>
            <w:shd w:val="clear" w:color="auto" w:fill="auto"/>
          </w:tcPr>
          <w:p w14:paraId="0B6F52B2" w14:textId="35101AEC" w:rsidR="0010670E" w:rsidRPr="007527BF" w:rsidRDefault="0010670E" w:rsidP="000862C6">
            <w:pPr>
              <w:jc w:val="center"/>
              <w:rPr>
                <w:color w:val="000000" w:themeColor="text1"/>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70</w:t>
            </w:r>
          </w:p>
        </w:tc>
        <w:tc>
          <w:tcPr>
            <w:tcW w:w="670" w:type="dxa"/>
            <w:tcBorders>
              <w:top w:val="single" w:sz="8" w:space="0" w:color="000000"/>
              <w:left w:val="single" w:sz="8" w:space="0" w:color="000000"/>
              <w:bottom w:val="single" w:sz="8" w:space="0" w:color="000000"/>
              <w:right w:val="single" w:sz="8" w:space="0" w:color="000000"/>
            </w:tcBorders>
            <w:shd w:val="clear" w:color="auto" w:fill="auto"/>
          </w:tcPr>
          <w:p w14:paraId="48C42665" w14:textId="13CD1EED" w:rsidR="0010670E" w:rsidRPr="007527BF" w:rsidRDefault="0010670E" w:rsidP="000862C6">
            <w:pPr>
              <w:jc w:val="center"/>
              <w:rPr>
                <w:color w:val="000000" w:themeColor="text1"/>
                <w:sz w:val="16"/>
                <w:szCs w:val="16"/>
                <w:shd w:val="clear" w:color="auto" w:fill="FFFFFF"/>
              </w:rPr>
            </w:pPr>
            <w:r w:rsidRPr="007527BF">
              <w:rPr>
                <w:color w:val="000000"/>
                <w:sz w:val="16"/>
                <w:szCs w:val="16"/>
              </w:rPr>
              <w:t>2</w:t>
            </w:r>
            <w:r w:rsidR="007957F4" w:rsidRPr="007527BF">
              <w:rPr>
                <w:color w:val="000000"/>
                <w:sz w:val="16"/>
                <w:szCs w:val="16"/>
              </w:rPr>
              <w:t>·</w:t>
            </w:r>
            <w:r w:rsidRPr="007527BF">
              <w:rPr>
                <w:color w:val="000000"/>
                <w:sz w:val="16"/>
                <w:szCs w:val="16"/>
              </w:rPr>
              <w:t>92</w:t>
            </w:r>
          </w:p>
        </w:tc>
        <w:tc>
          <w:tcPr>
            <w:tcW w:w="1149" w:type="dxa"/>
            <w:tcBorders>
              <w:top w:val="single" w:sz="8" w:space="0" w:color="000000"/>
              <w:left w:val="single" w:sz="8" w:space="0" w:color="000000"/>
              <w:bottom w:val="single" w:sz="8" w:space="0" w:color="000000"/>
              <w:right w:val="single" w:sz="8" w:space="0" w:color="000000"/>
            </w:tcBorders>
            <w:shd w:val="clear" w:color="auto" w:fill="auto"/>
          </w:tcPr>
          <w:p w14:paraId="2801BF38" w14:textId="0295CFF9" w:rsidR="0010670E" w:rsidRPr="007527BF" w:rsidRDefault="0010670E" w:rsidP="000862C6">
            <w:pPr>
              <w:jc w:val="center"/>
              <w:rPr>
                <w:color w:val="000000" w:themeColor="text1"/>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22</w:t>
            </w:r>
          </w:p>
        </w:tc>
        <w:tc>
          <w:tcPr>
            <w:tcW w:w="670" w:type="dxa"/>
            <w:tcBorders>
              <w:top w:val="single" w:sz="8" w:space="0" w:color="000000"/>
              <w:left w:val="single" w:sz="8" w:space="0" w:color="000000"/>
              <w:bottom w:val="single" w:sz="8" w:space="0" w:color="000000"/>
              <w:right w:val="single" w:sz="8" w:space="0" w:color="000000"/>
            </w:tcBorders>
            <w:shd w:val="clear" w:color="auto" w:fill="auto"/>
          </w:tcPr>
          <w:p w14:paraId="6611889B" w14:textId="7AF583DC" w:rsidR="0010670E" w:rsidRPr="007527BF" w:rsidRDefault="0010670E" w:rsidP="000862C6">
            <w:pPr>
              <w:jc w:val="center"/>
              <w:rPr>
                <w:color w:val="000000" w:themeColor="text1"/>
                <w:sz w:val="16"/>
                <w:szCs w:val="16"/>
                <w:shd w:val="clear" w:color="auto" w:fill="FFFFFF"/>
              </w:rPr>
            </w:pPr>
            <w:r w:rsidRPr="007527BF">
              <w:rPr>
                <w:color w:val="000000"/>
                <w:sz w:val="16"/>
                <w:szCs w:val="16"/>
              </w:rPr>
              <w:t>0</w:t>
            </w:r>
            <w:r w:rsidR="007957F4" w:rsidRPr="007527BF">
              <w:rPr>
                <w:color w:val="000000"/>
                <w:sz w:val="16"/>
                <w:szCs w:val="16"/>
              </w:rPr>
              <w:t>·</w:t>
            </w:r>
            <w:r w:rsidRPr="007527BF">
              <w:rPr>
                <w:color w:val="000000"/>
                <w:sz w:val="16"/>
                <w:szCs w:val="16"/>
              </w:rPr>
              <w:t>99</w:t>
            </w:r>
          </w:p>
        </w:tc>
        <w:tc>
          <w:tcPr>
            <w:tcW w:w="1053" w:type="dxa"/>
            <w:tcBorders>
              <w:top w:val="single" w:sz="8" w:space="0" w:color="000000"/>
              <w:left w:val="single" w:sz="8" w:space="0" w:color="000000"/>
              <w:bottom w:val="single" w:sz="8" w:space="0" w:color="000000"/>
              <w:right w:val="single" w:sz="8" w:space="0" w:color="000000"/>
            </w:tcBorders>
            <w:shd w:val="clear" w:color="auto" w:fill="auto"/>
          </w:tcPr>
          <w:p w14:paraId="49B2842A" w14:textId="53805971" w:rsidR="0010670E" w:rsidRPr="007527BF" w:rsidRDefault="0010670E" w:rsidP="000862C6">
            <w:pPr>
              <w:jc w:val="center"/>
              <w:rPr>
                <w:color w:val="000000" w:themeColor="text1"/>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54</w:t>
            </w: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608521A3" w14:textId="1B7E8ABB" w:rsidR="0010670E" w:rsidRPr="007527BF" w:rsidRDefault="0010670E" w:rsidP="000862C6">
            <w:pPr>
              <w:jc w:val="center"/>
              <w:rPr>
                <w:color w:val="000000" w:themeColor="text1"/>
                <w:sz w:val="16"/>
                <w:szCs w:val="16"/>
                <w:shd w:val="clear" w:color="auto" w:fill="FFFFFF"/>
              </w:rPr>
            </w:pPr>
            <w:r w:rsidRPr="007527BF">
              <w:rPr>
                <w:color w:val="000000"/>
                <w:sz w:val="16"/>
                <w:szCs w:val="16"/>
              </w:rPr>
              <w:t>0</w:t>
            </w:r>
            <w:r w:rsidR="007957F4" w:rsidRPr="007527BF">
              <w:rPr>
                <w:color w:val="000000"/>
                <w:sz w:val="16"/>
                <w:szCs w:val="16"/>
              </w:rPr>
              <w:t>·</w:t>
            </w:r>
            <w:r w:rsidRPr="007527BF">
              <w:rPr>
                <w:color w:val="000000"/>
                <w:sz w:val="16"/>
                <w:szCs w:val="16"/>
              </w:rPr>
              <w:t>56</w:t>
            </w:r>
          </w:p>
        </w:tc>
      </w:tr>
      <w:tr w:rsidR="0010670E" w:rsidRPr="007527BF" w14:paraId="44178C70" w14:textId="77777777" w:rsidTr="007527BF">
        <w:trPr>
          <w:trHeight w:val="22"/>
          <w:jc w:val="center"/>
        </w:trPr>
        <w:tc>
          <w:tcPr>
            <w:tcW w:w="46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33DEDE0A" w14:textId="77777777" w:rsidR="0010670E" w:rsidRPr="007527BF" w:rsidRDefault="0010670E" w:rsidP="000862C6">
            <w:pPr>
              <w:rPr>
                <w:b/>
                <w:bCs/>
                <w:color w:val="000000" w:themeColor="text1"/>
                <w:sz w:val="16"/>
                <w:szCs w:val="16"/>
                <w:shd w:val="clear" w:color="auto" w:fill="FFFFFF"/>
              </w:rPr>
            </w:pPr>
            <w:r w:rsidRPr="007527BF">
              <w:rPr>
                <w:b/>
                <w:bCs/>
                <w:color w:val="000000" w:themeColor="text1"/>
                <w:sz w:val="16"/>
                <w:szCs w:val="16"/>
                <w:shd w:val="clear" w:color="auto" w:fill="FFFFFF"/>
              </w:rPr>
              <w:t>Medical but not recreational dispensary by 2019 (18 MCL-only states, 3 MCL/RCL states and DC)</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7F8F848" w14:textId="00EFAAE7" w:rsidR="0010670E" w:rsidRPr="007527BF" w:rsidRDefault="0010670E" w:rsidP="000862C6">
            <w:pPr>
              <w:jc w:val="center"/>
              <w:rPr>
                <w:color w:val="000000" w:themeColor="text1"/>
                <w:sz w:val="16"/>
                <w:szCs w:val="16"/>
                <w:shd w:val="clear" w:color="auto" w:fill="FFFFFF"/>
                <w:vertAlign w:val="superscript"/>
              </w:rPr>
            </w:pPr>
            <w:r w:rsidRPr="007527BF">
              <w:rPr>
                <w:color w:val="000000"/>
                <w:sz w:val="16"/>
                <w:szCs w:val="16"/>
              </w:rPr>
              <w:t>1</w:t>
            </w:r>
            <w:r w:rsidR="007957F4" w:rsidRPr="007527BF">
              <w:rPr>
                <w:color w:val="000000"/>
                <w:sz w:val="16"/>
                <w:szCs w:val="16"/>
              </w:rPr>
              <w:t>·</w:t>
            </w:r>
            <w:r w:rsidRPr="007527BF">
              <w:rPr>
                <w:color w:val="000000"/>
                <w:sz w:val="16"/>
                <w:szCs w:val="16"/>
              </w:rPr>
              <w:t>71</w:t>
            </w:r>
          </w:p>
        </w:tc>
        <w:tc>
          <w:tcPr>
            <w:tcW w:w="670" w:type="dxa"/>
            <w:tcBorders>
              <w:top w:val="single" w:sz="8" w:space="0" w:color="000000"/>
              <w:left w:val="single" w:sz="8" w:space="0" w:color="000000"/>
              <w:bottom w:val="single" w:sz="8" w:space="0" w:color="000000"/>
              <w:right w:val="single" w:sz="8" w:space="0" w:color="000000"/>
            </w:tcBorders>
            <w:shd w:val="clear" w:color="auto" w:fill="auto"/>
          </w:tcPr>
          <w:p w14:paraId="7559A30B" w14:textId="01437AED" w:rsidR="0010670E" w:rsidRPr="007527BF" w:rsidRDefault="0010670E" w:rsidP="000862C6">
            <w:pPr>
              <w:jc w:val="center"/>
              <w:rPr>
                <w:color w:val="000000" w:themeColor="text1"/>
                <w:sz w:val="16"/>
                <w:szCs w:val="16"/>
                <w:shd w:val="clear" w:color="auto" w:fill="FFFFFF"/>
              </w:rPr>
            </w:pPr>
            <w:r w:rsidRPr="007527BF">
              <w:rPr>
                <w:color w:val="000000"/>
                <w:sz w:val="16"/>
                <w:szCs w:val="16"/>
              </w:rPr>
              <w:t>3</w:t>
            </w:r>
            <w:r w:rsidR="007957F4" w:rsidRPr="007527BF">
              <w:rPr>
                <w:color w:val="000000"/>
                <w:sz w:val="16"/>
                <w:szCs w:val="16"/>
              </w:rPr>
              <w:t>·</w:t>
            </w:r>
            <w:r w:rsidRPr="007527BF">
              <w:rPr>
                <w:color w:val="000000"/>
                <w:sz w:val="16"/>
                <w:szCs w:val="16"/>
              </w:rPr>
              <w:t>38</w:t>
            </w:r>
          </w:p>
        </w:tc>
        <w:tc>
          <w:tcPr>
            <w:tcW w:w="1149" w:type="dxa"/>
            <w:tcBorders>
              <w:top w:val="single" w:sz="8" w:space="0" w:color="000000"/>
              <w:left w:val="single" w:sz="8" w:space="0" w:color="000000"/>
              <w:bottom w:val="single" w:sz="8" w:space="0" w:color="000000"/>
              <w:right w:val="single" w:sz="8" w:space="0" w:color="000000"/>
            </w:tcBorders>
            <w:shd w:val="clear" w:color="auto" w:fill="auto"/>
          </w:tcPr>
          <w:p w14:paraId="0AD0C261" w14:textId="75FC2141" w:rsidR="0010670E" w:rsidRPr="007527BF" w:rsidRDefault="0010670E" w:rsidP="000862C6">
            <w:pPr>
              <w:jc w:val="center"/>
              <w:rPr>
                <w:color w:val="000000" w:themeColor="text1"/>
                <w:sz w:val="16"/>
                <w:szCs w:val="16"/>
                <w:shd w:val="clear" w:color="auto" w:fill="FFFFFF"/>
                <w:vertAlign w:val="superscript"/>
              </w:rPr>
            </w:pPr>
            <w:r w:rsidRPr="007527BF">
              <w:rPr>
                <w:color w:val="000000"/>
                <w:sz w:val="16"/>
                <w:szCs w:val="16"/>
              </w:rPr>
              <w:t>1</w:t>
            </w:r>
            <w:r w:rsidR="007957F4" w:rsidRPr="007527BF">
              <w:rPr>
                <w:color w:val="000000"/>
                <w:sz w:val="16"/>
                <w:szCs w:val="16"/>
              </w:rPr>
              <w:t>·</w:t>
            </w:r>
            <w:r w:rsidRPr="007527BF">
              <w:rPr>
                <w:color w:val="000000"/>
                <w:sz w:val="16"/>
                <w:szCs w:val="16"/>
              </w:rPr>
              <w:t>67</w:t>
            </w:r>
            <w:r w:rsidRPr="007527BF">
              <w:rPr>
                <w:color w:val="000000"/>
                <w:sz w:val="16"/>
                <w:szCs w:val="16"/>
                <w:vertAlign w:val="superscript"/>
              </w:rPr>
              <w:t xml:space="preserve"> b</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5BDAD94" w14:textId="356D0CA1" w:rsidR="0010670E" w:rsidRPr="007527BF" w:rsidRDefault="0010670E" w:rsidP="000862C6">
            <w:pPr>
              <w:jc w:val="center"/>
              <w:rPr>
                <w:color w:val="000000" w:themeColor="text1"/>
                <w:sz w:val="16"/>
                <w:szCs w:val="16"/>
                <w:shd w:val="clear" w:color="auto" w:fill="FFFFFF"/>
              </w:rPr>
            </w:pPr>
            <w:r w:rsidRPr="007527BF">
              <w:rPr>
                <w:color w:val="000000"/>
                <w:sz w:val="16"/>
                <w:szCs w:val="16"/>
              </w:rPr>
              <w:t>0</w:t>
            </w:r>
            <w:r w:rsidR="007957F4" w:rsidRPr="007527BF">
              <w:rPr>
                <w:color w:val="000000"/>
                <w:sz w:val="16"/>
                <w:szCs w:val="16"/>
              </w:rPr>
              <w:t>·</w:t>
            </w:r>
            <w:r w:rsidRPr="007527BF">
              <w:rPr>
                <w:color w:val="000000"/>
                <w:sz w:val="16"/>
                <w:szCs w:val="16"/>
              </w:rPr>
              <w:t>99</w:t>
            </w:r>
          </w:p>
        </w:tc>
        <w:tc>
          <w:tcPr>
            <w:tcW w:w="1053" w:type="dxa"/>
            <w:tcBorders>
              <w:top w:val="single" w:sz="8" w:space="0" w:color="000000"/>
              <w:left w:val="single" w:sz="8" w:space="0" w:color="000000"/>
              <w:bottom w:val="single" w:sz="8" w:space="0" w:color="000000"/>
              <w:right w:val="single" w:sz="8" w:space="0" w:color="000000"/>
            </w:tcBorders>
            <w:shd w:val="clear" w:color="auto" w:fill="auto"/>
          </w:tcPr>
          <w:p w14:paraId="58B8ABEE" w14:textId="5A0DE97E" w:rsidR="0010670E" w:rsidRPr="007527BF" w:rsidRDefault="0010670E" w:rsidP="000862C6">
            <w:pPr>
              <w:jc w:val="center"/>
              <w:rPr>
                <w:color w:val="000000" w:themeColor="text1"/>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66</w:t>
            </w: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3FA8A6E6" w14:textId="7E2D03E2" w:rsidR="0010670E" w:rsidRPr="007527BF" w:rsidRDefault="0010670E" w:rsidP="000862C6">
            <w:pPr>
              <w:jc w:val="center"/>
              <w:rPr>
                <w:color w:val="000000" w:themeColor="text1"/>
                <w:sz w:val="16"/>
                <w:szCs w:val="16"/>
                <w:shd w:val="clear" w:color="auto" w:fill="FFFFFF"/>
                <w:vertAlign w:val="superscript"/>
              </w:rPr>
            </w:pPr>
            <w:r w:rsidRPr="007527BF">
              <w:rPr>
                <w:color w:val="000000"/>
                <w:sz w:val="16"/>
                <w:szCs w:val="16"/>
              </w:rPr>
              <w:t>0</w:t>
            </w:r>
            <w:r w:rsidR="007957F4" w:rsidRPr="007527BF">
              <w:rPr>
                <w:color w:val="000000"/>
                <w:sz w:val="16"/>
                <w:szCs w:val="16"/>
              </w:rPr>
              <w:t>·</w:t>
            </w:r>
            <w:r w:rsidRPr="007527BF">
              <w:rPr>
                <w:color w:val="000000"/>
                <w:sz w:val="16"/>
                <w:szCs w:val="16"/>
              </w:rPr>
              <w:t>66</w:t>
            </w:r>
            <w:r w:rsidRPr="007527BF">
              <w:rPr>
                <w:color w:val="000000"/>
                <w:sz w:val="16"/>
                <w:szCs w:val="16"/>
                <w:vertAlign w:val="superscript"/>
              </w:rPr>
              <w:t>b</w:t>
            </w:r>
          </w:p>
        </w:tc>
      </w:tr>
      <w:tr w:rsidR="0010670E" w:rsidRPr="007527BF" w14:paraId="4749C080" w14:textId="77777777" w:rsidTr="007527BF">
        <w:trPr>
          <w:trHeight w:val="232"/>
          <w:jc w:val="center"/>
        </w:trPr>
        <w:tc>
          <w:tcPr>
            <w:tcW w:w="46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56737815" w14:textId="77777777" w:rsidR="0010670E" w:rsidRPr="007527BF" w:rsidRDefault="0010670E" w:rsidP="000862C6">
            <w:pPr>
              <w:rPr>
                <w:b/>
                <w:bCs/>
                <w:color w:val="000000" w:themeColor="text1"/>
                <w:sz w:val="16"/>
                <w:szCs w:val="16"/>
                <w:shd w:val="clear" w:color="auto" w:fill="FFFFFF"/>
                <w:vertAlign w:val="superscript"/>
              </w:rPr>
            </w:pPr>
            <w:r w:rsidRPr="007527BF">
              <w:rPr>
                <w:b/>
                <w:bCs/>
                <w:color w:val="000000" w:themeColor="text1"/>
                <w:sz w:val="16"/>
                <w:szCs w:val="16"/>
                <w:shd w:val="clear" w:color="auto" w:fill="FFFFFF"/>
              </w:rPr>
              <w:t>Recreational dispensary by 2019 (8 MCL/RCL states)</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6D29DD7" w14:textId="77DE3775" w:rsidR="0010670E" w:rsidRPr="007527BF" w:rsidRDefault="0010670E" w:rsidP="000862C6">
            <w:pPr>
              <w:jc w:val="center"/>
              <w:rPr>
                <w:color w:val="000000" w:themeColor="text1"/>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76</w:t>
            </w:r>
          </w:p>
        </w:tc>
        <w:tc>
          <w:tcPr>
            <w:tcW w:w="670" w:type="dxa"/>
            <w:tcBorders>
              <w:top w:val="single" w:sz="8" w:space="0" w:color="000000"/>
              <w:left w:val="single" w:sz="8" w:space="0" w:color="000000"/>
              <w:bottom w:val="single" w:sz="8" w:space="0" w:color="000000"/>
              <w:right w:val="single" w:sz="8" w:space="0" w:color="000000"/>
            </w:tcBorders>
            <w:shd w:val="clear" w:color="auto" w:fill="auto"/>
          </w:tcPr>
          <w:p w14:paraId="78FDFD45" w14:textId="33C29A39" w:rsidR="0010670E" w:rsidRPr="007527BF" w:rsidRDefault="0010670E" w:rsidP="000862C6">
            <w:pPr>
              <w:jc w:val="center"/>
              <w:rPr>
                <w:color w:val="000000" w:themeColor="text1"/>
                <w:sz w:val="16"/>
                <w:szCs w:val="16"/>
                <w:shd w:val="clear" w:color="auto" w:fill="FFFFFF"/>
              </w:rPr>
            </w:pPr>
            <w:r w:rsidRPr="007527BF">
              <w:rPr>
                <w:color w:val="000000"/>
                <w:sz w:val="16"/>
                <w:szCs w:val="16"/>
              </w:rPr>
              <w:t>3</w:t>
            </w:r>
            <w:r w:rsidR="007957F4" w:rsidRPr="007527BF">
              <w:rPr>
                <w:color w:val="000000"/>
                <w:sz w:val="16"/>
                <w:szCs w:val="16"/>
              </w:rPr>
              <w:t>·</w:t>
            </w:r>
            <w:r w:rsidRPr="007527BF">
              <w:rPr>
                <w:color w:val="000000"/>
                <w:sz w:val="16"/>
                <w:szCs w:val="16"/>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Pr>
          <w:p w14:paraId="42EA3ACD" w14:textId="50F1D06C" w:rsidR="0010670E" w:rsidRPr="007527BF" w:rsidRDefault="0010670E" w:rsidP="000862C6">
            <w:pPr>
              <w:jc w:val="center"/>
              <w:rPr>
                <w:color w:val="000000" w:themeColor="text1"/>
                <w:sz w:val="16"/>
                <w:szCs w:val="16"/>
                <w:shd w:val="clear" w:color="auto" w:fill="FFFFFF"/>
                <w:vertAlign w:val="superscript"/>
              </w:rPr>
            </w:pPr>
            <w:r w:rsidRPr="007527BF">
              <w:rPr>
                <w:color w:val="000000"/>
                <w:sz w:val="16"/>
                <w:szCs w:val="16"/>
              </w:rPr>
              <w:t>1</w:t>
            </w:r>
            <w:r w:rsidR="007957F4" w:rsidRPr="007527BF">
              <w:rPr>
                <w:color w:val="000000"/>
                <w:sz w:val="16"/>
                <w:szCs w:val="16"/>
              </w:rPr>
              <w:t>·</w:t>
            </w:r>
            <w:r w:rsidRPr="007527BF">
              <w:rPr>
                <w:color w:val="000000"/>
                <w:sz w:val="16"/>
                <w:szCs w:val="16"/>
              </w:rPr>
              <w:t>73</w:t>
            </w:r>
            <w:r w:rsidRPr="007527BF">
              <w:rPr>
                <w:color w:val="000000"/>
                <w:sz w:val="16"/>
                <w:szCs w:val="16"/>
                <w:vertAlign w:val="superscript"/>
              </w:rPr>
              <w:t>c</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EDE9255" w14:textId="0B0780ED" w:rsidR="0010670E" w:rsidRPr="007527BF" w:rsidRDefault="0010670E" w:rsidP="000862C6">
            <w:pPr>
              <w:jc w:val="center"/>
              <w:rPr>
                <w:color w:val="000000" w:themeColor="text1"/>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04</w:t>
            </w:r>
          </w:p>
        </w:tc>
        <w:tc>
          <w:tcPr>
            <w:tcW w:w="1053" w:type="dxa"/>
            <w:tcBorders>
              <w:top w:val="single" w:sz="8" w:space="0" w:color="000000"/>
              <w:left w:val="single" w:sz="8" w:space="0" w:color="000000"/>
              <w:bottom w:val="single" w:sz="8" w:space="0" w:color="000000"/>
              <w:right w:val="single" w:sz="8" w:space="0" w:color="000000"/>
            </w:tcBorders>
            <w:shd w:val="clear" w:color="auto" w:fill="auto"/>
          </w:tcPr>
          <w:p w14:paraId="2BA081C6" w14:textId="593F5107" w:rsidR="0010670E" w:rsidRPr="007527BF" w:rsidRDefault="0010670E" w:rsidP="000862C6">
            <w:pPr>
              <w:jc w:val="center"/>
              <w:rPr>
                <w:color w:val="000000" w:themeColor="text1"/>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77</w:t>
            </w:r>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479F59ED" w14:textId="3F1A906C" w:rsidR="0010670E" w:rsidRPr="007527BF" w:rsidRDefault="0010670E" w:rsidP="000862C6">
            <w:pPr>
              <w:jc w:val="center"/>
              <w:rPr>
                <w:color w:val="000000" w:themeColor="text1"/>
                <w:sz w:val="16"/>
                <w:szCs w:val="16"/>
                <w:shd w:val="clear" w:color="auto" w:fill="FFFFFF"/>
                <w:vertAlign w:val="superscript"/>
              </w:rPr>
            </w:pPr>
            <w:r w:rsidRPr="007527BF">
              <w:rPr>
                <w:color w:val="000000"/>
                <w:sz w:val="16"/>
                <w:szCs w:val="16"/>
              </w:rPr>
              <w:t>0</w:t>
            </w:r>
            <w:r w:rsidR="007957F4" w:rsidRPr="007527BF">
              <w:rPr>
                <w:color w:val="000000"/>
                <w:sz w:val="16"/>
                <w:szCs w:val="16"/>
              </w:rPr>
              <w:t>·</w:t>
            </w:r>
            <w:r w:rsidRPr="007527BF">
              <w:rPr>
                <w:color w:val="000000"/>
                <w:sz w:val="16"/>
                <w:szCs w:val="16"/>
              </w:rPr>
              <w:t>73</w:t>
            </w:r>
            <w:r w:rsidRPr="007527BF">
              <w:rPr>
                <w:color w:val="000000"/>
                <w:sz w:val="16"/>
                <w:szCs w:val="16"/>
                <w:vertAlign w:val="superscript"/>
              </w:rPr>
              <w:t>c</w:t>
            </w:r>
          </w:p>
        </w:tc>
      </w:tr>
      <w:tr w:rsidR="0010670E" w:rsidRPr="007527BF" w14:paraId="003BFA2B" w14:textId="77777777" w:rsidTr="007527BF">
        <w:trPr>
          <w:trHeight w:val="24"/>
          <w:jc w:val="center"/>
        </w:trPr>
        <w:tc>
          <w:tcPr>
            <w:tcW w:w="10142" w:type="dxa"/>
            <w:gridSpan w:val="7"/>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736ABB73" w14:textId="77777777" w:rsidR="0010670E" w:rsidRPr="007527BF" w:rsidRDefault="0010670E" w:rsidP="000862C6">
            <w:pPr>
              <w:pStyle w:val="NoSpacing"/>
              <w:rPr>
                <w:rFonts w:ascii="Times New Roman" w:hAnsi="Times New Roman" w:cs="Times New Roman"/>
                <w:sz w:val="16"/>
                <w:szCs w:val="16"/>
                <w:shd w:val="clear" w:color="auto" w:fill="FFFFFF"/>
              </w:rPr>
            </w:pPr>
            <w:proofErr w:type="spellStart"/>
            <w:proofErr w:type="gramStart"/>
            <w:r w:rsidRPr="007527BF">
              <w:rPr>
                <w:rFonts w:ascii="Times New Roman" w:hAnsi="Times New Roman" w:cs="Times New Roman"/>
                <w:b/>
                <w:bCs/>
                <w:sz w:val="16"/>
                <w:szCs w:val="16"/>
                <w:shd w:val="clear" w:color="auto" w:fill="FFFFFF"/>
                <w:vertAlign w:val="superscript"/>
              </w:rPr>
              <w:t>a</w:t>
            </w:r>
            <w:proofErr w:type="spellEnd"/>
            <w:proofErr w:type="gramEnd"/>
            <w:r w:rsidRPr="007527BF">
              <w:rPr>
                <w:rFonts w:ascii="Times New Roman" w:hAnsi="Times New Roman" w:cs="Times New Roman"/>
                <w:sz w:val="16"/>
                <w:szCs w:val="16"/>
                <w:shd w:val="clear" w:color="auto" w:fill="FFFFFF"/>
                <w:vertAlign w:val="superscript"/>
              </w:rPr>
              <w:t xml:space="preserve"> </w:t>
            </w:r>
            <w:r w:rsidRPr="007527BF">
              <w:rPr>
                <w:rFonts w:ascii="Times New Roman" w:hAnsi="Times New Roman" w:cs="Times New Roman"/>
                <w:sz w:val="16"/>
                <w:szCs w:val="16"/>
                <w:shd w:val="clear" w:color="auto" w:fill="FFFFFF"/>
              </w:rPr>
              <w:t>Adjusted for categorical age, sex, race/ethnicity, all age*race/ethnicity*sex interactions, state-level median income and percentages: male, Hispanic, non-Hispanic White, non-Hispanic Black, poverty, age 18+, unemployed.</w:t>
            </w:r>
          </w:p>
          <w:p w14:paraId="60A61985" w14:textId="77777777" w:rsidR="0010670E" w:rsidRPr="007527BF" w:rsidRDefault="0010670E" w:rsidP="000862C6">
            <w:pPr>
              <w:pStyle w:val="NoSpacing"/>
              <w:rPr>
                <w:rFonts w:ascii="Times New Roman" w:hAnsi="Times New Roman" w:cs="Times New Roman"/>
                <w:sz w:val="16"/>
                <w:szCs w:val="16"/>
                <w:shd w:val="clear" w:color="auto" w:fill="FFFFFF"/>
              </w:rPr>
            </w:pPr>
            <w:r w:rsidRPr="007527BF">
              <w:rPr>
                <w:rFonts w:ascii="Times New Roman" w:hAnsi="Times New Roman" w:cs="Times New Roman"/>
                <w:b/>
                <w:bCs/>
                <w:sz w:val="16"/>
                <w:szCs w:val="16"/>
                <w:shd w:val="clear" w:color="auto" w:fill="FFFFFF"/>
                <w:vertAlign w:val="superscript"/>
              </w:rPr>
              <w:t>b</w:t>
            </w:r>
            <w:r w:rsidRPr="007527BF">
              <w:rPr>
                <w:rFonts w:ascii="Times New Roman" w:hAnsi="Times New Roman" w:cs="Times New Roman"/>
                <w:sz w:val="16"/>
                <w:szCs w:val="16"/>
                <w:shd w:val="clear" w:color="auto" w:fill="FFFFFF"/>
                <w:vertAlign w:val="superscript"/>
              </w:rPr>
              <w:t xml:space="preserve"> </w:t>
            </w:r>
            <w:r w:rsidRPr="007527BF">
              <w:rPr>
                <w:rFonts w:ascii="Times New Roman" w:hAnsi="Times New Roman" w:cs="Times New Roman"/>
                <w:sz w:val="16"/>
                <w:szCs w:val="16"/>
                <w:shd w:val="clear" w:color="auto" w:fill="FFFFFF"/>
              </w:rPr>
              <w:t xml:space="preserve">Value used as denominator to determine % of overall increase attributable to MCL enactment based on </w:t>
            </w:r>
            <w:proofErr w:type="spellStart"/>
            <w:r w:rsidRPr="007527BF">
              <w:rPr>
                <w:rFonts w:ascii="Times New Roman" w:hAnsi="Times New Roman" w:cs="Times New Roman"/>
                <w:sz w:val="16"/>
                <w:szCs w:val="16"/>
                <w:shd w:val="clear" w:color="auto" w:fill="FFFFFF"/>
              </w:rPr>
              <w:t>DiD</w:t>
            </w:r>
            <w:proofErr w:type="spellEnd"/>
            <w:r w:rsidRPr="007527BF">
              <w:rPr>
                <w:rFonts w:ascii="Times New Roman" w:hAnsi="Times New Roman" w:cs="Times New Roman"/>
                <w:sz w:val="16"/>
                <w:szCs w:val="16"/>
                <w:shd w:val="clear" w:color="auto" w:fill="FFFFFF"/>
              </w:rPr>
              <w:t xml:space="preserve"> estimates of MCL effect (see E-Table 2)</w:t>
            </w:r>
          </w:p>
          <w:p w14:paraId="5F2DEF23" w14:textId="77777777" w:rsidR="0010670E" w:rsidRPr="007527BF" w:rsidRDefault="0010670E" w:rsidP="000862C6">
            <w:pPr>
              <w:pStyle w:val="NoSpacing"/>
              <w:rPr>
                <w:rFonts w:ascii="Times New Roman" w:hAnsi="Times New Roman" w:cs="Times New Roman"/>
                <w:sz w:val="16"/>
                <w:szCs w:val="16"/>
                <w:shd w:val="clear" w:color="auto" w:fill="FFFFFF"/>
              </w:rPr>
            </w:pPr>
            <w:r w:rsidRPr="007527BF">
              <w:rPr>
                <w:rFonts w:ascii="Times New Roman" w:hAnsi="Times New Roman" w:cs="Times New Roman"/>
                <w:b/>
                <w:bCs/>
                <w:sz w:val="16"/>
                <w:szCs w:val="16"/>
                <w:shd w:val="clear" w:color="auto" w:fill="FFFFFF"/>
                <w:vertAlign w:val="superscript"/>
              </w:rPr>
              <w:t>c</w:t>
            </w:r>
            <w:r w:rsidRPr="007527BF">
              <w:rPr>
                <w:rFonts w:ascii="Times New Roman" w:hAnsi="Times New Roman" w:cs="Times New Roman"/>
                <w:sz w:val="16"/>
                <w:szCs w:val="16"/>
                <w:shd w:val="clear" w:color="auto" w:fill="FFFFFF"/>
                <w:vertAlign w:val="superscript"/>
              </w:rPr>
              <w:t xml:space="preserve"> </w:t>
            </w:r>
            <w:r w:rsidRPr="007527BF">
              <w:rPr>
                <w:rFonts w:ascii="Times New Roman" w:hAnsi="Times New Roman" w:cs="Times New Roman"/>
                <w:sz w:val="16"/>
                <w:szCs w:val="16"/>
                <w:shd w:val="clear" w:color="auto" w:fill="FFFFFF"/>
              </w:rPr>
              <w:t xml:space="preserve">Value used as denominator to determine % of overall increase attributable to RCL enactment based on </w:t>
            </w:r>
            <w:proofErr w:type="spellStart"/>
            <w:r w:rsidRPr="007527BF">
              <w:rPr>
                <w:rFonts w:ascii="Times New Roman" w:hAnsi="Times New Roman" w:cs="Times New Roman"/>
                <w:sz w:val="16"/>
                <w:szCs w:val="16"/>
                <w:shd w:val="clear" w:color="auto" w:fill="FFFFFF"/>
              </w:rPr>
              <w:t>DiD</w:t>
            </w:r>
            <w:proofErr w:type="spellEnd"/>
            <w:r w:rsidRPr="007527BF">
              <w:rPr>
                <w:rFonts w:ascii="Times New Roman" w:hAnsi="Times New Roman" w:cs="Times New Roman"/>
                <w:sz w:val="16"/>
                <w:szCs w:val="16"/>
                <w:shd w:val="clear" w:color="auto" w:fill="FFFFFF"/>
              </w:rPr>
              <w:t xml:space="preserve"> estimates of RCL effect (see E-Table 2)</w:t>
            </w:r>
          </w:p>
        </w:tc>
      </w:tr>
    </w:tbl>
    <w:p w14:paraId="4140572D" w14:textId="77CB82DB" w:rsidR="00FA506D" w:rsidRPr="007527BF" w:rsidRDefault="00FA506D" w:rsidP="003109F8">
      <w:pPr>
        <w:keepNext/>
        <w:autoSpaceDE w:val="0"/>
        <w:autoSpaceDN w:val="0"/>
        <w:outlineLvl w:val="0"/>
        <w:rPr>
          <w:color w:val="000000" w:themeColor="text1"/>
          <w:kern w:val="32"/>
          <w:sz w:val="16"/>
          <w:szCs w:val="16"/>
        </w:rPr>
      </w:pPr>
    </w:p>
    <w:p w14:paraId="5567F67B" w14:textId="77777777" w:rsidR="00FA506D" w:rsidRPr="007527BF" w:rsidRDefault="00FA506D">
      <w:pPr>
        <w:widowControl w:val="0"/>
        <w:autoSpaceDE w:val="0"/>
        <w:autoSpaceDN w:val="0"/>
        <w:rPr>
          <w:color w:val="000000" w:themeColor="text1"/>
          <w:kern w:val="32"/>
          <w:sz w:val="16"/>
          <w:szCs w:val="16"/>
        </w:rPr>
      </w:pPr>
      <w:r w:rsidRPr="007527BF">
        <w:rPr>
          <w:color w:val="000000" w:themeColor="text1"/>
          <w:kern w:val="32"/>
          <w:sz w:val="16"/>
          <w:szCs w:val="16"/>
        </w:rPr>
        <w:br w:type="page"/>
      </w:r>
    </w:p>
    <w:tbl>
      <w:tblPr>
        <w:tblW w:w="9340" w:type="dxa"/>
        <w:jc w:val="center"/>
        <w:tblCellMar>
          <w:left w:w="0" w:type="dxa"/>
          <w:right w:w="0" w:type="dxa"/>
        </w:tblCellMar>
        <w:tblLook w:val="0600" w:firstRow="0" w:lastRow="0" w:firstColumn="0" w:lastColumn="0" w:noHBand="1" w:noVBand="1"/>
      </w:tblPr>
      <w:tblGrid>
        <w:gridCol w:w="2616"/>
        <w:gridCol w:w="1552"/>
        <w:gridCol w:w="1365"/>
        <w:gridCol w:w="1397"/>
        <w:gridCol w:w="1269"/>
        <w:gridCol w:w="1141"/>
      </w:tblGrid>
      <w:tr w:rsidR="00FA506D" w:rsidRPr="007527BF" w14:paraId="08162757" w14:textId="77777777" w:rsidTr="000862C6">
        <w:trPr>
          <w:trHeight w:val="24"/>
          <w:jc w:val="center"/>
        </w:trPr>
        <w:tc>
          <w:tcPr>
            <w:tcW w:w="9340" w:type="dxa"/>
            <w:gridSpan w:val="6"/>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25B7FF2C" w14:textId="77777777" w:rsidR="00FA506D" w:rsidRPr="007527BF" w:rsidRDefault="00FA506D" w:rsidP="000862C6">
            <w:pPr>
              <w:jc w:val="center"/>
              <w:rPr>
                <w:b/>
                <w:bCs/>
                <w:color w:val="000000"/>
                <w:sz w:val="20"/>
                <w:szCs w:val="20"/>
                <w:shd w:val="clear" w:color="auto" w:fill="FFFFFF"/>
              </w:rPr>
            </w:pPr>
            <w:r w:rsidRPr="007527BF">
              <w:rPr>
                <w:b/>
                <w:bCs/>
                <w:color w:val="000000"/>
                <w:sz w:val="20"/>
                <w:szCs w:val="20"/>
                <w:shd w:val="clear" w:color="auto" w:fill="FFFFFF"/>
              </w:rPr>
              <w:lastRenderedPageBreak/>
              <w:t xml:space="preserve">E-Table 4. Effects on CUD prevalence of changes due to whether states legally permitted dispensaries  </w:t>
            </w:r>
          </w:p>
          <w:p w14:paraId="1EC509D0" w14:textId="77777777" w:rsidR="00FA506D" w:rsidRPr="007527BF" w:rsidRDefault="00FA506D" w:rsidP="000862C6">
            <w:pPr>
              <w:jc w:val="center"/>
              <w:rPr>
                <w:b/>
                <w:bCs/>
                <w:color w:val="000000"/>
                <w:sz w:val="20"/>
                <w:szCs w:val="20"/>
                <w:shd w:val="clear" w:color="auto" w:fill="FFFFFF"/>
              </w:rPr>
            </w:pPr>
            <w:r w:rsidRPr="007527BF">
              <w:rPr>
                <w:b/>
                <w:bCs/>
                <w:color w:val="000000"/>
                <w:sz w:val="20"/>
                <w:szCs w:val="20"/>
                <w:shd w:val="clear" w:color="auto" w:fill="FFFFFF"/>
              </w:rPr>
              <w:t>Difference-in-difference (</w:t>
            </w:r>
            <w:proofErr w:type="spellStart"/>
            <w:r w:rsidRPr="007527BF">
              <w:rPr>
                <w:b/>
                <w:bCs/>
                <w:color w:val="000000"/>
                <w:sz w:val="20"/>
                <w:szCs w:val="20"/>
                <w:shd w:val="clear" w:color="auto" w:fill="FFFFFF"/>
              </w:rPr>
              <w:t>DiD</w:t>
            </w:r>
            <w:proofErr w:type="spellEnd"/>
            <w:r w:rsidRPr="007527BF">
              <w:rPr>
                <w:b/>
                <w:bCs/>
                <w:color w:val="000000"/>
                <w:sz w:val="20"/>
                <w:szCs w:val="20"/>
                <w:shd w:val="clear" w:color="auto" w:fill="FFFFFF"/>
              </w:rPr>
              <w:t>)</w:t>
            </w:r>
            <w:r w:rsidRPr="007527BF">
              <w:rPr>
                <w:b/>
                <w:bCs/>
                <w:color w:val="000000"/>
                <w:sz w:val="20"/>
                <w:szCs w:val="20"/>
                <w:shd w:val="clear" w:color="auto" w:fill="FFFFFF"/>
                <w:vertAlign w:val="superscript"/>
              </w:rPr>
              <w:t>a</w:t>
            </w:r>
            <w:r w:rsidRPr="007527BF">
              <w:rPr>
                <w:b/>
                <w:bCs/>
                <w:color w:val="000000"/>
                <w:sz w:val="20"/>
                <w:szCs w:val="20"/>
                <w:shd w:val="clear" w:color="auto" w:fill="FFFFFF"/>
              </w:rPr>
              <w:t xml:space="preserve"> estimates incorporating data on VHA patients across all years 2005 – 2019</w:t>
            </w:r>
          </w:p>
        </w:tc>
      </w:tr>
      <w:tr w:rsidR="00FA506D" w:rsidRPr="007527BF" w14:paraId="4581F5B1" w14:textId="77777777" w:rsidTr="000862C6">
        <w:trPr>
          <w:trHeight w:val="381"/>
          <w:jc w:val="center"/>
        </w:trPr>
        <w:tc>
          <w:tcPr>
            <w:tcW w:w="2616" w:type="dxa"/>
            <w:vMerge w:val="restart"/>
            <w:tcBorders>
              <w:top w:val="single" w:sz="8" w:space="0" w:color="000000"/>
              <w:left w:val="single" w:sz="8" w:space="0" w:color="000000"/>
              <w:right w:val="single" w:sz="8" w:space="0" w:color="000000"/>
            </w:tcBorders>
            <w:shd w:val="clear" w:color="auto" w:fill="auto"/>
            <w:tcMar>
              <w:top w:w="13" w:type="dxa"/>
              <w:left w:w="13" w:type="dxa"/>
              <w:bottom w:w="0" w:type="dxa"/>
              <w:right w:w="13" w:type="dxa"/>
            </w:tcMar>
            <w:hideMark/>
          </w:tcPr>
          <w:p w14:paraId="54EFDF9D" w14:textId="77777777" w:rsidR="00FA506D" w:rsidRPr="007527BF" w:rsidRDefault="00FA506D" w:rsidP="000862C6">
            <w:pPr>
              <w:jc w:val="both"/>
              <w:rPr>
                <w:b/>
                <w:bCs/>
                <w:color w:val="000000"/>
                <w:sz w:val="16"/>
                <w:szCs w:val="16"/>
                <w:shd w:val="clear" w:color="auto" w:fill="FFFFFF"/>
              </w:rPr>
            </w:pPr>
          </w:p>
          <w:p w14:paraId="11626DEB" w14:textId="77777777" w:rsidR="00FA506D" w:rsidRPr="007527BF" w:rsidRDefault="00FA506D" w:rsidP="000862C6">
            <w:pPr>
              <w:jc w:val="both"/>
              <w:rPr>
                <w:b/>
                <w:bCs/>
                <w:color w:val="000000"/>
                <w:sz w:val="16"/>
                <w:szCs w:val="16"/>
                <w:shd w:val="clear" w:color="auto" w:fill="FFFFFF"/>
              </w:rPr>
            </w:pPr>
          </w:p>
          <w:p w14:paraId="081F88B9" w14:textId="77777777" w:rsidR="00FA506D" w:rsidRPr="007527BF" w:rsidRDefault="00FA506D" w:rsidP="000862C6">
            <w:pPr>
              <w:jc w:val="both"/>
              <w:rPr>
                <w:b/>
                <w:bCs/>
                <w:color w:val="000000"/>
                <w:sz w:val="16"/>
                <w:szCs w:val="16"/>
                <w:shd w:val="clear" w:color="auto" w:fill="FFFFFF"/>
              </w:rPr>
            </w:pP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3CCCC519" w14:textId="77777777" w:rsidR="00FA506D" w:rsidRPr="007527BF" w:rsidRDefault="00FA506D" w:rsidP="000862C6">
            <w:pPr>
              <w:jc w:val="center"/>
              <w:rPr>
                <w:b/>
                <w:bCs/>
                <w:color w:val="000000"/>
                <w:sz w:val="16"/>
                <w:szCs w:val="16"/>
                <w:shd w:val="clear" w:color="auto" w:fill="FFFFFF"/>
                <w:vertAlign w:val="superscript"/>
              </w:rPr>
            </w:pPr>
            <w:r w:rsidRPr="007527BF">
              <w:rPr>
                <w:b/>
                <w:bCs/>
                <w:color w:val="000000"/>
                <w:sz w:val="16"/>
                <w:szCs w:val="16"/>
                <w:shd w:val="clear" w:color="auto" w:fill="FFFFFF"/>
              </w:rPr>
              <w:t xml:space="preserve">Model-based </w:t>
            </w:r>
            <w:proofErr w:type="spellStart"/>
            <w:r w:rsidRPr="007527BF">
              <w:rPr>
                <w:b/>
                <w:bCs/>
                <w:color w:val="000000"/>
                <w:sz w:val="16"/>
                <w:szCs w:val="16"/>
                <w:shd w:val="clear" w:color="auto" w:fill="FFFFFF"/>
              </w:rPr>
              <w:t>DiD</w:t>
            </w:r>
            <w:proofErr w:type="spellEnd"/>
            <w:r w:rsidRPr="007527BF">
              <w:rPr>
                <w:b/>
                <w:bCs/>
                <w:color w:val="000000"/>
                <w:sz w:val="16"/>
                <w:szCs w:val="16"/>
                <w:shd w:val="clear" w:color="auto" w:fill="FFFFFF"/>
              </w:rPr>
              <w:t xml:space="preserve"> law effect</w:t>
            </w:r>
          </w:p>
          <w:p w14:paraId="16B22A26"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w:t>
            </w:r>
          </w:p>
          <w:p w14:paraId="4C07B405"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p-value</w:t>
            </w:r>
          </w:p>
          <w:p w14:paraId="5E91F0D7"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95% CI</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1FD15DD2"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 xml:space="preserve">% of absolute change attributable to </w:t>
            </w:r>
            <w:proofErr w:type="spellStart"/>
            <w:r w:rsidRPr="007527BF">
              <w:rPr>
                <w:b/>
                <w:bCs/>
                <w:color w:val="000000"/>
                <w:sz w:val="16"/>
                <w:szCs w:val="16"/>
                <w:shd w:val="clear" w:color="auto" w:fill="FFFFFF"/>
              </w:rPr>
              <w:t>law</w:t>
            </w:r>
            <w:r w:rsidRPr="007527BF">
              <w:rPr>
                <w:b/>
                <w:bCs/>
                <w:color w:val="000000"/>
                <w:sz w:val="16"/>
                <w:szCs w:val="16"/>
                <w:shd w:val="clear" w:color="auto" w:fill="FFFFFF"/>
                <w:vertAlign w:val="superscript"/>
              </w:rPr>
              <w:t>b</w:t>
            </w:r>
            <w:proofErr w:type="spellEnd"/>
          </w:p>
        </w:tc>
        <w:tc>
          <w:tcPr>
            <w:tcW w:w="139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3E09027A" w14:textId="77777777" w:rsidR="00FA506D" w:rsidRPr="007527BF" w:rsidRDefault="00FA506D" w:rsidP="000862C6">
            <w:pPr>
              <w:jc w:val="center"/>
              <w:rPr>
                <w:b/>
                <w:bCs/>
                <w:color w:val="000000"/>
                <w:sz w:val="16"/>
                <w:szCs w:val="16"/>
                <w:shd w:val="clear" w:color="auto" w:fill="FFFFFF"/>
                <w:vertAlign w:val="superscript"/>
              </w:rPr>
            </w:pPr>
            <w:r w:rsidRPr="007527BF">
              <w:rPr>
                <w:b/>
                <w:bCs/>
                <w:color w:val="000000"/>
                <w:sz w:val="16"/>
                <w:szCs w:val="16"/>
                <w:shd w:val="clear" w:color="auto" w:fill="FFFFFF"/>
              </w:rPr>
              <w:t xml:space="preserve">Model-based </w:t>
            </w:r>
            <w:proofErr w:type="spellStart"/>
            <w:r w:rsidRPr="007527BF">
              <w:rPr>
                <w:b/>
                <w:bCs/>
                <w:color w:val="000000"/>
                <w:sz w:val="16"/>
                <w:szCs w:val="16"/>
                <w:shd w:val="clear" w:color="auto" w:fill="FFFFFF"/>
              </w:rPr>
              <w:t>DiD</w:t>
            </w:r>
            <w:proofErr w:type="spellEnd"/>
            <w:r w:rsidRPr="007527BF">
              <w:rPr>
                <w:b/>
                <w:bCs/>
                <w:color w:val="000000"/>
                <w:sz w:val="16"/>
                <w:szCs w:val="16"/>
                <w:shd w:val="clear" w:color="auto" w:fill="FFFFFF"/>
              </w:rPr>
              <w:t xml:space="preserve"> law effect</w:t>
            </w:r>
          </w:p>
          <w:p w14:paraId="7AB0DD34"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w:t>
            </w:r>
          </w:p>
          <w:p w14:paraId="6E2320C1"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p-value</w:t>
            </w:r>
          </w:p>
          <w:p w14:paraId="54AC7889"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95% CI</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7798F350"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 xml:space="preserve">% of absolute change attributable to </w:t>
            </w:r>
            <w:proofErr w:type="spellStart"/>
            <w:r w:rsidRPr="007527BF">
              <w:rPr>
                <w:b/>
                <w:bCs/>
                <w:color w:val="000000"/>
                <w:sz w:val="16"/>
                <w:szCs w:val="16"/>
                <w:shd w:val="clear" w:color="auto" w:fill="FFFFFF"/>
              </w:rPr>
              <w:t>law</w:t>
            </w:r>
            <w:r w:rsidRPr="007527BF">
              <w:rPr>
                <w:b/>
                <w:bCs/>
                <w:color w:val="000000"/>
                <w:sz w:val="16"/>
                <w:szCs w:val="16"/>
                <w:shd w:val="clear" w:color="auto" w:fill="FFFFFF"/>
                <w:vertAlign w:val="superscript"/>
              </w:rPr>
              <w:t>b</w:t>
            </w:r>
            <w:proofErr w:type="spellEnd"/>
          </w:p>
        </w:tc>
        <w:tc>
          <w:tcPr>
            <w:tcW w:w="1141" w:type="dxa"/>
            <w:tcBorders>
              <w:top w:val="single" w:sz="8" w:space="0" w:color="000000"/>
              <w:left w:val="single" w:sz="8" w:space="0" w:color="000000"/>
              <w:bottom w:val="single" w:sz="8" w:space="0" w:color="000000"/>
              <w:right w:val="single" w:sz="8" w:space="0" w:color="000000"/>
            </w:tcBorders>
          </w:tcPr>
          <w:p w14:paraId="41BB3235"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Difference in effect between Pain and no Pain</w:t>
            </w:r>
          </w:p>
        </w:tc>
      </w:tr>
      <w:tr w:rsidR="00FA506D" w:rsidRPr="007527BF" w14:paraId="182B938D" w14:textId="77777777" w:rsidTr="000862C6">
        <w:trPr>
          <w:trHeight w:val="260"/>
          <w:jc w:val="center"/>
        </w:trPr>
        <w:tc>
          <w:tcPr>
            <w:tcW w:w="2616" w:type="dxa"/>
            <w:vMerge/>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25BB6A5C" w14:textId="77777777" w:rsidR="00FA506D" w:rsidRPr="007527BF" w:rsidRDefault="00FA506D" w:rsidP="000862C6">
            <w:pPr>
              <w:jc w:val="both"/>
              <w:rPr>
                <w:b/>
                <w:bCs/>
                <w:color w:val="000000"/>
                <w:sz w:val="16"/>
                <w:szCs w:val="16"/>
                <w:shd w:val="clear" w:color="auto" w:fill="FFFFFF"/>
              </w:rPr>
            </w:pPr>
          </w:p>
        </w:tc>
        <w:tc>
          <w:tcPr>
            <w:tcW w:w="2917"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21EC03D8" w14:textId="53E1D260" w:rsidR="00FA506D" w:rsidRPr="007527BF" w:rsidRDefault="00C942E3" w:rsidP="000862C6">
            <w:pPr>
              <w:jc w:val="center"/>
              <w:rPr>
                <w:b/>
                <w:bCs/>
                <w:color w:val="000000"/>
                <w:sz w:val="16"/>
                <w:szCs w:val="16"/>
                <w:shd w:val="clear" w:color="auto" w:fill="FFFFFF"/>
              </w:rPr>
            </w:pPr>
            <w:r w:rsidRPr="007527BF">
              <w:rPr>
                <w:b/>
                <w:bCs/>
                <w:color w:val="000000"/>
                <w:sz w:val="16"/>
                <w:szCs w:val="16"/>
                <w:shd w:val="clear" w:color="auto" w:fill="FFFFFF"/>
              </w:rPr>
              <w:t>Patients with chronic p</w:t>
            </w:r>
            <w:r w:rsidR="00FA506D" w:rsidRPr="007527BF">
              <w:rPr>
                <w:b/>
                <w:bCs/>
                <w:color w:val="000000"/>
                <w:sz w:val="16"/>
                <w:szCs w:val="16"/>
                <w:shd w:val="clear" w:color="auto" w:fill="FFFFFF"/>
              </w:rPr>
              <w:t>ain</w:t>
            </w:r>
          </w:p>
        </w:tc>
        <w:tc>
          <w:tcPr>
            <w:tcW w:w="2666"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765C46B0" w14:textId="1950903C" w:rsidR="00FA506D" w:rsidRPr="007527BF" w:rsidRDefault="00C942E3" w:rsidP="000862C6">
            <w:pPr>
              <w:jc w:val="center"/>
              <w:rPr>
                <w:b/>
                <w:bCs/>
                <w:color w:val="000000"/>
                <w:sz w:val="16"/>
                <w:szCs w:val="16"/>
                <w:shd w:val="clear" w:color="auto" w:fill="FFFFFF"/>
              </w:rPr>
            </w:pPr>
            <w:r w:rsidRPr="007527BF">
              <w:rPr>
                <w:b/>
                <w:bCs/>
                <w:color w:val="000000"/>
                <w:sz w:val="16"/>
                <w:szCs w:val="16"/>
                <w:shd w:val="clear" w:color="auto" w:fill="FFFFFF"/>
              </w:rPr>
              <w:t>Patients without chronic</w:t>
            </w:r>
            <w:r w:rsidR="00FA506D" w:rsidRPr="007527BF">
              <w:rPr>
                <w:b/>
                <w:bCs/>
                <w:color w:val="000000"/>
                <w:sz w:val="16"/>
                <w:szCs w:val="16"/>
                <w:shd w:val="clear" w:color="auto" w:fill="FFFFFF"/>
              </w:rPr>
              <w:t xml:space="preserve"> pain</w:t>
            </w:r>
          </w:p>
        </w:tc>
        <w:tc>
          <w:tcPr>
            <w:tcW w:w="1141" w:type="dxa"/>
            <w:tcBorders>
              <w:top w:val="single" w:sz="8" w:space="0" w:color="000000"/>
              <w:left w:val="single" w:sz="8" w:space="0" w:color="000000"/>
              <w:bottom w:val="single" w:sz="8" w:space="0" w:color="000000"/>
              <w:right w:val="single" w:sz="8" w:space="0" w:color="000000"/>
            </w:tcBorders>
          </w:tcPr>
          <w:p w14:paraId="4D10CA3E" w14:textId="77777777" w:rsidR="00FA506D" w:rsidRPr="007527BF" w:rsidRDefault="00FA506D" w:rsidP="000862C6">
            <w:pPr>
              <w:jc w:val="center"/>
              <w:rPr>
                <w:b/>
                <w:bCs/>
                <w:color w:val="000000"/>
                <w:sz w:val="16"/>
                <w:szCs w:val="16"/>
                <w:shd w:val="clear" w:color="auto" w:fill="FFFFFF"/>
              </w:rPr>
            </w:pPr>
          </w:p>
        </w:tc>
      </w:tr>
      <w:tr w:rsidR="00FA506D" w:rsidRPr="007527BF" w14:paraId="723FC893" w14:textId="77777777" w:rsidTr="000862C6">
        <w:trPr>
          <w:trHeight w:val="370"/>
          <w:jc w:val="center"/>
        </w:trPr>
        <w:tc>
          <w:tcPr>
            <w:tcW w:w="261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5AC858B2" w14:textId="77777777" w:rsidR="00FA506D" w:rsidRPr="007527BF" w:rsidRDefault="00FA506D" w:rsidP="000862C6">
            <w:pPr>
              <w:rPr>
                <w:b/>
                <w:bCs/>
                <w:color w:val="000000"/>
                <w:sz w:val="16"/>
                <w:szCs w:val="16"/>
                <w:shd w:val="clear" w:color="auto" w:fill="FFFFFF"/>
              </w:rPr>
            </w:pPr>
            <w:r w:rsidRPr="007527BF">
              <w:rPr>
                <w:b/>
                <w:bCs/>
                <w:color w:val="000000"/>
                <w:sz w:val="16"/>
                <w:szCs w:val="16"/>
                <w:shd w:val="clear" w:color="auto" w:fill="FFFFFF"/>
              </w:rPr>
              <w:t xml:space="preserve">Effect of change to medical </w:t>
            </w:r>
            <w:proofErr w:type="spellStart"/>
            <w:r w:rsidRPr="007527BF">
              <w:rPr>
                <w:b/>
                <w:bCs/>
                <w:color w:val="000000"/>
                <w:sz w:val="16"/>
                <w:szCs w:val="16"/>
                <w:shd w:val="clear" w:color="auto" w:fill="FFFFFF"/>
              </w:rPr>
              <w:t>dispensaries</w:t>
            </w:r>
            <w:r w:rsidRPr="007527BF">
              <w:rPr>
                <w:b/>
                <w:bCs/>
                <w:color w:val="000000"/>
                <w:sz w:val="16"/>
                <w:szCs w:val="16"/>
                <w:shd w:val="clear" w:color="auto" w:fill="FFFFFF"/>
                <w:vertAlign w:val="superscript"/>
              </w:rPr>
              <w:t>c</w:t>
            </w:r>
            <w:proofErr w:type="spellEnd"/>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2FF81A6" w14:textId="02A0BCB9" w:rsidR="00FA506D" w:rsidRPr="007527BF" w:rsidRDefault="00FA506D" w:rsidP="000862C6">
            <w:pPr>
              <w:jc w:val="center"/>
              <w:rPr>
                <w:color w:val="000000"/>
                <w:sz w:val="16"/>
                <w:szCs w:val="16"/>
                <w:shd w:val="clear" w:color="auto" w:fill="FFFFFF"/>
              </w:rPr>
            </w:pPr>
            <w:r w:rsidRPr="007527BF">
              <w:rPr>
                <w:color w:val="000000"/>
                <w:sz w:val="16"/>
                <w:szCs w:val="16"/>
              </w:rPr>
              <w:t>0</w:t>
            </w:r>
            <w:r w:rsidR="007957F4" w:rsidRPr="007527BF">
              <w:rPr>
                <w:color w:val="000000"/>
                <w:sz w:val="16"/>
                <w:szCs w:val="16"/>
              </w:rPr>
              <w:t>·</w:t>
            </w:r>
            <w:r w:rsidRPr="007527BF">
              <w:rPr>
                <w:color w:val="000000"/>
                <w:sz w:val="16"/>
                <w:szCs w:val="16"/>
              </w:rPr>
              <w:t>040</w:t>
            </w:r>
            <w:r w:rsidRPr="007527BF">
              <w:rPr>
                <w:color w:val="000000"/>
                <w:sz w:val="16"/>
                <w:szCs w:val="16"/>
              </w:rPr>
              <w:br/>
              <w:t>(&lt;</w:t>
            </w:r>
            <w:r w:rsidR="007957F4" w:rsidRPr="007527BF">
              <w:rPr>
                <w:color w:val="000000"/>
                <w:sz w:val="16"/>
                <w:szCs w:val="16"/>
              </w:rPr>
              <w:t>·</w:t>
            </w:r>
            <w:r w:rsidRPr="007527BF">
              <w:rPr>
                <w:color w:val="000000"/>
                <w:sz w:val="16"/>
                <w:szCs w:val="16"/>
              </w:rPr>
              <w:t>001)</w:t>
            </w:r>
            <w:r w:rsidRPr="007527BF">
              <w:rPr>
                <w:color w:val="000000"/>
                <w:sz w:val="16"/>
                <w:szCs w:val="16"/>
              </w:rPr>
              <w:br/>
              <w:t>0</w:t>
            </w:r>
            <w:r w:rsidR="007957F4" w:rsidRPr="007527BF">
              <w:rPr>
                <w:color w:val="000000"/>
                <w:sz w:val="16"/>
                <w:szCs w:val="16"/>
              </w:rPr>
              <w:t>·</w:t>
            </w:r>
            <w:r w:rsidRPr="007527BF">
              <w:rPr>
                <w:color w:val="000000"/>
                <w:sz w:val="16"/>
                <w:szCs w:val="16"/>
              </w:rPr>
              <w:t>021, 0</w:t>
            </w:r>
            <w:r w:rsidR="007957F4" w:rsidRPr="007527BF">
              <w:rPr>
                <w:color w:val="000000"/>
                <w:sz w:val="16"/>
                <w:szCs w:val="16"/>
              </w:rPr>
              <w:t>·</w:t>
            </w:r>
            <w:r w:rsidRPr="007527BF">
              <w:rPr>
                <w:color w:val="000000"/>
                <w:sz w:val="16"/>
                <w:szCs w:val="16"/>
              </w:rPr>
              <w:t>059</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F1DA71B" w14:textId="76C9EFA9" w:rsidR="00FA506D" w:rsidRPr="007527BF" w:rsidRDefault="00FA506D" w:rsidP="000862C6">
            <w:pPr>
              <w:jc w:val="center"/>
              <w:rPr>
                <w:color w:val="000000"/>
                <w:sz w:val="16"/>
                <w:szCs w:val="16"/>
                <w:shd w:val="clear" w:color="auto" w:fill="FFFFFF"/>
              </w:rPr>
            </w:pPr>
            <w:r w:rsidRPr="007527BF">
              <w:rPr>
                <w:color w:val="000000"/>
                <w:sz w:val="16"/>
                <w:szCs w:val="16"/>
              </w:rPr>
              <w:t>2</w:t>
            </w:r>
            <w:r w:rsidR="007957F4" w:rsidRPr="007527BF">
              <w:rPr>
                <w:color w:val="000000"/>
                <w:sz w:val="16"/>
                <w:szCs w:val="16"/>
              </w:rPr>
              <w:t>·</w:t>
            </w:r>
            <w:r w:rsidRPr="007527BF">
              <w:rPr>
                <w:color w:val="000000"/>
                <w:sz w:val="16"/>
                <w:szCs w:val="16"/>
              </w:rPr>
              <w:t>4%</w:t>
            </w:r>
          </w:p>
        </w:tc>
        <w:tc>
          <w:tcPr>
            <w:tcW w:w="1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FA07C92" w14:textId="350D88F5" w:rsidR="00FA506D" w:rsidRPr="007527BF" w:rsidRDefault="00FA506D" w:rsidP="000862C6">
            <w:pPr>
              <w:jc w:val="center"/>
              <w:rPr>
                <w:color w:val="000000"/>
                <w:sz w:val="16"/>
                <w:szCs w:val="16"/>
                <w:shd w:val="clear" w:color="auto" w:fill="FFFFFF"/>
              </w:rPr>
            </w:pPr>
            <w:r w:rsidRPr="007527BF">
              <w:rPr>
                <w:color w:val="000000"/>
                <w:sz w:val="16"/>
                <w:szCs w:val="16"/>
              </w:rPr>
              <w:t>-0</w:t>
            </w:r>
            <w:r w:rsidR="007957F4" w:rsidRPr="007527BF">
              <w:rPr>
                <w:color w:val="000000"/>
                <w:sz w:val="16"/>
                <w:szCs w:val="16"/>
              </w:rPr>
              <w:t>·</w:t>
            </w:r>
            <w:r w:rsidRPr="007527BF">
              <w:rPr>
                <w:color w:val="000000"/>
                <w:sz w:val="16"/>
                <w:szCs w:val="16"/>
              </w:rPr>
              <w:t>013</w:t>
            </w:r>
            <w:r w:rsidRPr="007527BF">
              <w:rPr>
                <w:color w:val="000000"/>
                <w:sz w:val="16"/>
                <w:szCs w:val="16"/>
              </w:rPr>
              <w:br/>
              <w:t>(0</w:t>
            </w:r>
            <w:r w:rsidR="007957F4" w:rsidRPr="007527BF">
              <w:rPr>
                <w:color w:val="000000"/>
                <w:sz w:val="16"/>
                <w:szCs w:val="16"/>
              </w:rPr>
              <w:t>·</w:t>
            </w:r>
            <w:r w:rsidRPr="007527BF">
              <w:rPr>
                <w:color w:val="000000"/>
                <w:sz w:val="16"/>
                <w:szCs w:val="16"/>
              </w:rPr>
              <w:t>016)</w:t>
            </w:r>
            <w:r w:rsidRPr="007527BF">
              <w:rPr>
                <w:color w:val="000000"/>
                <w:sz w:val="16"/>
                <w:szCs w:val="16"/>
              </w:rPr>
              <w:br/>
              <w:t>-0</w:t>
            </w:r>
            <w:r w:rsidR="007957F4" w:rsidRPr="007527BF">
              <w:rPr>
                <w:color w:val="000000"/>
                <w:sz w:val="16"/>
                <w:szCs w:val="16"/>
              </w:rPr>
              <w:t>·</w:t>
            </w:r>
            <w:r w:rsidRPr="007527BF">
              <w:rPr>
                <w:color w:val="000000"/>
                <w:sz w:val="16"/>
                <w:szCs w:val="16"/>
              </w:rPr>
              <w:t>023, -0</w:t>
            </w:r>
            <w:r w:rsidR="007957F4" w:rsidRPr="007527BF">
              <w:rPr>
                <w:color w:val="000000"/>
                <w:sz w:val="16"/>
                <w:szCs w:val="16"/>
              </w:rPr>
              <w:t>·</w:t>
            </w:r>
            <w:r w:rsidRPr="007527BF">
              <w:rPr>
                <w:color w:val="000000"/>
                <w:sz w:val="16"/>
                <w:szCs w:val="16"/>
              </w:rPr>
              <w:t>002</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AD7A4A2" w14:textId="72E9FB68"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9%</w:t>
            </w:r>
          </w:p>
        </w:tc>
        <w:tc>
          <w:tcPr>
            <w:tcW w:w="1141" w:type="dxa"/>
            <w:tcBorders>
              <w:top w:val="single" w:sz="8" w:space="0" w:color="000000"/>
              <w:left w:val="single" w:sz="8" w:space="0" w:color="000000"/>
              <w:bottom w:val="single" w:sz="8" w:space="0" w:color="000000"/>
              <w:right w:val="single" w:sz="8" w:space="0" w:color="000000"/>
            </w:tcBorders>
          </w:tcPr>
          <w:p w14:paraId="6DD3D282" w14:textId="6FAF299B" w:rsidR="00FA506D" w:rsidRPr="007527BF" w:rsidRDefault="00FA506D" w:rsidP="000862C6">
            <w:pPr>
              <w:jc w:val="center"/>
              <w:rPr>
                <w:color w:val="000000"/>
                <w:sz w:val="16"/>
                <w:szCs w:val="16"/>
              </w:rPr>
            </w:pPr>
            <w:r w:rsidRPr="007527BF">
              <w:rPr>
                <w:color w:val="000000"/>
                <w:sz w:val="16"/>
                <w:szCs w:val="16"/>
              </w:rPr>
              <w:t>&lt;0</w:t>
            </w:r>
            <w:r w:rsidR="007957F4" w:rsidRPr="007527BF">
              <w:rPr>
                <w:color w:val="000000"/>
                <w:sz w:val="16"/>
                <w:szCs w:val="16"/>
              </w:rPr>
              <w:t>·</w:t>
            </w:r>
            <w:r w:rsidRPr="007527BF">
              <w:rPr>
                <w:color w:val="000000"/>
                <w:sz w:val="16"/>
                <w:szCs w:val="16"/>
              </w:rPr>
              <w:t>01</w:t>
            </w:r>
          </w:p>
        </w:tc>
      </w:tr>
      <w:tr w:rsidR="00FA506D" w:rsidRPr="007527BF" w14:paraId="5025B343" w14:textId="77777777" w:rsidTr="000862C6">
        <w:trPr>
          <w:trHeight w:val="280"/>
          <w:jc w:val="center"/>
        </w:trPr>
        <w:tc>
          <w:tcPr>
            <w:tcW w:w="261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13FE9947" w14:textId="77777777" w:rsidR="00FA506D" w:rsidRPr="007527BF" w:rsidRDefault="00FA506D" w:rsidP="000862C6">
            <w:pPr>
              <w:rPr>
                <w:b/>
                <w:bCs/>
                <w:color w:val="000000"/>
                <w:sz w:val="16"/>
                <w:szCs w:val="16"/>
                <w:shd w:val="clear" w:color="auto" w:fill="FFFFFF"/>
              </w:rPr>
            </w:pPr>
            <w:r w:rsidRPr="007527BF">
              <w:rPr>
                <w:b/>
                <w:bCs/>
                <w:color w:val="000000"/>
                <w:sz w:val="16"/>
                <w:szCs w:val="16"/>
                <w:shd w:val="clear" w:color="auto" w:fill="FFFFFF"/>
              </w:rPr>
              <w:t xml:space="preserve">Effect of change to recreational </w:t>
            </w:r>
            <w:proofErr w:type="spellStart"/>
            <w:r w:rsidRPr="007527BF">
              <w:rPr>
                <w:b/>
                <w:bCs/>
                <w:color w:val="000000"/>
                <w:sz w:val="16"/>
                <w:szCs w:val="16"/>
                <w:shd w:val="clear" w:color="auto" w:fill="FFFFFF"/>
              </w:rPr>
              <w:t>dispensaries</w:t>
            </w:r>
            <w:r w:rsidRPr="007527BF">
              <w:rPr>
                <w:b/>
                <w:bCs/>
                <w:color w:val="000000"/>
                <w:sz w:val="16"/>
                <w:szCs w:val="16"/>
                <w:shd w:val="clear" w:color="auto" w:fill="FFFFFF"/>
                <w:vertAlign w:val="superscript"/>
              </w:rPr>
              <w:t>c</w:t>
            </w:r>
            <w:proofErr w:type="spellEnd"/>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94B0599" w14:textId="4A08CD37" w:rsidR="00FA506D" w:rsidRPr="007527BF" w:rsidRDefault="00FA506D" w:rsidP="000862C6">
            <w:pPr>
              <w:jc w:val="center"/>
              <w:rPr>
                <w:color w:val="000000"/>
                <w:sz w:val="16"/>
                <w:szCs w:val="16"/>
                <w:shd w:val="clear" w:color="auto" w:fill="FFFFFF"/>
              </w:rPr>
            </w:pPr>
            <w:r w:rsidRPr="007527BF">
              <w:rPr>
                <w:color w:val="000000"/>
                <w:sz w:val="16"/>
                <w:szCs w:val="16"/>
              </w:rPr>
              <w:t>0</w:t>
            </w:r>
            <w:r w:rsidR="007957F4" w:rsidRPr="007527BF">
              <w:rPr>
                <w:color w:val="000000"/>
                <w:sz w:val="16"/>
                <w:szCs w:val="16"/>
              </w:rPr>
              <w:t>·</w:t>
            </w:r>
            <w:r w:rsidRPr="007527BF">
              <w:rPr>
                <w:color w:val="000000"/>
                <w:sz w:val="16"/>
                <w:szCs w:val="16"/>
              </w:rPr>
              <w:t>149</w:t>
            </w:r>
            <w:r w:rsidRPr="007527BF">
              <w:rPr>
                <w:color w:val="000000"/>
                <w:sz w:val="16"/>
                <w:szCs w:val="16"/>
              </w:rPr>
              <w:br/>
              <w:t>(&lt;</w:t>
            </w:r>
            <w:r w:rsidR="007957F4" w:rsidRPr="007527BF">
              <w:rPr>
                <w:color w:val="000000"/>
                <w:sz w:val="16"/>
                <w:szCs w:val="16"/>
              </w:rPr>
              <w:t>·</w:t>
            </w:r>
            <w:r w:rsidRPr="007527BF">
              <w:rPr>
                <w:color w:val="000000"/>
                <w:sz w:val="16"/>
                <w:szCs w:val="16"/>
              </w:rPr>
              <w:t>001)</w:t>
            </w:r>
            <w:r w:rsidRPr="007527BF">
              <w:rPr>
                <w:color w:val="000000"/>
                <w:sz w:val="16"/>
                <w:szCs w:val="16"/>
              </w:rPr>
              <w:br/>
              <w:t>0</w:t>
            </w:r>
            <w:r w:rsidR="007957F4" w:rsidRPr="007527BF">
              <w:rPr>
                <w:color w:val="000000"/>
                <w:sz w:val="16"/>
                <w:szCs w:val="16"/>
              </w:rPr>
              <w:t>·</w:t>
            </w:r>
            <w:r w:rsidRPr="007527BF">
              <w:rPr>
                <w:color w:val="000000"/>
                <w:sz w:val="16"/>
                <w:szCs w:val="16"/>
              </w:rPr>
              <w:t>115, 0</w:t>
            </w:r>
            <w:r w:rsidR="007957F4" w:rsidRPr="007527BF">
              <w:rPr>
                <w:color w:val="000000"/>
                <w:sz w:val="16"/>
                <w:szCs w:val="16"/>
              </w:rPr>
              <w:t>·</w:t>
            </w:r>
            <w:r w:rsidRPr="007527BF">
              <w:rPr>
                <w:color w:val="000000"/>
                <w:sz w:val="16"/>
                <w:szCs w:val="16"/>
              </w:rPr>
              <w:t>182</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E227907" w14:textId="254B27EE" w:rsidR="00FA506D" w:rsidRPr="007527BF" w:rsidRDefault="00FA506D" w:rsidP="000862C6">
            <w:pPr>
              <w:jc w:val="center"/>
              <w:rPr>
                <w:color w:val="000000"/>
                <w:sz w:val="16"/>
                <w:szCs w:val="16"/>
                <w:shd w:val="clear" w:color="auto" w:fill="FFFFFF"/>
              </w:rPr>
            </w:pPr>
            <w:r w:rsidRPr="007527BF">
              <w:rPr>
                <w:color w:val="000000"/>
                <w:sz w:val="16"/>
                <w:szCs w:val="16"/>
              </w:rPr>
              <w:t>8</w:t>
            </w:r>
            <w:r w:rsidR="007957F4" w:rsidRPr="007527BF">
              <w:rPr>
                <w:color w:val="000000"/>
                <w:sz w:val="16"/>
                <w:szCs w:val="16"/>
              </w:rPr>
              <w:t>·</w:t>
            </w:r>
            <w:r w:rsidRPr="007527BF">
              <w:rPr>
                <w:color w:val="000000"/>
                <w:sz w:val="16"/>
                <w:szCs w:val="16"/>
              </w:rPr>
              <w:t>6%</w:t>
            </w:r>
          </w:p>
        </w:tc>
        <w:tc>
          <w:tcPr>
            <w:tcW w:w="1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B89CF18" w14:textId="628E77DE" w:rsidR="00FA506D" w:rsidRPr="007527BF" w:rsidRDefault="00FA506D" w:rsidP="000862C6">
            <w:pPr>
              <w:jc w:val="center"/>
              <w:rPr>
                <w:color w:val="000000"/>
                <w:sz w:val="16"/>
                <w:szCs w:val="16"/>
                <w:shd w:val="clear" w:color="auto" w:fill="FFFFFF"/>
              </w:rPr>
            </w:pPr>
            <w:r w:rsidRPr="007527BF">
              <w:rPr>
                <w:color w:val="000000"/>
                <w:sz w:val="16"/>
                <w:szCs w:val="16"/>
              </w:rPr>
              <w:t>0</w:t>
            </w:r>
            <w:r w:rsidR="007957F4" w:rsidRPr="007527BF">
              <w:rPr>
                <w:color w:val="000000"/>
                <w:sz w:val="16"/>
                <w:szCs w:val="16"/>
              </w:rPr>
              <w:t>·</w:t>
            </w:r>
            <w:r w:rsidRPr="007527BF">
              <w:rPr>
                <w:color w:val="000000"/>
                <w:sz w:val="16"/>
                <w:szCs w:val="16"/>
              </w:rPr>
              <w:t>069</w:t>
            </w:r>
            <w:r w:rsidRPr="007527BF">
              <w:rPr>
                <w:color w:val="000000"/>
                <w:sz w:val="16"/>
                <w:szCs w:val="16"/>
              </w:rPr>
              <w:br/>
              <w:t>(&lt;</w:t>
            </w:r>
            <w:r w:rsidR="007957F4" w:rsidRPr="007527BF">
              <w:rPr>
                <w:color w:val="000000"/>
                <w:sz w:val="16"/>
                <w:szCs w:val="16"/>
              </w:rPr>
              <w:t>·</w:t>
            </w:r>
            <w:r w:rsidRPr="007527BF">
              <w:rPr>
                <w:color w:val="000000"/>
                <w:sz w:val="16"/>
                <w:szCs w:val="16"/>
              </w:rPr>
              <w:t>001)</w:t>
            </w:r>
            <w:r w:rsidRPr="007527BF">
              <w:rPr>
                <w:color w:val="000000"/>
                <w:sz w:val="16"/>
                <w:szCs w:val="16"/>
              </w:rPr>
              <w:br/>
              <w:t>0</w:t>
            </w:r>
            <w:r w:rsidR="007957F4" w:rsidRPr="007527BF">
              <w:rPr>
                <w:color w:val="000000"/>
                <w:sz w:val="16"/>
                <w:szCs w:val="16"/>
              </w:rPr>
              <w:t>·</w:t>
            </w:r>
            <w:r w:rsidRPr="007527BF">
              <w:rPr>
                <w:color w:val="000000"/>
                <w:sz w:val="16"/>
                <w:szCs w:val="16"/>
              </w:rPr>
              <w:t>047, 0</w:t>
            </w:r>
            <w:r w:rsidR="007957F4" w:rsidRPr="007527BF">
              <w:rPr>
                <w:color w:val="000000"/>
                <w:sz w:val="16"/>
                <w:szCs w:val="16"/>
              </w:rPr>
              <w:t>·</w:t>
            </w:r>
            <w:r w:rsidRPr="007527BF">
              <w:rPr>
                <w:color w:val="000000"/>
                <w:sz w:val="16"/>
                <w:szCs w:val="16"/>
              </w:rPr>
              <w:t>092</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DAA57D" w14:textId="30F5E970" w:rsidR="00FA506D" w:rsidRPr="007527BF" w:rsidRDefault="00FA506D" w:rsidP="000862C6">
            <w:pPr>
              <w:jc w:val="center"/>
              <w:rPr>
                <w:color w:val="000000"/>
                <w:sz w:val="16"/>
                <w:szCs w:val="16"/>
                <w:shd w:val="clear" w:color="auto" w:fill="FFFFFF"/>
              </w:rPr>
            </w:pPr>
            <w:r w:rsidRPr="007527BF">
              <w:rPr>
                <w:color w:val="000000"/>
                <w:sz w:val="16"/>
                <w:szCs w:val="16"/>
              </w:rPr>
              <w:t>9</w:t>
            </w:r>
            <w:r w:rsidR="007957F4" w:rsidRPr="007527BF">
              <w:rPr>
                <w:color w:val="000000"/>
                <w:sz w:val="16"/>
                <w:szCs w:val="16"/>
              </w:rPr>
              <w:t>·</w:t>
            </w:r>
            <w:r w:rsidRPr="007527BF">
              <w:rPr>
                <w:color w:val="000000"/>
                <w:sz w:val="16"/>
                <w:szCs w:val="16"/>
              </w:rPr>
              <w:t>5%</w:t>
            </w:r>
          </w:p>
        </w:tc>
        <w:tc>
          <w:tcPr>
            <w:tcW w:w="1141" w:type="dxa"/>
            <w:tcBorders>
              <w:top w:val="single" w:sz="8" w:space="0" w:color="000000"/>
              <w:left w:val="single" w:sz="8" w:space="0" w:color="000000"/>
              <w:bottom w:val="single" w:sz="8" w:space="0" w:color="000000"/>
              <w:right w:val="single" w:sz="8" w:space="0" w:color="000000"/>
            </w:tcBorders>
          </w:tcPr>
          <w:p w14:paraId="5F0B50C0" w14:textId="2FADDBDB" w:rsidR="00FA506D" w:rsidRPr="007527BF" w:rsidRDefault="00FA506D" w:rsidP="000862C6">
            <w:pPr>
              <w:jc w:val="center"/>
              <w:rPr>
                <w:color w:val="000000"/>
                <w:sz w:val="16"/>
                <w:szCs w:val="16"/>
              </w:rPr>
            </w:pPr>
            <w:r w:rsidRPr="007527BF">
              <w:rPr>
                <w:color w:val="000000"/>
                <w:sz w:val="16"/>
                <w:szCs w:val="16"/>
              </w:rPr>
              <w:t>&lt;0</w:t>
            </w:r>
            <w:r w:rsidR="007957F4" w:rsidRPr="007527BF">
              <w:rPr>
                <w:color w:val="000000"/>
                <w:sz w:val="16"/>
                <w:szCs w:val="16"/>
              </w:rPr>
              <w:t>·</w:t>
            </w:r>
            <w:r w:rsidRPr="007527BF">
              <w:rPr>
                <w:color w:val="000000"/>
                <w:sz w:val="16"/>
                <w:szCs w:val="16"/>
              </w:rPr>
              <w:t>01</w:t>
            </w:r>
          </w:p>
        </w:tc>
      </w:tr>
      <w:tr w:rsidR="00FA506D" w:rsidRPr="007527BF" w14:paraId="5C839214" w14:textId="77777777" w:rsidTr="000862C6">
        <w:trPr>
          <w:trHeight w:val="419"/>
          <w:jc w:val="center"/>
        </w:trPr>
        <w:tc>
          <w:tcPr>
            <w:tcW w:w="9340" w:type="dxa"/>
            <w:gridSpan w:val="6"/>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515AEAA7" w14:textId="499006D5" w:rsidR="00FA506D" w:rsidRPr="007527BF" w:rsidRDefault="00FA506D" w:rsidP="000862C6">
            <w:pPr>
              <w:jc w:val="both"/>
              <w:rPr>
                <w:color w:val="000000" w:themeColor="text1"/>
                <w:sz w:val="16"/>
                <w:szCs w:val="16"/>
                <w:shd w:val="clear" w:color="auto" w:fill="FFFFFF"/>
              </w:rPr>
            </w:pPr>
            <w:r w:rsidRPr="007527BF">
              <w:rPr>
                <w:color w:val="000000" w:themeColor="text1"/>
                <w:sz w:val="16"/>
                <w:szCs w:val="16"/>
                <w:shd w:val="clear" w:color="auto" w:fill="FFFFFF"/>
                <w:vertAlign w:val="superscript"/>
              </w:rPr>
              <w:t>a</w:t>
            </w:r>
            <w:r w:rsidRPr="007527BF">
              <w:rPr>
                <w:color w:val="000000" w:themeColor="text1"/>
                <w:sz w:val="16"/>
                <w:szCs w:val="16"/>
                <w:shd w:val="clear" w:color="auto" w:fill="FFFFFF"/>
              </w:rPr>
              <w:t xml:space="preserve"> Staggered-Adoption Difference-in-Difference (DID) </w:t>
            </w:r>
            <w:r w:rsidRPr="007527BF">
              <w:rPr>
                <w:sz w:val="16"/>
                <w:szCs w:val="16"/>
              </w:rPr>
              <w:t xml:space="preserve">regression </w:t>
            </w:r>
            <w:r w:rsidRPr="007527BF">
              <w:rPr>
                <w:color w:val="000000" w:themeColor="text1"/>
                <w:sz w:val="16"/>
                <w:szCs w:val="16"/>
                <w:shd w:val="clear" w:color="auto" w:fill="FFFFFF"/>
              </w:rPr>
              <w:t>model</w:t>
            </w:r>
            <w:r w:rsidRPr="007527BF">
              <w:rPr>
                <w:color w:val="000000" w:themeColor="text1"/>
                <w:sz w:val="16"/>
                <w:szCs w:val="16"/>
                <w:shd w:val="clear" w:color="auto" w:fill="FFFFFF"/>
              </w:rPr>
              <w:fldChar w:fldCharType="begin"/>
            </w:r>
            <w:r w:rsidR="000948FC" w:rsidRPr="007527BF">
              <w:rPr>
                <w:color w:val="000000" w:themeColor="text1"/>
                <w:sz w:val="16"/>
                <w:szCs w:val="16"/>
                <w:shd w:val="clear" w:color="auto" w:fill="FFFFFF"/>
              </w:rPr>
              <w:instrText xml:space="preserve"> ADDIN EN.CITE &lt;EndNote&gt;&lt;Cite&gt;&lt;Author&gt;Athey&lt;/Author&gt;&lt;Year&gt;2022&lt;/Year&gt;&lt;RecNum&gt;20&lt;/RecNum&gt;&lt;DisplayText&gt;(88)&lt;/DisplayText&gt;&lt;record&gt;&lt;rec-number&gt;20&lt;/rec-number&gt;&lt;foreign-keys&gt;&lt;key app="EN" db-id="ss29rzpsawetatepdv8pz0toaa2aep0x9xer" timestamp="1656094872"&gt;20&lt;/key&gt;&lt;/foreign-keys&gt;&lt;ref-type name="Journal Article"&gt;17&lt;/ref-type&gt;&lt;contributors&gt;&lt;authors&gt;&lt;author&gt;Athey, Susan&lt;/author&gt;&lt;author&gt;Imbens, Guido W.&lt;/author&gt;&lt;/authors&gt;&lt;/contributors&gt;&lt;titles&gt;&lt;title&gt;Design-based analysis in Difference-In-Differences settings with staggered adoption&lt;/title&gt;&lt;secondary-title&gt;Journal of Econometrics&lt;/secondary-title&gt;&lt;/titles&gt;&lt;periodical&gt;&lt;full-title&gt;Journal of Econometrics&lt;/full-title&gt;&lt;/periodical&gt;&lt;pages&gt;62-79&lt;/pages&gt;&lt;volume&gt;226&lt;/volume&gt;&lt;number&gt;1&lt;/number&gt;&lt;keywords&gt;&lt;keyword&gt;Staggered adoption design&lt;/keyword&gt;&lt;keyword&gt;Difference-In-Differences&lt;/keyword&gt;&lt;keyword&gt;Fixed effects&lt;/keyword&gt;&lt;keyword&gt;Randomization distribution&lt;/keyword&gt;&lt;/keywords&gt;&lt;dates&gt;&lt;year&gt;2022&lt;/year&gt;&lt;pub-dates&gt;&lt;date&gt;2022/01/01/&lt;/date&gt;&lt;/pub-dates&gt;&lt;/dates&gt;&lt;isbn&gt;0304-4076&lt;/isbn&gt;&lt;urls&gt;&lt;related-urls&gt;&lt;url&gt;https://www.sciencedirect.com/science/article/pii/S0304407621000488&lt;/url&gt;&lt;/related-urls&gt;&lt;/urls&gt;&lt;electronic-resource-num&gt;https://doi.org/10.1016/j.jeconom.2020.10.012&lt;/electronic-resource-num&gt;&lt;/record&gt;&lt;/Cite&gt;&lt;/EndNote&gt;</w:instrText>
            </w:r>
            <w:r w:rsidRPr="007527BF">
              <w:rPr>
                <w:color w:val="000000" w:themeColor="text1"/>
                <w:sz w:val="16"/>
                <w:szCs w:val="16"/>
                <w:shd w:val="clear" w:color="auto" w:fill="FFFFFF"/>
              </w:rPr>
              <w:fldChar w:fldCharType="separate"/>
            </w:r>
            <w:r w:rsidR="000948FC" w:rsidRPr="007527BF">
              <w:rPr>
                <w:noProof/>
                <w:color w:val="000000" w:themeColor="text1"/>
                <w:sz w:val="16"/>
                <w:szCs w:val="16"/>
                <w:shd w:val="clear" w:color="auto" w:fill="FFFFFF"/>
              </w:rPr>
              <w:t>(88)</w:t>
            </w:r>
            <w:r w:rsidRPr="007527BF">
              <w:rPr>
                <w:color w:val="000000" w:themeColor="text1"/>
                <w:sz w:val="16"/>
                <w:szCs w:val="16"/>
                <w:shd w:val="clear" w:color="auto" w:fill="FFFFFF"/>
              </w:rPr>
              <w:fldChar w:fldCharType="end"/>
            </w:r>
            <w:r w:rsidRPr="007527BF">
              <w:rPr>
                <w:color w:val="000000" w:themeColor="text1"/>
                <w:sz w:val="16"/>
                <w:szCs w:val="16"/>
                <w:shd w:val="clear" w:color="auto" w:fill="FFFFFF"/>
              </w:rPr>
              <w:t xml:space="preserve">, adjusted for categorical age, sex, race/ethnicity, all age*race/ethnicity*sex interactions, state-level median income and percentages: male, Hispanic, non-Hispanic White, non-Hispanic Black, poverty, age 18+, unemployed. Model </w:t>
            </w:r>
            <w:r w:rsidRPr="007527BF">
              <w:rPr>
                <w:sz w:val="16"/>
                <w:szCs w:val="16"/>
              </w:rPr>
              <w:t>estimated effects represent absolute increase (positive values) or decrease (negative values) in CUD prevalence due to law enactment.  Confidence intervals not including 0</w:t>
            </w:r>
            <w:r w:rsidR="007957F4" w:rsidRPr="007527BF">
              <w:rPr>
                <w:sz w:val="16"/>
                <w:szCs w:val="16"/>
              </w:rPr>
              <w:t>·</w:t>
            </w:r>
            <w:r w:rsidRPr="007527BF">
              <w:rPr>
                <w:sz w:val="16"/>
                <w:szCs w:val="16"/>
              </w:rPr>
              <w:t xml:space="preserve">0 indicate significant changes. The </w:t>
            </w:r>
            <w:proofErr w:type="spellStart"/>
            <w:r w:rsidRPr="007527BF">
              <w:rPr>
                <w:sz w:val="16"/>
                <w:szCs w:val="16"/>
              </w:rPr>
              <w:t>DiD</w:t>
            </w:r>
            <w:proofErr w:type="spellEnd"/>
            <w:r w:rsidRPr="007527BF">
              <w:rPr>
                <w:sz w:val="16"/>
                <w:szCs w:val="16"/>
              </w:rPr>
              <w:t xml:space="preserve"> model compares the years after enactment (up to 2019 or until the next law change) in each state to the years before enactment (since 2005 or the previous law change) in the same state, and controls for contemporaneous trends in other states that have not yet passed the respective law.</w:t>
            </w:r>
          </w:p>
          <w:p w14:paraId="27E8F64A" w14:textId="77777777" w:rsidR="00FA506D" w:rsidRPr="007527BF" w:rsidRDefault="00FA506D" w:rsidP="000862C6">
            <w:pPr>
              <w:jc w:val="both"/>
              <w:rPr>
                <w:color w:val="000000" w:themeColor="text1"/>
                <w:sz w:val="16"/>
                <w:szCs w:val="16"/>
                <w:shd w:val="clear" w:color="auto" w:fill="FFFFFF"/>
              </w:rPr>
            </w:pPr>
            <w:r w:rsidRPr="007527BF">
              <w:rPr>
                <w:color w:val="000000" w:themeColor="text1"/>
                <w:sz w:val="16"/>
                <w:szCs w:val="16"/>
                <w:shd w:val="clear" w:color="auto" w:fill="FFFFFF"/>
                <w:vertAlign w:val="superscript"/>
              </w:rPr>
              <w:t xml:space="preserve">b </w:t>
            </w:r>
            <w:proofErr w:type="spellStart"/>
            <w:r w:rsidRPr="007527BF">
              <w:rPr>
                <w:color w:val="000000" w:themeColor="text1"/>
                <w:sz w:val="16"/>
                <w:szCs w:val="16"/>
                <w:shd w:val="clear" w:color="auto" w:fill="FFFFFF"/>
              </w:rPr>
              <w:t>DiD</w:t>
            </w:r>
            <w:proofErr w:type="spellEnd"/>
            <w:r w:rsidRPr="007527BF">
              <w:rPr>
                <w:color w:val="000000" w:themeColor="text1"/>
                <w:sz w:val="16"/>
                <w:szCs w:val="16"/>
                <w:shd w:val="clear" w:color="auto" w:fill="FFFFFF"/>
              </w:rPr>
              <w:t xml:space="preserve"> estimate divided by absolute change across period as shown in E-Table 1.</w:t>
            </w:r>
          </w:p>
          <w:p w14:paraId="2F3D44C2" w14:textId="77777777" w:rsidR="00FA506D" w:rsidRPr="007527BF" w:rsidRDefault="00FA506D" w:rsidP="000862C6">
            <w:pPr>
              <w:jc w:val="both"/>
              <w:rPr>
                <w:color w:val="000000" w:themeColor="text1"/>
                <w:sz w:val="16"/>
                <w:szCs w:val="16"/>
                <w:shd w:val="clear" w:color="auto" w:fill="FFFFFF"/>
                <w:vertAlign w:val="superscript"/>
              </w:rPr>
            </w:pPr>
            <w:r w:rsidRPr="007527BF">
              <w:rPr>
                <w:color w:val="000000"/>
                <w:sz w:val="16"/>
                <w:szCs w:val="16"/>
                <w:shd w:val="clear" w:color="auto" w:fill="FFFFFF"/>
                <w:vertAlign w:val="superscript"/>
              </w:rPr>
              <w:t>c</w:t>
            </w:r>
            <w:r w:rsidRPr="007527BF">
              <w:rPr>
                <w:color w:val="000000"/>
                <w:sz w:val="16"/>
                <w:szCs w:val="16"/>
                <w:shd w:val="clear" w:color="auto" w:fill="FFFFFF"/>
              </w:rPr>
              <w:t xml:space="preserve"> 21 states and DC made a change to having medical dispensaries during the period; 2 states made a change to having recreational dispensaries and 6 states made a change </w:t>
            </w:r>
            <w:proofErr w:type="gramStart"/>
            <w:r w:rsidRPr="007527BF">
              <w:rPr>
                <w:color w:val="000000"/>
                <w:sz w:val="16"/>
                <w:szCs w:val="16"/>
                <w:shd w:val="clear" w:color="auto" w:fill="FFFFFF"/>
              </w:rPr>
              <w:t>to</w:t>
            </w:r>
            <w:proofErr w:type="gramEnd"/>
            <w:r w:rsidRPr="007527BF">
              <w:rPr>
                <w:color w:val="000000"/>
                <w:sz w:val="16"/>
                <w:szCs w:val="16"/>
                <w:shd w:val="clear" w:color="auto" w:fill="FFFFFF"/>
              </w:rPr>
              <w:t xml:space="preserve"> medical and to recreational dispensaries </w:t>
            </w:r>
          </w:p>
        </w:tc>
      </w:tr>
    </w:tbl>
    <w:p w14:paraId="7D1A5F6B" w14:textId="16C65B74" w:rsidR="00FA506D" w:rsidRPr="007527BF" w:rsidRDefault="00FA506D" w:rsidP="003109F8">
      <w:pPr>
        <w:keepNext/>
        <w:autoSpaceDE w:val="0"/>
        <w:autoSpaceDN w:val="0"/>
        <w:outlineLvl w:val="0"/>
        <w:rPr>
          <w:color w:val="000000" w:themeColor="text1"/>
          <w:kern w:val="32"/>
          <w:sz w:val="16"/>
          <w:szCs w:val="16"/>
        </w:rPr>
      </w:pPr>
    </w:p>
    <w:p w14:paraId="52AF3AB8" w14:textId="77777777" w:rsidR="00FA506D" w:rsidRPr="007527BF" w:rsidRDefault="00FA506D">
      <w:pPr>
        <w:widowControl w:val="0"/>
        <w:autoSpaceDE w:val="0"/>
        <w:autoSpaceDN w:val="0"/>
        <w:rPr>
          <w:color w:val="000000" w:themeColor="text1"/>
          <w:kern w:val="32"/>
          <w:sz w:val="16"/>
          <w:szCs w:val="16"/>
        </w:rPr>
      </w:pPr>
      <w:r w:rsidRPr="007527BF">
        <w:rPr>
          <w:color w:val="000000" w:themeColor="text1"/>
          <w:kern w:val="32"/>
          <w:sz w:val="16"/>
          <w:szCs w:val="16"/>
        </w:rPr>
        <w:br w:type="page"/>
      </w:r>
    </w:p>
    <w:tbl>
      <w:tblPr>
        <w:tblW w:w="10178" w:type="dxa"/>
        <w:jc w:val="center"/>
        <w:tblLayout w:type="fixed"/>
        <w:tblCellMar>
          <w:left w:w="0" w:type="dxa"/>
          <w:right w:w="0" w:type="dxa"/>
        </w:tblCellMar>
        <w:tblLook w:val="0600" w:firstRow="0" w:lastRow="0" w:firstColumn="0" w:lastColumn="0" w:noHBand="1" w:noVBand="1"/>
      </w:tblPr>
      <w:tblGrid>
        <w:gridCol w:w="4506"/>
        <w:gridCol w:w="865"/>
        <w:gridCol w:w="865"/>
        <w:gridCol w:w="961"/>
        <w:gridCol w:w="576"/>
        <w:gridCol w:w="961"/>
        <w:gridCol w:w="1444"/>
      </w:tblGrid>
      <w:tr w:rsidR="00FA506D" w:rsidRPr="007527BF" w14:paraId="1271041C" w14:textId="77777777" w:rsidTr="007527BF">
        <w:trPr>
          <w:trHeight w:val="25"/>
          <w:jc w:val="center"/>
        </w:trPr>
        <w:tc>
          <w:tcPr>
            <w:tcW w:w="10178" w:type="dxa"/>
            <w:gridSpan w:val="7"/>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55575552" w14:textId="00960FC5" w:rsidR="00FA506D" w:rsidRPr="007527BF" w:rsidRDefault="00FA506D" w:rsidP="007527BF">
            <w:pPr>
              <w:jc w:val="center"/>
              <w:rPr>
                <w:b/>
                <w:bCs/>
                <w:color w:val="000000"/>
                <w:sz w:val="16"/>
                <w:szCs w:val="16"/>
                <w:shd w:val="clear" w:color="auto" w:fill="FFFFFF"/>
              </w:rPr>
            </w:pPr>
            <w:r w:rsidRPr="007527BF">
              <w:rPr>
                <w:b/>
                <w:bCs/>
                <w:color w:val="000000"/>
                <w:sz w:val="20"/>
                <w:szCs w:val="20"/>
                <w:shd w:val="clear" w:color="auto" w:fill="FFFFFF"/>
              </w:rPr>
              <w:lastRenderedPageBreak/>
              <w:t xml:space="preserve">E-Table 5. Adjusted CUD </w:t>
            </w:r>
            <w:proofErr w:type="spellStart"/>
            <w:r w:rsidRPr="007527BF">
              <w:rPr>
                <w:b/>
                <w:bCs/>
                <w:color w:val="000000"/>
                <w:sz w:val="20"/>
                <w:szCs w:val="20"/>
                <w:shd w:val="clear" w:color="auto" w:fill="FFFFFF"/>
              </w:rPr>
              <w:t>prevalence</w:t>
            </w:r>
            <w:r w:rsidRPr="007527BF">
              <w:rPr>
                <w:b/>
                <w:bCs/>
                <w:color w:val="000000"/>
                <w:sz w:val="20"/>
                <w:szCs w:val="20"/>
                <w:shd w:val="clear" w:color="auto" w:fill="FFFFFF"/>
                <w:vertAlign w:val="superscript"/>
              </w:rPr>
              <w:t>a</w:t>
            </w:r>
            <w:proofErr w:type="spellEnd"/>
            <w:r w:rsidRPr="007527BF">
              <w:rPr>
                <w:color w:val="000000"/>
                <w:sz w:val="20"/>
                <w:szCs w:val="20"/>
                <w:shd w:val="clear" w:color="auto" w:fill="FFFFFF"/>
                <w:vertAlign w:val="superscript"/>
              </w:rPr>
              <w:t xml:space="preserve"> </w:t>
            </w:r>
            <w:r w:rsidRPr="007527BF">
              <w:rPr>
                <w:b/>
                <w:bCs/>
                <w:color w:val="000000"/>
                <w:sz w:val="20"/>
                <w:szCs w:val="20"/>
                <w:shd w:val="clear" w:color="auto" w:fill="FFFFFF"/>
              </w:rPr>
              <w:t>in VHA patients in 2005 and 2019 by enacted state law status with 1-year lag, and absolute change over time</w:t>
            </w:r>
          </w:p>
        </w:tc>
      </w:tr>
      <w:tr w:rsidR="00FA506D" w:rsidRPr="007527BF" w14:paraId="6A3D19C4" w14:textId="77777777" w:rsidTr="007527BF">
        <w:trPr>
          <w:trHeight w:val="250"/>
          <w:jc w:val="center"/>
        </w:trPr>
        <w:tc>
          <w:tcPr>
            <w:tcW w:w="4506" w:type="dxa"/>
            <w:vMerge w:val="restart"/>
            <w:tcBorders>
              <w:top w:val="single" w:sz="8" w:space="0" w:color="000000"/>
              <w:left w:val="single" w:sz="8" w:space="0" w:color="000000"/>
              <w:right w:val="single" w:sz="8" w:space="0" w:color="000000"/>
            </w:tcBorders>
            <w:shd w:val="clear" w:color="auto" w:fill="auto"/>
            <w:tcMar>
              <w:top w:w="13" w:type="dxa"/>
              <w:left w:w="13" w:type="dxa"/>
              <w:bottom w:w="0" w:type="dxa"/>
              <w:right w:w="13" w:type="dxa"/>
            </w:tcMar>
            <w:hideMark/>
          </w:tcPr>
          <w:p w14:paraId="14B75288" w14:textId="77777777" w:rsidR="00FA506D" w:rsidRPr="007527BF" w:rsidRDefault="00FA506D" w:rsidP="000862C6">
            <w:pPr>
              <w:jc w:val="both"/>
              <w:rPr>
                <w:b/>
                <w:bCs/>
                <w:color w:val="000000"/>
                <w:sz w:val="16"/>
                <w:szCs w:val="16"/>
                <w:shd w:val="clear" w:color="auto" w:fill="FFFFFF"/>
              </w:rPr>
            </w:pPr>
          </w:p>
          <w:p w14:paraId="57E5F343" w14:textId="77777777" w:rsidR="00FA506D" w:rsidRPr="007527BF" w:rsidRDefault="00FA506D" w:rsidP="000862C6">
            <w:pPr>
              <w:jc w:val="both"/>
              <w:rPr>
                <w:b/>
                <w:bCs/>
                <w:color w:val="000000"/>
                <w:sz w:val="16"/>
                <w:szCs w:val="16"/>
                <w:shd w:val="clear" w:color="auto" w:fill="FFFFFF"/>
              </w:rPr>
            </w:pPr>
            <w:r w:rsidRPr="007527BF">
              <w:rPr>
                <w:b/>
                <w:bCs/>
                <w:color w:val="000000"/>
                <w:sz w:val="16"/>
                <w:szCs w:val="16"/>
                <w:shd w:val="clear" w:color="auto" w:fill="FFFFFF"/>
              </w:rPr>
              <w:t xml:space="preserve">Type of State </w:t>
            </w:r>
          </w:p>
          <w:p w14:paraId="2BB23299" w14:textId="77777777" w:rsidR="00FA506D" w:rsidRPr="007527BF" w:rsidRDefault="00FA506D" w:rsidP="000862C6">
            <w:pPr>
              <w:jc w:val="both"/>
              <w:rPr>
                <w:b/>
                <w:bCs/>
                <w:color w:val="000000"/>
                <w:sz w:val="16"/>
                <w:szCs w:val="16"/>
                <w:shd w:val="clear" w:color="auto" w:fill="FFFFFF"/>
              </w:rPr>
            </w:pPr>
          </w:p>
        </w:tc>
        <w:tc>
          <w:tcPr>
            <w:tcW w:w="1730"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13" w:type="dxa"/>
              <w:bottom w:w="0" w:type="dxa"/>
              <w:right w:w="13" w:type="dxa"/>
            </w:tcMar>
            <w:hideMark/>
          </w:tcPr>
          <w:p w14:paraId="6E4BE894" w14:textId="77777777" w:rsidR="00FA506D" w:rsidRPr="007527BF" w:rsidRDefault="00FA506D" w:rsidP="000862C6">
            <w:pPr>
              <w:jc w:val="center"/>
              <w:rPr>
                <w:b/>
                <w:bCs/>
                <w:color w:val="000000"/>
                <w:sz w:val="16"/>
                <w:szCs w:val="16"/>
                <w:shd w:val="clear" w:color="auto" w:fill="FFFFFF"/>
                <w:vertAlign w:val="superscript"/>
              </w:rPr>
            </w:pPr>
            <w:r w:rsidRPr="007527BF">
              <w:rPr>
                <w:b/>
                <w:bCs/>
                <w:color w:val="000000"/>
                <w:sz w:val="16"/>
                <w:szCs w:val="16"/>
                <w:shd w:val="clear" w:color="auto" w:fill="FFFFFF"/>
              </w:rPr>
              <w:t>CUD prevalence</w:t>
            </w:r>
          </w:p>
          <w:p w14:paraId="71265D2A"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w:t>
            </w:r>
          </w:p>
        </w:tc>
        <w:tc>
          <w:tcPr>
            <w:tcW w:w="961" w:type="dxa"/>
            <w:tcBorders>
              <w:top w:val="single" w:sz="8" w:space="0" w:color="000000"/>
              <w:left w:val="single" w:sz="8" w:space="0" w:color="000000"/>
              <w:bottom w:val="single" w:sz="4" w:space="0" w:color="auto"/>
              <w:right w:val="single" w:sz="8" w:space="0" w:color="000000"/>
            </w:tcBorders>
            <w:shd w:val="clear" w:color="auto" w:fill="auto"/>
          </w:tcPr>
          <w:p w14:paraId="67D10792"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 xml:space="preserve">Absolute Change </w:t>
            </w:r>
          </w:p>
        </w:tc>
        <w:tc>
          <w:tcPr>
            <w:tcW w:w="1537"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13" w:type="dxa"/>
              <w:bottom w:w="0" w:type="dxa"/>
              <w:right w:w="13" w:type="dxa"/>
            </w:tcMar>
            <w:hideMark/>
          </w:tcPr>
          <w:p w14:paraId="591C5ADB"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CUD prevalence</w:t>
            </w:r>
          </w:p>
          <w:p w14:paraId="2FD67633"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w:t>
            </w:r>
          </w:p>
        </w:tc>
        <w:tc>
          <w:tcPr>
            <w:tcW w:w="1441" w:type="dxa"/>
            <w:tcBorders>
              <w:top w:val="single" w:sz="8" w:space="0" w:color="000000"/>
              <w:left w:val="single" w:sz="8" w:space="0" w:color="000000"/>
              <w:bottom w:val="single" w:sz="4" w:space="0" w:color="auto"/>
              <w:right w:val="single" w:sz="8" w:space="0" w:color="000000"/>
            </w:tcBorders>
            <w:shd w:val="clear" w:color="auto" w:fill="auto"/>
          </w:tcPr>
          <w:p w14:paraId="518158EB"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 xml:space="preserve">Absolute Change </w:t>
            </w:r>
          </w:p>
        </w:tc>
      </w:tr>
      <w:tr w:rsidR="00FA506D" w:rsidRPr="007527BF" w14:paraId="0ACC5814" w14:textId="77777777" w:rsidTr="007527BF">
        <w:trPr>
          <w:trHeight w:val="25"/>
          <w:jc w:val="center"/>
        </w:trPr>
        <w:tc>
          <w:tcPr>
            <w:tcW w:w="4506" w:type="dxa"/>
            <w:vMerge/>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451271B5" w14:textId="77777777" w:rsidR="00FA506D" w:rsidRPr="007527BF" w:rsidRDefault="00FA506D" w:rsidP="000862C6">
            <w:pPr>
              <w:jc w:val="both"/>
              <w:rPr>
                <w:b/>
                <w:bCs/>
                <w:color w:val="000000"/>
                <w:sz w:val="16"/>
                <w:szCs w:val="16"/>
                <w:shd w:val="clear" w:color="auto" w:fill="FFFFFF"/>
              </w:rPr>
            </w:pPr>
          </w:p>
        </w:tc>
        <w:tc>
          <w:tcPr>
            <w:tcW w:w="865" w:type="dxa"/>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6FA1101B"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2005</w:t>
            </w:r>
          </w:p>
        </w:tc>
        <w:tc>
          <w:tcPr>
            <w:tcW w:w="865" w:type="dxa"/>
            <w:tcBorders>
              <w:left w:val="single" w:sz="8" w:space="0" w:color="000000"/>
              <w:bottom w:val="single" w:sz="8" w:space="0" w:color="000000"/>
              <w:right w:val="single" w:sz="8" w:space="0" w:color="000000"/>
            </w:tcBorders>
            <w:shd w:val="clear" w:color="auto" w:fill="auto"/>
          </w:tcPr>
          <w:p w14:paraId="10F3D678"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2019</w:t>
            </w:r>
          </w:p>
        </w:tc>
        <w:tc>
          <w:tcPr>
            <w:tcW w:w="961" w:type="dxa"/>
            <w:tcBorders>
              <w:left w:val="single" w:sz="8" w:space="0" w:color="000000"/>
              <w:bottom w:val="single" w:sz="8" w:space="0" w:color="000000"/>
              <w:right w:val="single" w:sz="8" w:space="0" w:color="000000"/>
            </w:tcBorders>
            <w:shd w:val="clear" w:color="auto" w:fill="auto"/>
          </w:tcPr>
          <w:p w14:paraId="75777A67"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w:t>
            </w:r>
          </w:p>
        </w:tc>
        <w:tc>
          <w:tcPr>
            <w:tcW w:w="576" w:type="dxa"/>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039FC632"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2005</w:t>
            </w:r>
          </w:p>
        </w:tc>
        <w:tc>
          <w:tcPr>
            <w:tcW w:w="961" w:type="dxa"/>
            <w:tcBorders>
              <w:left w:val="single" w:sz="8" w:space="0" w:color="000000"/>
              <w:bottom w:val="single" w:sz="8" w:space="0" w:color="000000"/>
              <w:right w:val="single" w:sz="8" w:space="0" w:color="000000"/>
            </w:tcBorders>
            <w:shd w:val="clear" w:color="auto" w:fill="auto"/>
          </w:tcPr>
          <w:p w14:paraId="23831A8C"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2019</w:t>
            </w:r>
          </w:p>
        </w:tc>
        <w:tc>
          <w:tcPr>
            <w:tcW w:w="1441" w:type="dxa"/>
            <w:tcBorders>
              <w:left w:val="single" w:sz="8" w:space="0" w:color="000000"/>
              <w:bottom w:val="single" w:sz="8" w:space="0" w:color="000000"/>
              <w:right w:val="single" w:sz="8" w:space="0" w:color="000000"/>
            </w:tcBorders>
            <w:shd w:val="clear" w:color="auto" w:fill="auto"/>
          </w:tcPr>
          <w:p w14:paraId="779E310B"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w:t>
            </w:r>
          </w:p>
        </w:tc>
      </w:tr>
      <w:tr w:rsidR="00FA506D" w:rsidRPr="007527BF" w14:paraId="1F53A4F7" w14:textId="77777777" w:rsidTr="007527BF">
        <w:trPr>
          <w:trHeight w:val="271"/>
          <w:jc w:val="center"/>
        </w:trPr>
        <w:tc>
          <w:tcPr>
            <w:tcW w:w="450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5C5BAC17" w14:textId="77777777" w:rsidR="00FA506D" w:rsidRPr="007527BF" w:rsidRDefault="00FA506D" w:rsidP="000862C6">
            <w:pPr>
              <w:jc w:val="both"/>
              <w:rPr>
                <w:b/>
                <w:bCs/>
                <w:color w:val="000000"/>
                <w:sz w:val="16"/>
                <w:szCs w:val="16"/>
                <w:shd w:val="clear" w:color="auto" w:fill="FFFFFF"/>
              </w:rPr>
            </w:pP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43E5CA5E" w14:textId="73FAF5AB" w:rsidR="00FA506D" w:rsidRPr="007527BF" w:rsidRDefault="00C942E3" w:rsidP="000862C6">
            <w:pPr>
              <w:jc w:val="center"/>
              <w:rPr>
                <w:b/>
                <w:bCs/>
                <w:color w:val="000000"/>
                <w:sz w:val="16"/>
                <w:szCs w:val="16"/>
                <w:shd w:val="clear" w:color="auto" w:fill="FFFFFF"/>
              </w:rPr>
            </w:pPr>
            <w:r w:rsidRPr="007527BF">
              <w:rPr>
                <w:b/>
                <w:bCs/>
                <w:color w:val="000000"/>
                <w:sz w:val="16"/>
                <w:szCs w:val="16"/>
                <w:shd w:val="clear" w:color="auto" w:fill="FFFFFF"/>
              </w:rPr>
              <w:t>Patients with chronic p</w:t>
            </w:r>
            <w:r w:rsidR="00FA506D" w:rsidRPr="007527BF">
              <w:rPr>
                <w:b/>
                <w:bCs/>
                <w:color w:val="000000"/>
                <w:sz w:val="16"/>
                <w:szCs w:val="16"/>
                <w:shd w:val="clear" w:color="auto" w:fill="FFFFFF"/>
              </w:rPr>
              <w:t>ain</w:t>
            </w:r>
          </w:p>
        </w:tc>
        <w:tc>
          <w:tcPr>
            <w:tcW w:w="2979"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61915415" w14:textId="42B9FBBA" w:rsidR="00FA506D" w:rsidRPr="007527BF" w:rsidRDefault="00C942E3" w:rsidP="000862C6">
            <w:pPr>
              <w:jc w:val="center"/>
              <w:rPr>
                <w:b/>
                <w:bCs/>
                <w:color w:val="000000"/>
                <w:sz w:val="16"/>
                <w:szCs w:val="16"/>
                <w:shd w:val="clear" w:color="auto" w:fill="FFFFFF"/>
              </w:rPr>
            </w:pPr>
            <w:r w:rsidRPr="007527BF">
              <w:rPr>
                <w:b/>
                <w:bCs/>
                <w:color w:val="000000"/>
                <w:sz w:val="16"/>
                <w:szCs w:val="16"/>
                <w:shd w:val="clear" w:color="auto" w:fill="FFFFFF"/>
              </w:rPr>
              <w:t>Patients without chronic</w:t>
            </w:r>
            <w:r w:rsidR="00FA506D" w:rsidRPr="007527BF">
              <w:rPr>
                <w:b/>
                <w:bCs/>
                <w:color w:val="000000"/>
                <w:sz w:val="16"/>
                <w:szCs w:val="16"/>
                <w:shd w:val="clear" w:color="auto" w:fill="FFFFFF"/>
              </w:rPr>
              <w:t xml:space="preserve"> pain</w:t>
            </w:r>
          </w:p>
        </w:tc>
      </w:tr>
      <w:tr w:rsidR="00FA506D" w:rsidRPr="007527BF" w14:paraId="660952BE" w14:textId="77777777" w:rsidTr="007527BF">
        <w:trPr>
          <w:trHeight w:val="25"/>
          <w:jc w:val="center"/>
        </w:trPr>
        <w:tc>
          <w:tcPr>
            <w:tcW w:w="450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66EC4A74" w14:textId="77777777" w:rsidR="00FA506D" w:rsidRPr="007527BF" w:rsidRDefault="00FA506D" w:rsidP="000862C6">
            <w:pPr>
              <w:rPr>
                <w:b/>
                <w:bCs/>
                <w:color w:val="000000"/>
                <w:sz w:val="16"/>
                <w:szCs w:val="16"/>
                <w:shd w:val="clear" w:color="auto" w:fill="FFFFFF"/>
              </w:rPr>
            </w:pPr>
            <w:r w:rsidRPr="007527BF">
              <w:rPr>
                <w:b/>
                <w:bCs/>
                <w:color w:val="000000"/>
                <w:sz w:val="16"/>
                <w:szCs w:val="16"/>
                <w:shd w:val="clear" w:color="auto" w:fill="FFFFFF"/>
              </w:rPr>
              <w:t>No-CL (17 states by 2019)</w:t>
            </w:r>
          </w:p>
        </w:tc>
        <w:tc>
          <w:tcPr>
            <w:tcW w:w="865" w:type="dxa"/>
            <w:tcBorders>
              <w:top w:val="single" w:sz="8" w:space="0" w:color="000000"/>
              <w:left w:val="single" w:sz="8" w:space="0" w:color="000000"/>
              <w:bottom w:val="single" w:sz="8" w:space="0" w:color="000000"/>
              <w:right w:val="single" w:sz="8" w:space="0" w:color="000000"/>
            </w:tcBorders>
            <w:shd w:val="clear" w:color="auto" w:fill="auto"/>
          </w:tcPr>
          <w:p w14:paraId="11F14339" w14:textId="0F73F40F"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73</w:t>
            </w:r>
          </w:p>
        </w:tc>
        <w:tc>
          <w:tcPr>
            <w:tcW w:w="865" w:type="dxa"/>
            <w:tcBorders>
              <w:top w:val="single" w:sz="8" w:space="0" w:color="000000"/>
              <w:left w:val="single" w:sz="8" w:space="0" w:color="000000"/>
              <w:bottom w:val="single" w:sz="8" w:space="0" w:color="000000"/>
              <w:right w:val="single" w:sz="8" w:space="0" w:color="000000"/>
            </w:tcBorders>
            <w:shd w:val="clear" w:color="auto" w:fill="auto"/>
          </w:tcPr>
          <w:p w14:paraId="6FAC9794" w14:textId="6F9680D4" w:rsidR="00FA506D" w:rsidRPr="007527BF" w:rsidRDefault="00FA506D" w:rsidP="000862C6">
            <w:pPr>
              <w:jc w:val="center"/>
              <w:rPr>
                <w:color w:val="000000"/>
                <w:sz w:val="16"/>
                <w:szCs w:val="16"/>
                <w:shd w:val="clear" w:color="auto" w:fill="FFFFFF"/>
              </w:rPr>
            </w:pPr>
            <w:r w:rsidRPr="007527BF">
              <w:rPr>
                <w:color w:val="000000"/>
                <w:sz w:val="16"/>
                <w:szCs w:val="16"/>
              </w:rPr>
              <w:t>2</w:t>
            </w:r>
            <w:r w:rsidR="007957F4" w:rsidRPr="007527BF">
              <w:rPr>
                <w:color w:val="000000"/>
                <w:sz w:val="16"/>
                <w:szCs w:val="16"/>
              </w:rPr>
              <w:t>·</w:t>
            </w:r>
            <w:r w:rsidRPr="007527BF">
              <w:rPr>
                <w:color w:val="000000"/>
                <w:sz w:val="16"/>
                <w:szCs w:val="16"/>
              </w:rPr>
              <w:t>92</w:t>
            </w:r>
          </w:p>
        </w:tc>
        <w:tc>
          <w:tcPr>
            <w:tcW w:w="961" w:type="dxa"/>
            <w:tcBorders>
              <w:top w:val="single" w:sz="8" w:space="0" w:color="000000"/>
              <w:left w:val="single" w:sz="8" w:space="0" w:color="000000"/>
              <w:bottom w:val="single" w:sz="8" w:space="0" w:color="000000"/>
              <w:right w:val="single" w:sz="8" w:space="0" w:color="000000"/>
            </w:tcBorders>
            <w:shd w:val="clear" w:color="auto" w:fill="auto"/>
          </w:tcPr>
          <w:p w14:paraId="4B3FF99B" w14:textId="585591B2"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19</w:t>
            </w:r>
          </w:p>
        </w:tc>
        <w:tc>
          <w:tcPr>
            <w:tcW w:w="576" w:type="dxa"/>
            <w:tcBorders>
              <w:top w:val="single" w:sz="8" w:space="0" w:color="000000"/>
              <w:left w:val="single" w:sz="8" w:space="0" w:color="000000"/>
              <w:bottom w:val="single" w:sz="8" w:space="0" w:color="000000"/>
              <w:right w:val="single" w:sz="8" w:space="0" w:color="000000"/>
            </w:tcBorders>
            <w:shd w:val="clear" w:color="auto" w:fill="auto"/>
          </w:tcPr>
          <w:p w14:paraId="70579E6D" w14:textId="0C7EEED5"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00</w:t>
            </w:r>
          </w:p>
        </w:tc>
        <w:tc>
          <w:tcPr>
            <w:tcW w:w="961" w:type="dxa"/>
            <w:tcBorders>
              <w:top w:val="single" w:sz="8" w:space="0" w:color="000000"/>
              <w:left w:val="single" w:sz="8" w:space="0" w:color="000000"/>
              <w:bottom w:val="single" w:sz="8" w:space="0" w:color="000000"/>
              <w:right w:val="single" w:sz="8" w:space="0" w:color="000000"/>
            </w:tcBorders>
            <w:shd w:val="clear" w:color="auto" w:fill="auto"/>
          </w:tcPr>
          <w:p w14:paraId="6C65A3BF" w14:textId="3191E318"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53</w:t>
            </w:r>
          </w:p>
        </w:tc>
        <w:tc>
          <w:tcPr>
            <w:tcW w:w="1441" w:type="dxa"/>
            <w:tcBorders>
              <w:top w:val="single" w:sz="8" w:space="0" w:color="000000"/>
              <w:left w:val="single" w:sz="8" w:space="0" w:color="000000"/>
              <w:bottom w:val="single" w:sz="8" w:space="0" w:color="000000"/>
              <w:right w:val="single" w:sz="8" w:space="0" w:color="000000"/>
            </w:tcBorders>
            <w:shd w:val="clear" w:color="auto" w:fill="auto"/>
          </w:tcPr>
          <w:p w14:paraId="1247C2D0" w14:textId="5B9A821B" w:rsidR="00FA506D" w:rsidRPr="007527BF" w:rsidRDefault="00FA506D" w:rsidP="000862C6">
            <w:pPr>
              <w:jc w:val="center"/>
              <w:rPr>
                <w:color w:val="000000"/>
                <w:sz w:val="16"/>
                <w:szCs w:val="16"/>
                <w:shd w:val="clear" w:color="auto" w:fill="FFFFFF"/>
              </w:rPr>
            </w:pPr>
            <w:r w:rsidRPr="007527BF">
              <w:rPr>
                <w:color w:val="000000"/>
                <w:sz w:val="16"/>
                <w:szCs w:val="16"/>
              </w:rPr>
              <w:t>0</w:t>
            </w:r>
            <w:r w:rsidR="007957F4" w:rsidRPr="007527BF">
              <w:rPr>
                <w:color w:val="000000"/>
                <w:sz w:val="16"/>
                <w:szCs w:val="16"/>
              </w:rPr>
              <w:t>·</w:t>
            </w:r>
            <w:r w:rsidRPr="007527BF">
              <w:rPr>
                <w:color w:val="000000"/>
                <w:sz w:val="16"/>
                <w:szCs w:val="16"/>
              </w:rPr>
              <w:t>54</w:t>
            </w:r>
          </w:p>
        </w:tc>
      </w:tr>
      <w:tr w:rsidR="00FA506D" w:rsidRPr="007527BF" w14:paraId="0CA21085" w14:textId="77777777" w:rsidTr="007527BF">
        <w:trPr>
          <w:trHeight w:val="22"/>
          <w:jc w:val="center"/>
        </w:trPr>
        <w:tc>
          <w:tcPr>
            <w:tcW w:w="450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0EB8312C" w14:textId="77777777" w:rsidR="00FA506D" w:rsidRPr="007527BF" w:rsidRDefault="00FA506D" w:rsidP="000862C6">
            <w:pPr>
              <w:jc w:val="both"/>
              <w:rPr>
                <w:b/>
                <w:bCs/>
                <w:color w:val="000000"/>
                <w:sz w:val="16"/>
                <w:szCs w:val="16"/>
                <w:shd w:val="clear" w:color="auto" w:fill="FFFFFF"/>
              </w:rPr>
            </w:pPr>
            <w:r w:rsidRPr="007527BF">
              <w:rPr>
                <w:b/>
                <w:bCs/>
                <w:color w:val="000000"/>
                <w:sz w:val="16"/>
                <w:szCs w:val="16"/>
                <w:shd w:val="clear" w:color="auto" w:fill="FFFFFF"/>
              </w:rPr>
              <w:t xml:space="preserve">MCL-Only (23 states by </w:t>
            </w:r>
            <w:proofErr w:type="gramStart"/>
            <w:r w:rsidRPr="007527BF">
              <w:rPr>
                <w:b/>
                <w:bCs/>
                <w:color w:val="000000"/>
                <w:sz w:val="16"/>
                <w:szCs w:val="16"/>
                <w:shd w:val="clear" w:color="auto" w:fill="FFFFFF"/>
              </w:rPr>
              <w:t>2019)</w:t>
            </w:r>
            <w:r w:rsidRPr="007527BF">
              <w:rPr>
                <w:b/>
                <w:bCs/>
                <w:color w:val="000000"/>
                <w:sz w:val="16"/>
                <w:szCs w:val="16"/>
                <w:shd w:val="clear" w:color="auto" w:fill="FFFFFF"/>
                <w:vertAlign w:val="superscript"/>
              </w:rPr>
              <w:t>d</w:t>
            </w:r>
            <w:proofErr w:type="gramEnd"/>
          </w:p>
          <w:p w14:paraId="4B4318E9" w14:textId="77777777" w:rsidR="00FA506D" w:rsidRPr="007527BF" w:rsidRDefault="00FA506D" w:rsidP="000862C6">
            <w:pPr>
              <w:rPr>
                <w:b/>
                <w:bCs/>
                <w:color w:val="000000"/>
                <w:sz w:val="16"/>
                <w:szCs w:val="16"/>
                <w:shd w:val="clear" w:color="auto" w:fill="FFFFFF"/>
              </w:rPr>
            </w:pP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81F77C3" w14:textId="71541529"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74</w:t>
            </w:r>
          </w:p>
        </w:tc>
        <w:tc>
          <w:tcPr>
            <w:tcW w:w="865" w:type="dxa"/>
            <w:tcBorders>
              <w:top w:val="single" w:sz="8" w:space="0" w:color="000000"/>
              <w:left w:val="single" w:sz="8" w:space="0" w:color="000000"/>
              <w:bottom w:val="single" w:sz="8" w:space="0" w:color="000000"/>
              <w:right w:val="single" w:sz="8" w:space="0" w:color="000000"/>
            </w:tcBorders>
            <w:shd w:val="clear" w:color="auto" w:fill="auto"/>
          </w:tcPr>
          <w:p w14:paraId="1A425ADE" w14:textId="7F849BCB" w:rsidR="00FA506D" w:rsidRPr="007527BF" w:rsidRDefault="00FA506D" w:rsidP="000862C6">
            <w:pPr>
              <w:jc w:val="center"/>
              <w:rPr>
                <w:color w:val="000000"/>
                <w:sz w:val="16"/>
                <w:szCs w:val="16"/>
                <w:shd w:val="clear" w:color="auto" w:fill="FFFFFF"/>
                <w:vertAlign w:val="superscript"/>
              </w:rPr>
            </w:pPr>
            <w:r w:rsidRPr="007527BF">
              <w:rPr>
                <w:color w:val="000000"/>
                <w:sz w:val="16"/>
                <w:szCs w:val="16"/>
              </w:rPr>
              <w:t>3</w:t>
            </w:r>
            <w:r w:rsidR="007957F4" w:rsidRPr="007527BF">
              <w:rPr>
                <w:color w:val="000000"/>
                <w:sz w:val="16"/>
                <w:szCs w:val="16"/>
              </w:rPr>
              <w:t>·</w:t>
            </w:r>
            <w:r w:rsidRPr="007527BF">
              <w:rPr>
                <w:color w:val="000000"/>
                <w:sz w:val="16"/>
                <w:szCs w:val="16"/>
              </w:rPr>
              <w:t>38</w:t>
            </w:r>
          </w:p>
        </w:tc>
        <w:tc>
          <w:tcPr>
            <w:tcW w:w="961" w:type="dxa"/>
            <w:tcBorders>
              <w:top w:val="single" w:sz="8" w:space="0" w:color="000000"/>
              <w:left w:val="single" w:sz="8" w:space="0" w:color="000000"/>
              <w:bottom w:val="single" w:sz="8" w:space="0" w:color="000000"/>
              <w:right w:val="single" w:sz="8" w:space="0" w:color="000000"/>
            </w:tcBorders>
            <w:shd w:val="clear" w:color="auto" w:fill="auto"/>
          </w:tcPr>
          <w:p w14:paraId="7EA4C71E" w14:textId="17BBDEB6" w:rsidR="00FA506D" w:rsidRPr="007527BF" w:rsidRDefault="00FA506D" w:rsidP="000862C6">
            <w:pPr>
              <w:jc w:val="center"/>
              <w:rPr>
                <w:color w:val="000000"/>
                <w:sz w:val="16"/>
                <w:szCs w:val="16"/>
                <w:shd w:val="clear" w:color="auto" w:fill="FFFFFF"/>
                <w:vertAlign w:val="superscript"/>
              </w:rPr>
            </w:pPr>
            <w:r w:rsidRPr="007527BF">
              <w:rPr>
                <w:color w:val="000000"/>
                <w:sz w:val="16"/>
                <w:szCs w:val="16"/>
              </w:rPr>
              <w:t>1</w:t>
            </w:r>
            <w:r w:rsidR="007957F4" w:rsidRPr="007527BF">
              <w:rPr>
                <w:color w:val="000000"/>
                <w:sz w:val="16"/>
                <w:szCs w:val="16"/>
              </w:rPr>
              <w:t>·</w:t>
            </w:r>
            <w:r w:rsidRPr="007527BF">
              <w:rPr>
                <w:color w:val="000000"/>
                <w:sz w:val="16"/>
                <w:szCs w:val="16"/>
              </w:rPr>
              <w:t>64</w:t>
            </w:r>
            <w:r w:rsidRPr="007527BF">
              <w:rPr>
                <w:color w:val="000000"/>
                <w:sz w:val="16"/>
                <w:szCs w:val="16"/>
                <w:vertAlign w:val="superscript"/>
              </w:rPr>
              <w:t>b</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277CD40" w14:textId="624AD641"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00</w:t>
            </w:r>
          </w:p>
        </w:tc>
        <w:tc>
          <w:tcPr>
            <w:tcW w:w="961" w:type="dxa"/>
            <w:tcBorders>
              <w:top w:val="single" w:sz="8" w:space="0" w:color="000000"/>
              <w:left w:val="single" w:sz="8" w:space="0" w:color="000000"/>
              <w:bottom w:val="single" w:sz="8" w:space="0" w:color="000000"/>
              <w:right w:val="single" w:sz="8" w:space="0" w:color="000000"/>
            </w:tcBorders>
            <w:shd w:val="clear" w:color="auto" w:fill="auto"/>
          </w:tcPr>
          <w:p w14:paraId="1909D3C3" w14:textId="67AD4492"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67</w:t>
            </w:r>
          </w:p>
        </w:tc>
        <w:tc>
          <w:tcPr>
            <w:tcW w:w="1441" w:type="dxa"/>
            <w:tcBorders>
              <w:top w:val="single" w:sz="8" w:space="0" w:color="000000"/>
              <w:left w:val="single" w:sz="8" w:space="0" w:color="000000"/>
              <w:bottom w:val="single" w:sz="8" w:space="0" w:color="000000"/>
              <w:right w:val="single" w:sz="8" w:space="0" w:color="000000"/>
            </w:tcBorders>
            <w:shd w:val="clear" w:color="auto" w:fill="auto"/>
          </w:tcPr>
          <w:p w14:paraId="290DAC91" w14:textId="31F3425F" w:rsidR="00FA506D" w:rsidRPr="007527BF" w:rsidRDefault="00FA506D" w:rsidP="000862C6">
            <w:pPr>
              <w:jc w:val="center"/>
              <w:rPr>
                <w:color w:val="000000"/>
                <w:sz w:val="16"/>
                <w:szCs w:val="16"/>
                <w:shd w:val="clear" w:color="auto" w:fill="FFFFFF"/>
                <w:vertAlign w:val="superscript"/>
              </w:rPr>
            </w:pPr>
            <w:r w:rsidRPr="007527BF">
              <w:rPr>
                <w:color w:val="000000"/>
                <w:sz w:val="16"/>
                <w:szCs w:val="16"/>
              </w:rPr>
              <w:t>0</w:t>
            </w:r>
            <w:r w:rsidR="007957F4" w:rsidRPr="007527BF">
              <w:rPr>
                <w:color w:val="000000"/>
                <w:sz w:val="16"/>
                <w:szCs w:val="16"/>
              </w:rPr>
              <w:t>·</w:t>
            </w:r>
            <w:r w:rsidRPr="007527BF">
              <w:rPr>
                <w:color w:val="000000"/>
                <w:sz w:val="16"/>
                <w:szCs w:val="16"/>
              </w:rPr>
              <w:t>67</w:t>
            </w:r>
            <w:r w:rsidRPr="007527BF">
              <w:rPr>
                <w:color w:val="000000"/>
                <w:sz w:val="16"/>
                <w:szCs w:val="16"/>
                <w:vertAlign w:val="superscript"/>
              </w:rPr>
              <w:t>b</w:t>
            </w:r>
          </w:p>
        </w:tc>
      </w:tr>
      <w:tr w:rsidR="00FA506D" w:rsidRPr="007527BF" w14:paraId="165B9C80" w14:textId="77777777" w:rsidTr="007527BF">
        <w:trPr>
          <w:trHeight w:val="235"/>
          <w:jc w:val="center"/>
        </w:trPr>
        <w:tc>
          <w:tcPr>
            <w:tcW w:w="450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406069A0" w14:textId="77777777" w:rsidR="00FA506D" w:rsidRPr="007527BF" w:rsidRDefault="00FA506D" w:rsidP="000862C6">
            <w:pPr>
              <w:jc w:val="both"/>
              <w:rPr>
                <w:b/>
                <w:bCs/>
                <w:color w:val="000000"/>
                <w:sz w:val="16"/>
                <w:szCs w:val="16"/>
                <w:shd w:val="clear" w:color="auto" w:fill="FFFFFF"/>
              </w:rPr>
            </w:pPr>
            <w:r w:rsidRPr="007527BF">
              <w:rPr>
                <w:b/>
                <w:bCs/>
                <w:color w:val="000000"/>
                <w:sz w:val="16"/>
                <w:szCs w:val="16"/>
                <w:shd w:val="clear" w:color="auto" w:fill="FFFFFF"/>
              </w:rPr>
              <w:t xml:space="preserve">MCL/RCL (10 states and DC by </w:t>
            </w:r>
            <w:proofErr w:type="gramStart"/>
            <w:r w:rsidRPr="007527BF">
              <w:rPr>
                <w:b/>
                <w:bCs/>
                <w:color w:val="000000"/>
                <w:sz w:val="16"/>
                <w:szCs w:val="16"/>
                <w:shd w:val="clear" w:color="auto" w:fill="FFFFFF"/>
              </w:rPr>
              <w:t>2019)</w:t>
            </w:r>
            <w:r w:rsidRPr="007527BF">
              <w:rPr>
                <w:b/>
                <w:bCs/>
                <w:color w:val="000000"/>
                <w:sz w:val="16"/>
                <w:szCs w:val="16"/>
                <w:shd w:val="clear" w:color="auto" w:fill="FFFFFF"/>
                <w:vertAlign w:val="superscript"/>
              </w:rPr>
              <w:t>d</w:t>
            </w:r>
            <w:proofErr w:type="gramEnd"/>
          </w:p>
          <w:p w14:paraId="4DC0F884" w14:textId="77777777" w:rsidR="00FA506D" w:rsidRPr="007527BF" w:rsidRDefault="00FA506D" w:rsidP="000862C6">
            <w:pPr>
              <w:rPr>
                <w:b/>
                <w:bCs/>
                <w:color w:val="000000"/>
                <w:sz w:val="16"/>
                <w:szCs w:val="16"/>
                <w:shd w:val="clear" w:color="auto" w:fill="FFFFFF"/>
              </w:rPr>
            </w:pP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F0AAE2D" w14:textId="02D7CD72"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77</w:t>
            </w:r>
          </w:p>
        </w:tc>
        <w:tc>
          <w:tcPr>
            <w:tcW w:w="865" w:type="dxa"/>
            <w:tcBorders>
              <w:top w:val="single" w:sz="8" w:space="0" w:color="000000"/>
              <w:left w:val="single" w:sz="8" w:space="0" w:color="000000"/>
              <w:bottom w:val="single" w:sz="8" w:space="0" w:color="000000"/>
              <w:right w:val="single" w:sz="8" w:space="0" w:color="000000"/>
            </w:tcBorders>
            <w:shd w:val="clear" w:color="auto" w:fill="auto"/>
          </w:tcPr>
          <w:p w14:paraId="57C8E676" w14:textId="61FDD38D" w:rsidR="00FA506D" w:rsidRPr="007527BF" w:rsidRDefault="00FA506D" w:rsidP="000862C6">
            <w:pPr>
              <w:jc w:val="center"/>
              <w:rPr>
                <w:color w:val="000000"/>
                <w:sz w:val="16"/>
                <w:szCs w:val="16"/>
                <w:shd w:val="clear" w:color="auto" w:fill="FFFFFF"/>
              </w:rPr>
            </w:pPr>
            <w:r w:rsidRPr="007527BF">
              <w:rPr>
                <w:color w:val="000000"/>
                <w:sz w:val="16"/>
                <w:szCs w:val="16"/>
              </w:rPr>
              <w:t>3</w:t>
            </w:r>
            <w:r w:rsidR="007957F4" w:rsidRPr="007527BF">
              <w:rPr>
                <w:color w:val="000000"/>
                <w:sz w:val="16"/>
                <w:szCs w:val="16"/>
              </w:rPr>
              <w:t>·</w:t>
            </w:r>
            <w:r w:rsidRPr="007527BF">
              <w:rPr>
                <w:color w:val="000000"/>
                <w:sz w:val="16"/>
                <w:szCs w:val="16"/>
              </w:rPr>
              <w:t>44</w:t>
            </w:r>
          </w:p>
        </w:tc>
        <w:tc>
          <w:tcPr>
            <w:tcW w:w="961" w:type="dxa"/>
            <w:tcBorders>
              <w:top w:val="single" w:sz="8" w:space="0" w:color="000000"/>
              <w:left w:val="single" w:sz="8" w:space="0" w:color="000000"/>
              <w:bottom w:val="single" w:sz="8" w:space="0" w:color="000000"/>
              <w:right w:val="single" w:sz="8" w:space="0" w:color="000000"/>
            </w:tcBorders>
            <w:shd w:val="clear" w:color="auto" w:fill="auto"/>
          </w:tcPr>
          <w:p w14:paraId="513E2F48" w14:textId="477286AD" w:rsidR="00FA506D" w:rsidRPr="007527BF" w:rsidRDefault="00FA506D" w:rsidP="000862C6">
            <w:pPr>
              <w:jc w:val="center"/>
              <w:rPr>
                <w:color w:val="000000"/>
                <w:sz w:val="16"/>
                <w:szCs w:val="16"/>
                <w:shd w:val="clear" w:color="auto" w:fill="FFFFFF"/>
                <w:vertAlign w:val="superscript"/>
              </w:rPr>
            </w:pPr>
            <w:r w:rsidRPr="007527BF">
              <w:rPr>
                <w:color w:val="000000"/>
                <w:sz w:val="16"/>
                <w:szCs w:val="16"/>
              </w:rPr>
              <w:t>1</w:t>
            </w:r>
            <w:r w:rsidR="007957F4" w:rsidRPr="007527BF">
              <w:rPr>
                <w:color w:val="000000"/>
                <w:sz w:val="16"/>
                <w:szCs w:val="16"/>
              </w:rPr>
              <w:t>·</w:t>
            </w:r>
            <w:r w:rsidRPr="007527BF">
              <w:rPr>
                <w:color w:val="000000"/>
                <w:sz w:val="16"/>
                <w:szCs w:val="16"/>
              </w:rPr>
              <w:t>67</w:t>
            </w:r>
            <w:r w:rsidRPr="007527BF">
              <w:rPr>
                <w:color w:val="000000"/>
                <w:sz w:val="16"/>
                <w:szCs w:val="16"/>
                <w:vertAlign w:val="superscript"/>
              </w:rPr>
              <w:t>c</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9A8C501" w14:textId="5BF59907"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03</w:t>
            </w:r>
          </w:p>
        </w:tc>
        <w:tc>
          <w:tcPr>
            <w:tcW w:w="961" w:type="dxa"/>
            <w:tcBorders>
              <w:top w:val="single" w:sz="8" w:space="0" w:color="000000"/>
              <w:left w:val="single" w:sz="8" w:space="0" w:color="000000"/>
              <w:bottom w:val="single" w:sz="8" w:space="0" w:color="000000"/>
              <w:right w:val="single" w:sz="8" w:space="0" w:color="000000"/>
            </w:tcBorders>
            <w:shd w:val="clear" w:color="auto" w:fill="auto"/>
          </w:tcPr>
          <w:p w14:paraId="3A9AAE20" w14:textId="2D833FDA"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75</w:t>
            </w:r>
          </w:p>
        </w:tc>
        <w:tc>
          <w:tcPr>
            <w:tcW w:w="1441" w:type="dxa"/>
            <w:tcBorders>
              <w:top w:val="single" w:sz="8" w:space="0" w:color="000000"/>
              <w:left w:val="single" w:sz="8" w:space="0" w:color="000000"/>
              <w:bottom w:val="single" w:sz="8" w:space="0" w:color="000000"/>
              <w:right w:val="single" w:sz="8" w:space="0" w:color="000000"/>
            </w:tcBorders>
            <w:shd w:val="clear" w:color="auto" w:fill="auto"/>
          </w:tcPr>
          <w:p w14:paraId="5B16D7A4" w14:textId="5B24DE23" w:rsidR="00FA506D" w:rsidRPr="007527BF" w:rsidRDefault="00FA506D" w:rsidP="000862C6">
            <w:pPr>
              <w:jc w:val="center"/>
              <w:rPr>
                <w:color w:val="000000"/>
                <w:sz w:val="16"/>
                <w:szCs w:val="16"/>
                <w:shd w:val="clear" w:color="auto" w:fill="FFFFFF"/>
                <w:vertAlign w:val="superscript"/>
              </w:rPr>
            </w:pPr>
            <w:r w:rsidRPr="007527BF">
              <w:rPr>
                <w:color w:val="000000"/>
                <w:sz w:val="16"/>
                <w:szCs w:val="16"/>
              </w:rPr>
              <w:t>0</w:t>
            </w:r>
            <w:r w:rsidR="007957F4" w:rsidRPr="007527BF">
              <w:rPr>
                <w:color w:val="000000"/>
                <w:sz w:val="16"/>
                <w:szCs w:val="16"/>
              </w:rPr>
              <w:t>·</w:t>
            </w:r>
            <w:r w:rsidRPr="007527BF">
              <w:rPr>
                <w:color w:val="000000"/>
                <w:sz w:val="16"/>
                <w:szCs w:val="16"/>
              </w:rPr>
              <w:t>71</w:t>
            </w:r>
            <w:r w:rsidRPr="007527BF">
              <w:rPr>
                <w:color w:val="000000"/>
                <w:sz w:val="16"/>
                <w:szCs w:val="16"/>
                <w:vertAlign w:val="superscript"/>
              </w:rPr>
              <w:t>c</w:t>
            </w:r>
          </w:p>
        </w:tc>
      </w:tr>
      <w:tr w:rsidR="00FA506D" w:rsidRPr="007527BF" w14:paraId="770FDEFC" w14:textId="77777777" w:rsidTr="007527BF">
        <w:trPr>
          <w:trHeight w:val="25"/>
          <w:jc w:val="center"/>
        </w:trPr>
        <w:tc>
          <w:tcPr>
            <w:tcW w:w="10178" w:type="dxa"/>
            <w:gridSpan w:val="7"/>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538F9FE2" w14:textId="77777777" w:rsidR="00FA506D" w:rsidRPr="007527BF" w:rsidRDefault="00FA506D" w:rsidP="000862C6">
            <w:pPr>
              <w:jc w:val="both"/>
              <w:rPr>
                <w:color w:val="000000"/>
                <w:sz w:val="16"/>
                <w:szCs w:val="16"/>
                <w:shd w:val="clear" w:color="auto" w:fill="FFFFFF"/>
              </w:rPr>
            </w:pPr>
            <w:proofErr w:type="spellStart"/>
            <w:proofErr w:type="gramStart"/>
            <w:r w:rsidRPr="007527BF">
              <w:rPr>
                <w:color w:val="000000"/>
                <w:sz w:val="16"/>
                <w:szCs w:val="16"/>
                <w:shd w:val="clear" w:color="auto" w:fill="FFFFFF"/>
                <w:vertAlign w:val="superscript"/>
              </w:rPr>
              <w:t>a</w:t>
            </w:r>
            <w:proofErr w:type="spellEnd"/>
            <w:proofErr w:type="gramEnd"/>
            <w:r w:rsidRPr="007527BF">
              <w:rPr>
                <w:color w:val="000000"/>
                <w:sz w:val="16"/>
                <w:szCs w:val="16"/>
                <w:shd w:val="clear" w:color="auto" w:fill="FFFFFF"/>
              </w:rPr>
              <w:t xml:space="preserve"> Adjusted for categorical age, sex, race/ethnicity, all age*race/ethnicity*sex interactions, state-level median income and percentages: male, Hispanic, non-Hispanic White, non-Hispanic Black, poverty, age 18+, unemployed.</w:t>
            </w:r>
          </w:p>
          <w:p w14:paraId="47F58295" w14:textId="77777777" w:rsidR="00FA506D" w:rsidRPr="007527BF" w:rsidRDefault="00FA506D" w:rsidP="000862C6">
            <w:pPr>
              <w:pStyle w:val="NoSpacing"/>
              <w:rPr>
                <w:rFonts w:ascii="Times New Roman" w:hAnsi="Times New Roman" w:cs="Times New Roman"/>
                <w:sz w:val="16"/>
                <w:szCs w:val="16"/>
                <w:shd w:val="clear" w:color="auto" w:fill="FFFFFF"/>
              </w:rPr>
            </w:pPr>
            <w:r w:rsidRPr="007527BF">
              <w:rPr>
                <w:rFonts w:ascii="Times New Roman" w:hAnsi="Times New Roman" w:cs="Times New Roman"/>
                <w:b/>
                <w:bCs/>
                <w:sz w:val="16"/>
                <w:szCs w:val="16"/>
                <w:shd w:val="clear" w:color="auto" w:fill="FFFFFF"/>
                <w:vertAlign w:val="superscript"/>
              </w:rPr>
              <w:t>b</w:t>
            </w:r>
            <w:r w:rsidRPr="007527BF">
              <w:rPr>
                <w:rFonts w:ascii="Times New Roman" w:hAnsi="Times New Roman" w:cs="Times New Roman"/>
                <w:sz w:val="16"/>
                <w:szCs w:val="16"/>
                <w:shd w:val="clear" w:color="auto" w:fill="FFFFFF"/>
                <w:vertAlign w:val="superscript"/>
              </w:rPr>
              <w:t xml:space="preserve"> </w:t>
            </w:r>
            <w:r w:rsidRPr="007527BF">
              <w:rPr>
                <w:rFonts w:ascii="Times New Roman" w:hAnsi="Times New Roman" w:cs="Times New Roman"/>
                <w:sz w:val="16"/>
                <w:szCs w:val="16"/>
                <w:shd w:val="clear" w:color="auto" w:fill="FFFFFF"/>
              </w:rPr>
              <w:t xml:space="preserve">Value used as denominator to determine % of overall increase attributable to MCL enactment based on </w:t>
            </w:r>
            <w:proofErr w:type="spellStart"/>
            <w:r w:rsidRPr="007527BF">
              <w:rPr>
                <w:rFonts w:ascii="Times New Roman" w:hAnsi="Times New Roman" w:cs="Times New Roman"/>
                <w:sz w:val="16"/>
                <w:szCs w:val="16"/>
                <w:shd w:val="clear" w:color="auto" w:fill="FFFFFF"/>
              </w:rPr>
              <w:t>DiD</w:t>
            </w:r>
            <w:proofErr w:type="spellEnd"/>
            <w:r w:rsidRPr="007527BF">
              <w:rPr>
                <w:rFonts w:ascii="Times New Roman" w:hAnsi="Times New Roman" w:cs="Times New Roman"/>
                <w:sz w:val="16"/>
                <w:szCs w:val="16"/>
                <w:shd w:val="clear" w:color="auto" w:fill="FFFFFF"/>
              </w:rPr>
              <w:t xml:space="preserve"> estimates of MCL effect (see E-Table 4)</w:t>
            </w:r>
          </w:p>
          <w:p w14:paraId="309F7408" w14:textId="77777777" w:rsidR="00FA506D" w:rsidRPr="007527BF" w:rsidRDefault="00FA506D" w:rsidP="000862C6">
            <w:pPr>
              <w:pStyle w:val="NoSpacing"/>
              <w:rPr>
                <w:rFonts w:ascii="Times New Roman" w:hAnsi="Times New Roman" w:cs="Times New Roman"/>
                <w:sz w:val="16"/>
                <w:szCs w:val="16"/>
                <w:shd w:val="clear" w:color="auto" w:fill="FFFFFF"/>
              </w:rPr>
            </w:pPr>
            <w:r w:rsidRPr="007527BF">
              <w:rPr>
                <w:rFonts w:ascii="Times New Roman" w:hAnsi="Times New Roman" w:cs="Times New Roman"/>
                <w:b/>
                <w:bCs/>
                <w:sz w:val="16"/>
                <w:szCs w:val="16"/>
                <w:shd w:val="clear" w:color="auto" w:fill="FFFFFF"/>
                <w:vertAlign w:val="superscript"/>
              </w:rPr>
              <w:t>c</w:t>
            </w:r>
            <w:r w:rsidRPr="007527BF">
              <w:rPr>
                <w:rFonts w:ascii="Times New Roman" w:hAnsi="Times New Roman" w:cs="Times New Roman"/>
                <w:sz w:val="16"/>
                <w:szCs w:val="16"/>
                <w:shd w:val="clear" w:color="auto" w:fill="FFFFFF"/>
                <w:vertAlign w:val="superscript"/>
              </w:rPr>
              <w:t xml:space="preserve"> </w:t>
            </w:r>
            <w:r w:rsidRPr="007527BF">
              <w:rPr>
                <w:rFonts w:ascii="Times New Roman" w:hAnsi="Times New Roman" w:cs="Times New Roman"/>
                <w:sz w:val="16"/>
                <w:szCs w:val="16"/>
                <w:shd w:val="clear" w:color="auto" w:fill="FFFFFF"/>
              </w:rPr>
              <w:t xml:space="preserve">Value used as denominator to determine % of overall increase attributable to RCL enactment based on </w:t>
            </w:r>
            <w:proofErr w:type="spellStart"/>
            <w:r w:rsidRPr="007527BF">
              <w:rPr>
                <w:rFonts w:ascii="Times New Roman" w:hAnsi="Times New Roman" w:cs="Times New Roman"/>
                <w:sz w:val="16"/>
                <w:szCs w:val="16"/>
                <w:shd w:val="clear" w:color="auto" w:fill="FFFFFF"/>
              </w:rPr>
              <w:t>DiD</w:t>
            </w:r>
            <w:proofErr w:type="spellEnd"/>
            <w:r w:rsidRPr="007527BF">
              <w:rPr>
                <w:rFonts w:ascii="Times New Roman" w:hAnsi="Times New Roman" w:cs="Times New Roman"/>
                <w:sz w:val="16"/>
                <w:szCs w:val="16"/>
                <w:shd w:val="clear" w:color="auto" w:fill="FFFFFF"/>
              </w:rPr>
              <w:t xml:space="preserve"> estimates of RCL effect (see E-Table 4)</w:t>
            </w:r>
          </w:p>
          <w:p w14:paraId="703331F1" w14:textId="77777777" w:rsidR="00FA506D" w:rsidRPr="007527BF" w:rsidRDefault="00FA506D" w:rsidP="000862C6">
            <w:pPr>
              <w:jc w:val="both"/>
              <w:rPr>
                <w:color w:val="000000"/>
                <w:sz w:val="16"/>
                <w:szCs w:val="16"/>
                <w:shd w:val="clear" w:color="auto" w:fill="FFFFFF"/>
              </w:rPr>
            </w:pPr>
            <w:r w:rsidRPr="007527BF">
              <w:rPr>
                <w:color w:val="000000"/>
                <w:sz w:val="16"/>
                <w:szCs w:val="16"/>
                <w:shd w:val="clear" w:color="auto" w:fill="FFFFFF"/>
                <w:vertAlign w:val="superscript"/>
              </w:rPr>
              <w:t xml:space="preserve">d </w:t>
            </w:r>
            <w:r w:rsidRPr="007527BF">
              <w:rPr>
                <w:color w:val="000000"/>
                <w:sz w:val="16"/>
                <w:szCs w:val="16"/>
                <w:shd w:val="clear" w:color="auto" w:fill="FFFFFF"/>
              </w:rPr>
              <w:t xml:space="preserve">MCL-only and MCL/RCL states differ from Table 2 by 1 because Illinois (IL) which enacted RCL in 2019 is considered </w:t>
            </w:r>
            <w:proofErr w:type="gramStart"/>
            <w:r w:rsidRPr="007527BF">
              <w:rPr>
                <w:color w:val="000000"/>
                <w:sz w:val="16"/>
                <w:szCs w:val="16"/>
                <w:shd w:val="clear" w:color="auto" w:fill="FFFFFF"/>
              </w:rPr>
              <w:t>a</w:t>
            </w:r>
            <w:proofErr w:type="gramEnd"/>
            <w:r w:rsidRPr="007527BF">
              <w:rPr>
                <w:color w:val="000000"/>
                <w:sz w:val="16"/>
                <w:szCs w:val="16"/>
                <w:shd w:val="clear" w:color="auto" w:fill="FFFFFF"/>
              </w:rPr>
              <w:t xml:space="preserve"> MCL-only state here to account for the 1-year lag </w:t>
            </w:r>
          </w:p>
        </w:tc>
      </w:tr>
    </w:tbl>
    <w:p w14:paraId="09B8EF70" w14:textId="78B91D2F" w:rsidR="0010670E" w:rsidRPr="007527BF" w:rsidRDefault="0010670E" w:rsidP="003109F8">
      <w:pPr>
        <w:keepNext/>
        <w:autoSpaceDE w:val="0"/>
        <w:autoSpaceDN w:val="0"/>
        <w:outlineLvl w:val="0"/>
        <w:rPr>
          <w:color w:val="000000" w:themeColor="text1"/>
          <w:kern w:val="32"/>
          <w:sz w:val="16"/>
          <w:szCs w:val="16"/>
        </w:rPr>
      </w:pPr>
    </w:p>
    <w:p w14:paraId="70A192A0" w14:textId="0182FC64" w:rsidR="00FA506D" w:rsidRPr="007527BF" w:rsidRDefault="00FA506D" w:rsidP="003109F8">
      <w:pPr>
        <w:keepNext/>
        <w:autoSpaceDE w:val="0"/>
        <w:autoSpaceDN w:val="0"/>
        <w:outlineLvl w:val="0"/>
        <w:rPr>
          <w:color w:val="000000" w:themeColor="text1"/>
          <w:kern w:val="32"/>
          <w:sz w:val="16"/>
          <w:szCs w:val="16"/>
        </w:rPr>
      </w:pPr>
    </w:p>
    <w:p w14:paraId="191929F9" w14:textId="756BFE49" w:rsidR="00FA506D" w:rsidRPr="007527BF" w:rsidRDefault="00FA506D">
      <w:pPr>
        <w:widowControl w:val="0"/>
        <w:autoSpaceDE w:val="0"/>
        <w:autoSpaceDN w:val="0"/>
        <w:rPr>
          <w:color w:val="000000" w:themeColor="text1"/>
          <w:kern w:val="32"/>
          <w:sz w:val="16"/>
          <w:szCs w:val="16"/>
        </w:rPr>
      </w:pPr>
      <w:r w:rsidRPr="007527BF">
        <w:rPr>
          <w:color w:val="000000" w:themeColor="text1"/>
          <w:kern w:val="32"/>
          <w:sz w:val="16"/>
          <w:szCs w:val="16"/>
        </w:rPr>
        <w:br w:type="page"/>
      </w:r>
    </w:p>
    <w:tbl>
      <w:tblPr>
        <w:tblW w:w="10894" w:type="dxa"/>
        <w:jc w:val="center"/>
        <w:tblCellMar>
          <w:left w:w="0" w:type="dxa"/>
          <w:right w:w="0" w:type="dxa"/>
        </w:tblCellMar>
        <w:tblLook w:val="0600" w:firstRow="0" w:lastRow="0" w:firstColumn="0" w:lastColumn="0" w:noHBand="1" w:noVBand="1"/>
      </w:tblPr>
      <w:tblGrid>
        <w:gridCol w:w="2507"/>
        <w:gridCol w:w="1784"/>
        <w:gridCol w:w="1470"/>
        <w:gridCol w:w="1994"/>
        <w:gridCol w:w="1470"/>
        <w:gridCol w:w="1669"/>
      </w:tblGrid>
      <w:tr w:rsidR="00FA506D" w:rsidRPr="007527BF" w14:paraId="1ABBC9F7" w14:textId="77777777" w:rsidTr="00E9691B">
        <w:trPr>
          <w:trHeight w:val="25"/>
          <w:jc w:val="center"/>
        </w:trPr>
        <w:tc>
          <w:tcPr>
            <w:tcW w:w="10894" w:type="dxa"/>
            <w:gridSpan w:val="6"/>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53C07E58" w14:textId="77777777" w:rsidR="00FA506D" w:rsidRPr="007527BF" w:rsidRDefault="00FA506D" w:rsidP="000862C6">
            <w:pPr>
              <w:jc w:val="center"/>
              <w:rPr>
                <w:b/>
                <w:bCs/>
                <w:color w:val="000000"/>
                <w:sz w:val="16"/>
                <w:szCs w:val="16"/>
                <w:shd w:val="clear" w:color="auto" w:fill="FFFFFF"/>
              </w:rPr>
            </w:pPr>
            <w:r w:rsidRPr="007527BF">
              <w:rPr>
                <w:b/>
                <w:bCs/>
                <w:color w:val="000000"/>
                <w:sz w:val="20"/>
                <w:szCs w:val="20"/>
                <w:shd w:val="clear" w:color="auto" w:fill="FFFFFF"/>
              </w:rPr>
              <w:lastRenderedPageBreak/>
              <w:t>E-Table 6. Effects of changes due to state MCL and RCL enactment plus a 1-year lag on CUD prevalence in VHA patients incorporating data across all years 2005 – 2019: Difference-in-difference (</w:t>
            </w:r>
            <w:proofErr w:type="spellStart"/>
            <w:r w:rsidRPr="007527BF">
              <w:rPr>
                <w:b/>
                <w:bCs/>
                <w:color w:val="000000"/>
                <w:sz w:val="20"/>
                <w:szCs w:val="20"/>
                <w:shd w:val="clear" w:color="auto" w:fill="FFFFFF"/>
              </w:rPr>
              <w:t>DiD</w:t>
            </w:r>
            <w:proofErr w:type="spellEnd"/>
            <w:r w:rsidRPr="007527BF">
              <w:rPr>
                <w:b/>
                <w:bCs/>
                <w:color w:val="000000"/>
                <w:sz w:val="20"/>
                <w:szCs w:val="20"/>
                <w:shd w:val="clear" w:color="auto" w:fill="FFFFFF"/>
              </w:rPr>
              <w:t xml:space="preserve">) </w:t>
            </w:r>
            <w:proofErr w:type="spellStart"/>
            <w:r w:rsidRPr="007527BF">
              <w:rPr>
                <w:b/>
                <w:bCs/>
                <w:color w:val="000000"/>
                <w:sz w:val="20"/>
                <w:szCs w:val="20"/>
                <w:shd w:val="clear" w:color="auto" w:fill="FFFFFF"/>
              </w:rPr>
              <w:t>estimates</w:t>
            </w:r>
            <w:r w:rsidRPr="007527BF">
              <w:rPr>
                <w:b/>
                <w:bCs/>
                <w:color w:val="000000"/>
                <w:sz w:val="20"/>
                <w:szCs w:val="20"/>
                <w:shd w:val="clear" w:color="auto" w:fill="FFFFFF"/>
                <w:vertAlign w:val="superscript"/>
              </w:rPr>
              <w:t>a</w:t>
            </w:r>
            <w:proofErr w:type="spellEnd"/>
          </w:p>
        </w:tc>
      </w:tr>
      <w:tr w:rsidR="00FA506D" w:rsidRPr="007527BF" w14:paraId="5A5FC301" w14:textId="77777777" w:rsidTr="00E9691B">
        <w:trPr>
          <w:trHeight w:val="399"/>
          <w:jc w:val="center"/>
        </w:trPr>
        <w:tc>
          <w:tcPr>
            <w:tcW w:w="2507" w:type="dxa"/>
            <w:vMerge w:val="restart"/>
            <w:tcBorders>
              <w:top w:val="single" w:sz="8" w:space="0" w:color="000000"/>
              <w:left w:val="single" w:sz="8" w:space="0" w:color="000000"/>
              <w:right w:val="single" w:sz="8" w:space="0" w:color="000000"/>
            </w:tcBorders>
            <w:shd w:val="clear" w:color="auto" w:fill="auto"/>
            <w:tcMar>
              <w:top w:w="13" w:type="dxa"/>
              <w:left w:w="13" w:type="dxa"/>
              <w:bottom w:w="0" w:type="dxa"/>
              <w:right w:w="13" w:type="dxa"/>
            </w:tcMar>
            <w:hideMark/>
          </w:tcPr>
          <w:p w14:paraId="313FD3F6" w14:textId="77777777" w:rsidR="00FA506D" w:rsidRPr="007527BF" w:rsidRDefault="00FA506D" w:rsidP="000862C6">
            <w:pPr>
              <w:jc w:val="both"/>
              <w:rPr>
                <w:b/>
                <w:bCs/>
                <w:color w:val="000000"/>
                <w:sz w:val="16"/>
                <w:szCs w:val="16"/>
                <w:shd w:val="clear" w:color="auto" w:fill="FFFFFF"/>
              </w:rPr>
            </w:pPr>
          </w:p>
          <w:p w14:paraId="78B345ED" w14:textId="77777777" w:rsidR="00FA506D" w:rsidRPr="007527BF" w:rsidRDefault="00FA506D" w:rsidP="000862C6">
            <w:pPr>
              <w:jc w:val="both"/>
              <w:rPr>
                <w:b/>
                <w:bCs/>
                <w:color w:val="000000"/>
                <w:sz w:val="16"/>
                <w:szCs w:val="16"/>
                <w:shd w:val="clear" w:color="auto" w:fill="FFFFFF"/>
              </w:rPr>
            </w:pPr>
          </w:p>
          <w:p w14:paraId="108E92D5" w14:textId="77777777" w:rsidR="00FA506D" w:rsidRPr="007527BF" w:rsidRDefault="00FA506D" w:rsidP="000862C6">
            <w:pPr>
              <w:jc w:val="both"/>
              <w:rPr>
                <w:b/>
                <w:bCs/>
                <w:color w:val="000000"/>
                <w:sz w:val="16"/>
                <w:szCs w:val="16"/>
                <w:shd w:val="clear" w:color="auto" w:fill="FFFFFF"/>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48A3A110" w14:textId="77777777" w:rsidR="00FA506D" w:rsidRPr="007527BF" w:rsidRDefault="00FA506D" w:rsidP="000862C6">
            <w:pPr>
              <w:jc w:val="center"/>
              <w:rPr>
                <w:b/>
                <w:bCs/>
                <w:color w:val="000000"/>
                <w:sz w:val="16"/>
                <w:szCs w:val="16"/>
                <w:shd w:val="clear" w:color="auto" w:fill="FFFFFF"/>
                <w:vertAlign w:val="superscript"/>
              </w:rPr>
            </w:pPr>
            <w:r w:rsidRPr="007527BF">
              <w:rPr>
                <w:b/>
                <w:bCs/>
                <w:color w:val="000000"/>
                <w:sz w:val="16"/>
                <w:szCs w:val="16"/>
                <w:shd w:val="clear" w:color="auto" w:fill="FFFFFF"/>
              </w:rPr>
              <w:t xml:space="preserve">Model-based </w:t>
            </w:r>
            <w:proofErr w:type="spellStart"/>
            <w:r w:rsidRPr="007527BF">
              <w:rPr>
                <w:b/>
                <w:bCs/>
                <w:color w:val="000000"/>
                <w:sz w:val="16"/>
                <w:szCs w:val="16"/>
                <w:shd w:val="clear" w:color="auto" w:fill="FFFFFF"/>
              </w:rPr>
              <w:t>DiD</w:t>
            </w:r>
            <w:proofErr w:type="spellEnd"/>
            <w:r w:rsidRPr="007527BF">
              <w:rPr>
                <w:b/>
                <w:bCs/>
                <w:color w:val="000000"/>
                <w:sz w:val="16"/>
                <w:szCs w:val="16"/>
                <w:shd w:val="clear" w:color="auto" w:fill="FFFFFF"/>
              </w:rPr>
              <w:t xml:space="preserve"> law effect</w:t>
            </w:r>
          </w:p>
          <w:p w14:paraId="4866B8AE"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w:t>
            </w:r>
          </w:p>
          <w:p w14:paraId="27C7CB32"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p-value</w:t>
            </w:r>
          </w:p>
          <w:p w14:paraId="36CB0ACA"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95% CI</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2669C81E"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 xml:space="preserve">% of absolute change attributable to </w:t>
            </w:r>
            <w:proofErr w:type="spellStart"/>
            <w:r w:rsidRPr="007527BF">
              <w:rPr>
                <w:b/>
                <w:bCs/>
                <w:color w:val="000000"/>
                <w:sz w:val="16"/>
                <w:szCs w:val="16"/>
                <w:shd w:val="clear" w:color="auto" w:fill="FFFFFF"/>
              </w:rPr>
              <w:t>law</w:t>
            </w:r>
            <w:r w:rsidRPr="007527BF">
              <w:rPr>
                <w:b/>
                <w:bCs/>
                <w:color w:val="000000"/>
                <w:sz w:val="16"/>
                <w:szCs w:val="16"/>
                <w:shd w:val="clear" w:color="auto" w:fill="FFFFFF"/>
                <w:vertAlign w:val="superscript"/>
              </w:rPr>
              <w:t>b</w:t>
            </w:r>
            <w:proofErr w:type="spellEnd"/>
            <w:r w:rsidRPr="007527BF">
              <w:rPr>
                <w:b/>
                <w:bCs/>
                <w:color w:val="000000"/>
                <w:sz w:val="16"/>
                <w:szCs w:val="16"/>
                <w:shd w:val="clear" w:color="auto" w:fill="FFFFFF"/>
              </w:rPr>
              <w:t xml:space="preserve"> </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432EED7B" w14:textId="77777777" w:rsidR="00FA506D" w:rsidRPr="007527BF" w:rsidRDefault="00FA506D" w:rsidP="000862C6">
            <w:pPr>
              <w:jc w:val="center"/>
              <w:rPr>
                <w:b/>
                <w:bCs/>
                <w:color w:val="000000"/>
                <w:sz w:val="16"/>
                <w:szCs w:val="16"/>
                <w:shd w:val="clear" w:color="auto" w:fill="FFFFFF"/>
                <w:vertAlign w:val="superscript"/>
              </w:rPr>
            </w:pPr>
            <w:r w:rsidRPr="007527BF">
              <w:rPr>
                <w:b/>
                <w:bCs/>
                <w:color w:val="000000"/>
                <w:sz w:val="16"/>
                <w:szCs w:val="16"/>
                <w:shd w:val="clear" w:color="auto" w:fill="FFFFFF"/>
              </w:rPr>
              <w:t xml:space="preserve">Model-based </w:t>
            </w:r>
            <w:proofErr w:type="spellStart"/>
            <w:r w:rsidRPr="007527BF">
              <w:rPr>
                <w:b/>
                <w:bCs/>
                <w:color w:val="000000"/>
                <w:sz w:val="16"/>
                <w:szCs w:val="16"/>
                <w:shd w:val="clear" w:color="auto" w:fill="FFFFFF"/>
              </w:rPr>
              <w:t>DiD</w:t>
            </w:r>
            <w:proofErr w:type="spellEnd"/>
            <w:r w:rsidRPr="007527BF">
              <w:rPr>
                <w:b/>
                <w:bCs/>
                <w:color w:val="000000"/>
                <w:sz w:val="16"/>
                <w:szCs w:val="16"/>
                <w:shd w:val="clear" w:color="auto" w:fill="FFFFFF"/>
              </w:rPr>
              <w:t xml:space="preserve"> law effect</w:t>
            </w:r>
          </w:p>
          <w:p w14:paraId="7A596591"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w:t>
            </w:r>
          </w:p>
          <w:p w14:paraId="529A5C5E"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p-value</w:t>
            </w:r>
          </w:p>
          <w:p w14:paraId="06D6632F"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95% CI</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69A7BE2A"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 xml:space="preserve">% of absolute change attributable to </w:t>
            </w:r>
            <w:proofErr w:type="spellStart"/>
            <w:r w:rsidRPr="007527BF">
              <w:rPr>
                <w:b/>
                <w:bCs/>
                <w:color w:val="000000"/>
                <w:sz w:val="16"/>
                <w:szCs w:val="16"/>
                <w:shd w:val="clear" w:color="auto" w:fill="FFFFFF"/>
              </w:rPr>
              <w:t>law</w:t>
            </w:r>
            <w:r w:rsidRPr="007527BF">
              <w:rPr>
                <w:b/>
                <w:bCs/>
                <w:color w:val="000000"/>
                <w:sz w:val="16"/>
                <w:szCs w:val="16"/>
                <w:shd w:val="clear" w:color="auto" w:fill="FFFFFF"/>
                <w:vertAlign w:val="superscript"/>
              </w:rPr>
              <w:t>b</w:t>
            </w:r>
            <w:proofErr w:type="spellEnd"/>
          </w:p>
        </w:tc>
        <w:tc>
          <w:tcPr>
            <w:tcW w:w="1667" w:type="dxa"/>
            <w:tcBorders>
              <w:top w:val="single" w:sz="8" w:space="0" w:color="000000"/>
              <w:left w:val="single" w:sz="8" w:space="0" w:color="000000"/>
              <w:bottom w:val="single" w:sz="8" w:space="0" w:color="000000"/>
              <w:right w:val="single" w:sz="8" w:space="0" w:color="000000"/>
            </w:tcBorders>
          </w:tcPr>
          <w:p w14:paraId="63374505" w14:textId="77777777" w:rsidR="00FA506D" w:rsidRPr="007527BF" w:rsidRDefault="00FA506D" w:rsidP="000862C6">
            <w:pPr>
              <w:jc w:val="center"/>
              <w:rPr>
                <w:b/>
                <w:bCs/>
                <w:color w:val="000000"/>
                <w:sz w:val="16"/>
                <w:szCs w:val="16"/>
                <w:shd w:val="clear" w:color="auto" w:fill="FFFFFF"/>
              </w:rPr>
            </w:pPr>
            <w:r w:rsidRPr="007527BF">
              <w:rPr>
                <w:b/>
                <w:bCs/>
                <w:color w:val="000000"/>
                <w:sz w:val="16"/>
                <w:szCs w:val="16"/>
                <w:shd w:val="clear" w:color="auto" w:fill="FFFFFF"/>
              </w:rPr>
              <w:t>Difference in effect between Pain and no Pain</w:t>
            </w:r>
          </w:p>
        </w:tc>
      </w:tr>
      <w:tr w:rsidR="00FA506D" w:rsidRPr="007527BF" w14:paraId="59434321" w14:textId="77777777" w:rsidTr="00E9691B">
        <w:trPr>
          <w:trHeight w:val="272"/>
          <w:jc w:val="center"/>
        </w:trPr>
        <w:tc>
          <w:tcPr>
            <w:tcW w:w="2507" w:type="dxa"/>
            <w:vMerge/>
            <w:tcBorders>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26C8F6AD" w14:textId="77777777" w:rsidR="00FA506D" w:rsidRPr="007527BF" w:rsidRDefault="00FA506D" w:rsidP="000862C6">
            <w:pPr>
              <w:jc w:val="both"/>
              <w:rPr>
                <w:b/>
                <w:bCs/>
                <w:color w:val="000000"/>
                <w:sz w:val="16"/>
                <w:szCs w:val="16"/>
                <w:shd w:val="clear" w:color="auto" w:fill="FFFFFF"/>
              </w:rPr>
            </w:pPr>
          </w:p>
        </w:tc>
        <w:tc>
          <w:tcPr>
            <w:tcW w:w="3254"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06AC0140" w14:textId="0529F57A" w:rsidR="00FA506D" w:rsidRPr="007527BF" w:rsidRDefault="00C942E3" w:rsidP="000862C6">
            <w:pPr>
              <w:jc w:val="center"/>
              <w:rPr>
                <w:b/>
                <w:bCs/>
                <w:color w:val="000000"/>
                <w:sz w:val="16"/>
                <w:szCs w:val="16"/>
                <w:shd w:val="clear" w:color="auto" w:fill="FFFFFF"/>
              </w:rPr>
            </w:pPr>
            <w:r w:rsidRPr="007527BF">
              <w:rPr>
                <w:b/>
                <w:bCs/>
                <w:color w:val="000000"/>
                <w:sz w:val="16"/>
                <w:szCs w:val="16"/>
                <w:shd w:val="clear" w:color="auto" w:fill="FFFFFF"/>
              </w:rPr>
              <w:t xml:space="preserve">Patients with chronic </w:t>
            </w:r>
            <w:r w:rsidR="00FA506D" w:rsidRPr="007527BF">
              <w:rPr>
                <w:b/>
                <w:bCs/>
                <w:color w:val="000000"/>
                <w:sz w:val="16"/>
                <w:szCs w:val="16"/>
                <w:shd w:val="clear" w:color="auto" w:fill="FFFFFF"/>
              </w:rPr>
              <w:t>Pain</w:t>
            </w:r>
          </w:p>
        </w:tc>
        <w:tc>
          <w:tcPr>
            <w:tcW w:w="3464"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0FB8A2C9" w14:textId="7DAF9EEC" w:rsidR="00FA506D" w:rsidRPr="007527BF" w:rsidRDefault="00C942E3" w:rsidP="000862C6">
            <w:pPr>
              <w:jc w:val="center"/>
              <w:rPr>
                <w:b/>
                <w:bCs/>
                <w:color w:val="000000"/>
                <w:sz w:val="16"/>
                <w:szCs w:val="16"/>
                <w:shd w:val="clear" w:color="auto" w:fill="FFFFFF"/>
              </w:rPr>
            </w:pPr>
            <w:r w:rsidRPr="007527BF">
              <w:rPr>
                <w:b/>
                <w:bCs/>
                <w:color w:val="000000"/>
                <w:sz w:val="16"/>
                <w:szCs w:val="16"/>
                <w:shd w:val="clear" w:color="auto" w:fill="FFFFFF"/>
              </w:rPr>
              <w:t>Patients without chronic</w:t>
            </w:r>
            <w:r w:rsidR="00FA506D" w:rsidRPr="007527BF">
              <w:rPr>
                <w:b/>
                <w:bCs/>
                <w:color w:val="000000"/>
                <w:sz w:val="16"/>
                <w:szCs w:val="16"/>
                <w:shd w:val="clear" w:color="auto" w:fill="FFFFFF"/>
              </w:rPr>
              <w:t xml:space="preserve"> pain</w:t>
            </w:r>
          </w:p>
        </w:tc>
        <w:tc>
          <w:tcPr>
            <w:tcW w:w="1667" w:type="dxa"/>
            <w:tcBorders>
              <w:top w:val="single" w:sz="8" w:space="0" w:color="000000"/>
              <w:left w:val="single" w:sz="8" w:space="0" w:color="000000"/>
              <w:bottom w:val="single" w:sz="8" w:space="0" w:color="000000"/>
              <w:right w:val="single" w:sz="8" w:space="0" w:color="000000"/>
            </w:tcBorders>
          </w:tcPr>
          <w:p w14:paraId="3949A4C7" w14:textId="77777777" w:rsidR="00FA506D" w:rsidRPr="007527BF" w:rsidRDefault="00FA506D" w:rsidP="000862C6">
            <w:pPr>
              <w:jc w:val="center"/>
              <w:rPr>
                <w:b/>
                <w:bCs/>
                <w:color w:val="000000"/>
                <w:sz w:val="16"/>
                <w:szCs w:val="16"/>
                <w:shd w:val="clear" w:color="auto" w:fill="FFFFFF"/>
              </w:rPr>
            </w:pPr>
          </w:p>
        </w:tc>
      </w:tr>
      <w:tr w:rsidR="00FA506D" w:rsidRPr="007527BF" w14:paraId="2AB1F332" w14:textId="77777777" w:rsidTr="00E9691B">
        <w:trPr>
          <w:trHeight w:val="388"/>
          <w:jc w:val="center"/>
        </w:trPr>
        <w:tc>
          <w:tcPr>
            <w:tcW w:w="250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047324DB" w14:textId="77777777" w:rsidR="00FA506D" w:rsidRPr="007527BF" w:rsidRDefault="00FA506D" w:rsidP="000862C6">
            <w:pPr>
              <w:rPr>
                <w:b/>
                <w:bCs/>
                <w:color w:val="000000"/>
                <w:sz w:val="16"/>
                <w:szCs w:val="16"/>
                <w:shd w:val="clear" w:color="auto" w:fill="FFFFFF"/>
              </w:rPr>
            </w:pPr>
            <w:r w:rsidRPr="007527BF">
              <w:rPr>
                <w:b/>
                <w:bCs/>
                <w:color w:val="000000"/>
                <w:sz w:val="16"/>
                <w:szCs w:val="16"/>
                <w:shd w:val="clear" w:color="auto" w:fill="FFFFFF"/>
              </w:rPr>
              <w:t>Effect of change from no-CL to MCL-</w:t>
            </w:r>
            <w:proofErr w:type="spellStart"/>
            <w:r w:rsidRPr="007527BF">
              <w:rPr>
                <w:b/>
                <w:bCs/>
                <w:color w:val="000000"/>
                <w:sz w:val="16"/>
                <w:szCs w:val="16"/>
                <w:shd w:val="clear" w:color="auto" w:fill="FFFFFF"/>
              </w:rPr>
              <w:t>only</w:t>
            </w:r>
            <w:r w:rsidRPr="007527BF">
              <w:rPr>
                <w:b/>
                <w:bCs/>
                <w:color w:val="000000"/>
                <w:sz w:val="16"/>
                <w:szCs w:val="16"/>
                <w:shd w:val="clear" w:color="auto" w:fill="FFFFFF"/>
                <w:vertAlign w:val="superscript"/>
              </w:rPr>
              <w:t>c</w:t>
            </w:r>
            <w:proofErr w:type="spellEnd"/>
          </w:p>
        </w:tc>
        <w:tc>
          <w:tcPr>
            <w:tcW w:w="17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0598D32" w14:textId="5855B25B" w:rsidR="00FA506D" w:rsidRPr="007527BF" w:rsidRDefault="00FA506D" w:rsidP="000862C6">
            <w:pPr>
              <w:jc w:val="center"/>
              <w:rPr>
                <w:color w:val="000000"/>
                <w:sz w:val="16"/>
                <w:szCs w:val="16"/>
                <w:shd w:val="clear" w:color="auto" w:fill="FFFFFF"/>
              </w:rPr>
            </w:pPr>
            <w:r w:rsidRPr="007527BF">
              <w:rPr>
                <w:color w:val="000000"/>
                <w:sz w:val="16"/>
                <w:szCs w:val="16"/>
              </w:rPr>
              <w:t>0</w:t>
            </w:r>
            <w:r w:rsidR="007957F4" w:rsidRPr="007527BF">
              <w:rPr>
                <w:color w:val="000000"/>
                <w:sz w:val="16"/>
                <w:szCs w:val="16"/>
              </w:rPr>
              <w:t>·</w:t>
            </w:r>
            <w:r w:rsidRPr="007527BF">
              <w:rPr>
                <w:color w:val="000000"/>
                <w:sz w:val="16"/>
                <w:szCs w:val="16"/>
              </w:rPr>
              <w:t>124</w:t>
            </w:r>
            <w:r w:rsidRPr="007527BF">
              <w:rPr>
                <w:color w:val="000000"/>
                <w:sz w:val="16"/>
                <w:szCs w:val="16"/>
              </w:rPr>
              <w:br/>
              <w:t>(&lt;</w:t>
            </w:r>
            <w:r w:rsidR="007957F4" w:rsidRPr="007527BF">
              <w:rPr>
                <w:color w:val="000000"/>
                <w:sz w:val="16"/>
                <w:szCs w:val="16"/>
              </w:rPr>
              <w:t>·</w:t>
            </w:r>
            <w:r w:rsidRPr="007527BF">
              <w:rPr>
                <w:color w:val="000000"/>
                <w:sz w:val="16"/>
                <w:szCs w:val="16"/>
              </w:rPr>
              <w:t>001)</w:t>
            </w:r>
            <w:r w:rsidRPr="007527BF">
              <w:rPr>
                <w:color w:val="000000"/>
                <w:sz w:val="16"/>
                <w:szCs w:val="16"/>
              </w:rPr>
              <w:br/>
              <w:t>0</w:t>
            </w:r>
            <w:r w:rsidR="007957F4" w:rsidRPr="007527BF">
              <w:rPr>
                <w:color w:val="000000"/>
                <w:sz w:val="16"/>
                <w:szCs w:val="16"/>
              </w:rPr>
              <w:t>·</w:t>
            </w:r>
            <w:r w:rsidRPr="007527BF">
              <w:rPr>
                <w:color w:val="000000"/>
                <w:sz w:val="16"/>
                <w:szCs w:val="16"/>
              </w:rPr>
              <w:t>105, 0</w:t>
            </w:r>
            <w:r w:rsidR="007957F4" w:rsidRPr="007527BF">
              <w:rPr>
                <w:color w:val="000000"/>
                <w:sz w:val="16"/>
                <w:szCs w:val="16"/>
              </w:rPr>
              <w:t>·</w:t>
            </w:r>
            <w:r w:rsidRPr="007527BF">
              <w:rPr>
                <w:color w:val="000000"/>
                <w:sz w:val="16"/>
                <w:szCs w:val="16"/>
              </w:rPr>
              <w:t>143</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68A9461" w14:textId="53DFC993" w:rsidR="00FA506D" w:rsidRPr="007527BF" w:rsidRDefault="00FA506D" w:rsidP="000862C6">
            <w:pPr>
              <w:jc w:val="center"/>
              <w:rPr>
                <w:color w:val="000000"/>
                <w:sz w:val="16"/>
                <w:szCs w:val="16"/>
                <w:shd w:val="clear" w:color="auto" w:fill="FFFFFF"/>
              </w:rPr>
            </w:pPr>
            <w:r w:rsidRPr="007527BF">
              <w:rPr>
                <w:color w:val="000000"/>
                <w:sz w:val="16"/>
                <w:szCs w:val="16"/>
              </w:rPr>
              <w:t>7</w:t>
            </w:r>
            <w:r w:rsidR="007957F4" w:rsidRPr="007527BF">
              <w:rPr>
                <w:color w:val="000000"/>
                <w:sz w:val="16"/>
                <w:szCs w:val="16"/>
              </w:rPr>
              <w:t>·</w:t>
            </w:r>
            <w:r w:rsidRPr="007527BF">
              <w:rPr>
                <w:color w:val="000000"/>
                <w:sz w:val="16"/>
                <w:szCs w:val="16"/>
              </w:rPr>
              <w:t>6%</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D6AFF37" w14:textId="19CBB6AC" w:rsidR="00FA506D" w:rsidRPr="007527BF" w:rsidRDefault="00FA506D" w:rsidP="000862C6">
            <w:pPr>
              <w:jc w:val="center"/>
              <w:rPr>
                <w:color w:val="000000"/>
                <w:sz w:val="16"/>
                <w:szCs w:val="16"/>
                <w:shd w:val="clear" w:color="auto" w:fill="FFFFFF"/>
              </w:rPr>
            </w:pPr>
            <w:r w:rsidRPr="007527BF">
              <w:rPr>
                <w:color w:val="000000"/>
                <w:sz w:val="16"/>
                <w:szCs w:val="16"/>
              </w:rPr>
              <w:t>-0</w:t>
            </w:r>
            <w:r w:rsidR="007957F4" w:rsidRPr="007527BF">
              <w:rPr>
                <w:color w:val="000000"/>
                <w:sz w:val="16"/>
                <w:szCs w:val="16"/>
              </w:rPr>
              <w:t>·</w:t>
            </w:r>
            <w:r w:rsidRPr="007527BF">
              <w:rPr>
                <w:color w:val="000000"/>
                <w:sz w:val="16"/>
                <w:szCs w:val="16"/>
              </w:rPr>
              <w:t>012</w:t>
            </w:r>
            <w:r w:rsidRPr="007527BF">
              <w:rPr>
                <w:color w:val="000000"/>
                <w:sz w:val="16"/>
                <w:szCs w:val="16"/>
              </w:rPr>
              <w:br/>
              <w:t>(0</w:t>
            </w:r>
            <w:r w:rsidR="007957F4" w:rsidRPr="007527BF">
              <w:rPr>
                <w:color w:val="000000"/>
                <w:sz w:val="16"/>
                <w:szCs w:val="16"/>
              </w:rPr>
              <w:t>·</w:t>
            </w:r>
            <w:r w:rsidRPr="007527BF">
              <w:rPr>
                <w:color w:val="000000"/>
                <w:sz w:val="16"/>
                <w:szCs w:val="16"/>
              </w:rPr>
              <w:t>045)</w:t>
            </w:r>
            <w:r w:rsidRPr="007527BF">
              <w:rPr>
                <w:color w:val="000000"/>
                <w:sz w:val="16"/>
                <w:szCs w:val="16"/>
              </w:rPr>
              <w:br/>
              <w:t>-0</w:t>
            </w:r>
            <w:r w:rsidR="007957F4" w:rsidRPr="007527BF">
              <w:rPr>
                <w:color w:val="000000"/>
                <w:sz w:val="16"/>
                <w:szCs w:val="16"/>
              </w:rPr>
              <w:t>·</w:t>
            </w:r>
            <w:r w:rsidRPr="007527BF">
              <w:rPr>
                <w:color w:val="000000"/>
                <w:sz w:val="16"/>
                <w:szCs w:val="16"/>
              </w:rPr>
              <w:t>023, -0</w:t>
            </w:r>
            <w:r w:rsidR="007957F4" w:rsidRPr="007527BF">
              <w:rPr>
                <w:color w:val="000000"/>
                <w:sz w:val="16"/>
                <w:szCs w:val="16"/>
              </w:rPr>
              <w:t>·</w:t>
            </w:r>
            <w:r w:rsidRPr="007527BF">
              <w:rPr>
                <w:color w:val="000000"/>
                <w:sz w:val="16"/>
                <w:szCs w:val="16"/>
              </w:rPr>
              <w:t>000</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CCDC0BD" w14:textId="22FAD5CB" w:rsidR="00FA506D" w:rsidRPr="007527BF" w:rsidRDefault="00FA506D" w:rsidP="000862C6">
            <w:pPr>
              <w:jc w:val="center"/>
              <w:rPr>
                <w:color w:val="000000"/>
                <w:sz w:val="16"/>
                <w:szCs w:val="16"/>
                <w:shd w:val="clear" w:color="auto" w:fill="FFFFFF"/>
              </w:rPr>
            </w:pPr>
            <w:r w:rsidRPr="007527BF">
              <w:rPr>
                <w:color w:val="000000"/>
                <w:sz w:val="16"/>
                <w:szCs w:val="16"/>
              </w:rPr>
              <w:t>-1</w:t>
            </w:r>
            <w:r w:rsidR="007957F4" w:rsidRPr="007527BF">
              <w:rPr>
                <w:color w:val="000000"/>
                <w:sz w:val="16"/>
                <w:szCs w:val="16"/>
              </w:rPr>
              <w:t>·</w:t>
            </w:r>
            <w:r w:rsidRPr="007527BF">
              <w:rPr>
                <w:color w:val="000000"/>
                <w:sz w:val="16"/>
                <w:szCs w:val="16"/>
              </w:rPr>
              <w:t>8%</w:t>
            </w:r>
          </w:p>
        </w:tc>
        <w:tc>
          <w:tcPr>
            <w:tcW w:w="1667" w:type="dxa"/>
            <w:tcBorders>
              <w:top w:val="single" w:sz="8" w:space="0" w:color="000000"/>
              <w:left w:val="single" w:sz="8" w:space="0" w:color="000000"/>
              <w:bottom w:val="single" w:sz="8" w:space="0" w:color="000000"/>
              <w:right w:val="single" w:sz="8" w:space="0" w:color="000000"/>
            </w:tcBorders>
          </w:tcPr>
          <w:p w14:paraId="2C67F1BF" w14:textId="74EFF552" w:rsidR="00FA506D" w:rsidRPr="007527BF" w:rsidRDefault="00FA506D" w:rsidP="000862C6">
            <w:pPr>
              <w:jc w:val="center"/>
              <w:rPr>
                <w:color w:val="000000"/>
                <w:sz w:val="16"/>
                <w:szCs w:val="16"/>
              </w:rPr>
            </w:pPr>
            <w:r w:rsidRPr="007527BF">
              <w:rPr>
                <w:color w:val="000000"/>
                <w:sz w:val="16"/>
                <w:szCs w:val="16"/>
              </w:rPr>
              <w:t>&lt;0</w:t>
            </w:r>
            <w:r w:rsidR="007957F4" w:rsidRPr="007527BF">
              <w:rPr>
                <w:color w:val="000000"/>
                <w:sz w:val="16"/>
                <w:szCs w:val="16"/>
              </w:rPr>
              <w:t>·</w:t>
            </w:r>
            <w:r w:rsidRPr="007527BF">
              <w:rPr>
                <w:color w:val="000000"/>
                <w:sz w:val="16"/>
                <w:szCs w:val="16"/>
              </w:rPr>
              <w:t>01</w:t>
            </w:r>
          </w:p>
        </w:tc>
      </w:tr>
      <w:tr w:rsidR="00FA506D" w:rsidRPr="007527BF" w14:paraId="37E903B2" w14:textId="77777777" w:rsidTr="00E9691B">
        <w:trPr>
          <w:trHeight w:val="293"/>
          <w:jc w:val="center"/>
        </w:trPr>
        <w:tc>
          <w:tcPr>
            <w:tcW w:w="250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tcPr>
          <w:p w14:paraId="07CB9198" w14:textId="37F17E43" w:rsidR="00FA506D" w:rsidRPr="007527BF" w:rsidRDefault="00FA506D" w:rsidP="000862C6">
            <w:pPr>
              <w:rPr>
                <w:b/>
                <w:bCs/>
                <w:color w:val="000000"/>
                <w:sz w:val="16"/>
                <w:szCs w:val="16"/>
                <w:shd w:val="clear" w:color="auto" w:fill="FFFFFF"/>
              </w:rPr>
            </w:pPr>
            <w:r w:rsidRPr="007527BF">
              <w:rPr>
                <w:b/>
                <w:bCs/>
                <w:color w:val="000000"/>
                <w:sz w:val="16"/>
                <w:szCs w:val="16"/>
                <w:shd w:val="clear" w:color="auto" w:fill="FFFFFF"/>
              </w:rPr>
              <w:t xml:space="preserve">Effect of change from MCL-only to </w:t>
            </w:r>
            <w:proofErr w:type="spellStart"/>
            <w:r w:rsidRPr="007527BF">
              <w:rPr>
                <w:b/>
                <w:bCs/>
                <w:color w:val="000000"/>
                <w:sz w:val="16"/>
                <w:szCs w:val="16"/>
                <w:shd w:val="clear" w:color="auto" w:fill="FFFFFF"/>
              </w:rPr>
              <w:t>RC</w:t>
            </w:r>
            <w:r w:rsidR="0098427B" w:rsidRPr="007527BF">
              <w:rPr>
                <w:b/>
                <w:bCs/>
                <w:color w:val="000000"/>
                <w:sz w:val="16"/>
                <w:szCs w:val="16"/>
                <w:shd w:val="clear" w:color="auto" w:fill="FFFFFF"/>
              </w:rPr>
              <w:t>L</w:t>
            </w:r>
            <w:r w:rsidRPr="007527BF">
              <w:rPr>
                <w:b/>
                <w:bCs/>
                <w:color w:val="000000"/>
                <w:sz w:val="16"/>
                <w:szCs w:val="16"/>
                <w:shd w:val="clear" w:color="auto" w:fill="FFFFFF"/>
                <w:vertAlign w:val="superscript"/>
              </w:rPr>
              <w:t>c</w:t>
            </w:r>
            <w:proofErr w:type="spellEnd"/>
            <w:r w:rsidRPr="007527BF">
              <w:rPr>
                <w:b/>
                <w:bCs/>
                <w:color w:val="000000"/>
                <w:sz w:val="16"/>
                <w:szCs w:val="16"/>
                <w:shd w:val="clear" w:color="auto" w:fill="FFFFFF"/>
              </w:rPr>
              <w:t xml:space="preserve"> </w:t>
            </w:r>
          </w:p>
        </w:tc>
        <w:tc>
          <w:tcPr>
            <w:tcW w:w="17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79D3230" w14:textId="3E9E4ED8" w:rsidR="00FA506D" w:rsidRPr="007527BF" w:rsidRDefault="00FA506D" w:rsidP="000862C6">
            <w:pPr>
              <w:jc w:val="center"/>
              <w:rPr>
                <w:sz w:val="16"/>
                <w:szCs w:val="16"/>
              </w:rPr>
            </w:pPr>
            <w:r w:rsidRPr="007527BF">
              <w:rPr>
                <w:color w:val="000000"/>
                <w:sz w:val="16"/>
                <w:szCs w:val="16"/>
              </w:rPr>
              <w:t>0</w:t>
            </w:r>
            <w:r w:rsidR="007957F4" w:rsidRPr="007527BF">
              <w:rPr>
                <w:color w:val="000000"/>
                <w:sz w:val="16"/>
                <w:szCs w:val="16"/>
              </w:rPr>
              <w:t>·</w:t>
            </w:r>
            <w:r w:rsidRPr="007527BF">
              <w:rPr>
                <w:color w:val="000000"/>
                <w:sz w:val="16"/>
                <w:szCs w:val="16"/>
              </w:rPr>
              <w:t>240</w:t>
            </w:r>
            <w:r w:rsidRPr="007527BF">
              <w:rPr>
                <w:color w:val="000000"/>
                <w:sz w:val="16"/>
                <w:szCs w:val="16"/>
              </w:rPr>
              <w:br/>
              <w:t>(&lt;</w:t>
            </w:r>
            <w:r w:rsidR="007957F4" w:rsidRPr="007527BF">
              <w:rPr>
                <w:color w:val="000000"/>
                <w:sz w:val="16"/>
                <w:szCs w:val="16"/>
              </w:rPr>
              <w:t>·</w:t>
            </w:r>
            <w:r w:rsidRPr="007527BF">
              <w:rPr>
                <w:color w:val="000000"/>
                <w:sz w:val="16"/>
                <w:szCs w:val="16"/>
              </w:rPr>
              <w:t>001)</w:t>
            </w:r>
            <w:r w:rsidRPr="007527BF">
              <w:rPr>
                <w:color w:val="000000"/>
                <w:sz w:val="16"/>
                <w:szCs w:val="16"/>
              </w:rPr>
              <w:br/>
              <w:t>0</w:t>
            </w:r>
            <w:r w:rsidR="007957F4" w:rsidRPr="007527BF">
              <w:rPr>
                <w:color w:val="000000"/>
                <w:sz w:val="16"/>
                <w:szCs w:val="16"/>
              </w:rPr>
              <w:t>·</w:t>
            </w:r>
            <w:r w:rsidRPr="007527BF">
              <w:rPr>
                <w:color w:val="000000"/>
                <w:sz w:val="16"/>
                <w:szCs w:val="16"/>
              </w:rPr>
              <w:t>207, 0</w:t>
            </w:r>
            <w:r w:rsidR="007957F4" w:rsidRPr="007527BF">
              <w:rPr>
                <w:color w:val="000000"/>
                <w:sz w:val="16"/>
                <w:szCs w:val="16"/>
              </w:rPr>
              <w:t>·</w:t>
            </w:r>
            <w:r w:rsidRPr="007527BF">
              <w:rPr>
                <w:color w:val="000000"/>
                <w:sz w:val="16"/>
                <w:szCs w:val="16"/>
              </w:rPr>
              <w:t>273</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49B173B" w14:textId="6E6C2AB6" w:rsidR="00FA506D" w:rsidRPr="007527BF" w:rsidRDefault="00FA506D" w:rsidP="000862C6">
            <w:pPr>
              <w:jc w:val="center"/>
              <w:rPr>
                <w:sz w:val="16"/>
                <w:szCs w:val="16"/>
              </w:rPr>
            </w:pPr>
            <w:r w:rsidRPr="007527BF">
              <w:rPr>
                <w:color w:val="000000"/>
                <w:sz w:val="16"/>
                <w:szCs w:val="16"/>
              </w:rPr>
              <w:t>14</w:t>
            </w:r>
            <w:r w:rsidR="007957F4" w:rsidRPr="007527BF">
              <w:rPr>
                <w:color w:val="000000"/>
                <w:sz w:val="16"/>
                <w:szCs w:val="16"/>
              </w:rPr>
              <w:t>·</w:t>
            </w:r>
            <w:r w:rsidRPr="007527BF">
              <w:rPr>
                <w:color w:val="000000"/>
                <w:sz w:val="16"/>
                <w:szCs w:val="16"/>
              </w:rPr>
              <w:t>4%</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CD70A53" w14:textId="12D4E1AC" w:rsidR="00FA506D" w:rsidRPr="007527BF" w:rsidRDefault="00FA506D" w:rsidP="000862C6">
            <w:pPr>
              <w:jc w:val="center"/>
              <w:rPr>
                <w:sz w:val="16"/>
                <w:szCs w:val="16"/>
              </w:rPr>
            </w:pPr>
            <w:r w:rsidRPr="007527BF">
              <w:rPr>
                <w:color w:val="000000"/>
                <w:sz w:val="16"/>
                <w:szCs w:val="16"/>
              </w:rPr>
              <w:t>0</w:t>
            </w:r>
            <w:r w:rsidR="007957F4" w:rsidRPr="007527BF">
              <w:rPr>
                <w:color w:val="000000"/>
                <w:sz w:val="16"/>
                <w:szCs w:val="16"/>
              </w:rPr>
              <w:t>·</w:t>
            </w:r>
            <w:r w:rsidRPr="007527BF">
              <w:rPr>
                <w:color w:val="000000"/>
                <w:sz w:val="16"/>
                <w:szCs w:val="16"/>
              </w:rPr>
              <w:t>077</w:t>
            </w:r>
            <w:r w:rsidRPr="007527BF">
              <w:rPr>
                <w:color w:val="000000"/>
                <w:sz w:val="16"/>
                <w:szCs w:val="16"/>
              </w:rPr>
              <w:br/>
              <w:t>(&lt;</w:t>
            </w:r>
            <w:r w:rsidR="007957F4" w:rsidRPr="007527BF">
              <w:rPr>
                <w:color w:val="000000"/>
                <w:sz w:val="16"/>
                <w:szCs w:val="16"/>
              </w:rPr>
              <w:t>·</w:t>
            </w:r>
            <w:r w:rsidRPr="007527BF">
              <w:rPr>
                <w:color w:val="000000"/>
                <w:sz w:val="16"/>
                <w:szCs w:val="16"/>
              </w:rPr>
              <w:t>001)</w:t>
            </w:r>
            <w:r w:rsidRPr="007527BF">
              <w:rPr>
                <w:color w:val="000000"/>
                <w:sz w:val="16"/>
                <w:szCs w:val="16"/>
              </w:rPr>
              <w:br/>
              <w:t>0</w:t>
            </w:r>
            <w:r w:rsidR="007957F4" w:rsidRPr="007527BF">
              <w:rPr>
                <w:color w:val="000000"/>
                <w:sz w:val="16"/>
                <w:szCs w:val="16"/>
              </w:rPr>
              <w:t>·</w:t>
            </w:r>
            <w:r w:rsidRPr="007527BF">
              <w:rPr>
                <w:color w:val="000000"/>
                <w:sz w:val="16"/>
                <w:szCs w:val="16"/>
              </w:rPr>
              <w:t>056, 0</w:t>
            </w:r>
            <w:r w:rsidR="007957F4" w:rsidRPr="007527BF">
              <w:rPr>
                <w:color w:val="000000"/>
                <w:sz w:val="16"/>
                <w:szCs w:val="16"/>
              </w:rPr>
              <w:t>·</w:t>
            </w:r>
            <w:r w:rsidRPr="007527BF">
              <w:rPr>
                <w:color w:val="000000"/>
                <w:sz w:val="16"/>
                <w:szCs w:val="16"/>
              </w:rPr>
              <w:t>098</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0B3EE77" w14:textId="00800BC0" w:rsidR="00FA506D" w:rsidRPr="007527BF" w:rsidRDefault="00FA506D" w:rsidP="000862C6">
            <w:pPr>
              <w:jc w:val="center"/>
              <w:rPr>
                <w:sz w:val="16"/>
                <w:szCs w:val="16"/>
              </w:rPr>
            </w:pPr>
            <w:r w:rsidRPr="007527BF">
              <w:rPr>
                <w:color w:val="000000"/>
                <w:sz w:val="16"/>
                <w:szCs w:val="16"/>
              </w:rPr>
              <w:t>10</w:t>
            </w:r>
            <w:r w:rsidR="007957F4" w:rsidRPr="007527BF">
              <w:rPr>
                <w:color w:val="000000"/>
                <w:sz w:val="16"/>
                <w:szCs w:val="16"/>
              </w:rPr>
              <w:t>·</w:t>
            </w:r>
            <w:r w:rsidRPr="007527BF">
              <w:rPr>
                <w:color w:val="000000"/>
                <w:sz w:val="16"/>
                <w:szCs w:val="16"/>
              </w:rPr>
              <w:t>8%</w:t>
            </w:r>
          </w:p>
        </w:tc>
        <w:tc>
          <w:tcPr>
            <w:tcW w:w="1667" w:type="dxa"/>
            <w:tcBorders>
              <w:top w:val="single" w:sz="8" w:space="0" w:color="000000"/>
              <w:left w:val="single" w:sz="8" w:space="0" w:color="000000"/>
              <w:bottom w:val="single" w:sz="8" w:space="0" w:color="000000"/>
              <w:right w:val="single" w:sz="8" w:space="0" w:color="000000"/>
            </w:tcBorders>
          </w:tcPr>
          <w:p w14:paraId="51D01CAD" w14:textId="4245A06F" w:rsidR="00FA506D" w:rsidRPr="007527BF" w:rsidRDefault="00FA506D" w:rsidP="000862C6">
            <w:pPr>
              <w:jc w:val="center"/>
              <w:rPr>
                <w:color w:val="000000"/>
                <w:sz w:val="16"/>
                <w:szCs w:val="16"/>
              </w:rPr>
            </w:pPr>
            <w:r w:rsidRPr="007527BF">
              <w:rPr>
                <w:color w:val="000000"/>
                <w:sz w:val="16"/>
                <w:szCs w:val="16"/>
              </w:rPr>
              <w:t>&lt;0</w:t>
            </w:r>
            <w:r w:rsidR="007957F4" w:rsidRPr="007527BF">
              <w:rPr>
                <w:color w:val="000000"/>
                <w:sz w:val="16"/>
                <w:szCs w:val="16"/>
              </w:rPr>
              <w:t>·</w:t>
            </w:r>
            <w:r w:rsidRPr="007527BF">
              <w:rPr>
                <w:color w:val="000000"/>
                <w:sz w:val="16"/>
                <w:szCs w:val="16"/>
              </w:rPr>
              <w:t>01</w:t>
            </w:r>
          </w:p>
        </w:tc>
      </w:tr>
      <w:tr w:rsidR="00FA506D" w:rsidRPr="007527BF" w14:paraId="0A445ADA" w14:textId="77777777" w:rsidTr="00E9691B">
        <w:trPr>
          <w:trHeight w:val="439"/>
          <w:jc w:val="center"/>
        </w:trPr>
        <w:tc>
          <w:tcPr>
            <w:tcW w:w="10894" w:type="dxa"/>
            <w:gridSpan w:val="6"/>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013F9E42" w14:textId="37951D51" w:rsidR="00FA506D" w:rsidRPr="007527BF" w:rsidRDefault="00FA506D" w:rsidP="000862C6">
            <w:pPr>
              <w:jc w:val="both"/>
              <w:rPr>
                <w:color w:val="000000" w:themeColor="text1"/>
                <w:sz w:val="16"/>
                <w:szCs w:val="16"/>
                <w:shd w:val="clear" w:color="auto" w:fill="FFFFFF"/>
              </w:rPr>
            </w:pPr>
            <w:r w:rsidRPr="007527BF">
              <w:rPr>
                <w:color w:val="000000" w:themeColor="text1"/>
                <w:sz w:val="16"/>
                <w:szCs w:val="16"/>
                <w:shd w:val="clear" w:color="auto" w:fill="FFFFFF"/>
                <w:vertAlign w:val="superscript"/>
              </w:rPr>
              <w:t>a</w:t>
            </w:r>
            <w:r w:rsidRPr="007527BF">
              <w:rPr>
                <w:color w:val="000000" w:themeColor="text1"/>
                <w:sz w:val="16"/>
                <w:szCs w:val="16"/>
                <w:shd w:val="clear" w:color="auto" w:fill="FFFFFF"/>
              </w:rPr>
              <w:t xml:space="preserve"> Staggered-Adoption Difference-in-Difference (DID) </w:t>
            </w:r>
            <w:r w:rsidRPr="007527BF">
              <w:rPr>
                <w:sz w:val="16"/>
                <w:szCs w:val="16"/>
              </w:rPr>
              <w:t xml:space="preserve">regression </w:t>
            </w:r>
            <w:r w:rsidRPr="007527BF">
              <w:rPr>
                <w:color w:val="000000" w:themeColor="text1"/>
                <w:sz w:val="16"/>
                <w:szCs w:val="16"/>
                <w:shd w:val="clear" w:color="auto" w:fill="FFFFFF"/>
              </w:rPr>
              <w:t>model</w:t>
            </w:r>
            <w:r w:rsidRPr="007527BF">
              <w:rPr>
                <w:color w:val="000000" w:themeColor="text1"/>
                <w:sz w:val="16"/>
                <w:szCs w:val="16"/>
                <w:shd w:val="clear" w:color="auto" w:fill="FFFFFF"/>
              </w:rPr>
              <w:fldChar w:fldCharType="begin"/>
            </w:r>
            <w:r w:rsidR="000948FC" w:rsidRPr="007527BF">
              <w:rPr>
                <w:color w:val="000000" w:themeColor="text1"/>
                <w:sz w:val="16"/>
                <w:szCs w:val="16"/>
                <w:shd w:val="clear" w:color="auto" w:fill="FFFFFF"/>
              </w:rPr>
              <w:instrText xml:space="preserve"> ADDIN EN.CITE &lt;EndNote&gt;&lt;Cite&gt;&lt;Author&gt;Athey&lt;/Author&gt;&lt;Year&gt;2022&lt;/Year&gt;&lt;RecNum&gt;20&lt;/RecNum&gt;&lt;DisplayText&gt;(88)&lt;/DisplayText&gt;&lt;record&gt;&lt;rec-number&gt;20&lt;/rec-number&gt;&lt;foreign-keys&gt;&lt;key app="EN" db-id="ss29rzpsawetatepdv8pz0toaa2aep0x9xer" timestamp="1656094872"&gt;20&lt;/key&gt;&lt;/foreign-keys&gt;&lt;ref-type name="Journal Article"&gt;17&lt;/ref-type&gt;&lt;contributors&gt;&lt;authors&gt;&lt;author&gt;Athey, Susan&lt;/author&gt;&lt;author&gt;Imbens, Guido W.&lt;/author&gt;&lt;/authors&gt;&lt;/contributors&gt;&lt;titles&gt;&lt;title&gt;Design-based analysis in Difference-In-Differences settings with staggered adoption&lt;/title&gt;&lt;secondary-title&gt;Journal of Econometrics&lt;/secondary-title&gt;&lt;/titles&gt;&lt;periodical&gt;&lt;full-title&gt;Journal of Econometrics&lt;/full-title&gt;&lt;/periodical&gt;&lt;pages&gt;62-79&lt;/pages&gt;&lt;volume&gt;226&lt;/volume&gt;&lt;number&gt;1&lt;/number&gt;&lt;keywords&gt;&lt;keyword&gt;Staggered adoption design&lt;/keyword&gt;&lt;keyword&gt;Difference-In-Differences&lt;/keyword&gt;&lt;keyword&gt;Fixed effects&lt;/keyword&gt;&lt;keyword&gt;Randomization distribution&lt;/keyword&gt;&lt;/keywords&gt;&lt;dates&gt;&lt;year&gt;2022&lt;/year&gt;&lt;pub-dates&gt;&lt;date&gt;2022/01/01/&lt;/date&gt;&lt;/pub-dates&gt;&lt;/dates&gt;&lt;isbn&gt;0304-4076&lt;/isbn&gt;&lt;urls&gt;&lt;related-urls&gt;&lt;url&gt;https://www.sciencedirect.com/science/article/pii/S0304407621000488&lt;/url&gt;&lt;/related-urls&gt;&lt;/urls&gt;&lt;electronic-resource-num&gt;https://doi.org/10.1016/j.jeconom.2020.10.012&lt;/electronic-resource-num&gt;&lt;/record&gt;&lt;/Cite&gt;&lt;/EndNote&gt;</w:instrText>
            </w:r>
            <w:r w:rsidRPr="007527BF">
              <w:rPr>
                <w:color w:val="000000" w:themeColor="text1"/>
                <w:sz w:val="16"/>
                <w:szCs w:val="16"/>
                <w:shd w:val="clear" w:color="auto" w:fill="FFFFFF"/>
              </w:rPr>
              <w:fldChar w:fldCharType="separate"/>
            </w:r>
            <w:r w:rsidR="000948FC" w:rsidRPr="007527BF">
              <w:rPr>
                <w:noProof/>
                <w:color w:val="000000" w:themeColor="text1"/>
                <w:sz w:val="16"/>
                <w:szCs w:val="16"/>
                <w:shd w:val="clear" w:color="auto" w:fill="FFFFFF"/>
              </w:rPr>
              <w:t>(88)</w:t>
            </w:r>
            <w:r w:rsidRPr="007527BF">
              <w:rPr>
                <w:color w:val="000000" w:themeColor="text1"/>
                <w:sz w:val="16"/>
                <w:szCs w:val="16"/>
                <w:shd w:val="clear" w:color="auto" w:fill="FFFFFF"/>
              </w:rPr>
              <w:fldChar w:fldCharType="end"/>
            </w:r>
            <w:r w:rsidRPr="007527BF">
              <w:rPr>
                <w:color w:val="000000" w:themeColor="text1"/>
                <w:sz w:val="16"/>
                <w:szCs w:val="16"/>
                <w:shd w:val="clear" w:color="auto" w:fill="FFFFFF"/>
              </w:rPr>
              <w:t>, adjusted for categorical age, sex, race/ethnicity, all age*race/ethnicity*sex interactions, state-level median income and percentages: male, Hispanic, non-Hispanic White, non-Hispanic Black, poverty, age 18+, unemployed.</w:t>
            </w:r>
          </w:p>
          <w:p w14:paraId="00A6EE3F" w14:textId="250FE807" w:rsidR="00FA506D" w:rsidRPr="007527BF" w:rsidRDefault="00FA506D" w:rsidP="000862C6">
            <w:pPr>
              <w:jc w:val="both"/>
              <w:rPr>
                <w:color w:val="000000" w:themeColor="text1"/>
                <w:sz w:val="16"/>
                <w:szCs w:val="16"/>
                <w:shd w:val="clear" w:color="auto" w:fill="FFFFFF"/>
              </w:rPr>
            </w:pPr>
            <w:r w:rsidRPr="007527BF">
              <w:rPr>
                <w:color w:val="000000" w:themeColor="text1"/>
                <w:sz w:val="16"/>
                <w:szCs w:val="16"/>
                <w:shd w:val="clear" w:color="auto" w:fill="FFFFFF"/>
              </w:rPr>
              <w:t xml:space="preserve">Model </w:t>
            </w:r>
            <w:r w:rsidRPr="007527BF">
              <w:rPr>
                <w:sz w:val="16"/>
                <w:szCs w:val="16"/>
              </w:rPr>
              <w:t>estimated effects represent absolute increase (positive values) or decrease (negative values) in CUD prevalence due to law enactment.  Confidence intervals not including 0</w:t>
            </w:r>
            <w:r w:rsidR="007957F4" w:rsidRPr="007527BF">
              <w:rPr>
                <w:sz w:val="16"/>
                <w:szCs w:val="16"/>
              </w:rPr>
              <w:t>·</w:t>
            </w:r>
            <w:r w:rsidRPr="007527BF">
              <w:rPr>
                <w:sz w:val="16"/>
                <w:szCs w:val="16"/>
              </w:rPr>
              <w:t xml:space="preserve">0 indicate significant changes. The </w:t>
            </w:r>
            <w:proofErr w:type="spellStart"/>
            <w:r w:rsidRPr="007527BF">
              <w:rPr>
                <w:sz w:val="16"/>
                <w:szCs w:val="16"/>
              </w:rPr>
              <w:t>DiD</w:t>
            </w:r>
            <w:proofErr w:type="spellEnd"/>
            <w:r w:rsidRPr="007527BF">
              <w:rPr>
                <w:sz w:val="16"/>
                <w:szCs w:val="16"/>
              </w:rPr>
              <w:t xml:space="preserve"> model compares the years after enactment (up to 2019 or until the next law change) in each state to the years before enactment (since 2005 or the previous law change) in the same state, and controls for contemporaneous trends in other states that have not yet passed the respective law.</w:t>
            </w:r>
          </w:p>
          <w:p w14:paraId="1F0E9712" w14:textId="77777777" w:rsidR="00FA506D" w:rsidRPr="007527BF" w:rsidRDefault="00FA506D" w:rsidP="000862C6">
            <w:pPr>
              <w:jc w:val="both"/>
              <w:rPr>
                <w:color w:val="000000" w:themeColor="text1"/>
                <w:sz w:val="16"/>
                <w:szCs w:val="16"/>
                <w:shd w:val="clear" w:color="auto" w:fill="FFFFFF"/>
              </w:rPr>
            </w:pPr>
            <w:r w:rsidRPr="007527BF">
              <w:rPr>
                <w:color w:val="000000" w:themeColor="text1"/>
                <w:sz w:val="16"/>
                <w:szCs w:val="16"/>
                <w:shd w:val="clear" w:color="auto" w:fill="FFFFFF"/>
                <w:vertAlign w:val="superscript"/>
              </w:rPr>
              <w:t xml:space="preserve">b </w:t>
            </w:r>
            <w:proofErr w:type="spellStart"/>
            <w:r w:rsidRPr="007527BF">
              <w:rPr>
                <w:color w:val="000000" w:themeColor="text1"/>
                <w:sz w:val="16"/>
                <w:szCs w:val="16"/>
                <w:shd w:val="clear" w:color="auto" w:fill="FFFFFF"/>
              </w:rPr>
              <w:t>DiD</w:t>
            </w:r>
            <w:proofErr w:type="spellEnd"/>
            <w:r w:rsidRPr="007527BF">
              <w:rPr>
                <w:color w:val="000000" w:themeColor="text1"/>
                <w:sz w:val="16"/>
                <w:szCs w:val="16"/>
                <w:shd w:val="clear" w:color="auto" w:fill="FFFFFF"/>
              </w:rPr>
              <w:t xml:space="preserve"> estimate divided by absolute change across period as shown in E-Table 3.</w:t>
            </w:r>
          </w:p>
          <w:p w14:paraId="0DC644A6" w14:textId="77777777" w:rsidR="00FA506D" w:rsidRPr="007527BF" w:rsidRDefault="00FA506D" w:rsidP="000862C6">
            <w:pPr>
              <w:jc w:val="both"/>
              <w:rPr>
                <w:color w:val="000000" w:themeColor="text1"/>
                <w:sz w:val="16"/>
                <w:szCs w:val="16"/>
                <w:shd w:val="clear" w:color="auto" w:fill="FFFFFF"/>
                <w:vertAlign w:val="superscript"/>
              </w:rPr>
            </w:pPr>
            <w:r w:rsidRPr="007527BF">
              <w:rPr>
                <w:color w:val="000000"/>
                <w:sz w:val="16"/>
                <w:szCs w:val="16"/>
                <w:shd w:val="clear" w:color="auto" w:fill="FFFFFF"/>
                <w:vertAlign w:val="superscript"/>
              </w:rPr>
              <w:t xml:space="preserve">c </w:t>
            </w:r>
            <w:r w:rsidRPr="007527BF">
              <w:rPr>
                <w:color w:val="000000"/>
                <w:sz w:val="16"/>
                <w:szCs w:val="16"/>
                <w:shd w:val="clear" w:color="auto" w:fill="FFFFFF"/>
              </w:rPr>
              <w:t>22 states and DC made a change from no-CL to MCL-only during the period from 2005-2018 (to account for the 1-year lag); 10 states and DC made a change from MCL-only to RCL/MCL during the period.  Note, 2 of these states and DC made both changes during the period from no-CL to MCL-only and then to RCL/MCL hence contribute to both effects. With the 1-year lag, 20 states (3 with MCL-only and 17 with no-CL) made no law changes between 2005-2019 and contribute in the DID model to background secular trends.</w:t>
            </w:r>
          </w:p>
        </w:tc>
      </w:tr>
    </w:tbl>
    <w:p w14:paraId="4B073124" w14:textId="2ED75DD6" w:rsidR="00FA506D" w:rsidRPr="007527BF" w:rsidRDefault="00FA506D" w:rsidP="003109F8">
      <w:pPr>
        <w:keepNext/>
        <w:autoSpaceDE w:val="0"/>
        <w:autoSpaceDN w:val="0"/>
        <w:outlineLvl w:val="0"/>
        <w:rPr>
          <w:color w:val="000000" w:themeColor="text1"/>
          <w:kern w:val="32"/>
          <w:sz w:val="22"/>
          <w:szCs w:val="22"/>
        </w:rPr>
      </w:pPr>
    </w:p>
    <w:sectPr w:rsidR="00FA506D" w:rsidRPr="007527BF" w:rsidSect="005960C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F52E" w14:textId="77777777" w:rsidR="00E54596" w:rsidRDefault="00E54596">
      <w:r>
        <w:separator/>
      </w:r>
    </w:p>
  </w:endnote>
  <w:endnote w:type="continuationSeparator" w:id="0">
    <w:p w14:paraId="79D87203" w14:textId="77777777" w:rsidR="00E54596" w:rsidRDefault="00E5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4877" w14:textId="77777777" w:rsidR="00E54596" w:rsidRDefault="00E54596">
      <w:r>
        <w:separator/>
      </w:r>
    </w:p>
  </w:footnote>
  <w:footnote w:type="continuationSeparator" w:id="0">
    <w:p w14:paraId="222979DB" w14:textId="77777777" w:rsidR="00E54596" w:rsidRDefault="00E5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669678298"/>
      <w:docPartObj>
        <w:docPartGallery w:val="Page Numbers (Top of Page)"/>
        <w:docPartUnique/>
      </w:docPartObj>
    </w:sdtPr>
    <w:sdtEndPr>
      <w:rPr>
        <w:rFonts w:ascii="Times New Roman" w:hAnsi="Times New Roman" w:cs="Times New Roman"/>
        <w:noProof/>
        <w:sz w:val="20"/>
        <w:szCs w:val="20"/>
      </w:rPr>
    </w:sdtEndPr>
    <w:sdtContent>
      <w:p w14:paraId="6AE2635A" w14:textId="4D9735AE" w:rsidR="007527BF" w:rsidRPr="007527BF" w:rsidRDefault="007527BF">
        <w:pPr>
          <w:pStyle w:val="Header"/>
          <w:jc w:val="right"/>
          <w:rPr>
            <w:sz w:val="20"/>
            <w:szCs w:val="20"/>
          </w:rPr>
        </w:pPr>
        <w:r w:rsidRPr="007527BF">
          <w:rPr>
            <w:sz w:val="20"/>
            <w:szCs w:val="20"/>
          </w:rPr>
          <w:fldChar w:fldCharType="begin"/>
        </w:r>
        <w:r w:rsidRPr="007527BF">
          <w:rPr>
            <w:sz w:val="20"/>
            <w:szCs w:val="20"/>
          </w:rPr>
          <w:instrText xml:space="preserve"> PAGE   \* MERGEFORMAT </w:instrText>
        </w:r>
        <w:r w:rsidRPr="007527BF">
          <w:rPr>
            <w:sz w:val="20"/>
            <w:szCs w:val="20"/>
          </w:rPr>
          <w:fldChar w:fldCharType="separate"/>
        </w:r>
        <w:r w:rsidRPr="007527BF">
          <w:rPr>
            <w:noProof/>
            <w:sz w:val="20"/>
            <w:szCs w:val="20"/>
          </w:rPr>
          <w:t>2</w:t>
        </w:r>
        <w:r w:rsidRPr="007527BF">
          <w:rPr>
            <w:noProof/>
            <w:sz w:val="20"/>
            <w:szCs w:val="20"/>
          </w:rPr>
          <w:fldChar w:fldCharType="end"/>
        </w:r>
      </w:p>
    </w:sdtContent>
  </w:sdt>
  <w:p w14:paraId="308CEF64" w14:textId="77777777" w:rsidR="00D46657" w:rsidRDefault="00D46657">
    <w:pPr>
      <w:pStyle w:val="BodyText"/>
      <w:spacing w:before="0"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E03FC"/>
    <w:multiLevelType w:val="multilevel"/>
    <w:tmpl w:val="F602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248C5"/>
    <w:multiLevelType w:val="multilevel"/>
    <w:tmpl w:val="F21C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1382E"/>
    <w:multiLevelType w:val="multilevel"/>
    <w:tmpl w:val="0F86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029BF"/>
    <w:multiLevelType w:val="multilevel"/>
    <w:tmpl w:val="7758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25548"/>
    <w:multiLevelType w:val="multilevel"/>
    <w:tmpl w:val="E0B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tzeatdqarwwxeazxop9eeer0av2a0wtzf2&quot;&gt;MCL RCL CUD pain&lt;record-ids&gt;&lt;item&gt;1&lt;/item&gt;&lt;item&gt;2&lt;/item&gt;&lt;item&gt;3&lt;/item&gt;&lt;item&gt;4&lt;/item&gt;&lt;item&gt;5&lt;/item&gt;&lt;item&gt;6&lt;/item&gt;&lt;item&gt;7&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4&lt;/item&gt;&lt;item&gt;46&lt;/item&gt;&lt;item&gt;48&lt;/item&gt;&lt;item&gt;49&lt;/item&gt;&lt;item&gt;50&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3&lt;/item&gt;&lt;item&gt;74&lt;/item&gt;&lt;item&gt;76&lt;/item&gt;&lt;item&gt;77&lt;/item&gt;&lt;item&gt;78&lt;/item&gt;&lt;item&gt;79&lt;/item&gt;&lt;item&gt;80&lt;/item&gt;&lt;item&gt;81&lt;/item&gt;&lt;item&gt;82&lt;/item&gt;&lt;item&gt;83&lt;/item&gt;&lt;item&gt;84&lt;/item&gt;&lt;item&gt;85&lt;/item&gt;&lt;item&gt;86&lt;/item&gt;&lt;item&gt;88&lt;/item&gt;&lt;item&gt;89&lt;/item&gt;&lt;item&gt;90&lt;/item&gt;&lt;item&gt;92&lt;/item&gt;&lt;item&gt;93&lt;/item&gt;&lt;item&gt;94&lt;/item&gt;&lt;item&gt;95&lt;/item&gt;&lt;item&gt;96&lt;/item&gt;&lt;item&gt;97&lt;/item&gt;&lt;item&gt;98&lt;/item&gt;&lt;item&gt;99&lt;/item&gt;&lt;/record-ids&gt;&lt;/item&gt;&lt;/Libraries&gt;"/>
  </w:docVars>
  <w:rsids>
    <w:rsidRoot w:val="003F3C1A"/>
    <w:rsid w:val="0000027F"/>
    <w:rsid w:val="000003DC"/>
    <w:rsid w:val="00001E58"/>
    <w:rsid w:val="0000565E"/>
    <w:rsid w:val="000074EA"/>
    <w:rsid w:val="00007511"/>
    <w:rsid w:val="0001075E"/>
    <w:rsid w:val="00010E65"/>
    <w:rsid w:val="0001101D"/>
    <w:rsid w:val="000128A1"/>
    <w:rsid w:val="00013E63"/>
    <w:rsid w:val="0001665E"/>
    <w:rsid w:val="00016887"/>
    <w:rsid w:val="00016C35"/>
    <w:rsid w:val="0002026D"/>
    <w:rsid w:val="0002047D"/>
    <w:rsid w:val="0002049F"/>
    <w:rsid w:val="00020AF5"/>
    <w:rsid w:val="00021355"/>
    <w:rsid w:val="00022519"/>
    <w:rsid w:val="0002287B"/>
    <w:rsid w:val="00022994"/>
    <w:rsid w:val="00023157"/>
    <w:rsid w:val="000232B1"/>
    <w:rsid w:val="00023ED0"/>
    <w:rsid w:val="000245C5"/>
    <w:rsid w:val="000251D5"/>
    <w:rsid w:val="00027B59"/>
    <w:rsid w:val="00030088"/>
    <w:rsid w:val="0003071A"/>
    <w:rsid w:val="00030A51"/>
    <w:rsid w:val="0003590E"/>
    <w:rsid w:val="00040B00"/>
    <w:rsid w:val="00042DE7"/>
    <w:rsid w:val="00044469"/>
    <w:rsid w:val="00045FFD"/>
    <w:rsid w:val="000468E8"/>
    <w:rsid w:val="00047FB6"/>
    <w:rsid w:val="000503B8"/>
    <w:rsid w:val="00051B50"/>
    <w:rsid w:val="000525BF"/>
    <w:rsid w:val="00054808"/>
    <w:rsid w:val="000565EB"/>
    <w:rsid w:val="00056D3B"/>
    <w:rsid w:val="00057276"/>
    <w:rsid w:val="000574FE"/>
    <w:rsid w:val="00063D8D"/>
    <w:rsid w:val="00065298"/>
    <w:rsid w:val="00066EEC"/>
    <w:rsid w:val="000672B1"/>
    <w:rsid w:val="00067A21"/>
    <w:rsid w:val="000703B8"/>
    <w:rsid w:val="000721B7"/>
    <w:rsid w:val="00073805"/>
    <w:rsid w:val="00076C79"/>
    <w:rsid w:val="00077C42"/>
    <w:rsid w:val="00082B6C"/>
    <w:rsid w:val="00085FE3"/>
    <w:rsid w:val="000861C9"/>
    <w:rsid w:val="000869A5"/>
    <w:rsid w:val="000877B4"/>
    <w:rsid w:val="0009054C"/>
    <w:rsid w:val="000938BD"/>
    <w:rsid w:val="00094835"/>
    <w:rsid w:val="000948FC"/>
    <w:rsid w:val="00095CB7"/>
    <w:rsid w:val="00097B07"/>
    <w:rsid w:val="00097C9E"/>
    <w:rsid w:val="00097F93"/>
    <w:rsid w:val="000A1E6F"/>
    <w:rsid w:val="000A2442"/>
    <w:rsid w:val="000A354C"/>
    <w:rsid w:val="000A3DA7"/>
    <w:rsid w:val="000A6B70"/>
    <w:rsid w:val="000B072C"/>
    <w:rsid w:val="000B6BBA"/>
    <w:rsid w:val="000B6BF3"/>
    <w:rsid w:val="000C0352"/>
    <w:rsid w:val="000C0475"/>
    <w:rsid w:val="000C1754"/>
    <w:rsid w:val="000C2B96"/>
    <w:rsid w:val="000C2D7E"/>
    <w:rsid w:val="000C4C0B"/>
    <w:rsid w:val="000C5461"/>
    <w:rsid w:val="000C6810"/>
    <w:rsid w:val="000D25C6"/>
    <w:rsid w:val="000D2F74"/>
    <w:rsid w:val="000D4F2B"/>
    <w:rsid w:val="000D5560"/>
    <w:rsid w:val="000D6611"/>
    <w:rsid w:val="000E2430"/>
    <w:rsid w:val="000E6638"/>
    <w:rsid w:val="000F25DB"/>
    <w:rsid w:val="000F2D31"/>
    <w:rsid w:val="00100CD2"/>
    <w:rsid w:val="00101E54"/>
    <w:rsid w:val="00102E00"/>
    <w:rsid w:val="00104E5D"/>
    <w:rsid w:val="00105153"/>
    <w:rsid w:val="00106032"/>
    <w:rsid w:val="001061AC"/>
    <w:rsid w:val="0010670E"/>
    <w:rsid w:val="00111ABC"/>
    <w:rsid w:val="00113172"/>
    <w:rsid w:val="00114C00"/>
    <w:rsid w:val="001177E8"/>
    <w:rsid w:val="00125034"/>
    <w:rsid w:val="00135BB0"/>
    <w:rsid w:val="00137E69"/>
    <w:rsid w:val="00137EDA"/>
    <w:rsid w:val="00140D11"/>
    <w:rsid w:val="0014183F"/>
    <w:rsid w:val="00141D31"/>
    <w:rsid w:val="00142AEE"/>
    <w:rsid w:val="00142F20"/>
    <w:rsid w:val="0015089A"/>
    <w:rsid w:val="00157F4C"/>
    <w:rsid w:val="00161120"/>
    <w:rsid w:val="00161D0C"/>
    <w:rsid w:val="00163B09"/>
    <w:rsid w:val="001646AB"/>
    <w:rsid w:val="00166E97"/>
    <w:rsid w:val="0016704D"/>
    <w:rsid w:val="0017271E"/>
    <w:rsid w:val="00173CE3"/>
    <w:rsid w:val="00173E18"/>
    <w:rsid w:val="00173FE4"/>
    <w:rsid w:val="00176016"/>
    <w:rsid w:val="001766A8"/>
    <w:rsid w:val="001771ED"/>
    <w:rsid w:val="00180E0F"/>
    <w:rsid w:val="0018222D"/>
    <w:rsid w:val="00185F9A"/>
    <w:rsid w:val="00187297"/>
    <w:rsid w:val="00187F4E"/>
    <w:rsid w:val="001901ED"/>
    <w:rsid w:val="00191E84"/>
    <w:rsid w:val="00191EC0"/>
    <w:rsid w:val="00192B0E"/>
    <w:rsid w:val="0019356B"/>
    <w:rsid w:val="00195E36"/>
    <w:rsid w:val="001A0C16"/>
    <w:rsid w:val="001A2CCD"/>
    <w:rsid w:val="001A564C"/>
    <w:rsid w:val="001A7A48"/>
    <w:rsid w:val="001B111D"/>
    <w:rsid w:val="001B4C18"/>
    <w:rsid w:val="001B52FE"/>
    <w:rsid w:val="001C10E2"/>
    <w:rsid w:val="001C38C5"/>
    <w:rsid w:val="001C7460"/>
    <w:rsid w:val="001C7B9E"/>
    <w:rsid w:val="001D3A30"/>
    <w:rsid w:val="001D4092"/>
    <w:rsid w:val="001D6E5E"/>
    <w:rsid w:val="001E38B9"/>
    <w:rsid w:val="001E3C8D"/>
    <w:rsid w:val="001F04BC"/>
    <w:rsid w:val="00200A44"/>
    <w:rsid w:val="0020354E"/>
    <w:rsid w:val="00204A6B"/>
    <w:rsid w:val="002064B1"/>
    <w:rsid w:val="00207B9B"/>
    <w:rsid w:val="00210ED9"/>
    <w:rsid w:val="00212D03"/>
    <w:rsid w:val="00216285"/>
    <w:rsid w:val="00221466"/>
    <w:rsid w:val="002218C5"/>
    <w:rsid w:val="00223E7A"/>
    <w:rsid w:val="002241E5"/>
    <w:rsid w:val="00225990"/>
    <w:rsid w:val="002266BE"/>
    <w:rsid w:val="00230563"/>
    <w:rsid w:val="00233F4D"/>
    <w:rsid w:val="00236C4D"/>
    <w:rsid w:val="002373A1"/>
    <w:rsid w:val="00240A24"/>
    <w:rsid w:val="002422FA"/>
    <w:rsid w:val="00244B74"/>
    <w:rsid w:val="00247C9C"/>
    <w:rsid w:val="0025028A"/>
    <w:rsid w:val="00253C03"/>
    <w:rsid w:val="00256B36"/>
    <w:rsid w:val="00257436"/>
    <w:rsid w:val="00261CE4"/>
    <w:rsid w:val="00262198"/>
    <w:rsid w:val="0026238A"/>
    <w:rsid w:val="00262EC3"/>
    <w:rsid w:val="002646FE"/>
    <w:rsid w:val="002700A9"/>
    <w:rsid w:val="002701E8"/>
    <w:rsid w:val="002703DD"/>
    <w:rsid w:val="00271351"/>
    <w:rsid w:val="00271695"/>
    <w:rsid w:val="00272D84"/>
    <w:rsid w:val="00274871"/>
    <w:rsid w:val="002757B3"/>
    <w:rsid w:val="00276A64"/>
    <w:rsid w:val="00277FD5"/>
    <w:rsid w:val="00280BD5"/>
    <w:rsid w:val="00280D62"/>
    <w:rsid w:val="00282AC6"/>
    <w:rsid w:val="002839D8"/>
    <w:rsid w:val="00284377"/>
    <w:rsid w:val="00284C1E"/>
    <w:rsid w:val="00286ED2"/>
    <w:rsid w:val="00291802"/>
    <w:rsid w:val="00292317"/>
    <w:rsid w:val="00297055"/>
    <w:rsid w:val="00297331"/>
    <w:rsid w:val="00297DAE"/>
    <w:rsid w:val="002A0A7D"/>
    <w:rsid w:val="002A19CE"/>
    <w:rsid w:val="002A29D9"/>
    <w:rsid w:val="002A5826"/>
    <w:rsid w:val="002A5CAC"/>
    <w:rsid w:val="002A6009"/>
    <w:rsid w:val="002A6BEA"/>
    <w:rsid w:val="002A7AAA"/>
    <w:rsid w:val="002A7B9F"/>
    <w:rsid w:val="002A7CD2"/>
    <w:rsid w:val="002B0453"/>
    <w:rsid w:val="002B046B"/>
    <w:rsid w:val="002B2C1A"/>
    <w:rsid w:val="002B3D5C"/>
    <w:rsid w:val="002B4A32"/>
    <w:rsid w:val="002C20FD"/>
    <w:rsid w:val="002C36F6"/>
    <w:rsid w:val="002C626C"/>
    <w:rsid w:val="002D098C"/>
    <w:rsid w:val="002D1170"/>
    <w:rsid w:val="002D3420"/>
    <w:rsid w:val="002D3BBC"/>
    <w:rsid w:val="002D5CBF"/>
    <w:rsid w:val="002D700D"/>
    <w:rsid w:val="002D71C9"/>
    <w:rsid w:val="002E2500"/>
    <w:rsid w:val="002E280B"/>
    <w:rsid w:val="002E49A2"/>
    <w:rsid w:val="002E4BCB"/>
    <w:rsid w:val="002E5C47"/>
    <w:rsid w:val="002E5F72"/>
    <w:rsid w:val="002F1309"/>
    <w:rsid w:val="002F5368"/>
    <w:rsid w:val="002F611C"/>
    <w:rsid w:val="003010CD"/>
    <w:rsid w:val="00302B2D"/>
    <w:rsid w:val="00302DDC"/>
    <w:rsid w:val="00303B85"/>
    <w:rsid w:val="00305373"/>
    <w:rsid w:val="003109F8"/>
    <w:rsid w:val="00310A02"/>
    <w:rsid w:val="00313FE6"/>
    <w:rsid w:val="00314207"/>
    <w:rsid w:val="003147A9"/>
    <w:rsid w:val="00315CFB"/>
    <w:rsid w:val="00316A9C"/>
    <w:rsid w:val="00321CA0"/>
    <w:rsid w:val="00322B28"/>
    <w:rsid w:val="003230A2"/>
    <w:rsid w:val="0032312C"/>
    <w:rsid w:val="00323A95"/>
    <w:rsid w:val="00324EAA"/>
    <w:rsid w:val="003267DF"/>
    <w:rsid w:val="00332BE0"/>
    <w:rsid w:val="00336B12"/>
    <w:rsid w:val="00341071"/>
    <w:rsid w:val="00341BA5"/>
    <w:rsid w:val="00342106"/>
    <w:rsid w:val="003421BE"/>
    <w:rsid w:val="003427D1"/>
    <w:rsid w:val="003433EC"/>
    <w:rsid w:val="0034425E"/>
    <w:rsid w:val="00345B17"/>
    <w:rsid w:val="00346CF0"/>
    <w:rsid w:val="003521DA"/>
    <w:rsid w:val="00356C4C"/>
    <w:rsid w:val="00360FA6"/>
    <w:rsid w:val="003627B7"/>
    <w:rsid w:val="00363B06"/>
    <w:rsid w:val="003647FD"/>
    <w:rsid w:val="00366D58"/>
    <w:rsid w:val="00370AC8"/>
    <w:rsid w:val="00373609"/>
    <w:rsid w:val="003742EF"/>
    <w:rsid w:val="00377247"/>
    <w:rsid w:val="00381D9A"/>
    <w:rsid w:val="0038317C"/>
    <w:rsid w:val="00384E1E"/>
    <w:rsid w:val="0038501F"/>
    <w:rsid w:val="00385FAF"/>
    <w:rsid w:val="00386602"/>
    <w:rsid w:val="00391972"/>
    <w:rsid w:val="00393FA8"/>
    <w:rsid w:val="003A549A"/>
    <w:rsid w:val="003A752C"/>
    <w:rsid w:val="003B1896"/>
    <w:rsid w:val="003B1F2D"/>
    <w:rsid w:val="003B5955"/>
    <w:rsid w:val="003B5A66"/>
    <w:rsid w:val="003C1CB0"/>
    <w:rsid w:val="003D0225"/>
    <w:rsid w:val="003D0362"/>
    <w:rsid w:val="003D05C6"/>
    <w:rsid w:val="003D1B4F"/>
    <w:rsid w:val="003D2228"/>
    <w:rsid w:val="003D39AF"/>
    <w:rsid w:val="003D44EF"/>
    <w:rsid w:val="003E2ECC"/>
    <w:rsid w:val="003E3447"/>
    <w:rsid w:val="003E5E75"/>
    <w:rsid w:val="003E74C1"/>
    <w:rsid w:val="003E7693"/>
    <w:rsid w:val="003F1221"/>
    <w:rsid w:val="003F2369"/>
    <w:rsid w:val="003F3582"/>
    <w:rsid w:val="003F3C1A"/>
    <w:rsid w:val="003F60A7"/>
    <w:rsid w:val="003F6191"/>
    <w:rsid w:val="003F6246"/>
    <w:rsid w:val="003F7CBC"/>
    <w:rsid w:val="00402124"/>
    <w:rsid w:val="00405BFB"/>
    <w:rsid w:val="004060E8"/>
    <w:rsid w:val="00406831"/>
    <w:rsid w:val="004072A0"/>
    <w:rsid w:val="0041153A"/>
    <w:rsid w:val="00412608"/>
    <w:rsid w:val="00415821"/>
    <w:rsid w:val="0041601B"/>
    <w:rsid w:val="004200B0"/>
    <w:rsid w:val="00420302"/>
    <w:rsid w:val="00422203"/>
    <w:rsid w:val="00423394"/>
    <w:rsid w:val="00423573"/>
    <w:rsid w:val="004246D6"/>
    <w:rsid w:val="0043010B"/>
    <w:rsid w:val="0043124E"/>
    <w:rsid w:val="00431B92"/>
    <w:rsid w:val="0043282F"/>
    <w:rsid w:val="004335BE"/>
    <w:rsid w:val="00440A24"/>
    <w:rsid w:val="00441A1C"/>
    <w:rsid w:val="004426A4"/>
    <w:rsid w:val="004515DB"/>
    <w:rsid w:val="004519F9"/>
    <w:rsid w:val="00452C94"/>
    <w:rsid w:val="0045427C"/>
    <w:rsid w:val="004565CC"/>
    <w:rsid w:val="00457436"/>
    <w:rsid w:val="00457930"/>
    <w:rsid w:val="00460D2F"/>
    <w:rsid w:val="00461140"/>
    <w:rsid w:val="0046123D"/>
    <w:rsid w:val="00461C02"/>
    <w:rsid w:val="00463451"/>
    <w:rsid w:val="00464AE4"/>
    <w:rsid w:val="004661D2"/>
    <w:rsid w:val="00467FEC"/>
    <w:rsid w:val="0047044A"/>
    <w:rsid w:val="004736D4"/>
    <w:rsid w:val="004751D2"/>
    <w:rsid w:val="0047640D"/>
    <w:rsid w:val="0047693B"/>
    <w:rsid w:val="004816BA"/>
    <w:rsid w:val="00481B30"/>
    <w:rsid w:val="004827D0"/>
    <w:rsid w:val="00486C4B"/>
    <w:rsid w:val="00487355"/>
    <w:rsid w:val="00487543"/>
    <w:rsid w:val="004916C0"/>
    <w:rsid w:val="00491CA1"/>
    <w:rsid w:val="00497147"/>
    <w:rsid w:val="004A09DD"/>
    <w:rsid w:val="004A1174"/>
    <w:rsid w:val="004A294F"/>
    <w:rsid w:val="004A382A"/>
    <w:rsid w:val="004A40BB"/>
    <w:rsid w:val="004A4303"/>
    <w:rsid w:val="004A54D8"/>
    <w:rsid w:val="004A5F0C"/>
    <w:rsid w:val="004A6299"/>
    <w:rsid w:val="004A7B7F"/>
    <w:rsid w:val="004B030A"/>
    <w:rsid w:val="004B0E63"/>
    <w:rsid w:val="004B15D7"/>
    <w:rsid w:val="004B1756"/>
    <w:rsid w:val="004B32F8"/>
    <w:rsid w:val="004B3F24"/>
    <w:rsid w:val="004B7D7A"/>
    <w:rsid w:val="004C313C"/>
    <w:rsid w:val="004C33A7"/>
    <w:rsid w:val="004C35E8"/>
    <w:rsid w:val="004C3D8D"/>
    <w:rsid w:val="004C7799"/>
    <w:rsid w:val="004C7ADA"/>
    <w:rsid w:val="004D5338"/>
    <w:rsid w:val="004E0ECA"/>
    <w:rsid w:val="004E3052"/>
    <w:rsid w:val="004E3E0E"/>
    <w:rsid w:val="004E4034"/>
    <w:rsid w:val="004F124A"/>
    <w:rsid w:val="004F3945"/>
    <w:rsid w:val="004F55F2"/>
    <w:rsid w:val="004F7750"/>
    <w:rsid w:val="00502D24"/>
    <w:rsid w:val="00502DEC"/>
    <w:rsid w:val="00504A89"/>
    <w:rsid w:val="005178A5"/>
    <w:rsid w:val="00520E84"/>
    <w:rsid w:val="00524AED"/>
    <w:rsid w:val="00525683"/>
    <w:rsid w:val="0053085C"/>
    <w:rsid w:val="00531BDB"/>
    <w:rsid w:val="00533616"/>
    <w:rsid w:val="00534578"/>
    <w:rsid w:val="005356DF"/>
    <w:rsid w:val="00535E39"/>
    <w:rsid w:val="00541DAC"/>
    <w:rsid w:val="00543030"/>
    <w:rsid w:val="00544D5C"/>
    <w:rsid w:val="005464A1"/>
    <w:rsid w:val="00546A48"/>
    <w:rsid w:val="00546C2B"/>
    <w:rsid w:val="005526A3"/>
    <w:rsid w:val="00561412"/>
    <w:rsid w:val="005615D6"/>
    <w:rsid w:val="005662E7"/>
    <w:rsid w:val="0056668E"/>
    <w:rsid w:val="005707D8"/>
    <w:rsid w:val="00571B6B"/>
    <w:rsid w:val="00574E20"/>
    <w:rsid w:val="005772A3"/>
    <w:rsid w:val="0058383C"/>
    <w:rsid w:val="00583CDD"/>
    <w:rsid w:val="00584F52"/>
    <w:rsid w:val="0058605E"/>
    <w:rsid w:val="0058781A"/>
    <w:rsid w:val="00591253"/>
    <w:rsid w:val="0059441A"/>
    <w:rsid w:val="00595646"/>
    <w:rsid w:val="005960C6"/>
    <w:rsid w:val="005A0B20"/>
    <w:rsid w:val="005A166F"/>
    <w:rsid w:val="005A3395"/>
    <w:rsid w:val="005A3814"/>
    <w:rsid w:val="005A3E92"/>
    <w:rsid w:val="005A3F8C"/>
    <w:rsid w:val="005A6D7F"/>
    <w:rsid w:val="005B0510"/>
    <w:rsid w:val="005B0A61"/>
    <w:rsid w:val="005B2079"/>
    <w:rsid w:val="005B52CA"/>
    <w:rsid w:val="005B5859"/>
    <w:rsid w:val="005B5A0F"/>
    <w:rsid w:val="005C06A0"/>
    <w:rsid w:val="005C1424"/>
    <w:rsid w:val="005C1C35"/>
    <w:rsid w:val="005C2833"/>
    <w:rsid w:val="005C2B42"/>
    <w:rsid w:val="005C369F"/>
    <w:rsid w:val="005C370A"/>
    <w:rsid w:val="005C3C22"/>
    <w:rsid w:val="005C4D79"/>
    <w:rsid w:val="005C75EE"/>
    <w:rsid w:val="005D120A"/>
    <w:rsid w:val="005D3586"/>
    <w:rsid w:val="005D49E2"/>
    <w:rsid w:val="005D55FD"/>
    <w:rsid w:val="005E1266"/>
    <w:rsid w:val="005E2166"/>
    <w:rsid w:val="005E3593"/>
    <w:rsid w:val="005E4D43"/>
    <w:rsid w:val="005E6C5F"/>
    <w:rsid w:val="005E7EBC"/>
    <w:rsid w:val="005F055F"/>
    <w:rsid w:val="005F3BCC"/>
    <w:rsid w:val="005F647F"/>
    <w:rsid w:val="0060014B"/>
    <w:rsid w:val="00600A02"/>
    <w:rsid w:val="006012E8"/>
    <w:rsid w:val="00607455"/>
    <w:rsid w:val="00607B85"/>
    <w:rsid w:val="00613156"/>
    <w:rsid w:val="00621CFA"/>
    <w:rsid w:val="00624BC1"/>
    <w:rsid w:val="00624FE8"/>
    <w:rsid w:val="00625236"/>
    <w:rsid w:val="006316CE"/>
    <w:rsid w:val="00637F43"/>
    <w:rsid w:val="006408DC"/>
    <w:rsid w:val="00643C76"/>
    <w:rsid w:val="00644735"/>
    <w:rsid w:val="006451B1"/>
    <w:rsid w:val="00645655"/>
    <w:rsid w:val="00646086"/>
    <w:rsid w:val="006477D9"/>
    <w:rsid w:val="00652DBA"/>
    <w:rsid w:val="006540EF"/>
    <w:rsid w:val="006551DF"/>
    <w:rsid w:val="006558D9"/>
    <w:rsid w:val="006569EB"/>
    <w:rsid w:val="00656FDF"/>
    <w:rsid w:val="00662713"/>
    <w:rsid w:val="00663024"/>
    <w:rsid w:val="0066471D"/>
    <w:rsid w:val="00664E1E"/>
    <w:rsid w:val="00665DAA"/>
    <w:rsid w:val="006661C3"/>
    <w:rsid w:val="00666B94"/>
    <w:rsid w:val="00672927"/>
    <w:rsid w:val="00672B79"/>
    <w:rsid w:val="00683996"/>
    <w:rsid w:val="00684A2B"/>
    <w:rsid w:val="00685E10"/>
    <w:rsid w:val="00686478"/>
    <w:rsid w:val="0068654C"/>
    <w:rsid w:val="006878F7"/>
    <w:rsid w:val="006900BD"/>
    <w:rsid w:val="006906AC"/>
    <w:rsid w:val="00695595"/>
    <w:rsid w:val="006961F4"/>
    <w:rsid w:val="006A07EF"/>
    <w:rsid w:val="006A576D"/>
    <w:rsid w:val="006A5AAA"/>
    <w:rsid w:val="006B0873"/>
    <w:rsid w:val="006B1E86"/>
    <w:rsid w:val="006B20AB"/>
    <w:rsid w:val="006B3194"/>
    <w:rsid w:val="006B3D40"/>
    <w:rsid w:val="006B770C"/>
    <w:rsid w:val="006C167D"/>
    <w:rsid w:val="006C3370"/>
    <w:rsid w:val="006C5D59"/>
    <w:rsid w:val="006D1F0B"/>
    <w:rsid w:val="006D2F56"/>
    <w:rsid w:val="006D4296"/>
    <w:rsid w:val="006D43B0"/>
    <w:rsid w:val="006E011D"/>
    <w:rsid w:val="006E064F"/>
    <w:rsid w:val="006E0CD1"/>
    <w:rsid w:val="006E4BE4"/>
    <w:rsid w:val="006E5C1F"/>
    <w:rsid w:val="006E6597"/>
    <w:rsid w:val="006E7265"/>
    <w:rsid w:val="006E7739"/>
    <w:rsid w:val="006F13C3"/>
    <w:rsid w:val="006F1B51"/>
    <w:rsid w:val="006F2C4C"/>
    <w:rsid w:val="006F3F34"/>
    <w:rsid w:val="006F4185"/>
    <w:rsid w:val="006F4CD4"/>
    <w:rsid w:val="00702F9C"/>
    <w:rsid w:val="00704EB7"/>
    <w:rsid w:val="007109A3"/>
    <w:rsid w:val="00710A3A"/>
    <w:rsid w:val="00711FDC"/>
    <w:rsid w:val="007131BF"/>
    <w:rsid w:val="00713FE7"/>
    <w:rsid w:val="007144E9"/>
    <w:rsid w:val="007161CC"/>
    <w:rsid w:val="007164CF"/>
    <w:rsid w:val="00716B9B"/>
    <w:rsid w:val="007171A3"/>
    <w:rsid w:val="0072281D"/>
    <w:rsid w:val="007250DF"/>
    <w:rsid w:val="00725C53"/>
    <w:rsid w:val="0072791D"/>
    <w:rsid w:val="00730069"/>
    <w:rsid w:val="00730DD4"/>
    <w:rsid w:val="00732770"/>
    <w:rsid w:val="00733A09"/>
    <w:rsid w:val="0073631C"/>
    <w:rsid w:val="007426F8"/>
    <w:rsid w:val="007444C5"/>
    <w:rsid w:val="0074529B"/>
    <w:rsid w:val="00746A91"/>
    <w:rsid w:val="00747B1F"/>
    <w:rsid w:val="0075070D"/>
    <w:rsid w:val="0075205E"/>
    <w:rsid w:val="007527BF"/>
    <w:rsid w:val="007529EB"/>
    <w:rsid w:val="0075364E"/>
    <w:rsid w:val="00754F80"/>
    <w:rsid w:val="007553CA"/>
    <w:rsid w:val="00755882"/>
    <w:rsid w:val="00755A86"/>
    <w:rsid w:val="00757890"/>
    <w:rsid w:val="00757F4A"/>
    <w:rsid w:val="00765E75"/>
    <w:rsid w:val="00767DD0"/>
    <w:rsid w:val="0077003B"/>
    <w:rsid w:val="00770567"/>
    <w:rsid w:val="00770958"/>
    <w:rsid w:val="007715BD"/>
    <w:rsid w:val="007719B3"/>
    <w:rsid w:val="00771F5A"/>
    <w:rsid w:val="007803FF"/>
    <w:rsid w:val="007806E2"/>
    <w:rsid w:val="00784573"/>
    <w:rsid w:val="007874AF"/>
    <w:rsid w:val="00787EEC"/>
    <w:rsid w:val="007922A1"/>
    <w:rsid w:val="007957F4"/>
    <w:rsid w:val="0079595F"/>
    <w:rsid w:val="00795D4E"/>
    <w:rsid w:val="007970E6"/>
    <w:rsid w:val="00797773"/>
    <w:rsid w:val="007A0FA6"/>
    <w:rsid w:val="007A1D82"/>
    <w:rsid w:val="007A2371"/>
    <w:rsid w:val="007A6111"/>
    <w:rsid w:val="007A6BE7"/>
    <w:rsid w:val="007A6C3E"/>
    <w:rsid w:val="007A721B"/>
    <w:rsid w:val="007B0A60"/>
    <w:rsid w:val="007B3D5E"/>
    <w:rsid w:val="007B4740"/>
    <w:rsid w:val="007B620E"/>
    <w:rsid w:val="007C2344"/>
    <w:rsid w:val="007C2549"/>
    <w:rsid w:val="007C29B9"/>
    <w:rsid w:val="007C49F6"/>
    <w:rsid w:val="007D2955"/>
    <w:rsid w:val="007E111B"/>
    <w:rsid w:val="007E28B9"/>
    <w:rsid w:val="007E67F6"/>
    <w:rsid w:val="007F05A4"/>
    <w:rsid w:val="007F2598"/>
    <w:rsid w:val="007F524A"/>
    <w:rsid w:val="007F5DD9"/>
    <w:rsid w:val="007F786F"/>
    <w:rsid w:val="0080318F"/>
    <w:rsid w:val="00803B43"/>
    <w:rsid w:val="00804F8C"/>
    <w:rsid w:val="00807198"/>
    <w:rsid w:val="00810F86"/>
    <w:rsid w:val="008116A5"/>
    <w:rsid w:val="00813D2C"/>
    <w:rsid w:val="0081410F"/>
    <w:rsid w:val="008145A6"/>
    <w:rsid w:val="008166C3"/>
    <w:rsid w:val="00817026"/>
    <w:rsid w:val="008210A8"/>
    <w:rsid w:val="00823A48"/>
    <w:rsid w:val="008266D6"/>
    <w:rsid w:val="00826B30"/>
    <w:rsid w:val="008272B2"/>
    <w:rsid w:val="00827B44"/>
    <w:rsid w:val="00830316"/>
    <w:rsid w:val="00830F18"/>
    <w:rsid w:val="00832BF4"/>
    <w:rsid w:val="00833177"/>
    <w:rsid w:val="00833578"/>
    <w:rsid w:val="00835914"/>
    <w:rsid w:val="00837C66"/>
    <w:rsid w:val="008414AE"/>
    <w:rsid w:val="00841AAE"/>
    <w:rsid w:val="008422E2"/>
    <w:rsid w:val="00842D0C"/>
    <w:rsid w:val="00844B7B"/>
    <w:rsid w:val="00844B83"/>
    <w:rsid w:val="00845CF0"/>
    <w:rsid w:val="008533E2"/>
    <w:rsid w:val="00853451"/>
    <w:rsid w:val="00853A3B"/>
    <w:rsid w:val="00853E79"/>
    <w:rsid w:val="00857413"/>
    <w:rsid w:val="00857A55"/>
    <w:rsid w:val="008604F9"/>
    <w:rsid w:val="00860BC3"/>
    <w:rsid w:val="00863340"/>
    <w:rsid w:val="008636C4"/>
    <w:rsid w:val="00864C8F"/>
    <w:rsid w:val="00864FE4"/>
    <w:rsid w:val="008662F9"/>
    <w:rsid w:val="00871191"/>
    <w:rsid w:val="00882A71"/>
    <w:rsid w:val="00883725"/>
    <w:rsid w:val="00887EE1"/>
    <w:rsid w:val="00890DD0"/>
    <w:rsid w:val="00891320"/>
    <w:rsid w:val="00892EB7"/>
    <w:rsid w:val="0089332A"/>
    <w:rsid w:val="00894C3E"/>
    <w:rsid w:val="008965B6"/>
    <w:rsid w:val="008A0033"/>
    <w:rsid w:val="008A05FA"/>
    <w:rsid w:val="008A0B4D"/>
    <w:rsid w:val="008A12D8"/>
    <w:rsid w:val="008A16B9"/>
    <w:rsid w:val="008A3AC9"/>
    <w:rsid w:val="008A4F4D"/>
    <w:rsid w:val="008A5CB3"/>
    <w:rsid w:val="008A6FCB"/>
    <w:rsid w:val="008B177A"/>
    <w:rsid w:val="008B2210"/>
    <w:rsid w:val="008B38DA"/>
    <w:rsid w:val="008B3935"/>
    <w:rsid w:val="008B6B65"/>
    <w:rsid w:val="008C5FC5"/>
    <w:rsid w:val="008C712F"/>
    <w:rsid w:val="008C7A38"/>
    <w:rsid w:val="008D1726"/>
    <w:rsid w:val="008D5151"/>
    <w:rsid w:val="008D577E"/>
    <w:rsid w:val="008E1424"/>
    <w:rsid w:val="008E187B"/>
    <w:rsid w:val="008E230A"/>
    <w:rsid w:val="008E5FF9"/>
    <w:rsid w:val="008E62EF"/>
    <w:rsid w:val="008F0117"/>
    <w:rsid w:val="008F0DE1"/>
    <w:rsid w:val="008F3F95"/>
    <w:rsid w:val="008F4D07"/>
    <w:rsid w:val="008F5AE2"/>
    <w:rsid w:val="008F5C3D"/>
    <w:rsid w:val="008F5DCC"/>
    <w:rsid w:val="008F7EF9"/>
    <w:rsid w:val="00901052"/>
    <w:rsid w:val="00901BEC"/>
    <w:rsid w:val="00904926"/>
    <w:rsid w:val="00904B10"/>
    <w:rsid w:val="00904EC3"/>
    <w:rsid w:val="0090535F"/>
    <w:rsid w:val="00905872"/>
    <w:rsid w:val="0090634C"/>
    <w:rsid w:val="009071CF"/>
    <w:rsid w:val="009103B4"/>
    <w:rsid w:val="00910E41"/>
    <w:rsid w:val="00911696"/>
    <w:rsid w:val="009130A8"/>
    <w:rsid w:val="00913AFD"/>
    <w:rsid w:val="0091483D"/>
    <w:rsid w:val="00917DBC"/>
    <w:rsid w:val="009214A0"/>
    <w:rsid w:val="00923994"/>
    <w:rsid w:val="00926ED9"/>
    <w:rsid w:val="00927589"/>
    <w:rsid w:val="009312FF"/>
    <w:rsid w:val="00931A0B"/>
    <w:rsid w:val="00931D27"/>
    <w:rsid w:val="009326BF"/>
    <w:rsid w:val="00932DF5"/>
    <w:rsid w:val="00932FE7"/>
    <w:rsid w:val="00934057"/>
    <w:rsid w:val="009353A9"/>
    <w:rsid w:val="00935833"/>
    <w:rsid w:val="00937ED9"/>
    <w:rsid w:val="009407E1"/>
    <w:rsid w:val="009433F2"/>
    <w:rsid w:val="00943CD6"/>
    <w:rsid w:val="0094645D"/>
    <w:rsid w:val="0094663B"/>
    <w:rsid w:val="009473A7"/>
    <w:rsid w:val="00947F11"/>
    <w:rsid w:val="00951A79"/>
    <w:rsid w:val="00955274"/>
    <w:rsid w:val="00955F7D"/>
    <w:rsid w:val="00962DD0"/>
    <w:rsid w:val="00963652"/>
    <w:rsid w:val="0096489F"/>
    <w:rsid w:val="00964F16"/>
    <w:rsid w:val="0096597F"/>
    <w:rsid w:val="00970112"/>
    <w:rsid w:val="00971C4C"/>
    <w:rsid w:val="00972C5C"/>
    <w:rsid w:val="00974A4A"/>
    <w:rsid w:val="00975E6E"/>
    <w:rsid w:val="009764B4"/>
    <w:rsid w:val="0098427B"/>
    <w:rsid w:val="0098462C"/>
    <w:rsid w:val="00986CD8"/>
    <w:rsid w:val="0099032B"/>
    <w:rsid w:val="00991C18"/>
    <w:rsid w:val="00991C3A"/>
    <w:rsid w:val="0099406B"/>
    <w:rsid w:val="009971F1"/>
    <w:rsid w:val="00997334"/>
    <w:rsid w:val="009B05A9"/>
    <w:rsid w:val="009B0601"/>
    <w:rsid w:val="009B35DE"/>
    <w:rsid w:val="009B3A84"/>
    <w:rsid w:val="009B4E6E"/>
    <w:rsid w:val="009B54C2"/>
    <w:rsid w:val="009B6CC9"/>
    <w:rsid w:val="009C1224"/>
    <w:rsid w:val="009C3849"/>
    <w:rsid w:val="009C4244"/>
    <w:rsid w:val="009C7BCD"/>
    <w:rsid w:val="009D0FCE"/>
    <w:rsid w:val="009D12D8"/>
    <w:rsid w:val="009D2EBC"/>
    <w:rsid w:val="009D48EE"/>
    <w:rsid w:val="009D71D9"/>
    <w:rsid w:val="009D7401"/>
    <w:rsid w:val="009E0D9C"/>
    <w:rsid w:val="009E1381"/>
    <w:rsid w:val="009E33A0"/>
    <w:rsid w:val="009E686C"/>
    <w:rsid w:val="009F18CE"/>
    <w:rsid w:val="009F25FA"/>
    <w:rsid w:val="009F326C"/>
    <w:rsid w:val="009F38E3"/>
    <w:rsid w:val="009F4495"/>
    <w:rsid w:val="009F55B2"/>
    <w:rsid w:val="009F569D"/>
    <w:rsid w:val="009F70B4"/>
    <w:rsid w:val="00A0313E"/>
    <w:rsid w:val="00A10FBC"/>
    <w:rsid w:val="00A110E2"/>
    <w:rsid w:val="00A11241"/>
    <w:rsid w:val="00A12699"/>
    <w:rsid w:val="00A14DC9"/>
    <w:rsid w:val="00A158F9"/>
    <w:rsid w:val="00A21D83"/>
    <w:rsid w:val="00A221CE"/>
    <w:rsid w:val="00A22E05"/>
    <w:rsid w:val="00A22FA1"/>
    <w:rsid w:val="00A2506A"/>
    <w:rsid w:val="00A252D4"/>
    <w:rsid w:val="00A309CC"/>
    <w:rsid w:val="00A332D5"/>
    <w:rsid w:val="00A362FA"/>
    <w:rsid w:val="00A36BE4"/>
    <w:rsid w:val="00A41261"/>
    <w:rsid w:val="00A428DB"/>
    <w:rsid w:val="00A44B12"/>
    <w:rsid w:val="00A44FED"/>
    <w:rsid w:val="00A55331"/>
    <w:rsid w:val="00A55484"/>
    <w:rsid w:val="00A56279"/>
    <w:rsid w:val="00A56C86"/>
    <w:rsid w:val="00A63FFB"/>
    <w:rsid w:val="00A655E2"/>
    <w:rsid w:val="00A66054"/>
    <w:rsid w:val="00A70FB3"/>
    <w:rsid w:val="00A71FD0"/>
    <w:rsid w:val="00A7516C"/>
    <w:rsid w:val="00A81542"/>
    <w:rsid w:val="00A81700"/>
    <w:rsid w:val="00A81F61"/>
    <w:rsid w:val="00A82706"/>
    <w:rsid w:val="00A83E15"/>
    <w:rsid w:val="00A83E49"/>
    <w:rsid w:val="00A8454A"/>
    <w:rsid w:val="00A84670"/>
    <w:rsid w:val="00A860FD"/>
    <w:rsid w:val="00A87DB3"/>
    <w:rsid w:val="00A906D2"/>
    <w:rsid w:val="00A911E0"/>
    <w:rsid w:val="00A913A8"/>
    <w:rsid w:val="00A919AA"/>
    <w:rsid w:val="00A92327"/>
    <w:rsid w:val="00A93C0B"/>
    <w:rsid w:val="00A95613"/>
    <w:rsid w:val="00A95E82"/>
    <w:rsid w:val="00A97FF1"/>
    <w:rsid w:val="00AA6A29"/>
    <w:rsid w:val="00AA6B4C"/>
    <w:rsid w:val="00AB05E6"/>
    <w:rsid w:val="00AB0DBF"/>
    <w:rsid w:val="00AB3108"/>
    <w:rsid w:val="00AB425E"/>
    <w:rsid w:val="00AB54CB"/>
    <w:rsid w:val="00AB69B2"/>
    <w:rsid w:val="00AC0654"/>
    <w:rsid w:val="00AC2230"/>
    <w:rsid w:val="00AC3C0D"/>
    <w:rsid w:val="00AC49F5"/>
    <w:rsid w:val="00AC5FA0"/>
    <w:rsid w:val="00AC70BF"/>
    <w:rsid w:val="00AC7E85"/>
    <w:rsid w:val="00AD0003"/>
    <w:rsid w:val="00AD0E11"/>
    <w:rsid w:val="00AD1CFA"/>
    <w:rsid w:val="00AD2F37"/>
    <w:rsid w:val="00AD3A12"/>
    <w:rsid w:val="00AD4377"/>
    <w:rsid w:val="00AD4F1B"/>
    <w:rsid w:val="00AD74A9"/>
    <w:rsid w:val="00AE2462"/>
    <w:rsid w:val="00AE2C58"/>
    <w:rsid w:val="00AE3C98"/>
    <w:rsid w:val="00AE4D96"/>
    <w:rsid w:val="00AE7870"/>
    <w:rsid w:val="00AF0D2A"/>
    <w:rsid w:val="00AF1146"/>
    <w:rsid w:val="00AF54E0"/>
    <w:rsid w:val="00AF6957"/>
    <w:rsid w:val="00AF6FF8"/>
    <w:rsid w:val="00B00145"/>
    <w:rsid w:val="00B00574"/>
    <w:rsid w:val="00B01068"/>
    <w:rsid w:val="00B01B04"/>
    <w:rsid w:val="00B03F41"/>
    <w:rsid w:val="00B05724"/>
    <w:rsid w:val="00B0646E"/>
    <w:rsid w:val="00B076A2"/>
    <w:rsid w:val="00B1192F"/>
    <w:rsid w:val="00B13EBA"/>
    <w:rsid w:val="00B14665"/>
    <w:rsid w:val="00B1479E"/>
    <w:rsid w:val="00B14F70"/>
    <w:rsid w:val="00B15023"/>
    <w:rsid w:val="00B17287"/>
    <w:rsid w:val="00B1765E"/>
    <w:rsid w:val="00B21BFF"/>
    <w:rsid w:val="00B23CF2"/>
    <w:rsid w:val="00B2423D"/>
    <w:rsid w:val="00B250C4"/>
    <w:rsid w:val="00B265EE"/>
    <w:rsid w:val="00B27535"/>
    <w:rsid w:val="00B311BC"/>
    <w:rsid w:val="00B32611"/>
    <w:rsid w:val="00B32781"/>
    <w:rsid w:val="00B33051"/>
    <w:rsid w:val="00B36290"/>
    <w:rsid w:val="00B40525"/>
    <w:rsid w:val="00B410E7"/>
    <w:rsid w:val="00B41577"/>
    <w:rsid w:val="00B43A7B"/>
    <w:rsid w:val="00B43D35"/>
    <w:rsid w:val="00B46D89"/>
    <w:rsid w:val="00B47B57"/>
    <w:rsid w:val="00B55210"/>
    <w:rsid w:val="00B557F4"/>
    <w:rsid w:val="00B60EF8"/>
    <w:rsid w:val="00B64E95"/>
    <w:rsid w:val="00B651A3"/>
    <w:rsid w:val="00B70035"/>
    <w:rsid w:val="00B7037D"/>
    <w:rsid w:val="00B734FC"/>
    <w:rsid w:val="00B75727"/>
    <w:rsid w:val="00B83F63"/>
    <w:rsid w:val="00B84E36"/>
    <w:rsid w:val="00B850F7"/>
    <w:rsid w:val="00B8635C"/>
    <w:rsid w:val="00B90205"/>
    <w:rsid w:val="00B9101A"/>
    <w:rsid w:val="00B91F6E"/>
    <w:rsid w:val="00B92B67"/>
    <w:rsid w:val="00B9337A"/>
    <w:rsid w:val="00B94421"/>
    <w:rsid w:val="00B96AD7"/>
    <w:rsid w:val="00B9737E"/>
    <w:rsid w:val="00BA0A6D"/>
    <w:rsid w:val="00BA34BC"/>
    <w:rsid w:val="00BA60C9"/>
    <w:rsid w:val="00BA6F7A"/>
    <w:rsid w:val="00BA7517"/>
    <w:rsid w:val="00BB169A"/>
    <w:rsid w:val="00BB2864"/>
    <w:rsid w:val="00BB2BBE"/>
    <w:rsid w:val="00BB3305"/>
    <w:rsid w:val="00BB3EEF"/>
    <w:rsid w:val="00BB41DA"/>
    <w:rsid w:val="00BB509C"/>
    <w:rsid w:val="00BB5830"/>
    <w:rsid w:val="00BB5878"/>
    <w:rsid w:val="00BC7491"/>
    <w:rsid w:val="00BC7C73"/>
    <w:rsid w:val="00BD1550"/>
    <w:rsid w:val="00BD243C"/>
    <w:rsid w:val="00BD3252"/>
    <w:rsid w:val="00BD3738"/>
    <w:rsid w:val="00BD5486"/>
    <w:rsid w:val="00BE05E8"/>
    <w:rsid w:val="00BE0F55"/>
    <w:rsid w:val="00BE3B28"/>
    <w:rsid w:val="00BE40F8"/>
    <w:rsid w:val="00BE4307"/>
    <w:rsid w:val="00BE59DE"/>
    <w:rsid w:val="00BE5E4A"/>
    <w:rsid w:val="00BE6E0F"/>
    <w:rsid w:val="00BE6F81"/>
    <w:rsid w:val="00BE6FAB"/>
    <w:rsid w:val="00BF274D"/>
    <w:rsid w:val="00BF33CE"/>
    <w:rsid w:val="00BF3539"/>
    <w:rsid w:val="00BF3AFD"/>
    <w:rsid w:val="00BF416A"/>
    <w:rsid w:val="00BF6C57"/>
    <w:rsid w:val="00BF6CB9"/>
    <w:rsid w:val="00BF7B8C"/>
    <w:rsid w:val="00C0136D"/>
    <w:rsid w:val="00C01D66"/>
    <w:rsid w:val="00C01FA7"/>
    <w:rsid w:val="00C0386C"/>
    <w:rsid w:val="00C04239"/>
    <w:rsid w:val="00C07621"/>
    <w:rsid w:val="00C07779"/>
    <w:rsid w:val="00C116CC"/>
    <w:rsid w:val="00C12472"/>
    <w:rsid w:val="00C12EB0"/>
    <w:rsid w:val="00C13AC2"/>
    <w:rsid w:val="00C209D8"/>
    <w:rsid w:val="00C2357A"/>
    <w:rsid w:val="00C23771"/>
    <w:rsid w:val="00C27CF6"/>
    <w:rsid w:val="00C31685"/>
    <w:rsid w:val="00C3178B"/>
    <w:rsid w:val="00C33589"/>
    <w:rsid w:val="00C33CBB"/>
    <w:rsid w:val="00C345E2"/>
    <w:rsid w:val="00C40DA1"/>
    <w:rsid w:val="00C41629"/>
    <w:rsid w:val="00C41D04"/>
    <w:rsid w:val="00C45AB7"/>
    <w:rsid w:val="00C46DAA"/>
    <w:rsid w:val="00C4776C"/>
    <w:rsid w:val="00C52E26"/>
    <w:rsid w:val="00C56FAE"/>
    <w:rsid w:val="00C6044A"/>
    <w:rsid w:val="00C60975"/>
    <w:rsid w:val="00C60D50"/>
    <w:rsid w:val="00C617A4"/>
    <w:rsid w:val="00C65E91"/>
    <w:rsid w:val="00C65FBB"/>
    <w:rsid w:val="00C67FC0"/>
    <w:rsid w:val="00C70C92"/>
    <w:rsid w:val="00C71866"/>
    <w:rsid w:val="00C73C8D"/>
    <w:rsid w:val="00C74531"/>
    <w:rsid w:val="00C77B98"/>
    <w:rsid w:val="00C80B7A"/>
    <w:rsid w:val="00C811B6"/>
    <w:rsid w:val="00C818DF"/>
    <w:rsid w:val="00C81E50"/>
    <w:rsid w:val="00C82B23"/>
    <w:rsid w:val="00C82CA5"/>
    <w:rsid w:val="00C834BC"/>
    <w:rsid w:val="00C8772C"/>
    <w:rsid w:val="00C879EC"/>
    <w:rsid w:val="00C91094"/>
    <w:rsid w:val="00C91129"/>
    <w:rsid w:val="00C912A0"/>
    <w:rsid w:val="00C91E44"/>
    <w:rsid w:val="00C929B0"/>
    <w:rsid w:val="00C942CA"/>
    <w:rsid w:val="00C942E3"/>
    <w:rsid w:val="00C947BF"/>
    <w:rsid w:val="00C95659"/>
    <w:rsid w:val="00CA2308"/>
    <w:rsid w:val="00CA2A50"/>
    <w:rsid w:val="00CA5C92"/>
    <w:rsid w:val="00CB0B01"/>
    <w:rsid w:val="00CB1C8B"/>
    <w:rsid w:val="00CB3456"/>
    <w:rsid w:val="00CB3590"/>
    <w:rsid w:val="00CB5505"/>
    <w:rsid w:val="00CB6EBC"/>
    <w:rsid w:val="00CC30BF"/>
    <w:rsid w:val="00CC34C0"/>
    <w:rsid w:val="00CC3DFD"/>
    <w:rsid w:val="00CC6C12"/>
    <w:rsid w:val="00CD0AAF"/>
    <w:rsid w:val="00CD29B9"/>
    <w:rsid w:val="00CD2F10"/>
    <w:rsid w:val="00CD3D49"/>
    <w:rsid w:val="00CD4211"/>
    <w:rsid w:val="00CD44AF"/>
    <w:rsid w:val="00CE0E31"/>
    <w:rsid w:val="00CE4051"/>
    <w:rsid w:val="00CF1638"/>
    <w:rsid w:val="00CF4DBF"/>
    <w:rsid w:val="00CF505B"/>
    <w:rsid w:val="00CF537E"/>
    <w:rsid w:val="00D00203"/>
    <w:rsid w:val="00D02793"/>
    <w:rsid w:val="00D02E61"/>
    <w:rsid w:val="00D03135"/>
    <w:rsid w:val="00D03C0D"/>
    <w:rsid w:val="00D047AC"/>
    <w:rsid w:val="00D05529"/>
    <w:rsid w:val="00D11E69"/>
    <w:rsid w:val="00D130BF"/>
    <w:rsid w:val="00D23313"/>
    <w:rsid w:val="00D2362E"/>
    <w:rsid w:val="00D257FD"/>
    <w:rsid w:val="00D2583E"/>
    <w:rsid w:val="00D2678A"/>
    <w:rsid w:val="00D279AE"/>
    <w:rsid w:val="00D31BC7"/>
    <w:rsid w:val="00D3284F"/>
    <w:rsid w:val="00D33BBC"/>
    <w:rsid w:val="00D34B46"/>
    <w:rsid w:val="00D36953"/>
    <w:rsid w:val="00D4053E"/>
    <w:rsid w:val="00D40B83"/>
    <w:rsid w:val="00D40E50"/>
    <w:rsid w:val="00D4209C"/>
    <w:rsid w:val="00D426D8"/>
    <w:rsid w:val="00D43CD5"/>
    <w:rsid w:val="00D4464E"/>
    <w:rsid w:val="00D44C46"/>
    <w:rsid w:val="00D45C66"/>
    <w:rsid w:val="00D460C1"/>
    <w:rsid w:val="00D46657"/>
    <w:rsid w:val="00D46D18"/>
    <w:rsid w:val="00D54D3D"/>
    <w:rsid w:val="00D5534E"/>
    <w:rsid w:val="00D56EFF"/>
    <w:rsid w:val="00D6007E"/>
    <w:rsid w:val="00D6277E"/>
    <w:rsid w:val="00D636E6"/>
    <w:rsid w:val="00D64463"/>
    <w:rsid w:val="00D64AD9"/>
    <w:rsid w:val="00D67530"/>
    <w:rsid w:val="00D726A4"/>
    <w:rsid w:val="00D730EE"/>
    <w:rsid w:val="00D73155"/>
    <w:rsid w:val="00D7359E"/>
    <w:rsid w:val="00D73AD7"/>
    <w:rsid w:val="00D76381"/>
    <w:rsid w:val="00D83161"/>
    <w:rsid w:val="00D84B54"/>
    <w:rsid w:val="00D861F7"/>
    <w:rsid w:val="00D9331D"/>
    <w:rsid w:val="00D93A32"/>
    <w:rsid w:val="00D9414E"/>
    <w:rsid w:val="00D95324"/>
    <w:rsid w:val="00D95756"/>
    <w:rsid w:val="00D95C33"/>
    <w:rsid w:val="00D968CA"/>
    <w:rsid w:val="00D975C6"/>
    <w:rsid w:val="00DA021B"/>
    <w:rsid w:val="00DA0438"/>
    <w:rsid w:val="00DA058E"/>
    <w:rsid w:val="00DA12AC"/>
    <w:rsid w:val="00DA1DE2"/>
    <w:rsid w:val="00DA2FA9"/>
    <w:rsid w:val="00DA37A0"/>
    <w:rsid w:val="00DA6AE5"/>
    <w:rsid w:val="00DA6CB4"/>
    <w:rsid w:val="00DA77BD"/>
    <w:rsid w:val="00DA7809"/>
    <w:rsid w:val="00DB1317"/>
    <w:rsid w:val="00DB153B"/>
    <w:rsid w:val="00DB23EB"/>
    <w:rsid w:val="00DB3CAB"/>
    <w:rsid w:val="00DB5446"/>
    <w:rsid w:val="00DB6F00"/>
    <w:rsid w:val="00DC16B3"/>
    <w:rsid w:val="00DC1863"/>
    <w:rsid w:val="00DC1E48"/>
    <w:rsid w:val="00DC2A94"/>
    <w:rsid w:val="00DC3B8C"/>
    <w:rsid w:val="00DC51CC"/>
    <w:rsid w:val="00DD405A"/>
    <w:rsid w:val="00DD7F25"/>
    <w:rsid w:val="00DE306E"/>
    <w:rsid w:val="00DE76B4"/>
    <w:rsid w:val="00DF052F"/>
    <w:rsid w:val="00DF0CAB"/>
    <w:rsid w:val="00DF37EC"/>
    <w:rsid w:val="00DF6C2F"/>
    <w:rsid w:val="00E00421"/>
    <w:rsid w:val="00E02326"/>
    <w:rsid w:val="00E027AF"/>
    <w:rsid w:val="00E028F1"/>
    <w:rsid w:val="00E02C00"/>
    <w:rsid w:val="00E047AD"/>
    <w:rsid w:val="00E04FC3"/>
    <w:rsid w:val="00E056C0"/>
    <w:rsid w:val="00E1080F"/>
    <w:rsid w:val="00E13550"/>
    <w:rsid w:val="00E20D98"/>
    <w:rsid w:val="00E22F4B"/>
    <w:rsid w:val="00E23B8D"/>
    <w:rsid w:val="00E25E7A"/>
    <w:rsid w:val="00E27F92"/>
    <w:rsid w:val="00E313C5"/>
    <w:rsid w:val="00E33A9F"/>
    <w:rsid w:val="00E3476A"/>
    <w:rsid w:val="00E35C2E"/>
    <w:rsid w:val="00E378A4"/>
    <w:rsid w:val="00E43C4D"/>
    <w:rsid w:val="00E456DA"/>
    <w:rsid w:val="00E459D0"/>
    <w:rsid w:val="00E50743"/>
    <w:rsid w:val="00E521B9"/>
    <w:rsid w:val="00E52AF9"/>
    <w:rsid w:val="00E54596"/>
    <w:rsid w:val="00E56047"/>
    <w:rsid w:val="00E607F8"/>
    <w:rsid w:val="00E63833"/>
    <w:rsid w:val="00E660FD"/>
    <w:rsid w:val="00E66644"/>
    <w:rsid w:val="00E66E93"/>
    <w:rsid w:val="00E72907"/>
    <w:rsid w:val="00E734BB"/>
    <w:rsid w:val="00E76947"/>
    <w:rsid w:val="00E76A4C"/>
    <w:rsid w:val="00E8055A"/>
    <w:rsid w:val="00E80869"/>
    <w:rsid w:val="00E834BD"/>
    <w:rsid w:val="00E8385B"/>
    <w:rsid w:val="00E83EF5"/>
    <w:rsid w:val="00E84661"/>
    <w:rsid w:val="00E8578E"/>
    <w:rsid w:val="00E86247"/>
    <w:rsid w:val="00E93093"/>
    <w:rsid w:val="00E952A0"/>
    <w:rsid w:val="00E96900"/>
    <w:rsid w:val="00E9691B"/>
    <w:rsid w:val="00EA3B7D"/>
    <w:rsid w:val="00EA6209"/>
    <w:rsid w:val="00EA6A14"/>
    <w:rsid w:val="00EB049D"/>
    <w:rsid w:val="00EB08B6"/>
    <w:rsid w:val="00EB0C69"/>
    <w:rsid w:val="00EB1BD4"/>
    <w:rsid w:val="00EB365A"/>
    <w:rsid w:val="00EB426E"/>
    <w:rsid w:val="00EB4DDB"/>
    <w:rsid w:val="00EB6772"/>
    <w:rsid w:val="00EB7F39"/>
    <w:rsid w:val="00EC061A"/>
    <w:rsid w:val="00EC6A5E"/>
    <w:rsid w:val="00ED24D6"/>
    <w:rsid w:val="00ED308F"/>
    <w:rsid w:val="00ED3FDB"/>
    <w:rsid w:val="00EE00AE"/>
    <w:rsid w:val="00EE07EE"/>
    <w:rsid w:val="00EE2534"/>
    <w:rsid w:val="00EE2688"/>
    <w:rsid w:val="00EE2D59"/>
    <w:rsid w:val="00EE5BD3"/>
    <w:rsid w:val="00EE787E"/>
    <w:rsid w:val="00EE7E21"/>
    <w:rsid w:val="00EF3811"/>
    <w:rsid w:val="00EF4DCB"/>
    <w:rsid w:val="00EF6BEF"/>
    <w:rsid w:val="00EF7AE0"/>
    <w:rsid w:val="00F01373"/>
    <w:rsid w:val="00F03209"/>
    <w:rsid w:val="00F03C2C"/>
    <w:rsid w:val="00F04AD1"/>
    <w:rsid w:val="00F15121"/>
    <w:rsid w:val="00F15B47"/>
    <w:rsid w:val="00F15BEB"/>
    <w:rsid w:val="00F2037C"/>
    <w:rsid w:val="00F20A7E"/>
    <w:rsid w:val="00F23336"/>
    <w:rsid w:val="00F2422E"/>
    <w:rsid w:val="00F26913"/>
    <w:rsid w:val="00F27636"/>
    <w:rsid w:val="00F315FB"/>
    <w:rsid w:val="00F36FD0"/>
    <w:rsid w:val="00F378E5"/>
    <w:rsid w:val="00F40940"/>
    <w:rsid w:val="00F41A2D"/>
    <w:rsid w:val="00F41B43"/>
    <w:rsid w:val="00F43FE2"/>
    <w:rsid w:val="00F464A2"/>
    <w:rsid w:val="00F4703A"/>
    <w:rsid w:val="00F5377F"/>
    <w:rsid w:val="00F56B1C"/>
    <w:rsid w:val="00F56CA3"/>
    <w:rsid w:val="00F5718D"/>
    <w:rsid w:val="00F605DB"/>
    <w:rsid w:val="00F60E4A"/>
    <w:rsid w:val="00F6670B"/>
    <w:rsid w:val="00F6763E"/>
    <w:rsid w:val="00F67A84"/>
    <w:rsid w:val="00F72ABC"/>
    <w:rsid w:val="00F73791"/>
    <w:rsid w:val="00F7385D"/>
    <w:rsid w:val="00F7462F"/>
    <w:rsid w:val="00F748DB"/>
    <w:rsid w:val="00F75D4A"/>
    <w:rsid w:val="00F80518"/>
    <w:rsid w:val="00F8275F"/>
    <w:rsid w:val="00F83BC2"/>
    <w:rsid w:val="00F84AFC"/>
    <w:rsid w:val="00F954CA"/>
    <w:rsid w:val="00F972E9"/>
    <w:rsid w:val="00FA2697"/>
    <w:rsid w:val="00FA38D8"/>
    <w:rsid w:val="00FA3AEE"/>
    <w:rsid w:val="00FA506D"/>
    <w:rsid w:val="00FA6368"/>
    <w:rsid w:val="00FA7E13"/>
    <w:rsid w:val="00FB1DA6"/>
    <w:rsid w:val="00FB3266"/>
    <w:rsid w:val="00FB37E2"/>
    <w:rsid w:val="00FB3E17"/>
    <w:rsid w:val="00FB4C83"/>
    <w:rsid w:val="00FB5FCD"/>
    <w:rsid w:val="00FB7417"/>
    <w:rsid w:val="00FB7BB3"/>
    <w:rsid w:val="00FC0920"/>
    <w:rsid w:val="00FC11E3"/>
    <w:rsid w:val="00FC1B99"/>
    <w:rsid w:val="00FC2CEA"/>
    <w:rsid w:val="00FC3342"/>
    <w:rsid w:val="00FC3CF1"/>
    <w:rsid w:val="00FC669B"/>
    <w:rsid w:val="00FC7446"/>
    <w:rsid w:val="00FD176C"/>
    <w:rsid w:val="00FD374C"/>
    <w:rsid w:val="00FD4E86"/>
    <w:rsid w:val="00FD5C3A"/>
    <w:rsid w:val="00FD71C1"/>
    <w:rsid w:val="00FE0B89"/>
    <w:rsid w:val="00FE27EA"/>
    <w:rsid w:val="00FE2AB9"/>
    <w:rsid w:val="00FE3F88"/>
    <w:rsid w:val="00FE5AC5"/>
    <w:rsid w:val="00FE741C"/>
    <w:rsid w:val="00FE7510"/>
    <w:rsid w:val="00FF2CED"/>
    <w:rsid w:val="00FF2E32"/>
    <w:rsid w:val="00FF4CC9"/>
    <w:rsid w:val="00FF5F78"/>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E2419"/>
  <w15:docId w15:val="{05C65907-0499-6942-B755-FDB1DD6F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44"/>
    <w:pPr>
      <w:widowControl/>
      <w:autoSpaceDE/>
      <w:autoSpaceDN/>
    </w:pPr>
    <w:rPr>
      <w:rFonts w:ascii="Times New Roman" w:eastAsia="Times New Roman" w:hAnsi="Times New Roman" w:cs="Times New Roman"/>
      <w:sz w:val="24"/>
      <w:szCs w:val="24"/>
      <w:lang w:bidi="he-IL"/>
    </w:rPr>
  </w:style>
  <w:style w:type="paragraph" w:styleId="Heading1">
    <w:name w:val="heading 1"/>
    <w:basedOn w:val="Normal"/>
    <w:link w:val="Heading1Char"/>
    <w:uiPriority w:val="9"/>
    <w:qFormat/>
    <w:pPr>
      <w:spacing w:before="90"/>
      <w:ind w:left="361" w:hanging="361"/>
      <w:outlineLvl w:val="0"/>
    </w:pPr>
  </w:style>
  <w:style w:type="paragraph" w:styleId="Heading2">
    <w:name w:val="heading 2"/>
    <w:basedOn w:val="Normal"/>
    <w:uiPriority w:val="9"/>
    <w:unhideWhenUsed/>
    <w:qFormat/>
    <w:pPr>
      <w:spacing w:before="90"/>
      <w:ind w:left="72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style>
  <w:style w:type="paragraph" w:styleId="ListParagraph">
    <w:name w:val="List Paragraph"/>
    <w:basedOn w:val="Normal"/>
    <w:uiPriority w:val="34"/>
    <w:qFormat/>
    <w:pPr>
      <w:spacing w:before="90"/>
      <w:ind w:left="720" w:hanging="720"/>
    </w:pPr>
  </w:style>
  <w:style w:type="paragraph" w:customStyle="1" w:styleId="TableParagraph">
    <w:name w:val="Table Paragraph"/>
    <w:basedOn w:val="Normal"/>
    <w:uiPriority w:val="1"/>
    <w:qFormat/>
    <w:pPr>
      <w:ind w:left="50"/>
    </w:pPr>
  </w:style>
  <w:style w:type="paragraph" w:styleId="NoSpacing">
    <w:name w:val="No Spacing"/>
    <w:link w:val="NoSpacingChar"/>
    <w:uiPriority w:val="1"/>
    <w:qFormat/>
    <w:rsid w:val="00B557F4"/>
    <w:rPr>
      <w:rFonts w:ascii="Arial" w:eastAsia="Arial" w:hAnsi="Arial" w:cs="Arial"/>
    </w:rPr>
  </w:style>
  <w:style w:type="table" w:styleId="TableGrid">
    <w:name w:val="Table Grid"/>
    <w:basedOn w:val="TableNormal"/>
    <w:uiPriority w:val="59"/>
    <w:rsid w:val="0079595F"/>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01D66"/>
    <w:pPr>
      <w:jc w:val="center"/>
    </w:pPr>
    <w:rPr>
      <w:rFonts w:ascii="Arial" w:hAnsi="Arial" w:cs="Arial"/>
      <w:noProof/>
      <w:sz w:val="22"/>
    </w:rPr>
  </w:style>
  <w:style w:type="character" w:customStyle="1" w:styleId="NoSpacingChar">
    <w:name w:val="No Spacing Char"/>
    <w:basedOn w:val="DefaultParagraphFont"/>
    <w:link w:val="NoSpacing"/>
    <w:uiPriority w:val="1"/>
    <w:rsid w:val="00C01D66"/>
    <w:rPr>
      <w:rFonts w:ascii="Arial" w:eastAsia="Arial" w:hAnsi="Arial" w:cs="Arial"/>
    </w:rPr>
  </w:style>
  <w:style w:type="character" w:customStyle="1" w:styleId="EndNoteBibliographyTitleChar">
    <w:name w:val="EndNote Bibliography Title Char"/>
    <w:basedOn w:val="NoSpacingChar"/>
    <w:link w:val="EndNoteBibliographyTitle"/>
    <w:rsid w:val="00C01D66"/>
    <w:rPr>
      <w:rFonts w:ascii="Arial" w:eastAsia="Times New Roman" w:hAnsi="Arial" w:cs="Arial"/>
      <w:noProof/>
      <w:szCs w:val="24"/>
      <w:lang w:bidi="he-IL"/>
    </w:rPr>
  </w:style>
  <w:style w:type="paragraph" w:customStyle="1" w:styleId="EndNoteBibliography">
    <w:name w:val="EndNote Bibliography"/>
    <w:basedOn w:val="Normal"/>
    <w:link w:val="EndNoteBibliographyChar"/>
    <w:rsid w:val="00C01D66"/>
    <w:rPr>
      <w:rFonts w:ascii="Arial" w:hAnsi="Arial" w:cs="Arial"/>
      <w:noProof/>
      <w:sz w:val="22"/>
    </w:rPr>
  </w:style>
  <w:style w:type="character" w:customStyle="1" w:styleId="EndNoteBibliographyChar">
    <w:name w:val="EndNote Bibliography Char"/>
    <w:basedOn w:val="NoSpacingChar"/>
    <w:link w:val="EndNoteBibliography"/>
    <w:rsid w:val="00C01D66"/>
    <w:rPr>
      <w:rFonts w:ascii="Arial" w:eastAsia="Times New Roman" w:hAnsi="Arial" w:cs="Arial"/>
      <w:noProof/>
      <w:szCs w:val="24"/>
      <w:lang w:bidi="he-IL"/>
    </w:rPr>
  </w:style>
  <w:style w:type="character" w:styleId="Hyperlink">
    <w:name w:val="Hyperlink"/>
    <w:basedOn w:val="DefaultParagraphFont"/>
    <w:uiPriority w:val="99"/>
    <w:unhideWhenUsed/>
    <w:rsid w:val="00C01D66"/>
    <w:rPr>
      <w:color w:val="0000FF" w:themeColor="hyperlink"/>
      <w:u w:val="single"/>
    </w:rPr>
  </w:style>
  <w:style w:type="character" w:customStyle="1" w:styleId="UnresolvedMention1">
    <w:name w:val="Unresolved Mention1"/>
    <w:basedOn w:val="DefaultParagraphFont"/>
    <w:uiPriority w:val="99"/>
    <w:semiHidden/>
    <w:unhideWhenUsed/>
    <w:rsid w:val="00C01D66"/>
    <w:rPr>
      <w:color w:val="605E5C"/>
      <w:shd w:val="clear" w:color="auto" w:fill="E1DFDD"/>
    </w:rPr>
  </w:style>
  <w:style w:type="paragraph" w:styleId="Header">
    <w:name w:val="header"/>
    <w:basedOn w:val="Normal"/>
    <w:link w:val="HeaderChar"/>
    <w:uiPriority w:val="99"/>
    <w:unhideWhenUsed/>
    <w:rsid w:val="00DA37A0"/>
    <w:pPr>
      <w:tabs>
        <w:tab w:val="center" w:pos="4680"/>
        <w:tab w:val="right" w:pos="9360"/>
      </w:tabs>
    </w:pPr>
  </w:style>
  <w:style w:type="character" w:customStyle="1" w:styleId="HeaderChar">
    <w:name w:val="Header Char"/>
    <w:basedOn w:val="DefaultParagraphFont"/>
    <w:link w:val="Header"/>
    <w:uiPriority w:val="99"/>
    <w:rsid w:val="00DA37A0"/>
    <w:rPr>
      <w:rFonts w:ascii="Arial" w:eastAsia="Arial" w:hAnsi="Arial" w:cs="Arial"/>
    </w:rPr>
  </w:style>
  <w:style w:type="paragraph" w:styleId="Footer">
    <w:name w:val="footer"/>
    <w:basedOn w:val="Normal"/>
    <w:link w:val="FooterChar"/>
    <w:uiPriority w:val="99"/>
    <w:unhideWhenUsed/>
    <w:rsid w:val="00DA37A0"/>
    <w:pPr>
      <w:tabs>
        <w:tab w:val="center" w:pos="4680"/>
        <w:tab w:val="right" w:pos="9360"/>
      </w:tabs>
    </w:pPr>
  </w:style>
  <w:style w:type="character" w:customStyle="1" w:styleId="FooterChar">
    <w:name w:val="Footer Char"/>
    <w:basedOn w:val="DefaultParagraphFont"/>
    <w:link w:val="Footer"/>
    <w:uiPriority w:val="99"/>
    <w:rsid w:val="00DA37A0"/>
    <w:rPr>
      <w:rFonts w:ascii="Arial" w:eastAsia="Arial" w:hAnsi="Arial" w:cs="Arial"/>
    </w:rPr>
  </w:style>
  <w:style w:type="character" w:customStyle="1" w:styleId="id-label">
    <w:name w:val="id-label"/>
    <w:basedOn w:val="DefaultParagraphFont"/>
    <w:rsid w:val="00EA6209"/>
  </w:style>
  <w:style w:type="character" w:styleId="Strong">
    <w:name w:val="Strong"/>
    <w:basedOn w:val="DefaultParagraphFont"/>
    <w:uiPriority w:val="22"/>
    <w:qFormat/>
    <w:rsid w:val="00EA6209"/>
    <w:rPr>
      <w:b/>
      <w:bCs/>
    </w:rPr>
  </w:style>
  <w:style w:type="character" w:styleId="FollowedHyperlink">
    <w:name w:val="FollowedHyperlink"/>
    <w:basedOn w:val="DefaultParagraphFont"/>
    <w:uiPriority w:val="99"/>
    <w:semiHidden/>
    <w:unhideWhenUsed/>
    <w:rsid w:val="00CF505B"/>
    <w:rPr>
      <w:color w:val="800080" w:themeColor="followedHyperlink"/>
      <w:u w:val="single"/>
    </w:rPr>
  </w:style>
  <w:style w:type="character" w:styleId="LineNumber">
    <w:name w:val="line number"/>
    <w:basedOn w:val="DefaultParagraphFont"/>
    <w:uiPriority w:val="99"/>
    <w:semiHidden/>
    <w:unhideWhenUsed/>
    <w:rsid w:val="003F7CBC"/>
  </w:style>
  <w:style w:type="character" w:customStyle="1" w:styleId="Heading1Char">
    <w:name w:val="Heading 1 Char"/>
    <w:basedOn w:val="DefaultParagraphFont"/>
    <w:link w:val="Heading1"/>
    <w:uiPriority w:val="9"/>
    <w:rsid w:val="00E52AF9"/>
    <w:rPr>
      <w:rFonts w:ascii="Times New Roman" w:eastAsia="Times New Roman" w:hAnsi="Times New Roman" w:cs="Times New Roman"/>
      <w:sz w:val="24"/>
      <w:szCs w:val="24"/>
      <w:lang w:bidi="he-IL"/>
    </w:rPr>
  </w:style>
  <w:style w:type="paragraph" w:styleId="TOCHeading">
    <w:name w:val="TOC Heading"/>
    <w:basedOn w:val="Heading1"/>
    <w:next w:val="Normal"/>
    <w:uiPriority w:val="39"/>
    <w:unhideWhenUsed/>
    <w:qFormat/>
    <w:rsid w:val="00E52AF9"/>
    <w:pPr>
      <w:keepNext/>
      <w:keepLines/>
      <w:spacing w:before="240" w:line="259" w:lineRule="auto"/>
      <w:ind w:left="0" w:firstLine="0"/>
      <w:outlineLvl w:val="9"/>
    </w:pPr>
    <w:rPr>
      <w:rFonts w:asciiTheme="majorHAnsi" w:eastAsiaTheme="majorEastAsia" w:hAnsiTheme="majorHAnsi" w:cstheme="majorBidi"/>
      <w:color w:val="365F91" w:themeColor="accent1" w:themeShade="BF"/>
      <w:sz w:val="32"/>
      <w:szCs w:val="32"/>
      <w:lang w:bidi="ar-SA"/>
    </w:rPr>
  </w:style>
  <w:style w:type="paragraph" w:styleId="TOC1">
    <w:name w:val="toc 1"/>
    <w:basedOn w:val="Normal"/>
    <w:next w:val="Normal"/>
    <w:autoRedefine/>
    <w:uiPriority w:val="39"/>
    <w:unhideWhenUsed/>
    <w:rsid w:val="00E52AF9"/>
    <w:pPr>
      <w:spacing w:after="100" w:line="259" w:lineRule="auto"/>
    </w:pPr>
    <w:rPr>
      <w:rFonts w:asciiTheme="minorHAnsi" w:eastAsiaTheme="minorHAnsi" w:hAnsiTheme="minorHAnsi" w:cstheme="minorBidi"/>
      <w:sz w:val="22"/>
      <w:szCs w:val="22"/>
      <w:lang w:bidi="ar-SA"/>
    </w:rPr>
  </w:style>
  <w:style w:type="character" w:styleId="CommentReference">
    <w:name w:val="annotation reference"/>
    <w:basedOn w:val="DefaultParagraphFont"/>
    <w:uiPriority w:val="99"/>
    <w:semiHidden/>
    <w:unhideWhenUsed/>
    <w:rsid w:val="00262198"/>
    <w:rPr>
      <w:sz w:val="16"/>
      <w:szCs w:val="16"/>
    </w:rPr>
  </w:style>
  <w:style w:type="paragraph" w:styleId="CommentText">
    <w:name w:val="annotation text"/>
    <w:basedOn w:val="Normal"/>
    <w:link w:val="CommentTextChar"/>
    <w:uiPriority w:val="99"/>
    <w:unhideWhenUsed/>
    <w:rsid w:val="00262198"/>
    <w:rPr>
      <w:sz w:val="20"/>
      <w:szCs w:val="20"/>
    </w:rPr>
  </w:style>
  <w:style w:type="character" w:customStyle="1" w:styleId="CommentTextChar">
    <w:name w:val="Comment Text Char"/>
    <w:basedOn w:val="DefaultParagraphFont"/>
    <w:link w:val="CommentText"/>
    <w:uiPriority w:val="99"/>
    <w:rsid w:val="00262198"/>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262198"/>
    <w:rPr>
      <w:b/>
      <w:bCs/>
    </w:rPr>
  </w:style>
  <w:style w:type="character" w:customStyle="1" w:styleId="CommentSubjectChar">
    <w:name w:val="Comment Subject Char"/>
    <w:basedOn w:val="CommentTextChar"/>
    <w:link w:val="CommentSubject"/>
    <w:uiPriority w:val="99"/>
    <w:semiHidden/>
    <w:rsid w:val="00262198"/>
    <w:rPr>
      <w:rFonts w:ascii="Times New Roman" w:eastAsia="Times New Roman" w:hAnsi="Times New Roman" w:cs="Times New Roman"/>
      <w:b/>
      <w:bCs/>
      <w:sz w:val="20"/>
      <w:szCs w:val="20"/>
      <w:lang w:bidi="he-IL"/>
    </w:rPr>
  </w:style>
  <w:style w:type="paragraph" w:styleId="Revision">
    <w:name w:val="Revision"/>
    <w:hidden/>
    <w:uiPriority w:val="99"/>
    <w:semiHidden/>
    <w:rsid w:val="00904B10"/>
    <w:pPr>
      <w:widowControl/>
      <w:autoSpaceDE/>
      <w:autoSpaceDN/>
    </w:pPr>
    <w:rPr>
      <w:rFonts w:ascii="Times New Roman" w:eastAsia="Times New Roman" w:hAnsi="Times New Roman" w:cs="Times New Roman"/>
      <w:sz w:val="24"/>
      <w:szCs w:val="24"/>
      <w:lang w:bidi="he-IL"/>
    </w:rPr>
  </w:style>
  <w:style w:type="character" w:customStyle="1" w:styleId="citationreference">
    <w:name w:val="citationreference"/>
    <w:basedOn w:val="DefaultParagraphFont"/>
    <w:rsid w:val="00665DAA"/>
  </w:style>
  <w:style w:type="character" w:customStyle="1" w:styleId="person-name">
    <w:name w:val="person-name"/>
    <w:basedOn w:val="DefaultParagraphFont"/>
    <w:rsid w:val="00C12EB0"/>
  </w:style>
  <w:style w:type="character" w:customStyle="1" w:styleId="surname">
    <w:name w:val="surname"/>
    <w:basedOn w:val="DefaultParagraphFont"/>
    <w:rsid w:val="00C12EB0"/>
  </w:style>
  <w:style w:type="character" w:customStyle="1" w:styleId="givennames">
    <w:name w:val="givennames"/>
    <w:basedOn w:val="DefaultParagraphFont"/>
    <w:rsid w:val="00C12EB0"/>
  </w:style>
  <w:style w:type="character" w:styleId="Emphasis">
    <w:name w:val="Emphasis"/>
    <w:basedOn w:val="DefaultParagraphFont"/>
    <w:uiPriority w:val="20"/>
    <w:qFormat/>
    <w:rsid w:val="00C12EB0"/>
    <w:rPr>
      <w:i/>
      <w:iCs/>
    </w:rPr>
  </w:style>
  <w:style w:type="character" w:styleId="HTMLCite">
    <w:name w:val="HTML Cite"/>
    <w:basedOn w:val="DefaultParagraphFont"/>
    <w:uiPriority w:val="99"/>
    <w:semiHidden/>
    <w:unhideWhenUsed/>
    <w:rsid w:val="00C12EB0"/>
    <w:rPr>
      <w:i/>
      <w:iCs/>
    </w:rPr>
  </w:style>
  <w:style w:type="paragraph" w:styleId="BalloonText">
    <w:name w:val="Balloon Text"/>
    <w:basedOn w:val="Normal"/>
    <w:link w:val="BalloonTextChar"/>
    <w:uiPriority w:val="99"/>
    <w:semiHidden/>
    <w:unhideWhenUsed/>
    <w:rsid w:val="004E4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034"/>
    <w:rPr>
      <w:rFonts w:ascii="Segoe UI" w:eastAsia="Times New Roman" w:hAnsi="Segoe UI" w:cs="Segoe UI"/>
      <w:sz w:val="18"/>
      <w:szCs w:val="18"/>
      <w:lang w:bidi="he-IL"/>
    </w:rPr>
  </w:style>
  <w:style w:type="character" w:styleId="UnresolvedMention">
    <w:name w:val="Unresolved Mention"/>
    <w:basedOn w:val="DefaultParagraphFont"/>
    <w:uiPriority w:val="99"/>
    <w:semiHidden/>
    <w:unhideWhenUsed/>
    <w:rsid w:val="00821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6342">
      <w:bodyDiv w:val="1"/>
      <w:marLeft w:val="0"/>
      <w:marRight w:val="0"/>
      <w:marTop w:val="0"/>
      <w:marBottom w:val="0"/>
      <w:divBdr>
        <w:top w:val="none" w:sz="0" w:space="0" w:color="auto"/>
        <w:left w:val="none" w:sz="0" w:space="0" w:color="auto"/>
        <w:bottom w:val="none" w:sz="0" w:space="0" w:color="auto"/>
        <w:right w:val="none" w:sz="0" w:space="0" w:color="auto"/>
      </w:divBdr>
    </w:div>
    <w:div w:id="135922980">
      <w:bodyDiv w:val="1"/>
      <w:marLeft w:val="0"/>
      <w:marRight w:val="0"/>
      <w:marTop w:val="0"/>
      <w:marBottom w:val="0"/>
      <w:divBdr>
        <w:top w:val="none" w:sz="0" w:space="0" w:color="auto"/>
        <w:left w:val="none" w:sz="0" w:space="0" w:color="auto"/>
        <w:bottom w:val="none" w:sz="0" w:space="0" w:color="auto"/>
        <w:right w:val="none" w:sz="0" w:space="0" w:color="auto"/>
      </w:divBdr>
    </w:div>
    <w:div w:id="143278738">
      <w:bodyDiv w:val="1"/>
      <w:marLeft w:val="0"/>
      <w:marRight w:val="0"/>
      <w:marTop w:val="0"/>
      <w:marBottom w:val="0"/>
      <w:divBdr>
        <w:top w:val="none" w:sz="0" w:space="0" w:color="auto"/>
        <w:left w:val="none" w:sz="0" w:space="0" w:color="auto"/>
        <w:bottom w:val="none" w:sz="0" w:space="0" w:color="auto"/>
        <w:right w:val="none" w:sz="0" w:space="0" w:color="auto"/>
      </w:divBdr>
    </w:div>
    <w:div w:id="154761117">
      <w:bodyDiv w:val="1"/>
      <w:marLeft w:val="0"/>
      <w:marRight w:val="0"/>
      <w:marTop w:val="0"/>
      <w:marBottom w:val="0"/>
      <w:divBdr>
        <w:top w:val="none" w:sz="0" w:space="0" w:color="auto"/>
        <w:left w:val="none" w:sz="0" w:space="0" w:color="auto"/>
        <w:bottom w:val="none" w:sz="0" w:space="0" w:color="auto"/>
        <w:right w:val="none" w:sz="0" w:space="0" w:color="auto"/>
      </w:divBdr>
    </w:div>
    <w:div w:id="168181706">
      <w:bodyDiv w:val="1"/>
      <w:marLeft w:val="0"/>
      <w:marRight w:val="0"/>
      <w:marTop w:val="0"/>
      <w:marBottom w:val="0"/>
      <w:divBdr>
        <w:top w:val="none" w:sz="0" w:space="0" w:color="auto"/>
        <w:left w:val="none" w:sz="0" w:space="0" w:color="auto"/>
        <w:bottom w:val="none" w:sz="0" w:space="0" w:color="auto"/>
        <w:right w:val="none" w:sz="0" w:space="0" w:color="auto"/>
      </w:divBdr>
    </w:div>
    <w:div w:id="170343926">
      <w:bodyDiv w:val="1"/>
      <w:marLeft w:val="0"/>
      <w:marRight w:val="0"/>
      <w:marTop w:val="0"/>
      <w:marBottom w:val="0"/>
      <w:divBdr>
        <w:top w:val="none" w:sz="0" w:space="0" w:color="auto"/>
        <w:left w:val="none" w:sz="0" w:space="0" w:color="auto"/>
        <w:bottom w:val="none" w:sz="0" w:space="0" w:color="auto"/>
        <w:right w:val="none" w:sz="0" w:space="0" w:color="auto"/>
      </w:divBdr>
    </w:div>
    <w:div w:id="273488805">
      <w:bodyDiv w:val="1"/>
      <w:marLeft w:val="0"/>
      <w:marRight w:val="0"/>
      <w:marTop w:val="0"/>
      <w:marBottom w:val="0"/>
      <w:divBdr>
        <w:top w:val="none" w:sz="0" w:space="0" w:color="auto"/>
        <w:left w:val="none" w:sz="0" w:space="0" w:color="auto"/>
        <w:bottom w:val="none" w:sz="0" w:space="0" w:color="auto"/>
        <w:right w:val="none" w:sz="0" w:space="0" w:color="auto"/>
      </w:divBdr>
    </w:div>
    <w:div w:id="309674536">
      <w:bodyDiv w:val="1"/>
      <w:marLeft w:val="0"/>
      <w:marRight w:val="0"/>
      <w:marTop w:val="0"/>
      <w:marBottom w:val="0"/>
      <w:divBdr>
        <w:top w:val="none" w:sz="0" w:space="0" w:color="auto"/>
        <w:left w:val="none" w:sz="0" w:space="0" w:color="auto"/>
        <w:bottom w:val="none" w:sz="0" w:space="0" w:color="auto"/>
        <w:right w:val="none" w:sz="0" w:space="0" w:color="auto"/>
      </w:divBdr>
    </w:div>
    <w:div w:id="314649056">
      <w:bodyDiv w:val="1"/>
      <w:marLeft w:val="0"/>
      <w:marRight w:val="0"/>
      <w:marTop w:val="0"/>
      <w:marBottom w:val="0"/>
      <w:divBdr>
        <w:top w:val="none" w:sz="0" w:space="0" w:color="auto"/>
        <w:left w:val="none" w:sz="0" w:space="0" w:color="auto"/>
        <w:bottom w:val="none" w:sz="0" w:space="0" w:color="auto"/>
        <w:right w:val="none" w:sz="0" w:space="0" w:color="auto"/>
      </w:divBdr>
    </w:div>
    <w:div w:id="391123460">
      <w:bodyDiv w:val="1"/>
      <w:marLeft w:val="0"/>
      <w:marRight w:val="0"/>
      <w:marTop w:val="0"/>
      <w:marBottom w:val="0"/>
      <w:divBdr>
        <w:top w:val="none" w:sz="0" w:space="0" w:color="auto"/>
        <w:left w:val="none" w:sz="0" w:space="0" w:color="auto"/>
        <w:bottom w:val="none" w:sz="0" w:space="0" w:color="auto"/>
        <w:right w:val="none" w:sz="0" w:space="0" w:color="auto"/>
      </w:divBdr>
    </w:div>
    <w:div w:id="392236363">
      <w:bodyDiv w:val="1"/>
      <w:marLeft w:val="0"/>
      <w:marRight w:val="0"/>
      <w:marTop w:val="0"/>
      <w:marBottom w:val="0"/>
      <w:divBdr>
        <w:top w:val="none" w:sz="0" w:space="0" w:color="auto"/>
        <w:left w:val="none" w:sz="0" w:space="0" w:color="auto"/>
        <w:bottom w:val="none" w:sz="0" w:space="0" w:color="auto"/>
        <w:right w:val="none" w:sz="0" w:space="0" w:color="auto"/>
      </w:divBdr>
    </w:div>
    <w:div w:id="397552955">
      <w:bodyDiv w:val="1"/>
      <w:marLeft w:val="0"/>
      <w:marRight w:val="0"/>
      <w:marTop w:val="0"/>
      <w:marBottom w:val="0"/>
      <w:divBdr>
        <w:top w:val="none" w:sz="0" w:space="0" w:color="auto"/>
        <w:left w:val="none" w:sz="0" w:space="0" w:color="auto"/>
        <w:bottom w:val="none" w:sz="0" w:space="0" w:color="auto"/>
        <w:right w:val="none" w:sz="0" w:space="0" w:color="auto"/>
      </w:divBdr>
    </w:div>
    <w:div w:id="409159849">
      <w:bodyDiv w:val="1"/>
      <w:marLeft w:val="0"/>
      <w:marRight w:val="0"/>
      <w:marTop w:val="0"/>
      <w:marBottom w:val="0"/>
      <w:divBdr>
        <w:top w:val="none" w:sz="0" w:space="0" w:color="auto"/>
        <w:left w:val="none" w:sz="0" w:space="0" w:color="auto"/>
        <w:bottom w:val="none" w:sz="0" w:space="0" w:color="auto"/>
        <w:right w:val="none" w:sz="0" w:space="0" w:color="auto"/>
      </w:divBdr>
    </w:div>
    <w:div w:id="410204439">
      <w:bodyDiv w:val="1"/>
      <w:marLeft w:val="0"/>
      <w:marRight w:val="0"/>
      <w:marTop w:val="0"/>
      <w:marBottom w:val="0"/>
      <w:divBdr>
        <w:top w:val="none" w:sz="0" w:space="0" w:color="auto"/>
        <w:left w:val="none" w:sz="0" w:space="0" w:color="auto"/>
        <w:bottom w:val="none" w:sz="0" w:space="0" w:color="auto"/>
        <w:right w:val="none" w:sz="0" w:space="0" w:color="auto"/>
      </w:divBdr>
    </w:div>
    <w:div w:id="485828148">
      <w:bodyDiv w:val="1"/>
      <w:marLeft w:val="0"/>
      <w:marRight w:val="0"/>
      <w:marTop w:val="0"/>
      <w:marBottom w:val="0"/>
      <w:divBdr>
        <w:top w:val="none" w:sz="0" w:space="0" w:color="auto"/>
        <w:left w:val="none" w:sz="0" w:space="0" w:color="auto"/>
        <w:bottom w:val="none" w:sz="0" w:space="0" w:color="auto"/>
        <w:right w:val="none" w:sz="0" w:space="0" w:color="auto"/>
      </w:divBdr>
    </w:div>
    <w:div w:id="488399965">
      <w:bodyDiv w:val="1"/>
      <w:marLeft w:val="0"/>
      <w:marRight w:val="0"/>
      <w:marTop w:val="0"/>
      <w:marBottom w:val="0"/>
      <w:divBdr>
        <w:top w:val="none" w:sz="0" w:space="0" w:color="auto"/>
        <w:left w:val="none" w:sz="0" w:space="0" w:color="auto"/>
        <w:bottom w:val="none" w:sz="0" w:space="0" w:color="auto"/>
        <w:right w:val="none" w:sz="0" w:space="0" w:color="auto"/>
      </w:divBdr>
    </w:div>
    <w:div w:id="534733711">
      <w:bodyDiv w:val="1"/>
      <w:marLeft w:val="0"/>
      <w:marRight w:val="0"/>
      <w:marTop w:val="0"/>
      <w:marBottom w:val="0"/>
      <w:divBdr>
        <w:top w:val="none" w:sz="0" w:space="0" w:color="auto"/>
        <w:left w:val="none" w:sz="0" w:space="0" w:color="auto"/>
        <w:bottom w:val="none" w:sz="0" w:space="0" w:color="auto"/>
        <w:right w:val="none" w:sz="0" w:space="0" w:color="auto"/>
      </w:divBdr>
    </w:div>
    <w:div w:id="553002540">
      <w:bodyDiv w:val="1"/>
      <w:marLeft w:val="0"/>
      <w:marRight w:val="0"/>
      <w:marTop w:val="0"/>
      <w:marBottom w:val="0"/>
      <w:divBdr>
        <w:top w:val="none" w:sz="0" w:space="0" w:color="auto"/>
        <w:left w:val="none" w:sz="0" w:space="0" w:color="auto"/>
        <w:bottom w:val="none" w:sz="0" w:space="0" w:color="auto"/>
        <w:right w:val="none" w:sz="0" w:space="0" w:color="auto"/>
      </w:divBdr>
    </w:div>
    <w:div w:id="564726104">
      <w:bodyDiv w:val="1"/>
      <w:marLeft w:val="0"/>
      <w:marRight w:val="0"/>
      <w:marTop w:val="0"/>
      <w:marBottom w:val="0"/>
      <w:divBdr>
        <w:top w:val="none" w:sz="0" w:space="0" w:color="auto"/>
        <w:left w:val="none" w:sz="0" w:space="0" w:color="auto"/>
        <w:bottom w:val="none" w:sz="0" w:space="0" w:color="auto"/>
        <w:right w:val="none" w:sz="0" w:space="0" w:color="auto"/>
      </w:divBdr>
    </w:div>
    <w:div w:id="588467034">
      <w:bodyDiv w:val="1"/>
      <w:marLeft w:val="0"/>
      <w:marRight w:val="0"/>
      <w:marTop w:val="0"/>
      <w:marBottom w:val="0"/>
      <w:divBdr>
        <w:top w:val="none" w:sz="0" w:space="0" w:color="auto"/>
        <w:left w:val="none" w:sz="0" w:space="0" w:color="auto"/>
        <w:bottom w:val="none" w:sz="0" w:space="0" w:color="auto"/>
        <w:right w:val="none" w:sz="0" w:space="0" w:color="auto"/>
      </w:divBdr>
    </w:div>
    <w:div w:id="593440604">
      <w:bodyDiv w:val="1"/>
      <w:marLeft w:val="0"/>
      <w:marRight w:val="0"/>
      <w:marTop w:val="0"/>
      <w:marBottom w:val="0"/>
      <w:divBdr>
        <w:top w:val="none" w:sz="0" w:space="0" w:color="auto"/>
        <w:left w:val="none" w:sz="0" w:space="0" w:color="auto"/>
        <w:bottom w:val="none" w:sz="0" w:space="0" w:color="auto"/>
        <w:right w:val="none" w:sz="0" w:space="0" w:color="auto"/>
      </w:divBdr>
    </w:div>
    <w:div w:id="629743691">
      <w:bodyDiv w:val="1"/>
      <w:marLeft w:val="0"/>
      <w:marRight w:val="0"/>
      <w:marTop w:val="0"/>
      <w:marBottom w:val="0"/>
      <w:divBdr>
        <w:top w:val="none" w:sz="0" w:space="0" w:color="auto"/>
        <w:left w:val="none" w:sz="0" w:space="0" w:color="auto"/>
        <w:bottom w:val="none" w:sz="0" w:space="0" w:color="auto"/>
        <w:right w:val="none" w:sz="0" w:space="0" w:color="auto"/>
      </w:divBdr>
    </w:div>
    <w:div w:id="653875817">
      <w:bodyDiv w:val="1"/>
      <w:marLeft w:val="0"/>
      <w:marRight w:val="0"/>
      <w:marTop w:val="0"/>
      <w:marBottom w:val="0"/>
      <w:divBdr>
        <w:top w:val="none" w:sz="0" w:space="0" w:color="auto"/>
        <w:left w:val="none" w:sz="0" w:space="0" w:color="auto"/>
        <w:bottom w:val="none" w:sz="0" w:space="0" w:color="auto"/>
        <w:right w:val="none" w:sz="0" w:space="0" w:color="auto"/>
      </w:divBdr>
    </w:div>
    <w:div w:id="699670804">
      <w:bodyDiv w:val="1"/>
      <w:marLeft w:val="0"/>
      <w:marRight w:val="0"/>
      <w:marTop w:val="0"/>
      <w:marBottom w:val="0"/>
      <w:divBdr>
        <w:top w:val="none" w:sz="0" w:space="0" w:color="auto"/>
        <w:left w:val="none" w:sz="0" w:space="0" w:color="auto"/>
        <w:bottom w:val="none" w:sz="0" w:space="0" w:color="auto"/>
        <w:right w:val="none" w:sz="0" w:space="0" w:color="auto"/>
      </w:divBdr>
    </w:div>
    <w:div w:id="839543639">
      <w:bodyDiv w:val="1"/>
      <w:marLeft w:val="0"/>
      <w:marRight w:val="0"/>
      <w:marTop w:val="0"/>
      <w:marBottom w:val="0"/>
      <w:divBdr>
        <w:top w:val="none" w:sz="0" w:space="0" w:color="auto"/>
        <w:left w:val="none" w:sz="0" w:space="0" w:color="auto"/>
        <w:bottom w:val="none" w:sz="0" w:space="0" w:color="auto"/>
        <w:right w:val="none" w:sz="0" w:space="0" w:color="auto"/>
      </w:divBdr>
    </w:div>
    <w:div w:id="911894432">
      <w:bodyDiv w:val="1"/>
      <w:marLeft w:val="0"/>
      <w:marRight w:val="0"/>
      <w:marTop w:val="0"/>
      <w:marBottom w:val="0"/>
      <w:divBdr>
        <w:top w:val="none" w:sz="0" w:space="0" w:color="auto"/>
        <w:left w:val="none" w:sz="0" w:space="0" w:color="auto"/>
        <w:bottom w:val="none" w:sz="0" w:space="0" w:color="auto"/>
        <w:right w:val="none" w:sz="0" w:space="0" w:color="auto"/>
      </w:divBdr>
    </w:div>
    <w:div w:id="965279802">
      <w:bodyDiv w:val="1"/>
      <w:marLeft w:val="0"/>
      <w:marRight w:val="0"/>
      <w:marTop w:val="0"/>
      <w:marBottom w:val="0"/>
      <w:divBdr>
        <w:top w:val="none" w:sz="0" w:space="0" w:color="auto"/>
        <w:left w:val="none" w:sz="0" w:space="0" w:color="auto"/>
        <w:bottom w:val="none" w:sz="0" w:space="0" w:color="auto"/>
        <w:right w:val="none" w:sz="0" w:space="0" w:color="auto"/>
      </w:divBdr>
    </w:div>
    <w:div w:id="975261813">
      <w:bodyDiv w:val="1"/>
      <w:marLeft w:val="0"/>
      <w:marRight w:val="0"/>
      <w:marTop w:val="0"/>
      <w:marBottom w:val="0"/>
      <w:divBdr>
        <w:top w:val="none" w:sz="0" w:space="0" w:color="auto"/>
        <w:left w:val="none" w:sz="0" w:space="0" w:color="auto"/>
        <w:bottom w:val="none" w:sz="0" w:space="0" w:color="auto"/>
        <w:right w:val="none" w:sz="0" w:space="0" w:color="auto"/>
      </w:divBdr>
    </w:div>
    <w:div w:id="1016032678">
      <w:bodyDiv w:val="1"/>
      <w:marLeft w:val="0"/>
      <w:marRight w:val="0"/>
      <w:marTop w:val="0"/>
      <w:marBottom w:val="0"/>
      <w:divBdr>
        <w:top w:val="none" w:sz="0" w:space="0" w:color="auto"/>
        <w:left w:val="none" w:sz="0" w:space="0" w:color="auto"/>
        <w:bottom w:val="none" w:sz="0" w:space="0" w:color="auto"/>
        <w:right w:val="none" w:sz="0" w:space="0" w:color="auto"/>
      </w:divBdr>
    </w:div>
    <w:div w:id="1029455915">
      <w:bodyDiv w:val="1"/>
      <w:marLeft w:val="0"/>
      <w:marRight w:val="0"/>
      <w:marTop w:val="0"/>
      <w:marBottom w:val="0"/>
      <w:divBdr>
        <w:top w:val="none" w:sz="0" w:space="0" w:color="auto"/>
        <w:left w:val="none" w:sz="0" w:space="0" w:color="auto"/>
        <w:bottom w:val="none" w:sz="0" w:space="0" w:color="auto"/>
        <w:right w:val="none" w:sz="0" w:space="0" w:color="auto"/>
      </w:divBdr>
    </w:div>
    <w:div w:id="1039626908">
      <w:bodyDiv w:val="1"/>
      <w:marLeft w:val="0"/>
      <w:marRight w:val="0"/>
      <w:marTop w:val="0"/>
      <w:marBottom w:val="0"/>
      <w:divBdr>
        <w:top w:val="none" w:sz="0" w:space="0" w:color="auto"/>
        <w:left w:val="none" w:sz="0" w:space="0" w:color="auto"/>
        <w:bottom w:val="none" w:sz="0" w:space="0" w:color="auto"/>
        <w:right w:val="none" w:sz="0" w:space="0" w:color="auto"/>
      </w:divBdr>
    </w:div>
    <w:div w:id="1080835529">
      <w:bodyDiv w:val="1"/>
      <w:marLeft w:val="0"/>
      <w:marRight w:val="0"/>
      <w:marTop w:val="0"/>
      <w:marBottom w:val="0"/>
      <w:divBdr>
        <w:top w:val="none" w:sz="0" w:space="0" w:color="auto"/>
        <w:left w:val="none" w:sz="0" w:space="0" w:color="auto"/>
        <w:bottom w:val="none" w:sz="0" w:space="0" w:color="auto"/>
        <w:right w:val="none" w:sz="0" w:space="0" w:color="auto"/>
      </w:divBdr>
    </w:div>
    <w:div w:id="1091119467">
      <w:bodyDiv w:val="1"/>
      <w:marLeft w:val="0"/>
      <w:marRight w:val="0"/>
      <w:marTop w:val="0"/>
      <w:marBottom w:val="0"/>
      <w:divBdr>
        <w:top w:val="none" w:sz="0" w:space="0" w:color="auto"/>
        <w:left w:val="none" w:sz="0" w:space="0" w:color="auto"/>
        <w:bottom w:val="none" w:sz="0" w:space="0" w:color="auto"/>
        <w:right w:val="none" w:sz="0" w:space="0" w:color="auto"/>
      </w:divBdr>
    </w:div>
    <w:div w:id="1101215991">
      <w:bodyDiv w:val="1"/>
      <w:marLeft w:val="0"/>
      <w:marRight w:val="0"/>
      <w:marTop w:val="0"/>
      <w:marBottom w:val="0"/>
      <w:divBdr>
        <w:top w:val="none" w:sz="0" w:space="0" w:color="auto"/>
        <w:left w:val="none" w:sz="0" w:space="0" w:color="auto"/>
        <w:bottom w:val="none" w:sz="0" w:space="0" w:color="auto"/>
        <w:right w:val="none" w:sz="0" w:space="0" w:color="auto"/>
      </w:divBdr>
    </w:div>
    <w:div w:id="1150636883">
      <w:bodyDiv w:val="1"/>
      <w:marLeft w:val="0"/>
      <w:marRight w:val="0"/>
      <w:marTop w:val="0"/>
      <w:marBottom w:val="0"/>
      <w:divBdr>
        <w:top w:val="none" w:sz="0" w:space="0" w:color="auto"/>
        <w:left w:val="none" w:sz="0" w:space="0" w:color="auto"/>
        <w:bottom w:val="none" w:sz="0" w:space="0" w:color="auto"/>
        <w:right w:val="none" w:sz="0" w:space="0" w:color="auto"/>
      </w:divBdr>
    </w:div>
    <w:div w:id="1156414081">
      <w:bodyDiv w:val="1"/>
      <w:marLeft w:val="0"/>
      <w:marRight w:val="0"/>
      <w:marTop w:val="0"/>
      <w:marBottom w:val="0"/>
      <w:divBdr>
        <w:top w:val="none" w:sz="0" w:space="0" w:color="auto"/>
        <w:left w:val="none" w:sz="0" w:space="0" w:color="auto"/>
        <w:bottom w:val="none" w:sz="0" w:space="0" w:color="auto"/>
        <w:right w:val="none" w:sz="0" w:space="0" w:color="auto"/>
      </w:divBdr>
    </w:div>
    <w:div w:id="1211115074">
      <w:bodyDiv w:val="1"/>
      <w:marLeft w:val="0"/>
      <w:marRight w:val="0"/>
      <w:marTop w:val="0"/>
      <w:marBottom w:val="0"/>
      <w:divBdr>
        <w:top w:val="none" w:sz="0" w:space="0" w:color="auto"/>
        <w:left w:val="none" w:sz="0" w:space="0" w:color="auto"/>
        <w:bottom w:val="none" w:sz="0" w:space="0" w:color="auto"/>
        <w:right w:val="none" w:sz="0" w:space="0" w:color="auto"/>
      </w:divBdr>
    </w:div>
    <w:div w:id="1248156014">
      <w:bodyDiv w:val="1"/>
      <w:marLeft w:val="0"/>
      <w:marRight w:val="0"/>
      <w:marTop w:val="0"/>
      <w:marBottom w:val="0"/>
      <w:divBdr>
        <w:top w:val="none" w:sz="0" w:space="0" w:color="auto"/>
        <w:left w:val="none" w:sz="0" w:space="0" w:color="auto"/>
        <w:bottom w:val="none" w:sz="0" w:space="0" w:color="auto"/>
        <w:right w:val="none" w:sz="0" w:space="0" w:color="auto"/>
      </w:divBdr>
    </w:div>
    <w:div w:id="1333796141">
      <w:bodyDiv w:val="1"/>
      <w:marLeft w:val="0"/>
      <w:marRight w:val="0"/>
      <w:marTop w:val="0"/>
      <w:marBottom w:val="0"/>
      <w:divBdr>
        <w:top w:val="none" w:sz="0" w:space="0" w:color="auto"/>
        <w:left w:val="none" w:sz="0" w:space="0" w:color="auto"/>
        <w:bottom w:val="none" w:sz="0" w:space="0" w:color="auto"/>
        <w:right w:val="none" w:sz="0" w:space="0" w:color="auto"/>
      </w:divBdr>
    </w:div>
    <w:div w:id="1363820257">
      <w:bodyDiv w:val="1"/>
      <w:marLeft w:val="0"/>
      <w:marRight w:val="0"/>
      <w:marTop w:val="0"/>
      <w:marBottom w:val="0"/>
      <w:divBdr>
        <w:top w:val="none" w:sz="0" w:space="0" w:color="auto"/>
        <w:left w:val="none" w:sz="0" w:space="0" w:color="auto"/>
        <w:bottom w:val="none" w:sz="0" w:space="0" w:color="auto"/>
        <w:right w:val="none" w:sz="0" w:space="0" w:color="auto"/>
      </w:divBdr>
    </w:div>
    <w:div w:id="1365330602">
      <w:bodyDiv w:val="1"/>
      <w:marLeft w:val="0"/>
      <w:marRight w:val="0"/>
      <w:marTop w:val="0"/>
      <w:marBottom w:val="0"/>
      <w:divBdr>
        <w:top w:val="none" w:sz="0" w:space="0" w:color="auto"/>
        <w:left w:val="none" w:sz="0" w:space="0" w:color="auto"/>
        <w:bottom w:val="none" w:sz="0" w:space="0" w:color="auto"/>
        <w:right w:val="none" w:sz="0" w:space="0" w:color="auto"/>
      </w:divBdr>
    </w:div>
    <w:div w:id="1371103267">
      <w:bodyDiv w:val="1"/>
      <w:marLeft w:val="0"/>
      <w:marRight w:val="0"/>
      <w:marTop w:val="0"/>
      <w:marBottom w:val="0"/>
      <w:divBdr>
        <w:top w:val="none" w:sz="0" w:space="0" w:color="auto"/>
        <w:left w:val="none" w:sz="0" w:space="0" w:color="auto"/>
        <w:bottom w:val="none" w:sz="0" w:space="0" w:color="auto"/>
        <w:right w:val="none" w:sz="0" w:space="0" w:color="auto"/>
      </w:divBdr>
    </w:div>
    <w:div w:id="1384984775">
      <w:bodyDiv w:val="1"/>
      <w:marLeft w:val="0"/>
      <w:marRight w:val="0"/>
      <w:marTop w:val="0"/>
      <w:marBottom w:val="0"/>
      <w:divBdr>
        <w:top w:val="none" w:sz="0" w:space="0" w:color="auto"/>
        <w:left w:val="none" w:sz="0" w:space="0" w:color="auto"/>
        <w:bottom w:val="none" w:sz="0" w:space="0" w:color="auto"/>
        <w:right w:val="none" w:sz="0" w:space="0" w:color="auto"/>
      </w:divBdr>
    </w:div>
    <w:div w:id="1386370815">
      <w:bodyDiv w:val="1"/>
      <w:marLeft w:val="0"/>
      <w:marRight w:val="0"/>
      <w:marTop w:val="0"/>
      <w:marBottom w:val="0"/>
      <w:divBdr>
        <w:top w:val="none" w:sz="0" w:space="0" w:color="auto"/>
        <w:left w:val="none" w:sz="0" w:space="0" w:color="auto"/>
        <w:bottom w:val="none" w:sz="0" w:space="0" w:color="auto"/>
        <w:right w:val="none" w:sz="0" w:space="0" w:color="auto"/>
      </w:divBdr>
    </w:div>
    <w:div w:id="1397244750">
      <w:bodyDiv w:val="1"/>
      <w:marLeft w:val="0"/>
      <w:marRight w:val="0"/>
      <w:marTop w:val="0"/>
      <w:marBottom w:val="0"/>
      <w:divBdr>
        <w:top w:val="none" w:sz="0" w:space="0" w:color="auto"/>
        <w:left w:val="none" w:sz="0" w:space="0" w:color="auto"/>
        <w:bottom w:val="none" w:sz="0" w:space="0" w:color="auto"/>
        <w:right w:val="none" w:sz="0" w:space="0" w:color="auto"/>
      </w:divBdr>
      <w:divsChild>
        <w:div w:id="820922722">
          <w:marLeft w:val="0"/>
          <w:marRight w:val="0"/>
          <w:marTop w:val="0"/>
          <w:marBottom w:val="0"/>
          <w:divBdr>
            <w:top w:val="none" w:sz="0" w:space="0" w:color="auto"/>
            <w:left w:val="none" w:sz="0" w:space="0" w:color="auto"/>
            <w:bottom w:val="none" w:sz="0" w:space="0" w:color="auto"/>
            <w:right w:val="none" w:sz="0" w:space="0" w:color="auto"/>
          </w:divBdr>
        </w:div>
      </w:divsChild>
    </w:div>
    <w:div w:id="1406105814">
      <w:bodyDiv w:val="1"/>
      <w:marLeft w:val="0"/>
      <w:marRight w:val="0"/>
      <w:marTop w:val="0"/>
      <w:marBottom w:val="0"/>
      <w:divBdr>
        <w:top w:val="none" w:sz="0" w:space="0" w:color="auto"/>
        <w:left w:val="none" w:sz="0" w:space="0" w:color="auto"/>
        <w:bottom w:val="none" w:sz="0" w:space="0" w:color="auto"/>
        <w:right w:val="none" w:sz="0" w:space="0" w:color="auto"/>
      </w:divBdr>
    </w:div>
    <w:div w:id="1439183145">
      <w:bodyDiv w:val="1"/>
      <w:marLeft w:val="0"/>
      <w:marRight w:val="0"/>
      <w:marTop w:val="0"/>
      <w:marBottom w:val="0"/>
      <w:divBdr>
        <w:top w:val="none" w:sz="0" w:space="0" w:color="auto"/>
        <w:left w:val="none" w:sz="0" w:space="0" w:color="auto"/>
        <w:bottom w:val="none" w:sz="0" w:space="0" w:color="auto"/>
        <w:right w:val="none" w:sz="0" w:space="0" w:color="auto"/>
      </w:divBdr>
    </w:div>
    <w:div w:id="1612516308">
      <w:bodyDiv w:val="1"/>
      <w:marLeft w:val="0"/>
      <w:marRight w:val="0"/>
      <w:marTop w:val="0"/>
      <w:marBottom w:val="0"/>
      <w:divBdr>
        <w:top w:val="none" w:sz="0" w:space="0" w:color="auto"/>
        <w:left w:val="none" w:sz="0" w:space="0" w:color="auto"/>
        <w:bottom w:val="none" w:sz="0" w:space="0" w:color="auto"/>
        <w:right w:val="none" w:sz="0" w:space="0" w:color="auto"/>
      </w:divBdr>
    </w:div>
    <w:div w:id="1616476108">
      <w:bodyDiv w:val="1"/>
      <w:marLeft w:val="0"/>
      <w:marRight w:val="0"/>
      <w:marTop w:val="0"/>
      <w:marBottom w:val="0"/>
      <w:divBdr>
        <w:top w:val="none" w:sz="0" w:space="0" w:color="auto"/>
        <w:left w:val="none" w:sz="0" w:space="0" w:color="auto"/>
        <w:bottom w:val="none" w:sz="0" w:space="0" w:color="auto"/>
        <w:right w:val="none" w:sz="0" w:space="0" w:color="auto"/>
      </w:divBdr>
    </w:div>
    <w:div w:id="1643387746">
      <w:bodyDiv w:val="1"/>
      <w:marLeft w:val="0"/>
      <w:marRight w:val="0"/>
      <w:marTop w:val="0"/>
      <w:marBottom w:val="0"/>
      <w:divBdr>
        <w:top w:val="none" w:sz="0" w:space="0" w:color="auto"/>
        <w:left w:val="none" w:sz="0" w:space="0" w:color="auto"/>
        <w:bottom w:val="none" w:sz="0" w:space="0" w:color="auto"/>
        <w:right w:val="none" w:sz="0" w:space="0" w:color="auto"/>
      </w:divBdr>
    </w:div>
    <w:div w:id="1652637183">
      <w:bodyDiv w:val="1"/>
      <w:marLeft w:val="0"/>
      <w:marRight w:val="0"/>
      <w:marTop w:val="0"/>
      <w:marBottom w:val="0"/>
      <w:divBdr>
        <w:top w:val="none" w:sz="0" w:space="0" w:color="auto"/>
        <w:left w:val="none" w:sz="0" w:space="0" w:color="auto"/>
        <w:bottom w:val="none" w:sz="0" w:space="0" w:color="auto"/>
        <w:right w:val="none" w:sz="0" w:space="0" w:color="auto"/>
      </w:divBdr>
    </w:div>
    <w:div w:id="1664434514">
      <w:bodyDiv w:val="1"/>
      <w:marLeft w:val="0"/>
      <w:marRight w:val="0"/>
      <w:marTop w:val="0"/>
      <w:marBottom w:val="0"/>
      <w:divBdr>
        <w:top w:val="none" w:sz="0" w:space="0" w:color="auto"/>
        <w:left w:val="none" w:sz="0" w:space="0" w:color="auto"/>
        <w:bottom w:val="none" w:sz="0" w:space="0" w:color="auto"/>
        <w:right w:val="none" w:sz="0" w:space="0" w:color="auto"/>
      </w:divBdr>
    </w:div>
    <w:div w:id="1666399733">
      <w:bodyDiv w:val="1"/>
      <w:marLeft w:val="0"/>
      <w:marRight w:val="0"/>
      <w:marTop w:val="0"/>
      <w:marBottom w:val="0"/>
      <w:divBdr>
        <w:top w:val="none" w:sz="0" w:space="0" w:color="auto"/>
        <w:left w:val="none" w:sz="0" w:space="0" w:color="auto"/>
        <w:bottom w:val="none" w:sz="0" w:space="0" w:color="auto"/>
        <w:right w:val="none" w:sz="0" w:space="0" w:color="auto"/>
      </w:divBdr>
    </w:div>
    <w:div w:id="1734960564">
      <w:bodyDiv w:val="1"/>
      <w:marLeft w:val="0"/>
      <w:marRight w:val="0"/>
      <w:marTop w:val="0"/>
      <w:marBottom w:val="0"/>
      <w:divBdr>
        <w:top w:val="none" w:sz="0" w:space="0" w:color="auto"/>
        <w:left w:val="none" w:sz="0" w:space="0" w:color="auto"/>
        <w:bottom w:val="none" w:sz="0" w:space="0" w:color="auto"/>
        <w:right w:val="none" w:sz="0" w:space="0" w:color="auto"/>
      </w:divBdr>
    </w:div>
    <w:div w:id="1741488388">
      <w:bodyDiv w:val="1"/>
      <w:marLeft w:val="0"/>
      <w:marRight w:val="0"/>
      <w:marTop w:val="0"/>
      <w:marBottom w:val="0"/>
      <w:divBdr>
        <w:top w:val="none" w:sz="0" w:space="0" w:color="auto"/>
        <w:left w:val="none" w:sz="0" w:space="0" w:color="auto"/>
        <w:bottom w:val="none" w:sz="0" w:space="0" w:color="auto"/>
        <w:right w:val="none" w:sz="0" w:space="0" w:color="auto"/>
      </w:divBdr>
    </w:div>
    <w:div w:id="1752307899">
      <w:bodyDiv w:val="1"/>
      <w:marLeft w:val="0"/>
      <w:marRight w:val="0"/>
      <w:marTop w:val="0"/>
      <w:marBottom w:val="0"/>
      <w:divBdr>
        <w:top w:val="none" w:sz="0" w:space="0" w:color="auto"/>
        <w:left w:val="none" w:sz="0" w:space="0" w:color="auto"/>
        <w:bottom w:val="none" w:sz="0" w:space="0" w:color="auto"/>
        <w:right w:val="none" w:sz="0" w:space="0" w:color="auto"/>
      </w:divBdr>
    </w:div>
    <w:div w:id="1829898143">
      <w:bodyDiv w:val="1"/>
      <w:marLeft w:val="0"/>
      <w:marRight w:val="0"/>
      <w:marTop w:val="0"/>
      <w:marBottom w:val="0"/>
      <w:divBdr>
        <w:top w:val="none" w:sz="0" w:space="0" w:color="auto"/>
        <w:left w:val="none" w:sz="0" w:space="0" w:color="auto"/>
        <w:bottom w:val="none" w:sz="0" w:space="0" w:color="auto"/>
        <w:right w:val="none" w:sz="0" w:space="0" w:color="auto"/>
      </w:divBdr>
    </w:div>
    <w:div w:id="1846943312">
      <w:bodyDiv w:val="1"/>
      <w:marLeft w:val="0"/>
      <w:marRight w:val="0"/>
      <w:marTop w:val="0"/>
      <w:marBottom w:val="0"/>
      <w:divBdr>
        <w:top w:val="none" w:sz="0" w:space="0" w:color="auto"/>
        <w:left w:val="none" w:sz="0" w:space="0" w:color="auto"/>
        <w:bottom w:val="none" w:sz="0" w:space="0" w:color="auto"/>
        <w:right w:val="none" w:sz="0" w:space="0" w:color="auto"/>
      </w:divBdr>
    </w:div>
    <w:div w:id="1883857324">
      <w:bodyDiv w:val="1"/>
      <w:marLeft w:val="0"/>
      <w:marRight w:val="0"/>
      <w:marTop w:val="0"/>
      <w:marBottom w:val="0"/>
      <w:divBdr>
        <w:top w:val="none" w:sz="0" w:space="0" w:color="auto"/>
        <w:left w:val="none" w:sz="0" w:space="0" w:color="auto"/>
        <w:bottom w:val="none" w:sz="0" w:space="0" w:color="auto"/>
        <w:right w:val="none" w:sz="0" w:space="0" w:color="auto"/>
      </w:divBdr>
    </w:div>
    <w:div w:id="1930969392">
      <w:bodyDiv w:val="1"/>
      <w:marLeft w:val="0"/>
      <w:marRight w:val="0"/>
      <w:marTop w:val="0"/>
      <w:marBottom w:val="0"/>
      <w:divBdr>
        <w:top w:val="none" w:sz="0" w:space="0" w:color="auto"/>
        <w:left w:val="none" w:sz="0" w:space="0" w:color="auto"/>
        <w:bottom w:val="none" w:sz="0" w:space="0" w:color="auto"/>
        <w:right w:val="none" w:sz="0" w:space="0" w:color="auto"/>
      </w:divBdr>
    </w:div>
    <w:div w:id="1941990682">
      <w:bodyDiv w:val="1"/>
      <w:marLeft w:val="0"/>
      <w:marRight w:val="0"/>
      <w:marTop w:val="0"/>
      <w:marBottom w:val="0"/>
      <w:divBdr>
        <w:top w:val="none" w:sz="0" w:space="0" w:color="auto"/>
        <w:left w:val="none" w:sz="0" w:space="0" w:color="auto"/>
        <w:bottom w:val="none" w:sz="0" w:space="0" w:color="auto"/>
        <w:right w:val="none" w:sz="0" w:space="0" w:color="auto"/>
      </w:divBdr>
    </w:div>
    <w:div w:id="2092046654">
      <w:bodyDiv w:val="1"/>
      <w:marLeft w:val="0"/>
      <w:marRight w:val="0"/>
      <w:marTop w:val="0"/>
      <w:marBottom w:val="0"/>
      <w:divBdr>
        <w:top w:val="none" w:sz="0" w:space="0" w:color="auto"/>
        <w:left w:val="none" w:sz="0" w:space="0" w:color="auto"/>
        <w:bottom w:val="none" w:sz="0" w:space="0" w:color="auto"/>
        <w:right w:val="none" w:sz="0" w:space="0" w:color="auto"/>
      </w:divBdr>
    </w:div>
    <w:div w:id="2095122008">
      <w:bodyDiv w:val="1"/>
      <w:marLeft w:val="0"/>
      <w:marRight w:val="0"/>
      <w:marTop w:val="0"/>
      <w:marBottom w:val="0"/>
      <w:divBdr>
        <w:top w:val="none" w:sz="0" w:space="0" w:color="auto"/>
        <w:left w:val="none" w:sz="0" w:space="0" w:color="auto"/>
        <w:bottom w:val="none" w:sz="0" w:space="0" w:color="auto"/>
        <w:right w:val="none" w:sz="0" w:space="0" w:color="auto"/>
      </w:divBdr>
    </w:div>
    <w:div w:id="2096592280">
      <w:bodyDiv w:val="1"/>
      <w:marLeft w:val="0"/>
      <w:marRight w:val="0"/>
      <w:marTop w:val="0"/>
      <w:marBottom w:val="0"/>
      <w:divBdr>
        <w:top w:val="none" w:sz="0" w:space="0" w:color="auto"/>
        <w:left w:val="none" w:sz="0" w:space="0" w:color="auto"/>
        <w:bottom w:val="none" w:sz="0" w:space="0" w:color="auto"/>
        <w:right w:val="none" w:sz="0" w:space="0" w:color="auto"/>
      </w:divBdr>
    </w:div>
    <w:div w:id="209762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DD68-6371-4959-AEB7-1176A7E5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Bujno</dc:creator>
  <cp:lastModifiedBy>Bujno, Julia (NYSPI)</cp:lastModifiedBy>
  <cp:revision>4</cp:revision>
  <dcterms:created xsi:type="dcterms:W3CDTF">2023-04-28T14:16:00Z</dcterms:created>
  <dcterms:modified xsi:type="dcterms:W3CDTF">2023-04-28T15:37:00Z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LastSaved">
    <vt:filetime>2022-09-23T00:00:00Z</vt:filetime>
  </property>
</Properties>
</file>