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rPr>
          <w:b/>
          <w:b/>
          <w:sz w:val="16"/>
          <w:szCs w:val="16"/>
        </w:rPr>
      </w:pPr>
      <w:r>
        <w:rPr>
          <w:b/>
          <w:sz w:val="16"/>
          <w:szCs w:val="16"/>
        </w:rPr>
      </w:r>
    </w:p>
    <w:tbl>
      <w:tblPr>
        <w:tblStyle w:val="Table1"/>
        <w:tblW w:w="10845" w:type="dxa"/>
        <w:jc w:val="left"/>
        <w:tblInd w:w="-81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40" w:type="dxa"/>
          <w:left w:w="32" w:type="dxa"/>
          <w:bottom w:w="40" w:type="dxa"/>
          <w:right w:w="40" w:type="dxa"/>
        </w:tblCellMar>
        <w:tblLook w:val="0600"/>
      </w:tblPr>
      <w:tblGrid>
        <w:gridCol w:w="6299"/>
        <w:gridCol w:w="4545"/>
      </w:tblGrid>
      <w:tr>
        <w:trPr>
          <w:trHeight w:val="315" w:hRule="atLeast"/>
        </w:trPr>
        <w:tc>
          <w:tcPr>
            <w:tcW w:w="1084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jc w:val="center"/>
              <w:rPr>
                <w:sz w:val="16"/>
                <w:szCs w:val="16"/>
              </w:rPr>
            </w:pPr>
            <w:r>
              <w:rPr>
                <w:b/>
                <w:sz w:val="16"/>
                <w:szCs w:val="16"/>
              </w:rPr>
              <w:t>MRSinMRS checklist</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999999" w:val="clear"/>
            <w:tcMar>
              <w:left w:w="32" w:type="dxa"/>
            </w:tcMar>
            <w:vAlign w:val="bottom"/>
          </w:tcPr>
          <w:p>
            <w:pPr>
              <w:pStyle w:val="Normal"/>
              <w:widowControl w:val="false"/>
              <w:rPr>
                <w:sz w:val="16"/>
                <w:szCs w:val="16"/>
              </w:rPr>
            </w:pPr>
            <w:r>
              <w:rPr>
                <w:sz w:val="16"/>
                <w:szCs w:val="16"/>
              </w:rPr>
              <w:t>1. Hardware</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999999" w:val="clear"/>
            <w:tcMar>
              <w:left w:w="32" w:type="dxa"/>
            </w:tcMar>
          </w:tcPr>
          <w:p>
            <w:pPr>
              <w:pStyle w:val="Normal"/>
              <w:widowControl w:val="false"/>
              <w:rPr>
                <w:sz w:val="16"/>
                <w:szCs w:val="16"/>
              </w:rPr>
            </w:pPr>
            <w:r>
              <w:rPr>
                <w:sz w:val="16"/>
                <w:szCs w:val="16"/>
              </w:rPr>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a. Field strength [T]</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7</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b. Manufacturer</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Siemens</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c. Model (software version if available)</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Magnetom 7T</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d. RF coils: nuclei (transmit/ receive), number of channels, type, body part</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1H, 32 ch, head, Nova Medical</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e. Additional hardware</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N/A</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999999" w:val="clear"/>
            <w:tcMar>
              <w:left w:w="32" w:type="dxa"/>
            </w:tcMar>
            <w:vAlign w:val="bottom"/>
          </w:tcPr>
          <w:p>
            <w:pPr>
              <w:pStyle w:val="Normal"/>
              <w:widowControl w:val="false"/>
              <w:rPr>
                <w:sz w:val="16"/>
                <w:szCs w:val="16"/>
              </w:rPr>
            </w:pPr>
            <w:r>
              <w:rPr>
                <w:sz w:val="16"/>
                <w:szCs w:val="16"/>
              </w:rPr>
              <w:t>2. Acquisition</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999999" w:val="clear"/>
            <w:tcMar>
              <w:left w:w="32" w:type="dxa"/>
            </w:tcMar>
          </w:tcPr>
          <w:p>
            <w:pPr>
              <w:pStyle w:val="Normal"/>
              <w:widowControl w:val="false"/>
              <w:rPr>
                <w:sz w:val="16"/>
                <w:szCs w:val="16"/>
              </w:rPr>
            </w:pPr>
            <w:r>
              <w:rPr>
                <w:sz w:val="16"/>
                <w:szCs w:val="16"/>
              </w:rPr>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a. Pulse sequence</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FID-MRSI</w:t>
            </w:r>
          </w:p>
        </w:tc>
      </w:tr>
      <w:tr>
        <w:trPr>
          <w:trHeight w:val="52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b. Volume of Interest (VOI) locations</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Parallel to the anterior commissure-posterior commissure line, superior to the lateral ventricles, and covering the centrum semiovale region</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c. Nominal VOI size [cm3, mm3 ]</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220×220×20 mm3</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d. Repetition Time (TR), Echo Time (TE) [ms, s]</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TR=200 ms / 1.3 ms acquisition delay</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e. Total number of Excitations or acquisitions per spectrum</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1 average</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In time series for kinetic studies</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N/A</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 xml:space="preserve">     </w:t>
            </w:r>
            <w:r>
              <w:rPr>
                <w:sz w:val="16"/>
                <w:szCs w:val="16"/>
              </w:rPr>
              <w:t>i. Number of Averaged spectra (NA) per time-point</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N/A</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 xml:space="preserve">     </w:t>
            </w:r>
            <w:r>
              <w:rPr>
                <w:sz w:val="16"/>
                <w:szCs w:val="16"/>
              </w:rPr>
              <w:t>ii. Averaging method (e.g. block-wise or moving average)</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N/A</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 xml:space="preserve">     </w:t>
            </w:r>
            <w:r>
              <w:rPr>
                <w:sz w:val="16"/>
                <w:szCs w:val="16"/>
              </w:rPr>
              <w:t>iii. Total number of spectra (acquired / in time-series)</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N/A</w:t>
            </w:r>
          </w:p>
        </w:tc>
      </w:tr>
      <w:tr>
        <w:trPr>
          <w:trHeight w:val="52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f. Additional sequence parameters (spectral width in Hz, number of spectral points, frequency offsets); If STEAM: Mixing Time TM; If MRSI: 2D or 3D, FOV in all directions, matrix size, acceleration factors</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BW 6000 Hz, 1024 spectral points, MRSI: 2D, FOV 220×220 mm2 , 8mm slice thickness, matrix size 100×100, Acc. factor: 4</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g. Water Suppression Method</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WET</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h. Shimming Method, reference peak, and thresholds for “acceptance of shim” chosen</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Standard shim + manual adjustment, water peak &lt; 40 Hz</w:t>
            </w:r>
          </w:p>
        </w:tc>
      </w:tr>
      <w:tr>
        <w:trPr>
          <w:trHeight w:val="52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i. Triggering or motion correction method (respiratory, peripheral, cardiac triggering, incl. device used and delays)</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N/A</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999999" w:val="clear"/>
            <w:tcMar>
              <w:left w:w="32" w:type="dxa"/>
            </w:tcMar>
            <w:vAlign w:val="bottom"/>
          </w:tcPr>
          <w:p>
            <w:pPr>
              <w:pStyle w:val="Normal"/>
              <w:widowControl w:val="false"/>
              <w:rPr>
                <w:sz w:val="16"/>
                <w:szCs w:val="16"/>
              </w:rPr>
            </w:pPr>
            <w:r>
              <w:rPr>
                <w:sz w:val="16"/>
                <w:szCs w:val="16"/>
              </w:rPr>
              <w:t>3. Data analysis methods and outputs</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999999" w:val="clear"/>
            <w:tcMar>
              <w:left w:w="32" w:type="dxa"/>
            </w:tcMar>
          </w:tcPr>
          <w:p>
            <w:pPr>
              <w:pStyle w:val="Normal"/>
              <w:widowControl w:val="false"/>
              <w:rPr>
                <w:sz w:val="16"/>
                <w:szCs w:val="16"/>
              </w:rPr>
            </w:pPr>
            <w:r>
              <w:rPr>
                <w:sz w:val="16"/>
                <w:szCs w:val="16"/>
              </w:rPr>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a. Analysis software</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LCModel 6.3-1</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b. Processing steps deviating from quoted reference or product</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N/A</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c. Output measure (e.g. absolute concentration, institutional units, ratio)</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institutional units, ratio</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d. Quantification references and assumptions, fitting model assumptions</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Simulated in NMRScope-B, macromolecular background</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999999" w:val="clear"/>
            <w:tcMar>
              <w:left w:w="32" w:type="dxa"/>
            </w:tcMar>
            <w:vAlign w:val="bottom"/>
          </w:tcPr>
          <w:p>
            <w:pPr>
              <w:pStyle w:val="Normal"/>
              <w:widowControl w:val="false"/>
              <w:rPr>
                <w:sz w:val="16"/>
                <w:szCs w:val="16"/>
              </w:rPr>
            </w:pPr>
            <w:r>
              <w:rPr>
                <w:sz w:val="16"/>
                <w:szCs w:val="16"/>
              </w:rPr>
              <w:t>4. Data Quality</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999999" w:val="clear"/>
            <w:tcMar>
              <w:left w:w="32" w:type="dxa"/>
            </w:tcMar>
          </w:tcPr>
          <w:p>
            <w:pPr>
              <w:pStyle w:val="Normal"/>
              <w:widowControl w:val="false"/>
              <w:rPr>
                <w:sz w:val="16"/>
                <w:szCs w:val="16"/>
              </w:rPr>
            </w:pPr>
            <w:r>
              <w:rPr>
                <w:sz w:val="16"/>
                <w:szCs w:val="16"/>
              </w:rPr>
            </w:r>
          </w:p>
        </w:tc>
      </w:tr>
      <w:tr>
        <w:trPr>
          <w:trHeight w:val="52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a. Reported variables (SNR, Linewidth (with reference peaks))</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SNR was calculated using the pseudoreplica method, and linewidth as FWHM of the NAA fit (see Supplementary Table 2)</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b. Data exclusion criteria</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Volume below 20mm³ for all lesions</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c. Quality measures of postprocessing Model fitting (e.g. CRLB, goodness of fit, SD of residual)</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CRLB (see Supplementary Table 2)</w:t>
            </w:r>
          </w:p>
        </w:tc>
      </w:tr>
      <w:tr>
        <w:trPr>
          <w:trHeight w:val="315" w:hRule="atLeast"/>
        </w:trPr>
        <w:tc>
          <w:tcPr>
            <w:tcW w:w="6299" w:type="dxa"/>
            <w:tcBorders>
              <w:top w:val="single" w:sz="6" w:space="0" w:color="CCCCCC"/>
              <w:left w:val="single" w:sz="6" w:space="0" w:color="000001"/>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d. Sample Spectrum</w:t>
            </w:r>
          </w:p>
        </w:tc>
        <w:tc>
          <w:tcPr>
            <w:tcW w:w="4545" w:type="dxa"/>
            <w:tcBorders>
              <w:top w:val="single" w:sz="6" w:space="0" w:color="CCCCCC"/>
              <w:left w:val="single" w:sz="6" w:space="0" w:color="CCCCCC"/>
              <w:bottom w:val="single" w:sz="6" w:space="0" w:color="000001"/>
              <w:right w:val="single" w:sz="6" w:space="0" w:color="000001"/>
              <w:insideH w:val="single" w:sz="6" w:space="0" w:color="000001"/>
              <w:insideV w:val="single" w:sz="6" w:space="0" w:color="000001"/>
            </w:tcBorders>
            <w:shd w:fill="auto" w:val="clear"/>
            <w:tcMar>
              <w:left w:w="32" w:type="dxa"/>
            </w:tcMar>
            <w:vAlign w:val="bottom"/>
          </w:tcPr>
          <w:p>
            <w:pPr>
              <w:pStyle w:val="Normal"/>
              <w:widowControl w:val="false"/>
              <w:rPr>
                <w:sz w:val="16"/>
                <w:szCs w:val="16"/>
              </w:rPr>
            </w:pPr>
            <w:r>
              <w:rPr>
                <w:sz w:val="16"/>
                <w:szCs w:val="16"/>
              </w:rPr>
              <w:t>See Figure 4</w:t>
            </w:r>
          </w:p>
        </w:tc>
      </w:tr>
    </w:tbl>
    <w:p>
      <w:pPr>
        <w:pStyle w:val="Normal"/>
        <w:widowControl w:val="false"/>
        <w:spacing w:lineRule="auto" w:line="240"/>
        <w:rPr>
          <w:b/>
          <w:b/>
          <w:sz w:val="16"/>
          <w:szCs w:val="16"/>
        </w:rPr>
      </w:pPr>
      <w:r>
        <w:rPr>
          <w:b/>
          <w:sz w:val="16"/>
          <w:szCs w:val="16"/>
        </w:rPr>
      </w:r>
    </w:p>
    <w:p>
      <w:pPr>
        <w:pStyle w:val="Normal"/>
        <w:widowControl w:val="false"/>
        <w:spacing w:lineRule="auto" w:line="240"/>
        <w:rPr>
          <w:sz w:val="16"/>
          <w:szCs w:val="16"/>
        </w:rPr>
      </w:pPr>
      <w:r>
        <w:rPr>
          <w:b/>
          <w:sz w:val="16"/>
          <w:szCs w:val="16"/>
        </w:rPr>
        <w:t>Supplementary Table 1:</w:t>
      </w:r>
      <w:r>
        <w:rPr>
          <w:sz w:val="16"/>
          <w:szCs w:val="16"/>
        </w:rPr>
        <w:t xml:space="preserve"> Minimum Reporting Standards for </w:t>
      </w:r>
      <w:r>
        <w:rPr>
          <w:b/>
          <w:i/>
          <w:sz w:val="16"/>
          <w:szCs w:val="16"/>
        </w:rPr>
        <w:t>in vivo</w:t>
      </w:r>
      <w:r>
        <w:rPr>
          <w:sz w:val="16"/>
          <w:szCs w:val="16"/>
        </w:rPr>
        <w:t xml:space="preserve"> MR Spectroscopy</w:t>
      </w:r>
    </w:p>
    <w:p>
      <w:pPr>
        <w:pStyle w:val="Normal"/>
        <w:widowControl w:val="false"/>
        <w:spacing w:lineRule="auto" w:line="240"/>
        <w:rPr>
          <w:sz w:val="16"/>
          <w:szCs w:val="16"/>
        </w:rPr>
      </w:pPr>
      <w:r>
        <w:rPr>
          <w:sz w:val="16"/>
          <w:szCs w:val="16"/>
        </w:rPr>
      </w:r>
    </w:p>
    <w:p>
      <w:pPr>
        <w:pStyle w:val="Normal"/>
        <w:widowControl w:val="false"/>
        <w:spacing w:lineRule="auto" w:line="240"/>
        <w:rPr>
          <w:sz w:val="16"/>
          <w:szCs w:val="16"/>
        </w:rPr>
      </w:pPr>
      <w:r>
        <w:rPr>
          <w:sz w:val="16"/>
          <w:szCs w:val="16"/>
        </w:rPr>
      </w:r>
    </w:p>
    <w:p>
      <w:pPr>
        <w:pStyle w:val="Normal"/>
        <w:widowControl w:val="false"/>
        <w:spacing w:lineRule="auto" w:line="240"/>
        <w:rPr>
          <w:sz w:val="16"/>
          <w:szCs w:val="16"/>
        </w:rPr>
      </w:pPr>
      <w:r>
        <w:rPr>
          <w:sz w:val="16"/>
          <w:szCs w:val="16"/>
        </w:rPr>
      </w:r>
    </w:p>
    <w:p>
      <w:pPr>
        <w:pStyle w:val="Normal"/>
        <w:widowControl w:val="false"/>
        <w:spacing w:lineRule="auto" w:line="240"/>
        <w:rPr>
          <w:sz w:val="16"/>
          <w:szCs w:val="16"/>
        </w:rPr>
      </w:pPr>
      <w:r>
        <w:rPr>
          <w:sz w:val="16"/>
          <w:szCs w:val="16"/>
        </w:rPr>
      </w:r>
    </w:p>
    <w:p>
      <w:pPr>
        <w:pStyle w:val="Normal"/>
        <w:widowControl w:val="false"/>
        <w:spacing w:lineRule="auto" w:line="240"/>
        <w:rPr>
          <w:sz w:val="16"/>
          <w:szCs w:val="16"/>
        </w:rPr>
      </w:pPr>
      <w:r>
        <w:rPr>
          <w:sz w:val="16"/>
          <w:szCs w:val="16"/>
        </w:rPr>
      </w:r>
    </w:p>
    <w:p>
      <w:pPr>
        <w:pStyle w:val="Normal"/>
        <w:widowControl w:val="false"/>
        <w:spacing w:lineRule="auto" w:line="240"/>
        <w:rPr>
          <w:sz w:val="16"/>
          <w:szCs w:val="16"/>
        </w:rPr>
      </w:pPr>
      <w:r>
        <w:rPr>
          <w:sz w:val="16"/>
          <w:szCs w:val="16"/>
        </w:rPr>
      </w:r>
    </w:p>
    <w:tbl>
      <w:tblPr>
        <w:tblStyle w:val="Table2"/>
        <w:tblW w:w="9975" w:type="dxa"/>
        <w:jc w:val="center"/>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0" w:type="dxa"/>
          <w:left w:w="92" w:type="dxa"/>
          <w:bottom w:w="100" w:type="dxa"/>
          <w:right w:w="100" w:type="dxa"/>
        </w:tblCellMar>
        <w:tblLook w:val="0600"/>
      </w:tblPr>
      <w:tblGrid>
        <w:gridCol w:w="1709"/>
        <w:gridCol w:w="1366"/>
        <w:gridCol w:w="1334"/>
        <w:gridCol w:w="1335"/>
        <w:gridCol w:w="1380"/>
        <w:gridCol w:w="1349"/>
        <w:gridCol w:w="1501"/>
      </w:tblGrid>
      <w:tr>
        <w:trPr/>
        <w:tc>
          <w:tcPr>
            <w:tcW w:w="17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tcPr>
          <w:p>
            <w:pPr>
              <w:pStyle w:val="Normal"/>
              <w:widowControl w:val="false"/>
              <w:spacing w:lineRule="auto" w:line="240"/>
              <w:jc w:val="center"/>
              <w:rPr>
                <w:sz w:val="20"/>
                <w:szCs w:val="20"/>
              </w:rPr>
            </w:pPr>
            <w:r>
              <w:rPr>
                <w:sz w:val="20"/>
                <w:szCs w:val="20"/>
              </w:rPr>
            </w:r>
          </w:p>
        </w:tc>
        <w:tc>
          <w:tcPr>
            <w:tcW w:w="13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tcPr>
          <w:p>
            <w:pPr>
              <w:pStyle w:val="Normal"/>
              <w:widowControl w:val="false"/>
              <w:spacing w:lineRule="auto" w:line="240"/>
              <w:jc w:val="center"/>
              <w:rPr>
                <w:sz w:val="20"/>
                <w:szCs w:val="20"/>
              </w:rPr>
            </w:pPr>
            <w:r>
              <w:rPr>
                <w:sz w:val="20"/>
                <w:szCs w:val="20"/>
              </w:rPr>
              <w:t>CRLB</w:t>
            </w:r>
            <w:r>
              <w:rPr>
                <w:sz w:val="20"/>
                <w:szCs w:val="20"/>
                <w:vertAlign w:val="subscript"/>
              </w:rPr>
              <w:t>mIns</w:t>
            </w:r>
            <w:r>
              <w:rPr>
                <w:sz w:val="20"/>
                <w:szCs w:val="20"/>
              </w:rPr>
              <w:t xml:space="preserve"> [%]</w:t>
            </w:r>
          </w:p>
        </w:tc>
        <w:tc>
          <w:tcPr>
            <w:tcW w:w="13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tcPr>
          <w:p>
            <w:pPr>
              <w:pStyle w:val="Normal"/>
              <w:widowControl w:val="false"/>
              <w:spacing w:lineRule="auto" w:line="240"/>
              <w:jc w:val="center"/>
              <w:rPr>
                <w:sz w:val="20"/>
                <w:szCs w:val="20"/>
              </w:rPr>
            </w:pPr>
            <w:r>
              <w:rPr>
                <w:sz w:val="20"/>
                <w:szCs w:val="20"/>
              </w:rPr>
              <w:t>CRLB</w:t>
            </w:r>
            <w:r>
              <w:rPr>
                <w:sz w:val="20"/>
                <w:szCs w:val="20"/>
                <w:vertAlign w:val="subscript"/>
              </w:rPr>
              <w:t xml:space="preserve">tCho </w:t>
            </w:r>
            <w:r>
              <w:rPr>
                <w:sz w:val="20"/>
                <w:szCs w:val="20"/>
              </w:rPr>
              <w:t>[%]</w:t>
            </w:r>
          </w:p>
        </w:tc>
        <w:tc>
          <w:tcPr>
            <w:tcW w:w="13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tcPr>
          <w:p>
            <w:pPr>
              <w:pStyle w:val="Normal"/>
              <w:widowControl w:val="false"/>
              <w:spacing w:lineRule="auto" w:line="240"/>
              <w:jc w:val="center"/>
              <w:rPr>
                <w:sz w:val="20"/>
                <w:szCs w:val="20"/>
              </w:rPr>
            </w:pPr>
            <w:r>
              <w:rPr>
                <w:sz w:val="20"/>
                <w:szCs w:val="20"/>
              </w:rPr>
              <w:t>CRLB</w:t>
            </w:r>
            <w:r>
              <w:rPr>
                <w:sz w:val="20"/>
                <w:szCs w:val="20"/>
                <w:vertAlign w:val="subscript"/>
              </w:rPr>
              <w:t xml:space="preserve">tCr </w:t>
            </w:r>
            <w:r>
              <w:rPr>
                <w:sz w:val="20"/>
                <w:szCs w:val="20"/>
              </w:rPr>
              <w:t>[%]</w:t>
            </w:r>
          </w:p>
        </w:tc>
        <w:tc>
          <w:tcPr>
            <w:tcW w:w="13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tcPr>
          <w:p>
            <w:pPr>
              <w:pStyle w:val="Normal"/>
              <w:widowControl w:val="false"/>
              <w:spacing w:lineRule="auto" w:line="240"/>
              <w:jc w:val="center"/>
              <w:rPr>
                <w:sz w:val="20"/>
                <w:szCs w:val="20"/>
              </w:rPr>
            </w:pPr>
            <w:r>
              <w:rPr>
                <w:sz w:val="20"/>
                <w:szCs w:val="20"/>
              </w:rPr>
              <w:t>CRLB</w:t>
            </w:r>
            <w:r>
              <w:rPr>
                <w:sz w:val="20"/>
                <w:szCs w:val="20"/>
                <w:vertAlign w:val="subscript"/>
              </w:rPr>
              <w:t>tNAA</w:t>
            </w:r>
            <w:r>
              <w:rPr>
                <w:sz w:val="20"/>
                <w:szCs w:val="20"/>
              </w:rPr>
              <w:t xml:space="preserve"> [%]</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tcPr>
          <w:p>
            <w:pPr>
              <w:pStyle w:val="Normal"/>
              <w:widowControl w:val="false"/>
              <w:spacing w:lineRule="auto" w:line="240"/>
              <w:jc w:val="center"/>
              <w:rPr>
                <w:sz w:val="20"/>
                <w:szCs w:val="20"/>
              </w:rPr>
            </w:pPr>
            <w:r>
              <w:rPr>
                <w:sz w:val="20"/>
                <w:szCs w:val="20"/>
              </w:rPr>
              <w:t>SNR</w:t>
            </w:r>
          </w:p>
        </w:tc>
        <w:tc>
          <w:tcPr>
            <w:tcW w:w="15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tcPr>
          <w:p>
            <w:pPr>
              <w:pStyle w:val="Normal"/>
              <w:widowControl w:val="false"/>
              <w:spacing w:lineRule="auto" w:line="240"/>
              <w:jc w:val="center"/>
              <w:rPr>
                <w:sz w:val="20"/>
                <w:szCs w:val="20"/>
              </w:rPr>
            </w:pPr>
            <w:r>
              <w:rPr>
                <w:sz w:val="20"/>
                <w:szCs w:val="20"/>
              </w:rPr>
              <w:t>FWHM</w:t>
            </w:r>
            <w:r>
              <w:rPr>
                <w:sz w:val="20"/>
                <w:szCs w:val="20"/>
                <w:vertAlign w:val="subscript"/>
              </w:rPr>
              <w:t>NAA</w:t>
            </w:r>
            <w:r>
              <w:rPr>
                <w:sz w:val="20"/>
                <w:szCs w:val="20"/>
              </w:rPr>
              <w:t xml:space="preserve"> [Hz]</w:t>
            </w:r>
          </w:p>
        </w:tc>
      </w:tr>
      <w:tr>
        <w:trPr/>
        <w:tc>
          <w:tcPr>
            <w:tcW w:w="17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tcPr>
          <w:p>
            <w:pPr>
              <w:pStyle w:val="Normal"/>
              <w:widowControl w:val="false"/>
              <w:spacing w:lineRule="auto" w:line="240"/>
              <w:jc w:val="center"/>
              <w:rPr>
                <w:sz w:val="20"/>
                <w:szCs w:val="20"/>
              </w:rPr>
            </w:pPr>
            <w:r>
              <w:rPr>
                <w:sz w:val="20"/>
                <w:szCs w:val="20"/>
              </w:rPr>
              <w:t>NAWM</w:t>
            </w:r>
          </w:p>
        </w:tc>
        <w:tc>
          <w:tcPr>
            <w:tcW w:w="13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25.93 ± 5.99</w:t>
            </w:r>
          </w:p>
        </w:tc>
        <w:tc>
          <w:tcPr>
            <w:tcW w:w="13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16.42 ± 3.68</w:t>
            </w:r>
          </w:p>
        </w:tc>
        <w:tc>
          <w:tcPr>
            <w:tcW w:w="13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19.18 ± 3.45</w:t>
            </w:r>
          </w:p>
        </w:tc>
        <w:tc>
          <w:tcPr>
            <w:tcW w:w="13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15.31 ± 3.08</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15.33 ± 3.01</w:t>
            </w:r>
          </w:p>
        </w:tc>
        <w:tc>
          <w:tcPr>
            <w:tcW w:w="15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20.44 ± 2.83</w:t>
            </w:r>
          </w:p>
        </w:tc>
      </w:tr>
      <w:tr>
        <w:trPr/>
        <w:tc>
          <w:tcPr>
            <w:tcW w:w="17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tcPr>
          <w:p>
            <w:pPr>
              <w:pStyle w:val="Normal"/>
              <w:widowControl w:val="false"/>
              <w:spacing w:lineRule="auto" w:line="240"/>
              <w:jc w:val="center"/>
              <w:rPr>
                <w:sz w:val="20"/>
                <w:szCs w:val="20"/>
              </w:rPr>
            </w:pPr>
            <w:r>
              <w:rPr>
                <w:sz w:val="20"/>
                <w:szCs w:val="20"/>
              </w:rPr>
              <w:t>non-iron lesions</w:t>
            </w:r>
          </w:p>
        </w:tc>
        <w:tc>
          <w:tcPr>
            <w:tcW w:w="13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21.96 ± 7.15</w:t>
            </w:r>
          </w:p>
        </w:tc>
        <w:tc>
          <w:tcPr>
            <w:tcW w:w="13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18.42 ± 7.07</w:t>
            </w:r>
          </w:p>
        </w:tc>
        <w:tc>
          <w:tcPr>
            <w:tcW w:w="13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20.33 ± 6.48</w:t>
            </w:r>
          </w:p>
        </w:tc>
        <w:tc>
          <w:tcPr>
            <w:tcW w:w="13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21.21 ± 7.45</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11.49 ± 4.30</w:t>
            </w:r>
          </w:p>
        </w:tc>
        <w:tc>
          <w:tcPr>
            <w:tcW w:w="15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21.44 ± 3.73</w:t>
            </w:r>
          </w:p>
        </w:tc>
      </w:tr>
      <w:tr>
        <w:trPr/>
        <w:tc>
          <w:tcPr>
            <w:tcW w:w="170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2" w:type="dxa"/>
            </w:tcMar>
          </w:tcPr>
          <w:p>
            <w:pPr>
              <w:pStyle w:val="Normal"/>
              <w:widowControl w:val="false"/>
              <w:spacing w:lineRule="auto" w:line="240"/>
              <w:jc w:val="center"/>
              <w:rPr>
                <w:sz w:val="20"/>
                <w:szCs w:val="20"/>
              </w:rPr>
            </w:pPr>
            <w:r>
              <w:rPr>
                <w:sz w:val="20"/>
                <w:szCs w:val="20"/>
              </w:rPr>
              <w:t>iron lesions</w:t>
            </w:r>
          </w:p>
        </w:tc>
        <w:tc>
          <w:tcPr>
            <w:tcW w:w="136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21.75 ± 7.00</w:t>
            </w:r>
          </w:p>
        </w:tc>
        <w:tc>
          <w:tcPr>
            <w:tcW w:w="133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19.34 ± 9.40</w:t>
            </w:r>
          </w:p>
        </w:tc>
        <w:tc>
          <w:tcPr>
            <w:tcW w:w="133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19.98 ± 8.15</w:t>
            </w:r>
          </w:p>
        </w:tc>
        <w:tc>
          <w:tcPr>
            <w:tcW w:w="13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22.18 ± 7.93</w:t>
            </w:r>
          </w:p>
        </w:tc>
        <w:tc>
          <w:tcPr>
            <w:tcW w:w="134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11.17 ± 4.84</w:t>
            </w:r>
          </w:p>
        </w:tc>
        <w:tc>
          <w:tcPr>
            <w:tcW w:w="150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top w:w="0" w:type="dxa"/>
              <w:left w:w="32" w:type="dxa"/>
              <w:bottom w:w="0" w:type="dxa"/>
              <w:right w:w="40" w:type="dxa"/>
            </w:tcMar>
            <w:vAlign w:val="center"/>
          </w:tcPr>
          <w:p>
            <w:pPr>
              <w:pStyle w:val="Normal"/>
              <w:widowControl w:val="false"/>
              <w:jc w:val="center"/>
              <w:rPr>
                <w:sz w:val="20"/>
                <w:szCs w:val="20"/>
              </w:rPr>
            </w:pPr>
            <w:r>
              <w:rPr>
                <w:sz w:val="20"/>
                <w:szCs w:val="20"/>
              </w:rPr>
              <w:t>19.64 ± 2.73</w:t>
            </w:r>
          </w:p>
        </w:tc>
      </w:tr>
    </w:tbl>
    <w:p>
      <w:pPr>
        <w:pStyle w:val="Normal"/>
        <w:widowControl w:val="false"/>
        <w:spacing w:lineRule="auto" w:line="240"/>
        <w:rPr>
          <w:b/>
          <w:b/>
          <w:sz w:val="16"/>
          <w:szCs w:val="16"/>
        </w:rPr>
      </w:pPr>
      <w:r>
        <w:rPr>
          <w:b/>
          <w:sz w:val="16"/>
          <w:szCs w:val="16"/>
        </w:rPr>
      </w:r>
    </w:p>
    <w:p>
      <w:pPr>
        <w:pStyle w:val="Normal"/>
        <w:widowControl w:val="false"/>
        <w:spacing w:lineRule="auto" w:line="240"/>
        <w:rPr>
          <w:sz w:val="16"/>
          <w:szCs w:val="16"/>
        </w:rPr>
      </w:pPr>
      <w:r>
        <w:rPr>
          <w:b/>
          <w:sz w:val="16"/>
          <w:szCs w:val="16"/>
        </w:rPr>
        <w:t xml:space="preserve">Supplementary Table 2: </w:t>
      </w:r>
      <w:r>
        <w:rPr>
          <w:sz w:val="16"/>
          <w:szCs w:val="16"/>
        </w:rPr>
        <w:t>Spectral and fitting quality metrics for each investigated metabolite and study group.</w:t>
      </w:r>
    </w:p>
    <w:p>
      <w:pPr>
        <w:pStyle w:val="Normal"/>
        <w:widowControl w:val="false"/>
        <w:spacing w:lineRule="auto" w:line="240"/>
        <w:rPr>
          <w:sz w:val="16"/>
          <w:szCs w:val="16"/>
        </w:rPr>
      </w:pPr>
      <w:r>
        <w:rPr>
          <w:sz w:val="16"/>
          <w:szCs w:val="16"/>
        </w:rPr>
      </w:r>
    </w:p>
    <w:p>
      <w:pPr>
        <w:pStyle w:val="Normal"/>
        <w:widowControl w:val="false"/>
        <w:spacing w:lineRule="auto" w:line="240"/>
        <w:rPr>
          <w:sz w:val="16"/>
          <w:szCs w:val="16"/>
        </w:rPr>
      </w:pPr>
      <w:r>
        <w:rPr>
          <w:sz w:val="16"/>
          <w:szCs w:val="16"/>
        </w:rPr>
      </w:r>
    </w:p>
    <w:p>
      <w:pPr>
        <w:pStyle w:val="Normal"/>
        <w:widowControl w:val="false"/>
        <w:spacing w:lineRule="auto" w:line="240"/>
        <w:rPr>
          <w:sz w:val="16"/>
          <w:szCs w:val="16"/>
        </w:rPr>
      </w:pPr>
      <w:r>
        <w:rPr>
          <w:sz w:val="16"/>
          <w:szCs w:val="16"/>
        </w:rPr>
      </w:r>
    </w:p>
    <w:p>
      <w:pPr>
        <w:pStyle w:val="Normal"/>
        <w:widowControl w:val="false"/>
        <w:spacing w:lineRule="auto" w:line="240"/>
        <w:rPr>
          <w:sz w:val="16"/>
          <w:szCs w:val="16"/>
        </w:rPr>
      </w:pPr>
      <w:r>
        <w:rPr>
          <w:sz w:val="16"/>
          <w:szCs w:val="16"/>
        </w:rPr>
      </w:r>
    </w:p>
    <w:p>
      <w:pPr>
        <w:pStyle w:val="Normal"/>
        <w:widowControl w:val="false"/>
        <w:rPr>
          <w:sz w:val="16"/>
          <w:szCs w:val="16"/>
        </w:rPr>
      </w:pPr>
      <w:r>
        <w:rPr>
          <w:sz w:val="16"/>
          <w:szCs w:val="16"/>
        </w:rPr>
      </w:r>
    </w:p>
    <w:tbl>
      <w:tblPr>
        <w:tblStyle w:val="Table3"/>
        <w:tblW w:w="9360"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9360"/>
      </w:tblGrid>
      <w:tr>
        <w:trPr/>
        <w:tc>
          <w:tcPr>
            <w:tcW w:w="93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rPr/>
            </w:pPr>
            <w:r>
              <w:rPr>
                <w:sz w:val="20"/>
                <w:szCs w:val="20"/>
              </w:rPr>
              <w:t xml:space="preserve">Lipka, A., Niess, E., Dal-Bianco, A., Hangel, G. J., Rommer, P. S., Strasser, B., Motyka, S., Hingerl, L., Berger, T., Hnilicová, P., Kantorová, E., Leutmezer, F., Kurča, E., Gruber, S., Trattnig, S., &amp; Bogner, W. (2023). Lesion-Specific Metabolic Alterations in Relapsing-Remitting Multiple Sclerosis Via 7 T Magnetic Resonance Spectroscopic Imaging. </w:t>
            </w:r>
            <w:r>
              <w:rPr>
                <w:i/>
                <w:sz w:val="20"/>
                <w:szCs w:val="20"/>
              </w:rPr>
              <w:t>Investigative Radiology</w:t>
            </w:r>
            <w:r>
              <w:rPr>
                <w:sz w:val="20"/>
                <w:szCs w:val="20"/>
              </w:rPr>
              <w:t xml:space="preserve">, </w:t>
            </w:r>
            <w:r>
              <w:rPr>
                <w:i/>
                <w:sz w:val="20"/>
                <w:szCs w:val="20"/>
              </w:rPr>
              <w:t>58</w:t>
            </w:r>
            <w:r>
              <w:rPr>
                <w:sz w:val="20"/>
                <w:szCs w:val="20"/>
              </w:rPr>
              <w:t>(2), 156. https://doi.org/10.1097/RLI.0000000000000913</w:t>
            </w:r>
          </w:p>
          <w:p>
            <w:pPr>
              <w:pStyle w:val="Normal"/>
              <w:widowControl w:val="false"/>
              <w:rPr>
                <w:sz w:val="20"/>
                <w:szCs w:val="20"/>
              </w:rPr>
            </w:pPr>
            <w:r>
              <w:rPr>
                <w:rFonts w:eastAsia="Arial Unicode MS" w:cs="Arial Unicode MS" w:ascii="Arial Unicode MS" w:hAnsi="Arial Unicode MS"/>
                <w:sz w:val="20"/>
                <w:szCs w:val="20"/>
              </w:rPr>
              <w:t xml:space="preserve">→ </w:t>
            </w:r>
            <w:r>
              <w:rPr>
                <w:rFonts w:eastAsia="Arial Unicode MS" w:cs="Arial Unicode MS" w:ascii="Arial Unicode MS" w:hAnsi="Arial Unicode MS"/>
                <w:sz w:val="20"/>
                <w:szCs w:val="20"/>
              </w:rPr>
              <w:t>of the 51 RRMS patients studied in the above mentioned study, 31 RRMS patients were also included in this study. In the previous study the focus was on focal metabolic alterations inside and in the periphery of lesions that are visible or invisible on conventional MRI and to correlate metabolic changes with T1-hypointensity and distance between lesions and cortical gray matter. In contrast to that, the current study reports on SWI data and correlates the information on lesion iron accumulation to MRSI in multiple aspects.</w:t>
            </w:r>
          </w:p>
          <w:p>
            <w:pPr>
              <w:pStyle w:val="Normal"/>
              <w:widowControl w:val="false"/>
              <w:rPr>
                <w:sz w:val="20"/>
                <w:szCs w:val="20"/>
              </w:rPr>
            </w:pPr>
            <w:r>
              <w:rPr>
                <w:sz w:val="20"/>
                <w:szCs w:val="20"/>
              </w:rPr>
            </w:r>
          </w:p>
          <w:p>
            <w:pPr>
              <w:pStyle w:val="Normal"/>
              <w:widowControl w:val="false"/>
              <w:rPr>
                <w:sz w:val="20"/>
                <w:szCs w:val="20"/>
              </w:rPr>
            </w:pPr>
            <w:r>
              <w:rPr>
                <w:sz w:val="20"/>
                <w:szCs w:val="20"/>
              </w:rPr>
              <w:t>A. Dal-Bianco et al., “Long-term evolution of multiple sclerosis iron rim lesions in 7 T MRI,” Brain, vol.</w:t>
            </w:r>
          </w:p>
          <w:p>
            <w:pPr>
              <w:pStyle w:val="Normal"/>
              <w:widowControl w:val="false"/>
              <w:rPr>
                <w:sz w:val="20"/>
                <w:szCs w:val="20"/>
              </w:rPr>
            </w:pPr>
            <w:r>
              <w:rPr>
                <w:sz w:val="20"/>
                <w:szCs w:val="20"/>
              </w:rPr>
              <w:t>144, no. 3, pp. 833–847, Mar. 2021, doi: 10.1093/brain/awaa436</w:t>
            </w:r>
          </w:p>
          <w:p>
            <w:pPr>
              <w:pStyle w:val="Normal"/>
              <w:widowControl w:val="false"/>
              <w:rPr>
                <w:sz w:val="20"/>
                <w:szCs w:val="20"/>
              </w:rPr>
            </w:pPr>
            <w:r>
              <w:rPr>
                <w:rFonts w:eastAsia="Arial Unicode MS" w:cs="Arial Unicode MS" w:ascii="Arial Unicode MS" w:hAnsi="Arial Unicode MS"/>
                <w:sz w:val="20"/>
                <w:szCs w:val="20"/>
              </w:rPr>
              <w:t xml:space="preserve">→ </w:t>
            </w:r>
            <w:r>
              <w:rPr>
                <w:rFonts w:eastAsia="Arial Unicode MS" w:cs="Arial Unicode MS" w:ascii="Arial Unicode MS" w:hAnsi="Arial Unicode MS"/>
                <w:sz w:val="20"/>
                <w:szCs w:val="20"/>
              </w:rPr>
              <w:t>the above mentioned study included 33 patients (30 RRMS, 3 SPMS) in a longitudinal study</w:t>
            </w:r>
          </w:p>
          <w:p>
            <w:pPr>
              <w:pStyle w:val="Normal"/>
              <w:widowControl w:val="false"/>
              <w:rPr>
                <w:sz w:val="20"/>
                <w:szCs w:val="20"/>
              </w:rPr>
            </w:pPr>
            <w:r>
              <w:rPr>
                <w:sz w:val="20"/>
                <w:szCs w:val="20"/>
              </w:rPr>
              <w:t>(longest follow up duration of 7 years in 8 patients). The 30 RRMS patients were partly involved in</w:t>
            </w:r>
          </w:p>
          <w:p>
            <w:pPr>
              <w:pStyle w:val="Normal"/>
              <w:widowControl w:val="false"/>
              <w:rPr>
                <w:sz w:val="20"/>
                <w:szCs w:val="20"/>
              </w:rPr>
            </w:pPr>
            <w:r>
              <w:rPr>
                <w:sz w:val="20"/>
                <w:szCs w:val="20"/>
              </w:rPr>
              <w:t>the study, if they did not drop out until 2017. Furthermore, the study did only focus on imaging</w:t>
            </w:r>
          </w:p>
          <w:p>
            <w:pPr>
              <w:pStyle w:val="Normal"/>
              <w:widowControl w:val="false"/>
              <w:rPr>
                <w:sz w:val="20"/>
                <w:szCs w:val="20"/>
              </w:rPr>
            </w:pPr>
            <w:r>
              <w:rPr>
                <w:sz w:val="20"/>
                <w:szCs w:val="20"/>
              </w:rPr>
              <w:t>features such as lesion volume and T1 and assessed these features longitudinally within the RRMS</w:t>
            </w:r>
          </w:p>
          <w:p>
            <w:pPr>
              <w:pStyle w:val="Normal"/>
              <w:widowControl w:val="false"/>
              <w:rPr>
                <w:sz w:val="16"/>
                <w:szCs w:val="16"/>
              </w:rPr>
            </w:pPr>
            <w:r>
              <w:rPr>
                <w:sz w:val="20"/>
                <w:szCs w:val="20"/>
              </w:rPr>
              <w:t>and SPMS cohort. The study did not report on any MRSI data.</w:t>
            </w:r>
          </w:p>
        </w:tc>
      </w:tr>
    </w:tbl>
    <w:p>
      <w:pPr>
        <w:pStyle w:val="Normal"/>
        <w:widowControl w:val="false"/>
        <w:spacing w:lineRule="auto" w:line="240"/>
        <w:rPr>
          <w:sz w:val="16"/>
          <w:szCs w:val="16"/>
        </w:rPr>
      </w:pPr>
      <w:r>
        <w:rPr>
          <w:sz w:val="16"/>
          <w:szCs w:val="16"/>
        </w:rPr>
      </w:r>
    </w:p>
    <w:p>
      <w:pPr>
        <w:pStyle w:val="Normal"/>
        <w:widowControl w:val="false"/>
        <w:spacing w:lineRule="auto" w:line="240"/>
        <w:rPr>
          <w:sz w:val="16"/>
          <w:szCs w:val="16"/>
        </w:rPr>
      </w:pPr>
      <w:r>
        <w:rPr>
          <w:b/>
          <w:sz w:val="16"/>
          <w:szCs w:val="16"/>
        </w:rPr>
        <w:t xml:space="preserve">Supplementary Text 1: </w:t>
      </w:r>
      <w:r>
        <w:rPr>
          <w:sz w:val="16"/>
          <w:szCs w:val="16"/>
        </w:rPr>
        <w:t>Overlapping study statement</w:t>
      </w:r>
    </w:p>
    <w:p>
      <w:pPr>
        <w:pStyle w:val="Normal"/>
        <w:widowControl w:val="false"/>
        <w:spacing w:lineRule="auto" w:line="240"/>
        <w:rPr>
          <w:sz w:val="20"/>
          <w:szCs w:val="20"/>
        </w:rPr>
      </w:pPr>
      <w:r>
        <w:rPr>
          <w:sz w:val="20"/>
          <w:szCs w:val="20"/>
        </w:rPr>
      </w:r>
    </w:p>
    <w:p>
      <w:pPr>
        <w:pStyle w:val="Normal"/>
        <w:widowControl w:val="false"/>
        <w:spacing w:lineRule="auto" w:line="240"/>
        <w:rPr/>
      </w:pPr>
      <w:r>
        <w:rPr/>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Arial Unicode MS">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sz w:val="22"/>
      <w:szCs w:val="22"/>
      <w:lang w:val="en" w:eastAsia="zh-CN" w:bidi="hi-IN"/>
    </w:rPr>
  </w:style>
  <w:style w:type="paragraph" w:styleId="Heading1">
    <w:name w:val="Heading 1"/>
    <w:basedOn w:val="Normal1"/>
    <w:next w:val="Normal"/>
    <w:qFormat/>
    <w:pPr>
      <w:keepNext/>
      <w:keepLines/>
      <w:pageBreakBefore w:val="false"/>
      <w:spacing w:lineRule="auto" w:line="240" w:before="400" w:after="120"/>
    </w:pPr>
    <w:rPr>
      <w:sz w:val="40"/>
      <w:szCs w:val="40"/>
    </w:rPr>
  </w:style>
  <w:style w:type="paragraph" w:styleId="Heading2">
    <w:name w:val="Heading 2"/>
    <w:basedOn w:val="Normal1"/>
    <w:next w:val="Normal"/>
    <w:qFormat/>
    <w:pPr>
      <w:keepNext/>
      <w:keepLines/>
      <w:pageBreakBefore w:val="false"/>
      <w:spacing w:lineRule="auto" w:line="240" w:before="360" w:after="120"/>
    </w:pPr>
    <w:rPr>
      <w:b w:val="false"/>
      <w:sz w:val="32"/>
      <w:szCs w:val="32"/>
    </w:rPr>
  </w:style>
  <w:style w:type="paragraph" w:styleId="Heading3">
    <w:name w:val="Heading 3"/>
    <w:basedOn w:val="Normal1"/>
    <w:next w:val="Normal"/>
    <w:qFormat/>
    <w:pPr>
      <w:keepNext/>
      <w:keepLines/>
      <w:pageBreakBefore w:val="false"/>
      <w:spacing w:lineRule="auto" w:line="240" w:before="320" w:after="80"/>
    </w:pPr>
    <w:rPr>
      <w:b w:val="false"/>
      <w:color w:val="434343"/>
      <w:sz w:val="28"/>
      <w:szCs w:val="28"/>
    </w:rPr>
  </w:style>
  <w:style w:type="paragraph" w:styleId="Heading4">
    <w:name w:val="Heading 4"/>
    <w:basedOn w:val="Normal1"/>
    <w:next w:val="Normal"/>
    <w:qFormat/>
    <w:pPr>
      <w:keepNext/>
      <w:keepLines/>
      <w:pageBreakBefore w:val="false"/>
      <w:spacing w:lineRule="auto" w:line="240" w:before="280" w:after="80"/>
    </w:pPr>
    <w:rPr>
      <w:color w:val="666666"/>
      <w:sz w:val="24"/>
      <w:szCs w:val="24"/>
    </w:rPr>
  </w:style>
  <w:style w:type="paragraph" w:styleId="Heading5">
    <w:name w:val="Heading 5"/>
    <w:basedOn w:val="Normal1"/>
    <w:next w:val="Normal"/>
    <w:qFormat/>
    <w:pPr>
      <w:keepNext/>
      <w:keepLines/>
      <w:pageBreakBefore w:val="false"/>
      <w:spacing w:lineRule="auto" w:line="240" w:before="240" w:after="80"/>
    </w:pPr>
    <w:rPr>
      <w:color w:val="666666"/>
      <w:sz w:val="22"/>
      <w:szCs w:val="22"/>
    </w:rPr>
  </w:style>
  <w:style w:type="paragraph" w:styleId="Heading6">
    <w:name w:val="Heading 6"/>
    <w:basedOn w:val="Normal1"/>
    <w:next w:val="Normal"/>
    <w:qFormat/>
    <w:pPr>
      <w:keepNext/>
      <w:keepLines/>
      <w:pageBreakBefore w:val="false"/>
      <w:spacing w:lineRule="auto" w:line="240" w:before="240" w:after="80"/>
    </w:pPr>
    <w:rPr>
      <w:i/>
      <w:color w:val="666666"/>
      <w:sz w:val="22"/>
      <w:szCs w:val="22"/>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bidi w:val="0"/>
      <w:jc w:val="left"/>
    </w:pPr>
    <w:rPr>
      <w:rFonts w:ascii="Arial" w:hAnsi="Arial" w:eastAsia="Arial" w:cs="Arial"/>
      <w:color w:val="auto"/>
      <w:sz w:val="22"/>
      <w:szCs w:val="22"/>
      <w:lang w:val="en" w:eastAsia="zh-CN" w:bidi="hi-IN"/>
    </w:rPr>
  </w:style>
  <w:style w:type="paragraph" w:styleId="Title">
    <w:name w:val="Title"/>
    <w:basedOn w:val="Normal1"/>
    <w:next w:val="Normal"/>
    <w:qFormat/>
    <w:pPr>
      <w:keepNext/>
      <w:keepLines/>
      <w:pageBreakBefore w:val="false"/>
      <w:spacing w:lineRule="auto" w:line="240" w:before="0" w:after="60"/>
    </w:pPr>
    <w:rPr>
      <w:sz w:val="52"/>
      <w:szCs w:val="52"/>
    </w:rPr>
  </w:style>
  <w:style w:type="paragraph" w:styleId="Subtitle">
    <w:name w:val="Subtitle"/>
    <w:basedOn w:val="Normal1"/>
    <w:next w:val="Normal"/>
    <w:qFormat/>
    <w:pPr>
      <w:keepNext/>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2</Pages>
  <Words>702</Words>
  <Characters>3758</Characters>
  <CharactersWithSpaces>4377</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2023-09-26T14:05:35Z</dcterms:modified>
  <cp:revision>1</cp:revision>
  <dc:subject/>
  <dc:title/>
</cp:coreProperties>
</file>