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7AD2" w14:textId="72ED42AA" w:rsidR="00286CAD" w:rsidRDefault="00286CAD" w:rsidP="00286CAD">
      <w:pPr>
        <w:spacing w:line="480" w:lineRule="auto"/>
        <w:jc w:val="center"/>
        <w:rPr>
          <w:b/>
          <w:sz w:val="32"/>
          <w:szCs w:val="32"/>
        </w:rPr>
      </w:pPr>
      <w:r w:rsidRPr="00286CAD">
        <w:rPr>
          <w:b/>
          <w:sz w:val="32"/>
          <w:szCs w:val="32"/>
        </w:rPr>
        <w:t xml:space="preserve">Supplementary </w:t>
      </w:r>
      <w:r>
        <w:rPr>
          <w:b/>
          <w:sz w:val="32"/>
          <w:szCs w:val="32"/>
        </w:rPr>
        <w:t>Materials</w:t>
      </w:r>
    </w:p>
    <w:sdt>
      <w:sdtPr>
        <w:rPr>
          <w:rFonts w:ascii="Times New Roman" w:eastAsia="Times New Roman" w:hAnsi="Times New Roman" w:cs="Times New Roman"/>
          <w:b/>
          <w:color w:val="auto"/>
          <w:sz w:val="24"/>
          <w:szCs w:val="24"/>
          <w:lang w:val="en-CA"/>
        </w:rPr>
        <w:id w:val="464631145"/>
        <w:docPartObj>
          <w:docPartGallery w:val="Table of Contents"/>
          <w:docPartUnique/>
        </w:docPartObj>
      </w:sdtPr>
      <w:sdtEndPr>
        <w:rPr>
          <w:bCs/>
          <w:noProof/>
        </w:rPr>
      </w:sdtEndPr>
      <w:sdtContent>
        <w:p w14:paraId="78530D87" w14:textId="311BAD6D" w:rsidR="00F222D5" w:rsidRPr="00F222D5" w:rsidRDefault="00F222D5" w:rsidP="00F222D5">
          <w:pPr>
            <w:pStyle w:val="TOCHeading"/>
            <w:spacing w:after="240"/>
            <w:rPr>
              <w:rFonts w:ascii="Times New Roman" w:hAnsi="Times New Roman" w:cs="Times New Roman"/>
              <w:b/>
              <w:color w:val="auto"/>
            </w:rPr>
          </w:pPr>
          <w:r w:rsidRPr="00F222D5">
            <w:rPr>
              <w:rFonts w:ascii="Times New Roman" w:hAnsi="Times New Roman" w:cs="Times New Roman"/>
              <w:b/>
              <w:color w:val="auto"/>
            </w:rPr>
            <w:t>Contents</w:t>
          </w:r>
        </w:p>
        <w:p w14:paraId="1AB3F2E4" w14:textId="77777777" w:rsidR="00F222D5" w:rsidRDefault="00F222D5">
          <w:pPr>
            <w:pStyle w:val="TOC1"/>
            <w:tabs>
              <w:tab w:val="right" w:leader="dot" w:pos="9350"/>
            </w:tabs>
            <w:rPr>
              <w:rFonts w:asciiTheme="minorHAnsi" w:eastAsiaTheme="minorEastAsia" w:hAnsiTheme="minorHAnsi" w:cstheme="minorBidi"/>
              <w:noProof/>
              <w:sz w:val="22"/>
              <w:szCs w:val="22"/>
              <w:lang w:eastAsia="en-CA"/>
            </w:rPr>
          </w:pPr>
          <w:r>
            <w:rPr>
              <w:b/>
              <w:bCs/>
              <w:noProof/>
            </w:rPr>
            <w:fldChar w:fldCharType="begin"/>
          </w:r>
          <w:r>
            <w:rPr>
              <w:b/>
              <w:bCs/>
              <w:noProof/>
            </w:rPr>
            <w:instrText xml:space="preserve"> TOC \o "1-3" \h \z \u </w:instrText>
          </w:r>
          <w:r>
            <w:rPr>
              <w:b/>
              <w:bCs/>
              <w:noProof/>
            </w:rPr>
            <w:fldChar w:fldCharType="separate"/>
          </w:r>
          <w:hyperlink w:anchor="_Toc147303600" w:history="1">
            <w:r w:rsidRPr="00AA66C9">
              <w:rPr>
                <w:rStyle w:val="Hyperlink"/>
                <w:b/>
                <w:bCs/>
                <w:noProof/>
              </w:rPr>
              <w:t>Figure S1: Directed acyclic graph</w:t>
            </w:r>
            <w:r>
              <w:rPr>
                <w:noProof/>
                <w:webHidden/>
              </w:rPr>
              <w:tab/>
            </w:r>
            <w:r>
              <w:rPr>
                <w:noProof/>
                <w:webHidden/>
              </w:rPr>
              <w:fldChar w:fldCharType="begin"/>
            </w:r>
            <w:r>
              <w:rPr>
                <w:noProof/>
                <w:webHidden/>
              </w:rPr>
              <w:instrText xml:space="preserve"> PAGEREF _Toc147303600 \h </w:instrText>
            </w:r>
            <w:r>
              <w:rPr>
                <w:noProof/>
                <w:webHidden/>
              </w:rPr>
            </w:r>
            <w:r>
              <w:rPr>
                <w:noProof/>
                <w:webHidden/>
              </w:rPr>
              <w:fldChar w:fldCharType="separate"/>
            </w:r>
            <w:r>
              <w:rPr>
                <w:noProof/>
                <w:webHidden/>
              </w:rPr>
              <w:t>2</w:t>
            </w:r>
            <w:r>
              <w:rPr>
                <w:noProof/>
                <w:webHidden/>
              </w:rPr>
              <w:fldChar w:fldCharType="end"/>
            </w:r>
          </w:hyperlink>
        </w:p>
        <w:p w14:paraId="0479C277" w14:textId="77777777" w:rsidR="00F222D5" w:rsidRDefault="00000000">
          <w:pPr>
            <w:pStyle w:val="TOC1"/>
            <w:tabs>
              <w:tab w:val="right" w:leader="dot" w:pos="9350"/>
            </w:tabs>
            <w:rPr>
              <w:rFonts w:asciiTheme="minorHAnsi" w:eastAsiaTheme="minorEastAsia" w:hAnsiTheme="minorHAnsi" w:cstheme="minorBidi"/>
              <w:noProof/>
              <w:sz w:val="22"/>
              <w:szCs w:val="22"/>
              <w:lang w:eastAsia="en-CA"/>
            </w:rPr>
          </w:pPr>
          <w:hyperlink w:anchor="_Toc147303601" w:history="1">
            <w:r w:rsidR="00F222D5" w:rsidRPr="00AA66C9">
              <w:rPr>
                <w:rStyle w:val="Hyperlink"/>
                <w:b/>
                <w:bCs/>
                <w:noProof/>
              </w:rPr>
              <w:t>Supplementary Methods</w:t>
            </w:r>
            <w:r w:rsidR="00F222D5">
              <w:rPr>
                <w:noProof/>
                <w:webHidden/>
              </w:rPr>
              <w:tab/>
            </w:r>
            <w:r w:rsidR="00F222D5">
              <w:rPr>
                <w:noProof/>
                <w:webHidden/>
              </w:rPr>
              <w:fldChar w:fldCharType="begin"/>
            </w:r>
            <w:r w:rsidR="00F222D5">
              <w:rPr>
                <w:noProof/>
                <w:webHidden/>
              </w:rPr>
              <w:instrText xml:space="preserve"> PAGEREF _Toc147303601 \h </w:instrText>
            </w:r>
            <w:r w:rsidR="00F222D5">
              <w:rPr>
                <w:noProof/>
                <w:webHidden/>
              </w:rPr>
            </w:r>
            <w:r w:rsidR="00F222D5">
              <w:rPr>
                <w:noProof/>
                <w:webHidden/>
              </w:rPr>
              <w:fldChar w:fldCharType="separate"/>
            </w:r>
            <w:r w:rsidR="00F222D5">
              <w:rPr>
                <w:noProof/>
                <w:webHidden/>
              </w:rPr>
              <w:t>3</w:t>
            </w:r>
            <w:r w:rsidR="00F222D5">
              <w:rPr>
                <w:noProof/>
                <w:webHidden/>
              </w:rPr>
              <w:fldChar w:fldCharType="end"/>
            </w:r>
          </w:hyperlink>
        </w:p>
        <w:p w14:paraId="4E25F418" w14:textId="77777777" w:rsidR="00F222D5" w:rsidRDefault="00000000">
          <w:pPr>
            <w:pStyle w:val="TOC2"/>
            <w:tabs>
              <w:tab w:val="right" w:leader="dot" w:pos="9350"/>
            </w:tabs>
            <w:rPr>
              <w:noProof/>
            </w:rPr>
          </w:pPr>
          <w:hyperlink w:anchor="_Toc147303602" w:history="1">
            <w:r w:rsidR="00F222D5" w:rsidRPr="00AA66C9">
              <w:rPr>
                <w:rStyle w:val="Hyperlink"/>
                <w:b/>
                <w:bCs/>
                <w:noProof/>
              </w:rPr>
              <w:t>Linked data repositories</w:t>
            </w:r>
            <w:r w:rsidR="00F222D5">
              <w:rPr>
                <w:noProof/>
                <w:webHidden/>
              </w:rPr>
              <w:tab/>
            </w:r>
            <w:r w:rsidR="00F222D5">
              <w:rPr>
                <w:noProof/>
                <w:webHidden/>
              </w:rPr>
              <w:fldChar w:fldCharType="begin"/>
            </w:r>
            <w:r w:rsidR="00F222D5">
              <w:rPr>
                <w:noProof/>
                <w:webHidden/>
              </w:rPr>
              <w:instrText xml:space="preserve"> PAGEREF _Toc147303602 \h </w:instrText>
            </w:r>
            <w:r w:rsidR="00F222D5">
              <w:rPr>
                <w:noProof/>
                <w:webHidden/>
              </w:rPr>
            </w:r>
            <w:r w:rsidR="00F222D5">
              <w:rPr>
                <w:noProof/>
                <w:webHidden/>
              </w:rPr>
              <w:fldChar w:fldCharType="separate"/>
            </w:r>
            <w:r w:rsidR="00F222D5">
              <w:rPr>
                <w:noProof/>
                <w:webHidden/>
              </w:rPr>
              <w:t>3</w:t>
            </w:r>
            <w:r w:rsidR="00F222D5">
              <w:rPr>
                <w:noProof/>
                <w:webHidden/>
              </w:rPr>
              <w:fldChar w:fldCharType="end"/>
            </w:r>
          </w:hyperlink>
        </w:p>
        <w:p w14:paraId="211224A6" w14:textId="77777777" w:rsidR="00F222D5" w:rsidRDefault="00000000">
          <w:pPr>
            <w:pStyle w:val="TOC2"/>
            <w:tabs>
              <w:tab w:val="right" w:leader="dot" w:pos="9350"/>
            </w:tabs>
            <w:rPr>
              <w:noProof/>
            </w:rPr>
          </w:pPr>
          <w:hyperlink w:anchor="_Toc147303603" w:history="1">
            <w:r w:rsidR="00F222D5" w:rsidRPr="00AA66C9">
              <w:rPr>
                <w:rStyle w:val="Hyperlink"/>
                <w:b/>
                <w:bCs/>
                <w:noProof/>
              </w:rPr>
              <w:t>Matching algorithm</w:t>
            </w:r>
            <w:r w:rsidR="00F222D5">
              <w:rPr>
                <w:noProof/>
                <w:webHidden/>
              </w:rPr>
              <w:tab/>
            </w:r>
            <w:r w:rsidR="00F222D5">
              <w:rPr>
                <w:noProof/>
                <w:webHidden/>
              </w:rPr>
              <w:fldChar w:fldCharType="begin"/>
            </w:r>
            <w:r w:rsidR="00F222D5">
              <w:rPr>
                <w:noProof/>
                <w:webHidden/>
              </w:rPr>
              <w:instrText xml:space="preserve"> PAGEREF _Toc147303603 \h </w:instrText>
            </w:r>
            <w:r w:rsidR="00F222D5">
              <w:rPr>
                <w:noProof/>
                <w:webHidden/>
              </w:rPr>
            </w:r>
            <w:r w:rsidR="00F222D5">
              <w:rPr>
                <w:noProof/>
                <w:webHidden/>
              </w:rPr>
              <w:fldChar w:fldCharType="separate"/>
            </w:r>
            <w:r w:rsidR="00F222D5">
              <w:rPr>
                <w:noProof/>
                <w:webHidden/>
              </w:rPr>
              <w:t>5</w:t>
            </w:r>
            <w:r w:rsidR="00F222D5">
              <w:rPr>
                <w:noProof/>
                <w:webHidden/>
              </w:rPr>
              <w:fldChar w:fldCharType="end"/>
            </w:r>
          </w:hyperlink>
        </w:p>
        <w:p w14:paraId="5014A54F" w14:textId="77777777" w:rsidR="00F222D5" w:rsidRDefault="00000000">
          <w:pPr>
            <w:pStyle w:val="TOC1"/>
            <w:tabs>
              <w:tab w:val="right" w:leader="dot" w:pos="9350"/>
            </w:tabs>
            <w:rPr>
              <w:rFonts w:asciiTheme="minorHAnsi" w:eastAsiaTheme="minorEastAsia" w:hAnsiTheme="minorHAnsi" w:cstheme="minorBidi"/>
              <w:noProof/>
              <w:sz w:val="22"/>
              <w:szCs w:val="22"/>
              <w:lang w:eastAsia="en-CA"/>
            </w:rPr>
          </w:pPr>
          <w:hyperlink w:anchor="_Toc147303604" w:history="1">
            <w:r w:rsidR="00F222D5" w:rsidRPr="00AA66C9">
              <w:rPr>
                <w:rStyle w:val="Hyperlink"/>
                <w:b/>
                <w:bCs/>
                <w:noProof/>
              </w:rPr>
              <w:t xml:space="preserve">Table S1. </w:t>
            </w:r>
            <w:r w:rsidR="00F222D5" w:rsidRPr="00AA66C9">
              <w:rPr>
                <w:rStyle w:val="Hyperlink"/>
                <w:noProof/>
              </w:rPr>
              <w:t>Definitions of variables used.</w:t>
            </w:r>
            <w:r w:rsidR="00F222D5">
              <w:rPr>
                <w:noProof/>
                <w:webHidden/>
              </w:rPr>
              <w:tab/>
            </w:r>
            <w:r w:rsidR="00F222D5">
              <w:rPr>
                <w:noProof/>
                <w:webHidden/>
              </w:rPr>
              <w:fldChar w:fldCharType="begin"/>
            </w:r>
            <w:r w:rsidR="00F222D5">
              <w:rPr>
                <w:noProof/>
                <w:webHidden/>
              </w:rPr>
              <w:instrText xml:space="preserve"> PAGEREF _Toc147303604 \h </w:instrText>
            </w:r>
            <w:r w:rsidR="00F222D5">
              <w:rPr>
                <w:noProof/>
                <w:webHidden/>
              </w:rPr>
            </w:r>
            <w:r w:rsidR="00F222D5">
              <w:rPr>
                <w:noProof/>
                <w:webHidden/>
              </w:rPr>
              <w:fldChar w:fldCharType="separate"/>
            </w:r>
            <w:r w:rsidR="00F222D5">
              <w:rPr>
                <w:noProof/>
                <w:webHidden/>
              </w:rPr>
              <w:t>7</w:t>
            </w:r>
            <w:r w:rsidR="00F222D5">
              <w:rPr>
                <w:noProof/>
                <w:webHidden/>
              </w:rPr>
              <w:fldChar w:fldCharType="end"/>
            </w:r>
          </w:hyperlink>
        </w:p>
        <w:p w14:paraId="43169999" w14:textId="77777777" w:rsidR="00F222D5" w:rsidRDefault="00000000">
          <w:pPr>
            <w:pStyle w:val="TOC1"/>
            <w:tabs>
              <w:tab w:val="right" w:leader="dot" w:pos="9350"/>
            </w:tabs>
            <w:rPr>
              <w:rFonts w:asciiTheme="minorHAnsi" w:eastAsiaTheme="minorEastAsia" w:hAnsiTheme="minorHAnsi" w:cstheme="minorBidi"/>
              <w:noProof/>
              <w:sz w:val="22"/>
              <w:szCs w:val="22"/>
              <w:lang w:eastAsia="en-CA"/>
            </w:rPr>
          </w:pPr>
          <w:hyperlink w:anchor="_Toc147303605" w:history="1">
            <w:r w:rsidR="00F222D5" w:rsidRPr="00AA66C9">
              <w:rPr>
                <w:rStyle w:val="Hyperlink"/>
                <w:b/>
                <w:bCs/>
                <w:noProof/>
              </w:rPr>
              <w:t>Table S2.</w:t>
            </w:r>
            <w:r w:rsidR="00F222D5" w:rsidRPr="00AA66C9">
              <w:rPr>
                <w:rStyle w:val="Hyperlink"/>
                <w:bCs/>
                <w:noProof/>
              </w:rPr>
              <w:t xml:space="preserve"> </w:t>
            </w:r>
            <w:r w:rsidR="00F222D5" w:rsidRPr="00AA66C9">
              <w:rPr>
                <w:rStyle w:val="Hyperlink"/>
                <w:rFonts w:eastAsia="Segoe UI"/>
                <w:noProof/>
              </w:rPr>
              <w:t>Socio-demographic and exposure risk characteristics of the eligible and enrolled study population</w:t>
            </w:r>
            <w:r w:rsidR="00F222D5">
              <w:rPr>
                <w:noProof/>
                <w:webHidden/>
              </w:rPr>
              <w:tab/>
            </w:r>
            <w:r w:rsidR="00F222D5">
              <w:rPr>
                <w:noProof/>
                <w:webHidden/>
              </w:rPr>
              <w:fldChar w:fldCharType="begin"/>
            </w:r>
            <w:r w:rsidR="00F222D5">
              <w:rPr>
                <w:noProof/>
                <w:webHidden/>
              </w:rPr>
              <w:instrText xml:space="preserve"> PAGEREF _Toc147303605 \h </w:instrText>
            </w:r>
            <w:r w:rsidR="00F222D5">
              <w:rPr>
                <w:noProof/>
                <w:webHidden/>
              </w:rPr>
            </w:r>
            <w:r w:rsidR="00F222D5">
              <w:rPr>
                <w:noProof/>
                <w:webHidden/>
              </w:rPr>
              <w:fldChar w:fldCharType="separate"/>
            </w:r>
            <w:r w:rsidR="00F222D5">
              <w:rPr>
                <w:noProof/>
                <w:webHidden/>
              </w:rPr>
              <w:t>9</w:t>
            </w:r>
            <w:r w:rsidR="00F222D5">
              <w:rPr>
                <w:noProof/>
                <w:webHidden/>
              </w:rPr>
              <w:fldChar w:fldCharType="end"/>
            </w:r>
          </w:hyperlink>
        </w:p>
        <w:p w14:paraId="550F4A83" w14:textId="77777777" w:rsidR="00F222D5" w:rsidRDefault="00000000">
          <w:pPr>
            <w:pStyle w:val="TOC1"/>
            <w:tabs>
              <w:tab w:val="right" w:leader="dot" w:pos="9350"/>
            </w:tabs>
            <w:rPr>
              <w:rFonts w:asciiTheme="minorHAnsi" w:eastAsiaTheme="minorEastAsia" w:hAnsiTheme="minorHAnsi" w:cstheme="minorBidi"/>
              <w:noProof/>
              <w:sz w:val="22"/>
              <w:szCs w:val="22"/>
              <w:lang w:eastAsia="en-CA"/>
            </w:rPr>
          </w:pPr>
          <w:hyperlink w:anchor="_Toc147303606" w:history="1">
            <w:r w:rsidR="00F222D5" w:rsidRPr="00AA66C9">
              <w:rPr>
                <w:rStyle w:val="Hyperlink"/>
                <w:b/>
                <w:bCs/>
                <w:noProof/>
              </w:rPr>
              <w:t>References</w:t>
            </w:r>
            <w:r w:rsidR="00F222D5">
              <w:rPr>
                <w:noProof/>
                <w:webHidden/>
              </w:rPr>
              <w:tab/>
            </w:r>
            <w:r w:rsidR="00F222D5">
              <w:rPr>
                <w:noProof/>
                <w:webHidden/>
              </w:rPr>
              <w:fldChar w:fldCharType="begin"/>
            </w:r>
            <w:r w:rsidR="00F222D5">
              <w:rPr>
                <w:noProof/>
                <w:webHidden/>
              </w:rPr>
              <w:instrText xml:space="preserve"> PAGEREF _Toc147303606 \h </w:instrText>
            </w:r>
            <w:r w:rsidR="00F222D5">
              <w:rPr>
                <w:noProof/>
                <w:webHidden/>
              </w:rPr>
            </w:r>
            <w:r w:rsidR="00F222D5">
              <w:rPr>
                <w:noProof/>
                <w:webHidden/>
              </w:rPr>
              <w:fldChar w:fldCharType="separate"/>
            </w:r>
            <w:r w:rsidR="00F222D5">
              <w:rPr>
                <w:noProof/>
                <w:webHidden/>
              </w:rPr>
              <w:t>10</w:t>
            </w:r>
            <w:r w:rsidR="00F222D5">
              <w:rPr>
                <w:noProof/>
                <w:webHidden/>
              </w:rPr>
              <w:fldChar w:fldCharType="end"/>
            </w:r>
          </w:hyperlink>
        </w:p>
        <w:p w14:paraId="253ADF7E" w14:textId="58BBA0FB" w:rsidR="00F222D5" w:rsidRDefault="00F222D5">
          <w:r>
            <w:rPr>
              <w:b/>
              <w:bCs/>
              <w:noProof/>
            </w:rPr>
            <w:fldChar w:fldCharType="end"/>
          </w:r>
        </w:p>
      </w:sdtContent>
    </w:sdt>
    <w:p w14:paraId="1A5F01A8" w14:textId="7604450E" w:rsidR="007D6B70" w:rsidRPr="00286CAD" w:rsidRDefault="007D6B70" w:rsidP="007D6B70">
      <w:pPr>
        <w:spacing w:line="480" w:lineRule="auto"/>
      </w:pPr>
    </w:p>
    <w:p w14:paraId="4F066623" w14:textId="2A17A6C3" w:rsidR="00286CAD" w:rsidRDefault="00286CAD" w:rsidP="00286CAD">
      <w:pPr>
        <w:spacing w:line="480" w:lineRule="auto"/>
        <w:rPr>
          <w:bCs/>
        </w:rPr>
      </w:pPr>
      <w:r>
        <w:rPr>
          <w:bCs/>
        </w:rPr>
        <w:br w:type="page"/>
      </w:r>
    </w:p>
    <w:p w14:paraId="0C6D493F" w14:textId="405C76E7" w:rsidR="00286CAD" w:rsidRPr="00F222D5" w:rsidRDefault="00286CAD" w:rsidP="00F222D5">
      <w:pPr>
        <w:pStyle w:val="Heading1"/>
        <w:rPr>
          <w:rFonts w:ascii="Times New Roman" w:hAnsi="Times New Roman" w:cs="Times New Roman"/>
          <w:b/>
          <w:bCs/>
          <w:color w:val="auto"/>
          <w:sz w:val="24"/>
        </w:rPr>
      </w:pPr>
      <w:bookmarkStart w:id="0" w:name="_Toc147303600"/>
      <w:r w:rsidRPr="00F222D5">
        <w:rPr>
          <w:rFonts w:ascii="Times New Roman" w:hAnsi="Times New Roman" w:cs="Times New Roman"/>
          <w:b/>
          <w:bCs/>
          <w:color w:val="auto"/>
          <w:sz w:val="24"/>
        </w:rPr>
        <w:lastRenderedPageBreak/>
        <w:t xml:space="preserve">Figure S1: </w:t>
      </w:r>
      <w:r w:rsidR="6960525A" w:rsidRPr="00F222D5">
        <w:rPr>
          <w:rFonts w:ascii="Times New Roman" w:hAnsi="Times New Roman" w:cs="Times New Roman"/>
          <w:b/>
          <w:bCs/>
          <w:color w:val="auto"/>
          <w:sz w:val="24"/>
        </w:rPr>
        <w:t>Directed acyclic graph</w:t>
      </w:r>
      <w:bookmarkEnd w:id="0"/>
    </w:p>
    <w:p w14:paraId="1A2ACB33" w14:textId="5BD6FC77" w:rsidR="2417CA49" w:rsidRDefault="2417CA49" w:rsidP="2417CA49">
      <w:pPr>
        <w:spacing w:line="480" w:lineRule="auto"/>
        <w:rPr>
          <w:b/>
          <w:bCs/>
        </w:rPr>
      </w:pPr>
    </w:p>
    <w:p w14:paraId="2150041D" w14:textId="70E6AEDD" w:rsidR="00D01522" w:rsidRDefault="589A62E8" w:rsidP="2417CA49">
      <w:pPr>
        <w:spacing w:line="480" w:lineRule="auto"/>
        <w:jc w:val="center"/>
      </w:pPr>
      <w:r>
        <w:rPr>
          <w:noProof/>
          <w:lang w:eastAsia="en-CA"/>
        </w:rPr>
        <w:drawing>
          <wp:inline distT="0" distB="0" distL="0" distR="0" wp14:anchorId="01614857" wp14:editId="23FE3BC8">
            <wp:extent cx="5981700" cy="3962876"/>
            <wp:effectExtent l="0" t="0" r="0" b="0"/>
            <wp:docPr id="183761364" name="Picture 18376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81700" cy="3962876"/>
                    </a:xfrm>
                    <a:prstGeom prst="rect">
                      <a:avLst/>
                    </a:prstGeom>
                  </pic:spPr>
                </pic:pic>
              </a:graphicData>
            </a:graphic>
          </wp:inline>
        </w:drawing>
      </w:r>
    </w:p>
    <w:p w14:paraId="0C60D4FC" w14:textId="790BCFEE" w:rsidR="591E950A" w:rsidRDefault="591E950A" w:rsidP="2417CA49">
      <w:pPr>
        <w:spacing w:line="480" w:lineRule="auto"/>
      </w:pPr>
      <w:r>
        <w:t xml:space="preserve">Legend: Directed acyclic graph illustrating fixed and time-varying confounders for vaccination with MVA-BN and </w:t>
      </w:r>
      <w:r w:rsidR="575B5A39">
        <w:t xml:space="preserve">risk of </w:t>
      </w:r>
      <w:proofErr w:type="spellStart"/>
      <w:r>
        <w:t>mpox</w:t>
      </w:r>
      <w:proofErr w:type="spellEnd"/>
      <w:r>
        <w:t xml:space="preserve"> infection</w:t>
      </w:r>
      <w:r w:rsidRPr="2417CA49">
        <w:rPr>
          <w:b/>
          <w:bCs/>
        </w:rPr>
        <w:t>;</w:t>
      </w:r>
      <w:r>
        <w:t xml:space="preserve"> MVA-BN</w:t>
      </w:r>
      <w:r w:rsidR="158A4663">
        <w:t xml:space="preserve"> denotes mo</w:t>
      </w:r>
      <w:r w:rsidR="001847C6">
        <w:t>dified vaccinia Ankara vaccine – Bavarian-Nordic</w:t>
      </w:r>
      <w:r w:rsidR="002D6E29">
        <w:t xml:space="preserve">. </w:t>
      </w:r>
      <w:r w:rsidR="00A04167">
        <w:t xml:space="preserve">Fixed confounders </w:t>
      </w:r>
      <w:r w:rsidR="00F60A2D">
        <w:t>were conceptualized</w:t>
      </w:r>
      <w:r w:rsidR="00E50801">
        <w:t xml:space="preserve"> as </w:t>
      </w:r>
      <w:r w:rsidR="00F60A2D">
        <w:t>risk of exposure (sexual behaviour) and vaccine confidence</w:t>
      </w:r>
      <w:r w:rsidR="008B48A6">
        <w:t xml:space="preserve">, and operationalized by matching on variables. </w:t>
      </w:r>
      <w:r w:rsidR="008A76B8">
        <w:t>Time-varying, residual c</w:t>
      </w:r>
      <w:r w:rsidR="002D6E29">
        <w:t>onfound</w:t>
      </w:r>
      <w:r w:rsidR="008A76B8">
        <w:t>ing</w:t>
      </w:r>
      <w:r w:rsidR="002D6E29">
        <w:t xml:space="preserve"> </w:t>
      </w:r>
      <w:r w:rsidR="008A76B8">
        <w:t>related to concurrent behaviour change w</w:t>
      </w:r>
      <w:r w:rsidR="00484B69">
        <w:t>as</w:t>
      </w:r>
      <w:r w:rsidR="008A76B8">
        <w:t xml:space="preserve"> examined using the negative tracer</w:t>
      </w:r>
      <w:r w:rsidR="00991BA0">
        <w:t xml:space="preserve"> </w:t>
      </w:r>
      <w:r w:rsidR="00B24310">
        <w:t xml:space="preserve">outcome </w:t>
      </w:r>
      <w:r w:rsidR="00991BA0">
        <w:t>(diagnosis of a bacterial sexually transmitted infection</w:t>
      </w:r>
      <w:r w:rsidR="00484B69">
        <w:t>,</w:t>
      </w:r>
      <w:r w:rsidR="00991BA0">
        <w:t xml:space="preserve"> </w:t>
      </w:r>
      <w:r w:rsidR="00A67473">
        <w:t xml:space="preserve">against which </w:t>
      </w:r>
      <w:r w:rsidR="00484B69">
        <w:t xml:space="preserve">MVA-BN </w:t>
      </w:r>
      <w:r w:rsidR="00A67473">
        <w:t xml:space="preserve">should </w:t>
      </w:r>
      <w:r w:rsidR="006140CE">
        <w:t>provide no benefit</w:t>
      </w:r>
      <w:r w:rsidR="00A67473">
        <w:t>).</w:t>
      </w:r>
      <w:r w:rsidR="008A76B8">
        <w:t xml:space="preserve"> </w:t>
      </w:r>
      <w:r w:rsidR="001B4597">
        <w:t>Time</w:t>
      </w:r>
      <w:r w:rsidR="008D2392">
        <w:t xml:space="preserve"> </w:t>
      </w:r>
      <w:r w:rsidR="001B4597">
        <w:t xml:space="preserve">period (or epidemic dynamics) was inherently captured in </w:t>
      </w:r>
      <w:r w:rsidR="005D40F1">
        <w:t>emulation of the target trial</w:t>
      </w:r>
      <w:r w:rsidR="000558FA">
        <w:t xml:space="preserve"> </w:t>
      </w:r>
      <w:r w:rsidR="00F40885">
        <w:t xml:space="preserve">because each vaccinated individual was being compared with a matched unvaccinated individual at the same stage of the evolving outbreak. </w:t>
      </w:r>
    </w:p>
    <w:p w14:paraId="1D001BB8" w14:textId="523A2B2F" w:rsidR="2417CA49" w:rsidRDefault="2417CA49">
      <w:r>
        <w:br w:type="page"/>
      </w:r>
    </w:p>
    <w:p w14:paraId="74FFA99B" w14:textId="10E702D0" w:rsidR="00F67EB8" w:rsidRPr="00F222D5" w:rsidRDefault="00F67EB8" w:rsidP="00F222D5">
      <w:pPr>
        <w:pStyle w:val="Heading1"/>
        <w:spacing w:after="240"/>
        <w:rPr>
          <w:rFonts w:ascii="Times New Roman" w:hAnsi="Times New Roman" w:cs="Times New Roman"/>
          <w:b/>
          <w:bCs/>
          <w:color w:val="auto"/>
          <w:sz w:val="24"/>
        </w:rPr>
      </w:pPr>
      <w:bookmarkStart w:id="1" w:name="_Toc147303601"/>
      <w:r w:rsidRPr="00F222D5">
        <w:rPr>
          <w:rFonts w:ascii="Times New Roman" w:hAnsi="Times New Roman" w:cs="Times New Roman"/>
          <w:b/>
          <w:bCs/>
          <w:color w:val="auto"/>
          <w:sz w:val="24"/>
        </w:rPr>
        <w:lastRenderedPageBreak/>
        <w:t>Supplementary Methods</w:t>
      </w:r>
      <w:bookmarkEnd w:id="1"/>
    </w:p>
    <w:p w14:paraId="0F1AA296" w14:textId="35F1D7FF" w:rsidR="00F67EB8" w:rsidRPr="00F222D5" w:rsidRDefault="00F67EB8" w:rsidP="00F222D5">
      <w:pPr>
        <w:pStyle w:val="Heading2"/>
        <w:spacing w:after="240"/>
        <w:rPr>
          <w:rFonts w:ascii="Times New Roman" w:hAnsi="Times New Roman" w:cs="Times New Roman"/>
          <w:b/>
          <w:bCs/>
          <w:color w:val="auto"/>
          <w:sz w:val="24"/>
          <w:szCs w:val="24"/>
        </w:rPr>
      </w:pPr>
      <w:bookmarkStart w:id="2" w:name="_Toc147303602"/>
      <w:r w:rsidRPr="00F222D5">
        <w:rPr>
          <w:rFonts w:ascii="Times New Roman" w:hAnsi="Times New Roman" w:cs="Times New Roman"/>
          <w:b/>
          <w:bCs/>
          <w:color w:val="auto"/>
          <w:sz w:val="24"/>
          <w:szCs w:val="24"/>
        </w:rPr>
        <w:t xml:space="preserve">Linked </w:t>
      </w:r>
      <w:r w:rsidR="00BF05FB" w:rsidRPr="00F222D5">
        <w:rPr>
          <w:rFonts w:ascii="Times New Roman" w:hAnsi="Times New Roman" w:cs="Times New Roman"/>
          <w:b/>
          <w:bCs/>
          <w:color w:val="auto"/>
          <w:sz w:val="24"/>
          <w:szCs w:val="24"/>
        </w:rPr>
        <w:t>d</w:t>
      </w:r>
      <w:r w:rsidRPr="00F222D5">
        <w:rPr>
          <w:rFonts w:ascii="Times New Roman" w:hAnsi="Times New Roman" w:cs="Times New Roman"/>
          <w:b/>
          <w:bCs/>
          <w:color w:val="auto"/>
          <w:sz w:val="24"/>
          <w:szCs w:val="24"/>
        </w:rPr>
        <w:t xml:space="preserve">ata </w:t>
      </w:r>
      <w:r w:rsidR="00BF05FB" w:rsidRPr="00F222D5">
        <w:rPr>
          <w:rFonts w:ascii="Times New Roman" w:hAnsi="Times New Roman" w:cs="Times New Roman"/>
          <w:b/>
          <w:bCs/>
          <w:color w:val="auto"/>
          <w:sz w:val="24"/>
          <w:szCs w:val="24"/>
        </w:rPr>
        <w:t>r</w:t>
      </w:r>
      <w:r w:rsidRPr="00F222D5">
        <w:rPr>
          <w:rFonts w:ascii="Times New Roman" w:hAnsi="Times New Roman" w:cs="Times New Roman"/>
          <w:b/>
          <w:bCs/>
          <w:color w:val="auto"/>
          <w:sz w:val="24"/>
          <w:szCs w:val="24"/>
        </w:rPr>
        <w:t>epositories</w:t>
      </w:r>
      <w:bookmarkEnd w:id="2"/>
    </w:p>
    <w:p w14:paraId="0BDC10F6" w14:textId="7658F658" w:rsidR="00F67EB8" w:rsidRDefault="00F67EB8" w:rsidP="00F67EB8">
      <w:pPr>
        <w:spacing w:line="480" w:lineRule="auto"/>
      </w:pPr>
      <w:r>
        <w:t xml:space="preserve">Ontario has a single-payer health system that provides universal access to physician and hospital services and laboratory testing for all eligible Ontario residents. For this study, we used population-based databases that capture relevant information within this single-payer system.  </w:t>
      </w:r>
    </w:p>
    <w:p w14:paraId="072364C0" w14:textId="60129A0A" w:rsidR="00CC316A" w:rsidRDefault="009F2A15" w:rsidP="003B1D8D">
      <w:pPr>
        <w:spacing w:line="480" w:lineRule="auto"/>
        <w:ind w:firstLine="720"/>
      </w:pPr>
      <w:r>
        <w:rPr>
          <w:rFonts w:eastAsiaTheme="minorEastAsia"/>
        </w:rPr>
        <w:t>MVA-BN</w:t>
      </w:r>
      <w:r w:rsidRPr="003C6084">
        <w:rPr>
          <w:rFonts w:eastAsiaTheme="minorEastAsia"/>
        </w:rPr>
        <w:t xml:space="preserve"> </w:t>
      </w:r>
      <w:r w:rsidR="00F67EB8">
        <w:t>w</w:t>
      </w:r>
      <w:r w:rsidR="00C703A3">
        <w:t>as</w:t>
      </w:r>
      <w:r w:rsidR="00F67EB8">
        <w:t xml:space="preserve"> administered as pre-exposure prophylaxis to eligible high-risk groups by local public health units at mass immunization clinics</w:t>
      </w:r>
      <w:r w:rsidR="00857808">
        <w:t xml:space="preserve"> </w:t>
      </w:r>
      <w:r w:rsidR="005D1D1E">
        <w:t xml:space="preserve">in coordination with community-based organizations, </w:t>
      </w:r>
      <w:r w:rsidR="00335951">
        <w:t>with a smaller number administered via physician clinics</w:t>
      </w:r>
      <w:r w:rsidR="00F67EB8">
        <w:t xml:space="preserve">. </w:t>
      </w:r>
      <w:r w:rsidR="005D1D1E">
        <w:t>The m</w:t>
      </w:r>
      <w:r w:rsidR="00CC316A">
        <w:t xml:space="preserve">ass immunization clinics </w:t>
      </w:r>
      <w:r w:rsidR="00795125">
        <w:t xml:space="preserve">were implemented in drop-in </w:t>
      </w:r>
      <w:r w:rsidR="00AF264E">
        <w:t>settings</w:t>
      </w:r>
      <w:r w:rsidR="005C4156">
        <w:t>,</w:t>
      </w:r>
      <w:r w:rsidR="003B1D8D">
        <w:t xml:space="preserve"> </w:t>
      </w:r>
      <w:r w:rsidR="005C4156">
        <w:t xml:space="preserve">including community-based organizations, </w:t>
      </w:r>
      <w:r w:rsidR="004038B5">
        <w:t>with a</w:t>
      </w:r>
      <w:r w:rsidR="005D1D1E">
        <w:t xml:space="preserve"> low-barrier approach</w:t>
      </w:r>
      <w:r w:rsidR="008E03C5">
        <w:t xml:space="preserve"> to accelerate uptake and maximize access</w:t>
      </w:r>
      <w:r w:rsidR="003B1D8D">
        <w:t xml:space="preserve">. </w:t>
      </w:r>
      <w:r w:rsidR="00755932">
        <w:t xml:space="preserve">The low-barrier approach </w:t>
      </w:r>
      <w:r w:rsidR="003B1D8D">
        <w:t>mean</w:t>
      </w:r>
      <w:r w:rsidR="00755932">
        <w:t>t</w:t>
      </w:r>
      <w:r w:rsidR="003B1D8D">
        <w:t xml:space="preserve"> </w:t>
      </w:r>
      <w:r w:rsidR="00755932">
        <w:t xml:space="preserve">that confirmation of </w:t>
      </w:r>
      <w:r w:rsidR="003B1D8D">
        <w:t>eligibility criteria was not required</w:t>
      </w:r>
      <w:r w:rsidR="007A48CC">
        <w:t xml:space="preserve">, and any individual who came to the </w:t>
      </w:r>
      <w:proofErr w:type="spellStart"/>
      <w:r w:rsidR="00445EAE">
        <w:t>mpox</w:t>
      </w:r>
      <w:proofErr w:type="spellEnd"/>
      <w:r w:rsidR="00445EAE">
        <w:t xml:space="preserve">-specific mass </w:t>
      </w:r>
      <w:r w:rsidR="007A48CC">
        <w:t>immunization clinic could receive the vaccine.</w:t>
      </w:r>
    </w:p>
    <w:p w14:paraId="14837740" w14:textId="7D141981" w:rsidR="00F67EB8" w:rsidRDefault="00F67EB8" w:rsidP="00F67EB8">
      <w:pPr>
        <w:spacing w:line="480" w:lineRule="auto"/>
        <w:ind w:firstLine="720"/>
      </w:pPr>
      <w:r>
        <w:t>The provincial Digital Health Immunization Repository (</w:t>
      </w:r>
      <w:r w:rsidR="00654C62">
        <w:t>DHIR</w:t>
      </w:r>
      <w:r>
        <w:t xml:space="preserve">) contains individual-level vaccination data (e.g., product, dose, site, date) entered at the time of administration. Data on post-exposure prophylaxis doses administered by primary care providers were submitted to local public health units for entry into </w:t>
      </w:r>
      <w:r w:rsidR="00654C62">
        <w:t>DHIR</w:t>
      </w:r>
      <w:r>
        <w:t xml:space="preserve"> retrospectively. </w:t>
      </w:r>
    </w:p>
    <w:p w14:paraId="1282897A" w14:textId="47BD4F47" w:rsidR="00F67EB8" w:rsidRDefault="00F67EB8" w:rsidP="00F67EB8">
      <w:pPr>
        <w:spacing w:line="480" w:lineRule="auto"/>
        <w:ind w:firstLine="720"/>
        <w:rPr>
          <w:color w:val="000000" w:themeColor="text1"/>
          <w:lang w:val="en-GB"/>
        </w:rPr>
      </w:pPr>
      <w:r>
        <w:t xml:space="preserve">All </w:t>
      </w:r>
      <w:proofErr w:type="spellStart"/>
      <w:r>
        <w:t>mpox</w:t>
      </w:r>
      <w:proofErr w:type="spellEnd"/>
      <w:r>
        <w:t xml:space="preserve"> specimens collected by health care providers were submitted to Public Health Ontario laboratories for testing. Laboratory results and demographic and clinical data from the test requisition were obtained </w:t>
      </w:r>
      <w:r>
        <w:rPr>
          <w:color w:val="000000" w:themeColor="text1"/>
          <w:lang w:val="en-GB"/>
        </w:rPr>
        <w:t xml:space="preserve">from </w:t>
      </w:r>
      <w:proofErr w:type="spellStart"/>
      <w:r>
        <w:rPr>
          <w:color w:val="000000" w:themeColor="text1"/>
          <w:lang w:val="en-GB"/>
        </w:rPr>
        <w:t>LabWare</w:t>
      </w:r>
      <w:proofErr w:type="spellEnd"/>
      <w:r>
        <w:rPr>
          <w:color w:val="000000" w:themeColor="text1"/>
          <w:lang w:val="en-GB"/>
        </w:rPr>
        <w:t>, Public Health Ontario’s laboratory information system.</w:t>
      </w:r>
    </w:p>
    <w:p w14:paraId="34E0BBC7" w14:textId="70D7850B" w:rsidR="00F67EB8" w:rsidRDefault="00F67EB8" w:rsidP="00F67EB8">
      <w:pPr>
        <w:spacing w:line="480" w:lineRule="auto"/>
        <w:ind w:firstLine="720"/>
        <w:rPr>
          <w:color w:val="000000" w:themeColor="text1"/>
          <w:lang w:val="en-GB"/>
        </w:rPr>
      </w:pPr>
      <w:r>
        <w:rPr>
          <w:color w:val="000000" w:themeColor="text1"/>
          <w:lang w:val="en-GB"/>
        </w:rPr>
        <w:t xml:space="preserve">Data on syphilis testing were obtained from </w:t>
      </w:r>
      <w:proofErr w:type="spellStart"/>
      <w:r>
        <w:rPr>
          <w:color w:val="000000" w:themeColor="text1"/>
          <w:lang w:val="en-GB"/>
        </w:rPr>
        <w:t>LabWare</w:t>
      </w:r>
      <w:proofErr w:type="spellEnd"/>
      <w:r>
        <w:rPr>
          <w:color w:val="000000" w:themeColor="text1"/>
          <w:lang w:val="en-GB"/>
        </w:rPr>
        <w:t xml:space="preserve"> and the </w:t>
      </w:r>
      <w:r w:rsidRPr="003C6084">
        <w:t>Ontario Laboratories Information System (OLIS)</w:t>
      </w:r>
      <w:r>
        <w:t xml:space="preserve">, a provincial repository of laboratory testing results from </w:t>
      </w:r>
      <w:r w:rsidRPr="009B703D">
        <w:t>hospitals</w:t>
      </w:r>
      <w:r>
        <w:t xml:space="preserve"> </w:t>
      </w:r>
      <w:r w:rsidRPr="009B703D">
        <w:t>lab</w:t>
      </w:r>
      <w:r>
        <w:t>oratorie</w:t>
      </w:r>
      <w:r w:rsidRPr="009B703D">
        <w:t>s, community</w:t>
      </w:r>
      <w:r>
        <w:t>-based commercial</w:t>
      </w:r>
      <w:r w:rsidRPr="009B703D">
        <w:t xml:space="preserve"> lab</w:t>
      </w:r>
      <w:r>
        <w:t>oratorie</w:t>
      </w:r>
      <w:r w:rsidRPr="009B703D">
        <w:t>s</w:t>
      </w:r>
      <w:r>
        <w:t>,</w:t>
      </w:r>
      <w:r w:rsidRPr="009B703D">
        <w:t xml:space="preserve"> and public health lab</w:t>
      </w:r>
      <w:r>
        <w:t>oratorie</w:t>
      </w:r>
      <w:r w:rsidRPr="009B703D">
        <w:t>s</w:t>
      </w:r>
      <w:r>
        <w:t>. Data on p</w:t>
      </w:r>
      <w:proofErr w:type="spellStart"/>
      <w:r>
        <w:rPr>
          <w:color w:val="000000" w:themeColor="text1"/>
          <w:lang w:val="en-GB"/>
        </w:rPr>
        <w:t>rior</w:t>
      </w:r>
      <w:proofErr w:type="spellEnd"/>
      <w:r>
        <w:rPr>
          <w:color w:val="000000" w:themeColor="text1"/>
          <w:lang w:val="en-GB"/>
        </w:rPr>
        <w:t xml:space="preserve"> diagnoses of bacterial sexually </w:t>
      </w:r>
      <w:r w:rsidR="005F3935">
        <w:rPr>
          <w:color w:val="000000" w:themeColor="text1"/>
          <w:lang w:val="en-GB"/>
        </w:rPr>
        <w:t>transmitted infections (</w:t>
      </w:r>
      <w:proofErr w:type="spellStart"/>
      <w:r w:rsidR="005F3935">
        <w:rPr>
          <w:color w:val="000000" w:themeColor="text1"/>
          <w:lang w:val="en-GB"/>
        </w:rPr>
        <w:t>gonorrh</w:t>
      </w:r>
      <w:r>
        <w:rPr>
          <w:color w:val="000000" w:themeColor="text1"/>
          <w:lang w:val="en-GB"/>
        </w:rPr>
        <w:t>ea</w:t>
      </w:r>
      <w:proofErr w:type="spellEnd"/>
      <w:r>
        <w:rPr>
          <w:color w:val="000000" w:themeColor="text1"/>
          <w:lang w:val="en-GB"/>
        </w:rPr>
        <w:t xml:space="preserve">, chlamydia, and syphilis) </w:t>
      </w:r>
      <w:r>
        <w:rPr>
          <w:color w:val="000000" w:themeColor="text1"/>
          <w:lang w:val="en-GB"/>
        </w:rPr>
        <w:lastRenderedPageBreak/>
        <w:t xml:space="preserve">were obtained from </w:t>
      </w:r>
      <w:r w:rsidR="00A97600">
        <w:rPr>
          <w:color w:val="000000" w:themeColor="text1"/>
          <w:lang w:val="en-GB"/>
        </w:rPr>
        <w:t xml:space="preserve">the </w:t>
      </w:r>
      <w:r w:rsidR="00A97600" w:rsidRPr="003C6084">
        <w:t>integrated Public Health Information System (</w:t>
      </w:r>
      <w:proofErr w:type="spellStart"/>
      <w:r w:rsidR="00A97600" w:rsidRPr="003C6084">
        <w:t>iPHIS</w:t>
      </w:r>
      <w:proofErr w:type="spellEnd"/>
      <w:r w:rsidR="00A97600" w:rsidRPr="003C6084">
        <w:t>)</w:t>
      </w:r>
      <w:r w:rsidR="00A97600">
        <w:t xml:space="preserve">, </w:t>
      </w:r>
      <w:r w:rsidR="00A97600" w:rsidRPr="009B703D">
        <w:t>an information system for the reporting and surveillance of Diseases of Public Health Significance</w:t>
      </w:r>
      <w:r>
        <w:rPr>
          <w:color w:val="000000" w:themeColor="text1"/>
          <w:lang w:val="en-GB"/>
        </w:rPr>
        <w:t xml:space="preserve">. </w:t>
      </w:r>
    </w:p>
    <w:p w14:paraId="2C908C73" w14:textId="5CC0D198" w:rsidR="00F67EB8" w:rsidRDefault="00F67EB8" w:rsidP="00F67EB8">
      <w:pPr>
        <w:spacing w:line="480" w:lineRule="auto"/>
        <w:ind w:firstLine="720"/>
      </w:pPr>
      <w:r>
        <w:rPr>
          <w:color w:val="000000" w:themeColor="text1"/>
          <w:lang w:val="en-GB"/>
        </w:rPr>
        <w:t xml:space="preserve">History of HIV diagnosis was ascertained from the </w:t>
      </w:r>
      <w:r w:rsidRPr="003C6084">
        <w:t>ICES-derived HIV Cohort</w:t>
      </w:r>
      <w:r>
        <w:t>, which uses an validated algorithm based on physician office visits with HIV as the diagnostic code to identify individuals living with HIV.</w:t>
      </w:r>
      <w:r w:rsidR="00D052A5" w:rsidRPr="00D052A5">
        <w:rPr>
          <w:vertAlign w:val="superscript"/>
        </w:rPr>
        <w:t>1</w:t>
      </w:r>
      <w:r w:rsidR="00835F95">
        <w:t xml:space="preserve"> A</w:t>
      </w:r>
      <w:r>
        <w:t xml:space="preserve">dditionally, </w:t>
      </w:r>
      <w:r w:rsidRPr="003C6084">
        <w:t>HIV pre-exposure prophylaxis prescription</w:t>
      </w:r>
      <w:r>
        <w:t xml:space="preserve"> data were obtained from the </w:t>
      </w:r>
      <w:r w:rsidRPr="003C6084">
        <w:t>Ontario Drug Benefit (ODB)</w:t>
      </w:r>
      <w:r>
        <w:t xml:space="preserve"> database, which contains information on all publicly-funded prescriptions for: adults aged ≥65 years; recipients of professional home services and social assistance; children and young adults aged ≤24 years and not covered by a private insurance plan; and recipients of the Trillium Drug program, which helps Ontarians who have high prescription drug costs </w:t>
      </w:r>
      <w:r w:rsidR="00A833E3">
        <w:t>relative</w:t>
      </w:r>
      <w:r>
        <w:t xml:space="preserve"> to household income.</w:t>
      </w:r>
      <w:r w:rsidR="00D052A5" w:rsidRPr="00D052A5">
        <w:rPr>
          <w:vertAlign w:val="superscript"/>
        </w:rPr>
        <w:t>2,3</w:t>
      </w:r>
    </w:p>
    <w:p w14:paraId="4068D25F" w14:textId="638A2F05" w:rsidR="00F67EB8" w:rsidRDefault="00F67EB8" w:rsidP="00F67EB8">
      <w:pPr>
        <w:spacing w:line="480" w:lineRule="auto"/>
        <w:ind w:firstLine="720"/>
      </w:pPr>
      <w:r>
        <w:t xml:space="preserve">Information on </w:t>
      </w:r>
      <w:r w:rsidRPr="003C6084">
        <w:t>COVID-19 vaccin</w:t>
      </w:r>
      <w:r>
        <w:t xml:space="preserve">ation was obtained from Ontario’s </w:t>
      </w:r>
      <w:r w:rsidRPr="003C6084">
        <w:t>centralized province-wide COVID-19 vaccine registry</w:t>
      </w:r>
      <w:r w:rsidR="009B4A90">
        <w:t>,</w:t>
      </w:r>
      <w:r>
        <w:t xml:space="preserve"> </w:t>
      </w:r>
      <w:proofErr w:type="spellStart"/>
      <w:r w:rsidRPr="004247E6">
        <w:t>COVaxON</w:t>
      </w:r>
      <w:proofErr w:type="spellEnd"/>
      <w:r>
        <w:t>. Data on influenza vaccine</w:t>
      </w:r>
      <w:r w:rsidR="00A871E9">
        <w:t>s</w:t>
      </w:r>
      <w:r>
        <w:t xml:space="preserve"> and other publicly</w:t>
      </w:r>
      <w:r w:rsidR="00BF05FB">
        <w:t xml:space="preserve"> </w:t>
      </w:r>
      <w:r>
        <w:t>funded vaccines received in physician offices were extracted from the Ontario Health Insurance Plan (</w:t>
      </w:r>
      <w:r w:rsidRPr="003C6084">
        <w:t>OHIP</w:t>
      </w:r>
      <w:r>
        <w:t xml:space="preserve">) </w:t>
      </w:r>
      <w:r w:rsidRPr="00692885">
        <w:t>physician billing claims database</w:t>
      </w:r>
      <w:r>
        <w:t>, while information on influenza vaccin</w:t>
      </w:r>
      <w:r w:rsidR="00620CE0">
        <w:t>e</w:t>
      </w:r>
      <w:r>
        <w:t xml:space="preserve">s received in pharmacies was extracted from the ODB database. </w:t>
      </w:r>
    </w:p>
    <w:p w14:paraId="105B6201" w14:textId="1A82F0F7" w:rsidR="00F67EB8" w:rsidRDefault="00F67EB8" w:rsidP="00F67EB8">
      <w:pPr>
        <w:spacing w:line="480" w:lineRule="auto"/>
        <w:ind w:firstLine="720"/>
        <w:rPr>
          <w:color w:val="000000" w:themeColor="text1"/>
          <w:lang w:val="en-GB"/>
        </w:rPr>
      </w:pPr>
      <w:r>
        <w:rPr>
          <w:color w:val="000000" w:themeColor="text1"/>
          <w:lang w:val="en-GB"/>
        </w:rPr>
        <w:t xml:space="preserve">We obtained age, sex, postal code, and </w:t>
      </w:r>
      <w:proofErr w:type="spellStart"/>
      <w:r>
        <w:rPr>
          <w:color w:val="000000" w:themeColor="text1"/>
          <w:lang w:val="en-GB"/>
        </w:rPr>
        <w:t>neighborhood</w:t>
      </w:r>
      <w:proofErr w:type="spellEnd"/>
      <w:r>
        <w:rPr>
          <w:color w:val="000000" w:themeColor="text1"/>
          <w:lang w:val="en-GB"/>
        </w:rPr>
        <w:t xml:space="preserve">-level income quintile </w:t>
      </w:r>
      <w:r w:rsidRPr="00876319">
        <w:rPr>
          <w:color w:val="000000" w:themeColor="text1"/>
          <w:lang w:val="en-GB"/>
        </w:rPr>
        <w:t>from the</w:t>
      </w:r>
      <w:r w:rsidRPr="00876319">
        <w:t xml:space="preserve"> Ontario </w:t>
      </w:r>
      <w:r w:rsidRPr="00876319">
        <w:rPr>
          <w:color w:val="000000" w:themeColor="text1"/>
          <w:lang w:val="en-GB"/>
        </w:rPr>
        <w:t>Registered Persons Database</w:t>
      </w:r>
      <w:r>
        <w:rPr>
          <w:color w:val="000000" w:themeColor="text1"/>
          <w:lang w:val="en-GB"/>
        </w:rPr>
        <w:t xml:space="preserve">, </w:t>
      </w:r>
      <w:r w:rsidRPr="005119CE">
        <w:rPr>
          <w:color w:val="000000" w:themeColor="text1"/>
          <w:lang w:val="en-GB"/>
        </w:rPr>
        <w:t xml:space="preserve">a population </w:t>
      </w:r>
      <w:r>
        <w:rPr>
          <w:color w:val="000000" w:themeColor="text1"/>
          <w:lang w:val="en-GB"/>
        </w:rPr>
        <w:t>registry</w:t>
      </w:r>
      <w:r w:rsidRPr="005119CE">
        <w:rPr>
          <w:color w:val="000000" w:themeColor="text1"/>
          <w:lang w:val="en-GB"/>
        </w:rPr>
        <w:t xml:space="preserve"> with demographic information for </w:t>
      </w:r>
      <w:r>
        <w:rPr>
          <w:color w:val="000000" w:themeColor="text1"/>
          <w:lang w:val="en-GB"/>
        </w:rPr>
        <w:t xml:space="preserve">all Ontarians with provincial health insurance. We determined the geographic region (public health unit, which we then collapsed into a smaller number of regions) using the postal code and Statistics Canada Postal Code Conversion File plus (version 7B). </w:t>
      </w:r>
    </w:p>
    <w:p w14:paraId="1CCB6B86" w14:textId="07EE8B87" w:rsidR="00F67EB8" w:rsidRDefault="00F67EB8" w:rsidP="00F67EB8">
      <w:pPr>
        <w:spacing w:line="480" w:lineRule="auto"/>
        <w:ind w:firstLine="720"/>
      </w:pPr>
      <w:r>
        <w:rPr>
          <w:color w:val="000000" w:themeColor="text1"/>
          <w:lang w:val="en-GB"/>
        </w:rPr>
        <w:t xml:space="preserve">De-identified data extracted from repositories held at Public Health Ontario (Panorama, Labware, </w:t>
      </w:r>
      <w:proofErr w:type="spellStart"/>
      <w:r>
        <w:rPr>
          <w:color w:val="000000" w:themeColor="text1"/>
          <w:lang w:val="en-GB"/>
        </w:rPr>
        <w:t>iPHIS</w:t>
      </w:r>
      <w:proofErr w:type="spellEnd"/>
      <w:r>
        <w:rPr>
          <w:color w:val="000000" w:themeColor="text1"/>
          <w:lang w:val="en-GB"/>
        </w:rPr>
        <w:t xml:space="preserve">) were securely shared with ICES, a not-for-profit research institution, and linked </w:t>
      </w:r>
      <w:r>
        <w:rPr>
          <w:color w:val="000000" w:themeColor="text1"/>
          <w:lang w:val="en-GB"/>
        </w:rPr>
        <w:lastRenderedPageBreak/>
        <w:t xml:space="preserve">to health administrative databases held at ICES using unique </w:t>
      </w:r>
      <w:r w:rsidRPr="00DD5731">
        <w:rPr>
          <w:color w:val="000000" w:themeColor="text1"/>
          <w:lang w:val="en-GB"/>
        </w:rPr>
        <w:t>encoded identifiers</w:t>
      </w:r>
      <w:r>
        <w:rPr>
          <w:color w:val="000000" w:themeColor="text1"/>
          <w:lang w:val="en-GB"/>
        </w:rPr>
        <w:t xml:space="preserve">. Linked data were </w:t>
      </w:r>
      <w:proofErr w:type="spellStart"/>
      <w:r>
        <w:rPr>
          <w:color w:val="000000" w:themeColor="text1"/>
          <w:lang w:val="en-GB"/>
        </w:rPr>
        <w:t>analyzed</w:t>
      </w:r>
      <w:proofErr w:type="spellEnd"/>
      <w:r>
        <w:rPr>
          <w:color w:val="000000" w:themeColor="text1"/>
          <w:lang w:val="en-GB"/>
        </w:rPr>
        <w:t xml:space="preserve"> at ICES. </w:t>
      </w:r>
    </w:p>
    <w:p w14:paraId="46A61FEE" w14:textId="77777777" w:rsidR="00CC10F2" w:rsidRPr="00DF2359" w:rsidRDefault="00CC10F2" w:rsidP="00F67EB8">
      <w:pPr>
        <w:spacing w:line="480" w:lineRule="auto"/>
        <w:rPr>
          <w:bCs/>
        </w:rPr>
      </w:pPr>
    </w:p>
    <w:p w14:paraId="78C4B04A" w14:textId="619085B5" w:rsidR="00F67EB8" w:rsidRPr="00F222D5" w:rsidRDefault="00F67EB8" w:rsidP="00F222D5">
      <w:pPr>
        <w:pStyle w:val="Heading2"/>
        <w:spacing w:after="240"/>
        <w:rPr>
          <w:rFonts w:ascii="Times New Roman" w:hAnsi="Times New Roman" w:cs="Times New Roman"/>
          <w:b/>
          <w:bCs/>
          <w:color w:val="auto"/>
          <w:sz w:val="24"/>
          <w:szCs w:val="24"/>
          <w:highlight w:val="yellow"/>
        </w:rPr>
      </w:pPr>
      <w:bookmarkStart w:id="3" w:name="_Toc147303603"/>
      <w:r w:rsidRPr="00F222D5">
        <w:rPr>
          <w:rFonts w:ascii="Times New Roman" w:hAnsi="Times New Roman" w:cs="Times New Roman"/>
          <w:b/>
          <w:bCs/>
          <w:color w:val="auto"/>
          <w:sz w:val="24"/>
          <w:szCs w:val="24"/>
        </w:rPr>
        <w:t xml:space="preserve">Matching </w:t>
      </w:r>
      <w:r w:rsidR="00BF05FB" w:rsidRPr="00F222D5">
        <w:rPr>
          <w:rFonts w:ascii="Times New Roman" w:hAnsi="Times New Roman" w:cs="Times New Roman"/>
          <w:b/>
          <w:bCs/>
          <w:color w:val="auto"/>
          <w:sz w:val="24"/>
          <w:szCs w:val="24"/>
        </w:rPr>
        <w:t>algorithm</w:t>
      </w:r>
      <w:bookmarkEnd w:id="3"/>
    </w:p>
    <w:p w14:paraId="2CAC0058" w14:textId="5C3D5B70" w:rsidR="00F67EB8" w:rsidRDefault="00F33EA7" w:rsidP="00F67EB8">
      <w:pPr>
        <w:spacing w:line="480" w:lineRule="auto"/>
      </w:pPr>
      <w:r>
        <w:t>For each day</w:t>
      </w:r>
      <w:r w:rsidR="00AA780D">
        <w:t>,</w:t>
      </w:r>
      <w:r>
        <w:t xml:space="preserve"> s</w:t>
      </w:r>
      <w:r w:rsidR="00F67EB8" w:rsidRPr="04EF781D">
        <w:t xml:space="preserve">tarting </w:t>
      </w:r>
      <w:r w:rsidR="00AA780D">
        <w:t xml:space="preserve">from </w:t>
      </w:r>
      <w:r w:rsidR="00F67EB8" w:rsidRPr="04EF781D">
        <w:t>June 1</w:t>
      </w:r>
      <w:r w:rsidR="00BB41AB">
        <w:t>2</w:t>
      </w:r>
      <w:r w:rsidR="00F67EB8" w:rsidRPr="04EF781D">
        <w:t xml:space="preserve">, 2022 (beginning of the vaccination campaign) until October 27, 2022 (to ensure each person could have a 30-day observation period), all newly vaccinated persons </w:t>
      </w:r>
      <w:r w:rsidR="00F67EB8" w:rsidRPr="04EF781D">
        <w:rPr>
          <w:color w:val="000000" w:themeColor="text1"/>
          <w:lang w:val="en-GB"/>
        </w:rPr>
        <w:t>(1</w:t>
      </w:r>
      <w:r w:rsidR="00AA780D">
        <w:rPr>
          <w:color w:val="000000" w:themeColor="text1"/>
          <w:lang w:val="en-GB"/>
        </w:rPr>
        <w:t>5</w:t>
      </w:r>
      <w:r w:rsidR="00F67EB8" w:rsidRPr="04EF781D">
        <w:rPr>
          <w:color w:val="000000" w:themeColor="text1"/>
          <w:lang w:val="en-GB"/>
        </w:rPr>
        <w:t xml:space="preserve"> days after receipt of </w:t>
      </w:r>
      <w:r w:rsidR="00AA780D">
        <w:rPr>
          <w:color w:val="000000" w:themeColor="text1"/>
          <w:lang w:val="en-GB"/>
        </w:rPr>
        <w:t>a first dose</w:t>
      </w:r>
      <w:r w:rsidR="00F67EB8" w:rsidRPr="04EF781D">
        <w:rPr>
          <w:color w:val="000000" w:themeColor="text1"/>
          <w:lang w:val="en-GB"/>
        </w:rPr>
        <w:t>)</w:t>
      </w:r>
      <w:r w:rsidR="00F67EB8" w:rsidRPr="04EF781D">
        <w:t xml:space="preserve"> who </w:t>
      </w:r>
      <w:r w:rsidR="005C24BF">
        <w:t>met</w:t>
      </w:r>
      <w:r w:rsidR="00F67EB8" w:rsidRPr="04EF781D">
        <w:t xml:space="preserve"> the study’s inclusion and exclusion criteria were candidates for matching, including those who had been previously included as unvaccinated controls. The</w:t>
      </w:r>
      <w:r w:rsidR="00B8072E">
        <w:t>se vaccinated individuals</w:t>
      </w:r>
      <w:r w:rsidR="00F67EB8" w:rsidRPr="04EF781D">
        <w:t xml:space="preserve"> were matched in a 1:1 ratio with unexposed (unvaccinated) controls </w:t>
      </w:r>
      <w:r w:rsidR="00227E94">
        <w:t>(who fulfilled</w:t>
      </w:r>
      <w:r w:rsidR="00F67EB8" w:rsidRPr="04EF781D">
        <w:t xml:space="preserve"> the inclusion and exclusion criteria and were not previously recruited</w:t>
      </w:r>
      <w:r w:rsidR="00227E94">
        <w:t>)</w:t>
      </w:r>
      <w:r w:rsidR="00F67EB8" w:rsidRPr="04EF781D">
        <w:t>, in the following ways:</w:t>
      </w:r>
    </w:p>
    <w:p w14:paraId="5D95F460" w14:textId="5FB1F043" w:rsidR="00F67EB8" w:rsidRDefault="00F67EB8" w:rsidP="00F67EB8">
      <w:pPr>
        <w:pStyle w:val="ListParagraph"/>
        <w:numPr>
          <w:ilvl w:val="0"/>
          <w:numId w:val="3"/>
        </w:numPr>
        <w:spacing w:line="480" w:lineRule="auto"/>
      </w:pPr>
      <w:r w:rsidRPr="04EF781D">
        <w:t>Age – within five years</w:t>
      </w:r>
      <w:r w:rsidR="00611E01">
        <w:t>;</w:t>
      </w:r>
    </w:p>
    <w:p w14:paraId="5CCD00DB" w14:textId="2981B47E" w:rsidR="00F67EB8" w:rsidRDefault="00611E01" w:rsidP="00F67EB8">
      <w:pPr>
        <w:pStyle w:val="ListParagraph"/>
        <w:numPr>
          <w:ilvl w:val="0"/>
          <w:numId w:val="3"/>
        </w:numPr>
        <w:spacing w:line="480" w:lineRule="auto"/>
      </w:pPr>
      <w:r>
        <w:t>Geographic region</w:t>
      </w:r>
      <w:r w:rsidR="00BB6E63">
        <w:t>,</w:t>
      </w:r>
      <w:r>
        <w:t xml:space="preserve"> based on p</w:t>
      </w:r>
      <w:r w:rsidR="00F67EB8" w:rsidRPr="04EF781D">
        <w:t xml:space="preserve">ublic health unit region (Toronto, Ottawa, Peel/York/Durham/Halton, Hamilton/Niagara/London/Windsor, </w:t>
      </w:r>
      <w:r w:rsidR="00163038">
        <w:t>r</w:t>
      </w:r>
      <w:r w:rsidR="00F67EB8" w:rsidRPr="04EF781D">
        <w:t>est of Ontario) – exact matching</w:t>
      </w:r>
      <w:r>
        <w:t>;</w:t>
      </w:r>
    </w:p>
    <w:p w14:paraId="3FA6C6AC" w14:textId="49EEF8B9" w:rsidR="00F67EB8" w:rsidRDefault="00F67EB8" w:rsidP="00F67EB8">
      <w:pPr>
        <w:pStyle w:val="ListParagraph"/>
        <w:numPr>
          <w:ilvl w:val="0"/>
          <w:numId w:val="3"/>
        </w:numPr>
        <w:spacing w:line="480" w:lineRule="auto"/>
      </w:pPr>
      <w:r w:rsidRPr="04EF781D">
        <w:t>Prior HIV diagnosis (yes, no) – exact matching</w:t>
      </w:r>
      <w:r w:rsidR="00611E01">
        <w:t>;</w:t>
      </w:r>
    </w:p>
    <w:p w14:paraId="7C208AA6" w14:textId="6FF61306" w:rsidR="00F67EB8" w:rsidRDefault="00F67EB8" w:rsidP="00F67EB8">
      <w:pPr>
        <w:pStyle w:val="ListParagraph"/>
        <w:numPr>
          <w:ilvl w:val="0"/>
          <w:numId w:val="3"/>
        </w:numPr>
        <w:spacing w:line="480" w:lineRule="auto"/>
      </w:pPr>
      <w:r w:rsidRPr="04EF781D">
        <w:t>Number of bacterial sexually transmitted infections diagnose</w:t>
      </w:r>
      <w:r w:rsidR="00A0061E">
        <w:t>d</w:t>
      </w:r>
      <w:r w:rsidRPr="04EF781D">
        <w:t xml:space="preserve"> in the prior three years (0, 1, 2, 3, 4 or more diagnoses of any of gonorrhea, chlamydia, or syphilis) – exact matching</w:t>
      </w:r>
      <w:r w:rsidR="00611E01">
        <w:t>;</w:t>
      </w:r>
    </w:p>
    <w:p w14:paraId="0773FE2A" w14:textId="4E44B16F" w:rsidR="00F67EB8" w:rsidRDefault="00F67EB8" w:rsidP="00F67EB8">
      <w:pPr>
        <w:pStyle w:val="ListParagraph"/>
        <w:numPr>
          <w:ilvl w:val="0"/>
          <w:numId w:val="3"/>
        </w:numPr>
        <w:spacing w:line="480" w:lineRule="auto"/>
      </w:pPr>
      <w:r w:rsidRPr="04EF781D">
        <w:t xml:space="preserve">Receipt of any </w:t>
      </w:r>
      <w:r w:rsidR="0067227A">
        <w:t>non-MVA-BN</w:t>
      </w:r>
      <w:r w:rsidR="0067227A" w:rsidRPr="04EF781D">
        <w:t xml:space="preserve"> </w:t>
      </w:r>
      <w:r w:rsidRPr="04EF781D">
        <w:t>vaccine in the prior year (yes, no) – exact matching</w:t>
      </w:r>
      <w:r w:rsidR="0067227A">
        <w:t>.</w:t>
      </w:r>
    </w:p>
    <w:p w14:paraId="42D16128" w14:textId="77777777" w:rsidR="00F67EB8" w:rsidRDefault="00F67EB8" w:rsidP="00F67EB8">
      <w:pPr>
        <w:spacing w:line="480" w:lineRule="auto"/>
      </w:pPr>
    </w:p>
    <w:p w14:paraId="75891644" w14:textId="088D5508" w:rsidR="00F67EB8" w:rsidRDefault="00F67EB8" w:rsidP="00F67EB8">
      <w:pPr>
        <w:spacing w:line="480" w:lineRule="auto"/>
      </w:pPr>
      <w:r>
        <w:t>End of follow-up occur</w:t>
      </w:r>
      <w:r w:rsidR="004F44D8">
        <w:t>red</w:t>
      </w:r>
      <w:r>
        <w:t xml:space="preserve"> at the earliest of the following events:</w:t>
      </w:r>
    </w:p>
    <w:p w14:paraId="27282DA2" w14:textId="69DB36AE" w:rsidR="00F67EB8" w:rsidRDefault="00F67EB8" w:rsidP="00F67EB8">
      <w:pPr>
        <w:pStyle w:val="ListParagraph"/>
        <w:numPr>
          <w:ilvl w:val="0"/>
          <w:numId w:val="1"/>
        </w:numPr>
        <w:spacing w:line="480" w:lineRule="auto"/>
      </w:pPr>
      <w:r>
        <w:t>Occurrence of an outcome event (i.e.</w:t>
      </w:r>
      <w:r w:rsidR="00FE051F">
        <w:t>,</w:t>
      </w:r>
      <w:r>
        <w:t xml:space="preserve"> testing positive for </w:t>
      </w:r>
      <w:proofErr w:type="spellStart"/>
      <w:r>
        <w:t>mpox</w:t>
      </w:r>
      <w:proofErr w:type="spellEnd"/>
      <w:r w:rsidR="00FE051F">
        <w:t xml:space="preserve"> by PCR</w:t>
      </w:r>
      <w:r>
        <w:t>)</w:t>
      </w:r>
    </w:p>
    <w:p w14:paraId="4B6B6E27" w14:textId="77777777" w:rsidR="00F67EB8" w:rsidRDefault="00F67EB8" w:rsidP="00F67EB8">
      <w:pPr>
        <w:pStyle w:val="ListParagraph"/>
        <w:numPr>
          <w:ilvl w:val="0"/>
          <w:numId w:val="1"/>
        </w:numPr>
        <w:spacing w:line="480" w:lineRule="auto"/>
      </w:pPr>
      <w:r>
        <w:lastRenderedPageBreak/>
        <w:t>Death</w:t>
      </w:r>
    </w:p>
    <w:p w14:paraId="736DA0E3" w14:textId="1B2BB979" w:rsidR="00F67EB8" w:rsidRDefault="00F67EB8" w:rsidP="00F67EB8">
      <w:pPr>
        <w:pStyle w:val="ListParagraph"/>
        <w:numPr>
          <w:ilvl w:val="0"/>
          <w:numId w:val="1"/>
        </w:numPr>
        <w:spacing w:line="480" w:lineRule="auto"/>
      </w:pPr>
      <w:r>
        <w:t>Vaccination of the matched control (f</w:t>
      </w:r>
      <w:r w:rsidR="00BC31A1">
        <w:t xml:space="preserve">or </w:t>
      </w:r>
      <w:r>
        <w:t xml:space="preserve">vaccinated </w:t>
      </w:r>
      <w:r w:rsidR="004D1F77">
        <w:t>individuals</w:t>
      </w:r>
      <w:r>
        <w:t>)</w:t>
      </w:r>
    </w:p>
    <w:p w14:paraId="4FC212AF" w14:textId="75706AAD" w:rsidR="00F67EB8" w:rsidRDefault="00FE051F" w:rsidP="00F67EB8">
      <w:pPr>
        <w:pStyle w:val="ListParagraph"/>
        <w:numPr>
          <w:ilvl w:val="0"/>
          <w:numId w:val="1"/>
        </w:numPr>
        <w:spacing w:line="480" w:lineRule="auto"/>
      </w:pPr>
      <w:r>
        <w:t>Receipt of a s</w:t>
      </w:r>
      <w:r w:rsidR="00F67EB8">
        <w:t xml:space="preserve">econd dose </w:t>
      </w:r>
      <w:r>
        <w:t>of MVA-BN</w:t>
      </w:r>
    </w:p>
    <w:p w14:paraId="6353A4E7" w14:textId="0DAD663E" w:rsidR="00F67EB8" w:rsidRDefault="00F67EB8" w:rsidP="00F67EB8">
      <w:pPr>
        <w:pStyle w:val="ListParagraph"/>
        <w:numPr>
          <w:ilvl w:val="0"/>
          <w:numId w:val="1"/>
        </w:numPr>
        <w:spacing w:line="480" w:lineRule="auto"/>
      </w:pPr>
      <w:r>
        <w:t>Loss of OHIP eligibility (i.e.</w:t>
      </w:r>
      <w:r w:rsidR="00FE051F">
        <w:t>,</w:t>
      </w:r>
      <w:r>
        <w:t xml:space="preserve"> moved out of province)</w:t>
      </w:r>
    </w:p>
    <w:p w14:paraId="1AEA3040" w14:textId="77777777" w:rsidR="00F67EB8" w:rsidRDefault="00F67EB8" w:rsidP="00F67EB8">
      <w:pPr>
        <w:pStyle w:val="ListParagraph"/>
        <w:numPr>
          <w:ilvl w:val="0"/>
          <w:numId w:val="1"/>
        </w:numPr>
        <w:spacing w:line="480" w:lineRule="auto"/>
      </w:pPr>
      <w:r>
        <w:t xml:space="preserve">End of the study period (November 26, 2022) </w:t>
      </w:r>
    </w:p>
    <w:p w14:paraId="2549C42B" w14:textId="77777777" w:rsidR="00F67EB8" w:rsidRDefault="00F67EB8" w:rsidP="00F67EB8">
      <w:pPr>
        <w:spacing w:line="480" w:lineRule="auto"/>
      </w:pPr>
    </w:p>
    <w:p w14:paraId="19F772F3" w14:textId="4F568070" w:rsidR="00F67EB8" w:rsidRDefault="00F67EB8" w:rsidP="00F67EB8">
      <w:pPr>
        <w:spacing w:line="480" w:lineRule="auto"/>
      </w:pPr>
      <w:r>
        <w:t>If an unvaccinated individual bec</w:t>
      </w:r>
      <w:r w:rsidR="00124A5A">
        <w:t>a</w:t>
      </w:r>
      <w:r>
        <w:t xml:space="preserve">me vaccinated, the matched pair </w:t>
      </w:r>
      <w:r w:rsidR="00124A5A">
        <w:t>was</w:t>
      </w:r>
      <w:r>
        <w:t xml:space="preserve"> censored at </w:t>
      </w:r>
      <w:r w:rsidR="0092503B">
        <w:t xml:space="preserve">the </w:t>
      </w:r>
      <w:r>
        <w:t xml:space="preserve">time of </w:t>
      </w:r>
      <w:r w:rsidR="0092503B">
        <w:t xml:space="preserve">the </w:t>
      </w:r>
      <w:r>
        <w:t xml:space="preserve">unexposed </w:t>
      </w:r>
      <w:r w:rsidR="0092503B">
        <w:t xml:space="preserve">individual’s </w:t>
      </w:r>
      <w:r>
        <w:t xml:space="preserve">vaccination date. The unvaccinated individual who </w:t>
      </w:r>
      <w:r w:rsidR="0092503B">
        <w:t>wa</w:t>
      </w:r>
      <w:r>
        <w:t xml:space="preserve">s newly vaccinated </w:t>
      </w:r>
      <w:r w:rsidR="0092503B">
        <w:t>wa</w:t>
      </w:r>
      <w:r>
        <w:t xml:space="preserve">s now eligible for inclusion in the study, even if previously selected as a control. This individual </w:t>
      </w:r>
      <w:r w:rsidR="00F87965">
        <w:t>was</w:t>
      </w:r>
      <w:r>
        <w:t xml:space="preserve"> re-matched to an unmatched unvaccinated person and followed until </w:t>
      </w:r>
      <w:r w:rsidR="00F87965">
        <w:t xml:space="preserve">the </w:t>
      </w:r>
      <w:r>
        <w:t>end of follow-up</w:t>
      </w:r>
      <w:r w:rsidR="00F87965">
        <w:t>.</w:t>
      </w:r>
    </w:p>
    <w:p w14:paraId="48761490" w14:textId="77777777" w:rsidR="00F67EB8" w:rsidRDefault="00F67EB8" w:rsidP="00286CAD">
      <w:pPr>
        <w:spacing w:line="480" w:lineRule="auto"/>
        <w:rPr>
          <w:b/>
          <w:bCs/>
        </w:rPr>
      </w:pPr>
    </w:p>
    <w:p w14:paraId="449B1CE3" w14:textId="77777777" w:rsidR="00876910" w:rsidRDefault="00876910">
      <w:pPr>
        <w:rPr>
          <w:b/>
          <w:bCs/>
        </w:rPr>
      </w:pPr>
      <w:r>
        <w:rPr>
          <w:b/>
          <w:bCs/>
        </w:rPr>
        <w:br w:type="page"/>
      </w:r>
    </w:p>
    <w:p w14:paraId="57B0A945" w14:textId="7703A7F3" w:rsidR="005B408E" w:rsidRPr="00F222D5" w:rsidRDefault="00286CAD" w:rsidP="00F222D5">
      <w:pPr>
        <w:pStyle w:val="Heading1"/>
        <w:rPr>
          <w:rFonts w:ascii="Times New Roman" w:hAnsi="Times New Roman" w:cs="Times New Roman"/>
          <w:b/>
          <w:bCs/>
          <w:color w:val="auto"/>
          <w:sz w:val="24"/>
          <w:szCs w:val="28"/>
        </w:rPr>
      </w:pPr>
      <w:bookmarkStart w:id="4" w:name="_Toc147303604"/>
      <w:r w:rsidRPr="00F222D5">
        <w:rPr>
          <w:rFonts w:ascii="Times New Roman" w:hAnsi="Times New Roman" w:cs="Times New Roman"/>
          <w:b/>
          <w:bCs/>
          <w:color w:val="auto"/>
          <w:sz w:val="24"/>
          <w:szCs w:val="28"/>
        </w:rPr>
        <w:lastRenderedPageBreak/>
        <w:t>Table S1</w:t>
      </w:r>
      <w:r w:rsidR="003B58D0" w:rsidRPr="00F222D5">
        <w:rPr>
          <w:rFonts w:ascii="Times New Roman" w:hAnsi="Times New Roman" w:cs="Times New Roman"/>
          <w:b/>
          <w:bCs/>
          <w:color w:val="auto"/>
          <w:sz w:val="24"/>
          <w:szCs w:val="28"/>
        </w:rPr>
        <w:t>.</w:t>
      </w:r>
      <w:r w:rsidRPr="00F222D5">
        <w:rPr>
          <w:rFonts w:ascii="Times New Roman" w:hAnsi="Times New Roman" w:cs="Times New Roman"/>
          <w:b/>
          <w:bCs/>
          <w:color w:val="auto"/>
          <w:sz w:val="24"/>
          <w:szCs w:val="28"/>
        </w:rPr>
        <w:t xml:space="preserve"> </w:t>
      </w:r>
      <w:r w:rsidR="005B408E" w:rsidRPr="00F222D5">
        <w:rPr>
          <w:rFonts w:ascii="Times New Roman" w:hAnsi="Times New Roman" w:cs="Times New Roman"/>
          <w:color w:val="auto"/>
          <w:sz w:val="24"/>
          <w:szCs w:val="28"/>
        </w:rPr>
        <w:t>Definitions of variables used</w:t>
      </w:r>
      <w:r w:rsidR="003B58D0" w:rsidRPr="00F222D5">
        <w:rPr>
          <w:rFonts w:ascii="Times New Roman" w:hAnsi="Times New Roman" w:cs="Times New Roman"/>
          <w:color w:val="auto"/>
          <w:sz w:val="24"/>
          <w:szCs w:val="28"/>
        </w:rPr>
        <w:t>.</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5B408E" w:rsidRPr="003C6084" w14:paraId="67AF3FD2" w14:textId="77777777" w:rsidTr="00C300CF">
        <w:trPr>
          <w:tblHeader/>
        </w:trPr>
        <w:tc>
          <w:tcPr>
            <w:tcW w:w="2376" w:type="dxa"/>
            <w:shd w:val="clear" w:color="auto" w:fill="auto"/>
          </w:tcPr>
          <w:p w14:paraId="2F5AA93D" w14:textId="77777777" w:rsidR="005B408E" w:rsidRPr="003568B8" w:rsidRDefault="005B408E">
            <w:pPr>
              <w:rPr>
                <w:rFonts w:eastAsiaTheme="minorEastAsia"/>
                <w:b/>
                <w:bCs/>
              </w:rPr>
            </w:pPr>
            <w:r w:rsidRPr="003568B8">
              <w:rPr>
                <w:rFonts w:eastAsiaTheme="minorEastAsia"/>
                <w:b/>
                <w:bCs/>
              </w:rPr>
              <w:t>Variable</w:t>
            </w:r>
          </w:p>
        </w:tc>
        <w:tc>
          <w:tcPr>
            <w:tcW w:w="6804" w:type="dxa"/>
            <w:shd w:val="clear" w:color="auto" w:fill="auto"/>
          </w:tcPr>
          <w:p w14:paraId="441B5596" w14:textId="77777777" w:rsidR="005B408E" w:rsidRPr="003568B8" w:rsidRDefault="005B408E">
            <w:pPr>
              <w:rPr>
                <w:rFonts w:eastAsiaTheme="minorEastAsia"/>
                <w:b/>
                <w:bCs/>
              </w:rPr>
            </w:pPr>
            <w:r w:rsidRPr="003568B8">
              <w:rPr>
                <w:rFonts w:eastAsiaTheme="minorEastAsia"/>
                <w:b/>
                <w:bCs/>
              </w:rPr>
              <w:t>Definition</w:t>
            </w:r>
          </w:p>
        </w:tc>
      </w:tr>
      <w:tr w:rsidR="005B408E" w:rsidRPr="003C6084" w14:paraId="7D0E8AA5" w14:textId="77777777">
        <w:tc>
          <w:tcPr>
            <w:tcW w:w="2376" w:type="dxa"/>
            <w:shd w:val="clear" w:color="auto" w:fill="auto"/>
          </w:tcPr>
          <w:p w14:paraId="49303D72" w14:textId="77777777" w:rsidR="005B408E" w:rsidRPr="003C6084" w:rsidRDefault="005B408E">
            <w:pPr>
              <w:rPr>
                <w:rFonts w:eastAsiaTheme="minorEastAsia"/>
              </w:rPr>
            </w:pPr>
            <w:r>
              <w:rPr>
                <w:rFonts w:eastAsiaTheme="minorEastAsia"/>
              </w:rPr>
              <w:t xml:space="preserve">Laboratory-confirmed </w:t>
            </w:r>
            <w:proofErr w:type="spellStart"/>
            <w:r>
              <w:rPr>
                <w:rFonts w:eastAsiaTheme="minorEastAsia"/>
              </w:rPr>
              <w:t>mpox</w:t>
            </w:r>
            <w:proofErr w:type="spellEnd"/>
            <w:r>
              <w:rPr>
                <w:rFonts w:eastAsiaTheme="minorEastAsia"/>
              </w:rPr>
              <w:t xml:space="preserve"> infection</w:t>
            </w:r>
          </w:p>
        </w:tc>
        <w:tc>
          <w:tcPr>
            <w:tcW w:w="6804" w:type="dxa"/>
            <w:shd w:val="clear" w:color="auto" w:fill="auto"/>
          </w:tcPr>
          <w:p w14:paraId="5AB2164E" w14:textId="77777777" w:rsidR="005B408E" w:rsidRPr="003C6084" w:rsidRDefault="005B408E">
            <w:pPr>
              <w:rPr>
                <w:rFonts w:eastAsiaTheme="minorEastAsia"/>
              </w:rPr>
            </w:pPr>
            <w:r w:rsidRPr="007644A9">
              <w:rPr>
                <w:rFonts w:eastAsiaTheme="minorEastAsia"/>
              </w:rPr>
              <w:t>First positive or intermediate</w:t>
            </w:r>
            <w:r>
              <w:rPr>
                <w:rFonts w:eastAsiaTheme="minorEastAsia"/>
              </w:rPr>
              <w:t xml:space="preserve"> test result </w:t>
            </w:r>
            <w:r w:rsidRPr="007644A9">
              <w:rPr>
                <w:rFonts w:eastAsiaTheme="minorEastAsia"/>
              </w:rPr>
              <w:t xml:space="preserve">on real time polymerase-chain-reaction (PCR) testing for </w:t>
            </w:r>
            <w:proofErr w:type="spellStart"/>
            <w:r w:rsidRPr="007644A9">
              <w:rPr>
                <w:rFonts w:eastAsiaTheme="minorEastAsia"/>
              </w:rPr>
              <w:t>orthopox</w:t>
            </w:r>
            <w:proofErr w:type="spellEnd"/>
            <w:r w:rsidRPr="007644A9">
              <w:rPr>
                <w:rFonts w:eastAsiaTheme="minorEastAsia"/>
              </w:rPr>
              <w:t>/</w:t>
            </w:r>
            <w:proofErr w:type="spellStart"/>
            <w:r w:rsidRPr="007644A9">
              <w:rPr>
                <w:rFonts w:eastAsiaTheme="minorEastAsia"/>
              </w:rPr>
              <w:t>mpox</w:t>
            </w:r>
            <w:proofErr w:type="spellEnd"/>
            <w:r w:rsidRPr="007644A9">
              <w:rPr>
                <w:rFonts w:eastAsiaTheme="minorEastAsia"/>
              </w:rPr>
              <w:t xml:space="preserve"> on samples collected from </w:t>
            </w:r>
            <w:proofErr w:type="spellStart"/>
            <w:r w:rsidRPr="007644A9">
              <w:rPr>
                <w:rFonts w:eastAsiaTheme="minorEastAsia"/>
              </w:rPr>
              <w:t>any body</w:t>
            </w:r>
            <w:proofErr w:type="spellEnd"/>
            <w:r w:rsidRPr="007644A9">
              <w:rPr>
                <w:rFonts w:eastAsiaTheme="minorEastAsia"/>
              </w:rPr>
              <w:t xml:space="preserve"> site</w:t>
            </w:r>
            <w:r>
              <w:rPr>
                <w:rFonts w:eastAsiaTheme="minorEastAsia"/>
              </w:rPr>
              <w:t>.</w:t>
            </w:r>
          </w:p>
        </w:tc>
      </w:tr>
      <w:tr w:rsidR="005B408E" w:rsidRPr="003C6084" w14:paraId="67C9430A" w14:textId="77777777">
        <w:tc>
          <w:tcPr>
            <w:tcW w:w="2376" w:type="dxa"/>
            <w:shd w:val="clear" w:color="auto" w:fill="auto"/>
          </w:tcPr>
          <w:p w14:paraId="31E9D3C1" w14:textId="77777777" w:rsidR="005B408E" w:rsidRPr="003C6084" w:rsidRDefault="005B408E">
            <w:pPr>
              <w:rPr>
                <w:rFonts w:eastAsiaTheme="minorEastAsia"/>
              </w:rPr>
            </w:pPr>
            <w:r w:rsidRPr="003C6084">
              <w:rPr>
                <w:rFonts w:eastAsiaTheme="minorEastAsia"/>
              </w:rPr>
              <w:t>Age-group</w:t>
            </w:r>
          </w:p>
        </w:tc>
        <w:tc>
          <w:tcPr>
            <w:tcW w:w="6804" w:type="dxa"/>
            <w:shd w:val="clear" w:color="auto" w:fill="auto"/>
          </w:tcPr>
          <w:p w14:paraId="726D57AB" w14:textId="11C3ECB6" w:rsidR="005B408E" w:rsidRPr="003C6084" w:rsidRDefault="005B408E">
            <w:pPr>
              <w:rPr>
                <w:rFonts w:eastAsiaTheme="minorEastAsia"/>
              </w:rPr>
            </w:pPr>
            <w:r w:rsidRPr="003C6084">
              <w:rPr>
                <w:rFonts w:eastAsiaTheme="minorEastAsia"/>
              </w:rPr>
              <w:t xml:space="preserve">Age </w:t>
            </w:r>
            <w:r w:rsidR="001D43D9">
              <w:rPr>
                <w:rFonts w:eastAsiaTheme="minorEastAsia"/>
              </w:rPr>
              <w:t xml:space="preserve">as of June 12, 2023 </w:t>
            </w:r>
            <w:r w:rsidRPr="003C6084">
              <w:rPr>
                <w:rFonts w:eastAsiaTheme="minorEastAsia"/>
              </w:rPr>
              <w:t>was determined from the Registered Persons Database</w:t>
            </w:r>
            <w:r>
              <w:rPr>
                <w:rFonts w:eastAsiaTheme="minorEastAsia"/>
              </w:rPr>
              <w:t>, and categorized into the following groups: 18-24 years, 25-29 years, 30-39 years, 40-49 years, and ≥50 years.</w:t>
            </w:r>
          </w:p>
        </w:tc>
      </w:tr>
      <w:tr w:rsidR="005B408E" w:rsidRPr="003C6084" w14:paraId="7B4A248E" w14:textId="77777777">
        <w:tc>
          <w:tcPr>
            <w:tcW w:w="2376" w:type="dxa"/>
            <w:shd w:val="clear" w:color="auto" w:fill="auto"/>
          </w:tcPr>
          <w:p w14:paraId="2F1DC3A8" w14:textId="77777777" w:rsidR="005B408E" w:rsidRPr="003C6084" w:rsidRDefault="005B408E">
            <w:pPr>
              <w:rPr>
                <w:rFonts w:eastAsiaTheme="minorEastAsia"/>
              </w:rPr>
            </w:pPr>
            <w:r w:rsidRPr="003C6084">
              <w:rPr>
                <w:rFonts w:eastAsiaTheme="minorEastAsia"/>
              </w:rPr>
              <w:t>Geographic region (public health unit region)</w:t>
            </w:r>
          </w:p>
        </w:tc>
        <w:tc>
          <w:tcPr>
            <w:tcW w:w="6804" w:type="dxa"/>
            <w:shd w:val="clear" w:color="auto" w:fill="auto"/>
          </w:tcPr>
          <w:p w14:paraId="23E7C286" w14:textId="77777777" w:rsidR="005B408E" w:rsidRDefault="005B408E">
            <w:pPr>
              <w:contextualSpacing/>
            </w:pPr>
            <w:r>
              <w:t>Ascertained from</w:t>
            </w:r>
            <w:r w:rsidRPr="003C6084">
              <w:t xml:space="preserve"> Public Health Unit (PHU) information using postal code of residence as recorded in the Registered Persons Database and Statistics Canada Postal Code Conversion File Plus (version 7B). Regions were defined as follows:</w:t>
            </w:r>
          </w:p>
          <w:p w14:paraId="0D1E54E4" w14:textId="77777777" w:rsidR="005B408E" w:rsidRDefault="005B408E">
            <w:pPr>
              <w:contextualSpacing/>
            </w:pPr>
          </w:p>
          <w:p w14:paraId="5FAB69DF" w14:textId="77777777" w:rsidR="005B408E" w:rsidRDefault="005B408E">
            <w:pPr>
              <w:contextualSpacing/>
            </w:pPr>
            <w:r w:rsidRPr="0089401E">
              <w:rPr>
                <w:u w:val="single"/>
              </w:rPr>
              <w:t>Toronto</w:t>
            </w:r>
            <w:r>
              <w:t xml:space="preserve">: </w:t>
            </w:r>
            <w:r w:rsidRPr="0089401E">
              <w:t>PHU 95 (City of Toronto Health Unit)</w:t>
            </w:r>
          </w:p>
          <w:p w14:paraId="4E096EF2" w14:textId="77777777" w:rsidR="005B408E" w:rsidRDefault="005B408E">
            <w:pPr>
              <w:contextualSpacing/>
            </w:pPr>
          </w:p>
          <w:p w14:paraId="5AF21912" w14:textId="77777777" w:rsidR="005B408E" w:rsidRDefault="005B408E">
            <w:pPr>
              <w:contextualSpacing/>
            </w:pPr>
            <w:r w:rsidRPr="0089401E">
              <w:rPr>
                <w:u w:val="single"/>
              </w:rPr>
              <w:t>Peel/York/Durham/Halton</w:t>
            </w:r>
            <w:r>
              <w:t xml:space="preserve">: </w:t>
            </w:r>
            <w:r w:rsidRPr="0089401E">
              <w:t>PHU 53 (Peel Regional Health Unit)</w:t>
            </w:r>
            <w:r>
              <w:t xml:space="preserve">, </w:t>
            </w:r>
            <w:r w:rsidRPr="0089401E">
              <w:t>70 (York Regional Health Unit)</w:t>
            </w:r>
            <w:r>
              <w:t xml:space="preserve">, </w:t>
            </w:r>
            <w:r w:rsidRPr="0089401E">
              <w:t>30 (Durham Regional Health Unit)</w:t>
            </w:r>
            <w:r>
              <w:t xml:space="preserve">, </w:t>
            </w:r>
            <w:r w:rsidRPr="0089401E">
              <w:t>36 (Halton Regional Health Unit)</w:t>
            </w:r>
          </w:p>
          <w:p w14:paraId="14B8BB9B" w14:textId="77777777" w:rsidR="005B408E" w:rsidRDefault="005B408E">
            <w:pPr>
              <w:contextualSpacing/>
            </w:pPr>
          </w:p>
          <w:p w14:paraId="0E01EAA6" w14:textId="77777777" w:rsidR="005B408E" w:rsidRDefault="005B408E">
            <w:pPr>
              <w:contextualSpacing/>
            </w:pPr>
            <w:r w:rsidRPr="0089401E">
              <w:rPr>
                <w:u w:val="single"/>
              </w:rPr>
              <w:t>Hamilton/Niagara/London/Windsor</w:t>
            </w:r>
            <w:r>
              <w:t xml:space="preserve">: </w:t>
            </w:r>
            <w:r w:rsidRPr="003C6084">
              <w:t>37 (City of Hamilton Health Unit), 46 (Niagara Regional Area Health Unit),</w:t>
            </w:r>
            <w:r>
              <w:t xml:space="preserve"> </w:t>
            </w:r>
            <w:r w:rsidRPr="0089401E">
              <w:t>44 (Middlesex-London Health Unit),</w:t>
            </w:r>
            <w:r>
              <w:t xml:space="preserve"> </w:t>
            </w:r>
            <w:r w:rsidRPr="004247E6">
              <w:t>68 (Windsor-Essex County Health Unit)</w:t>
            </w:r>
          </w:p>
          <w:p w14:paraId="7A93A4C3" w14:textId="77777777" w:rsidR="005B408E" w:rsidRDefault="005B408E">
            <w:pPr>
              <w:contextualSpacing/>
            </w:pPr>
          </w:p>
          <w:p w14:paraId="0D24D177" w14:textId="77777777" w:rsidR="005B408E" w:rsidRDefault="005B408E">
            <w:pPr>
              <w:contextualSpacing/>
            </w:pPr>
            <w:r w:rsidRPr="004247E6">
              <w:rPr>
                <w:u w:val="single"/>
              </w:rPr>
              <w:t>Ottawa</w:t>
            </w:r>
            <w:r>
              <w:t xml:space="preserve">: </w:t>
            </w:r>
            <w:r w:rsidRPr="0089401E">
              <w:t>PHU 51 (City of Ottawa Health Unit)</w:t>
            </w:r>
          </w:p>
          <w:p w14:paraId="58848930" w14:textId="77777777" w:rsidR="005B408E" w:rsidRDefault="005B408E">
            <w:pPr>
              <w:contextualSpacing/>
            </w:pPr>
          </w:p>
          <w:p w14:paraId="6F8FD0CC" w14:textId="77777777" w:rsidR="005B408E" w:rsidRPr="00040146" w:rsidRDefault="005B408E">
            <w:pPr>
              <w:contextualSpacing/>
            </w:pPr>
            <w:r w:rsidRPr="004247E6">
              <w:rPr>
                <w:u w:val="single"/>
              </w:rPr>
              <w:t>Rest of Ontario</w:t>
            </w:r>
            <w:r>
              <w:t xml:space="preserve">: PHU </w:t>
            </w:r>
            <w:r w:rsidRPr="003C6084">
              <w:t>35 (Haliburton, Kawartha, Pine Ridge District Health Unit), 55 (Peterborough County—City Health Unit), 60 (Simcoe Muskoka District Health Unit)</w:t>
            </w:r>
            <w:r>
              <w:t xml:space="preserve">, </w:t>
            </w:r>
            <w:r w:rsidRPr="003C6084">
              <w:t>27 (Brant County Health Unit), 34 (Haldimand-Norfolk Health Unit), 36 (Halton Regional Health Unit), 65 (Waterloo Health Unit), 66 (Wellington-Dufferin-Guelph Health Unit)</w:t>
            </w:r>
            <w:r>
              <w:t xml:space="preserve">, </w:t>
            </w:r>
            <w:r w:rsidRPr="003C6084">
              <w:t>38 (Hastings and Prince Edward Counties Health Unit), 41 (Kingston, Frontenac and Lennox and Addington Health Unit), 43 (Leeds, Grenville and Lanark District Health Unit), 57 (Renfrew County and District Health Unit), 58 (The Eastern Ontario Health Unit)</w:t>
            </w:r>
            <w:r>
              <w:t xml:space="preserve">, </w:t>
            </w:r>
            <w:r w:rsidRPr="003C6084">
              <w:t>26 (The District of Algoma Health Unit), 47 (North Bay Parry Sound District Health Unit), 49 (Northwestern Health Unit), 56 (Porcupine Health Unit), 61 (Sudbury and District Health Unit), 62 (Thunder Bay District Health Unit), 63 (Timiskaming Health Unit)</w:t>
            </w:r>
            <w:r>
              <w:t xml:space="preserve">, </w:t>
            </w:r>
            <w:r w:rsidRPr="003C6084">
              <w:t>31 (Elgin-St. Thomas), 33 (Grey Bruce Health Unit), 39 (Huron County Health Unit), 40 (Chatham-Kent Health Unit), 42 (Lambton Health Unit), 54 (Perth District Health Unit), 75 (Southwestern Health Unit)</w:t>
            </w:r>
          </w:p>
        </w:tc>
      </w:tr>
      <w:tr w:rsidR="005B408E" w:rsidRPr="003C6084" w14:paraId="02991703" w14:textId="77777777">
        <w:tc>
          <w:tcPr>
            <w:tcW w:w="2376" w:type="dxa"/>
            <w:shd w:val="clear" w:color="auto" w:fill="auto"/>
          </w:tcPr>
          <w:p w14:paraId="666964ED" w14:textId="77777777" w:rsidR="005B408E" w:rsidRPr="003C6084" w:rsidRDefault="005B408E">
            <w:pPr>
              <w:rPr>
                <w:rFonts w:eastAsiaTheme="minorEastAsia"/>
              </w:rPr>
            </w:pPr>
            <w:r>
              <w:rPr>
                <w:rFonts w:eastAsiaTheme="minorEastAsia"/>
              </w:rPr>
              <w:t>Number of syphilis tests in past three years</w:t>
            </w:r>
          </w:p>
        </w:tc>
        <w:tc>
          <w:tcPr>
            <w:tcW w:w="6804" w:type="dxa"/>
            <w:shd w:val="clear" w:color="auto" w:fill="auto"/>
          </w:tcPr>
          <w:p w14:paraId="7451D659" w14:textId="38D6E43C" w:rsidR="005B408E" w:rsidRPr="003C6084" w:rsidRDefault="005B408E">
            <w:pPr>
              <w:contextualSpacing/>
            </w:pPr>
            <w:r>
              <w:t>One or more</w:t>
            </w:r>
            <w:r w:rsidRPr="0022719E">
              <w:t xml:space="preserve"> syphilis serological screening tests </w:t>
            </w:r>
            <w:r>
              <w:t xml:space="preserve">positive in </w:t>
            </w:r>
            <w:r w:rsidRPr="0022719E">
              <w:t xml:space="preserve">OLIS or </w:t>
            </w:r>
            <w:proofErr w:type="spellStart"/>
            <w:r>
              <w:t>L</w:t>
            </w:r>
            <w:r w:rsidRPr="0022719E">
              <w:t>ab</w:t>
            </w:r>
            <w:r>
              <w:t>W</w:t>
            </w:r>
            <w:r w:rsidRPr="0022719E">
              <w:t>are</w:t>
            </w:r>
            <w:proofErr w:type="spellEnd"/>
            <w:r w:rsidRPr="0022719E">
              <w:t xml:space="preserve"> during the </w:t>
            </w:r>
            <w:r>
              <w:t>three</w:t>
            </w:r>
            <w:r w:rsidRPr="0022719E">
              <w:t xml:space="preserve"> year</w:t>
            </w:r>
            <w:r w:rsidR="00654C62">
              <w:t>s</w:t>
            </w:r>
            <w:r w:rsidRPr="0022719E">
              <w:t xml:space="preserve"> prior to or on June 12, 2022 and up to October 27, 2022</w:t>
            </w:r>
            <w:r>
              <w:t xml:space="preserve"> </w:t>
            </w:r>
            <w:r>
              <w:rPr>
                <w:rFonts w:eastAsiaTheme="minorEastAsia"/>
              </w:rPr>
              <w:t>categorized as 0, 1, 2, 3, and ≥4.</w:t>
            </w:r>
          </w:p>
        </w:tc>
      </w:tr>
      <w:tr w:rsidR="005B408E" w:rsidRPr="003C6084" w14:paraId="40F717F8" w14:textId="77777777">
        <w:tc>
          <w:tcPr>
            <w:tcW w:w="2376" w:type="dxa"/>
            <w:shd w:val="clear" w:color="auto" w:fill="auto"/>
          </w:tcPr>
          <w:p w14:paraId="4614792C" w14:textId="77777777" w:rsidR="005B408E" w:rsidRPr="003C6084" w:rsidRDefault="005B408E">
            <w:pPr>
              <w:rPr>
                <w:rFonts w:eastAsiaTheme="minorEastAsia"/>
              </w:rPr>
            </w:pPr>
            <w:r w:rsidRPr="003C6084">
              <w:rPr>
                <w:rFonts w:eastAsiaTheme="minorEastAsia"/>
              </w:rPr>
              <w:lastRenderedPageBreak/>
              <w:t>Number of bacterial STIs in p</w:t>
            </w:r>
            <w:r>
              <w:rPr>
                <w:rFonts w:eastAsiaTheme="minorEastAsia"/>
              </w:rPr>
              <w:t xml:space="preserve">ast </w:t>
            </w:r>
            <w:r w:rsidRPr="003C6084">
              <w:rPr>
                <w:rFonts w:eastAsiaTheme="minorEastAsia"/>
              </w:rPr>
              <w:t>three years</w:t>
            </w:r>
          </w:p>
        </w:tc>
        <w:tc>
          <w:tcPr>
            <w:tcW w:w="6804" w:type="dxa"/>
            <w:shd w:val="clear" w:color="auto" w:fill="auto"/>
          </w:tcPr>
          <w:p w14:paraId="1A7977D6" w14:textId="6ECF87A6" w:rsidR="005B408E" w:rsidRPr="003C6084" w:rsidRDefault="005B408E">
            <w:pPr>
              <w:rPr>
                <w:rFonts w:eastAsiaTheme="minorEastAsia"/>
              </w:rPr>
            </w:pPr>
            <w:r>
              <w:rPr>
                <w:rFonts w:eastAsiaTheme="minorEastAsia"/>
              </w:rPr>
              <w:t>One or more</w:t>
            </w:r>
            <w:r w:rsidRPr="0022719E">
              <w:rPr>
                <w:rFonts w:eastAsiaTheme="minorEastAsia"/>
              </w:rPr>
              <w:t xml:space="preserve"> bacterial STI </w:t>
            </w:r>
            <w:r w:rsidRPr="003C6084">
              <w:rPr>
                <w:rFonts w:eastAsiaTheme="minorEastAsia"/>
              </w:rPr>
              <w:t xml:space="preserve">(gonorrhea, chlamydia, or syphilis) </w:t>
            </w:r>
            <w:r w:rsidRPr="0022719E">
              <w:rPr>
                <w:rFonts w:eastAsiaTheme="minorEastAsia"/>
              </w:rPr>
              <w:t>diagnosis</w:t>
            </w:r>
            <w:r>
              <w:rPr>
                <w:rFonts w:eastAsiaTheme="minorEastAsia"/>
              </w:rPr>
              <w:t xml:space="preserve"> </w:t>
            </w:r>
            <w:r w:rsidRPr="0022719E">
              <w:rPr>
                <w:rFonts w:eastAsiaTheme="minorEastAsia"/>
              </w:rPr>
              <w:t xml:space="preserve">from </w:t>
            </w:r>
            <w:proofErr w:type="spellStart"/>
            <w:r w:rsidRPr="0022719E">
              <w:rPr>
                <w:rFonts w:eastAsiaTheme="minorEastAsia"/>
              </w:rPr>
              <w:t>iPHIS</w:t>
            </w:r>
            <w:proofErr w:type="spellEnd"/>
            <w:r w:rsidRPr="0022719E">
              <w:rPr>
                <w:rFonts w:eastAsiaTheme="minorEastAsia"/>
              </w:rPr>
              <w:t xml:space="preserve"> during the </w:t>
            </w:r>
            <w:r>
              <w:rPr>
                <w:rFonts w:eastAsiaTheme="minorEastAsia"/>
              </w:rPr>
              <w:t xml:space="preserve">three </w:t>
            </w:r>
            <w:r w:rsidRPr="0022719E">
              <w:rPr>
                <w:rFonts w:eastAsiaTheme="minorEastAsia"/>
              </w:rPr>
              <w:t>year</w:t>
            </w:r>
            <w:r w:rsidR="0021757C">
              <w:rPr>
                <w:rFonts w:eastAsiaTheme="minorEastAsia"/>
              </w:rPr>
              <w:t>s</w:t>
            </w:r>
            <w:r w:rsidRPr="0022719E">
              <w:rPr>
                <w:rFonts w:eastAsiaTheme="minorEastAsia"/>
              </w:rPr>
              <w:t xml:space="preserve"> prior to or on June 12, 2022 and up to October 27, 2022</w:t>
            </w:r>
            <w:r>
              <w:rPr>
                <w:rFonts w:eastAsiaTheme="minorEastAsia"/>
              </w:rPr>
              <w:t xml:space="preserve"> categorized as 0, 1, 2, 3, and ≥4.</w:t>
            </w:r>
          </w:p>
        </w:tc>
      </w:tr>
      <w:tr w:rsidR="00CA28D6" w:rsidRPr="003C6084" w14:paraId="19EF9DA2" w14:textId="77777777">
        <w:tc>
          <w:tcPr>
            <w:tcW w:w="2376" w:type="dxa"/>
            <w:shd w:val="clear" w:color="auto" w:fill="auto"/>
          </w:tcPr>
          <w:p w14:paraId="63552818" w14:textId="21B1B366" w:rsidR="00CA28D6" w:rsidRPr="003C6084" w:rsidRDefault="00CA28D6">
            <w:pPr>
              <w:rPr>
                <w:rFonts w:eastAsiaTheme="minorEastAsia"/>
              </w:rPr>
            </w:pPr>
            <w:r w:rsidRPr="003C6084">
              <w:rPr>
                <w:rFonts w:eastAsiaTheme="minorEastAsia"/>
              </w:rPr>
              <w:t>HIV status</w:t>
            </w:r>
          </w:p>
        </w:tc>
        <w:tc>
          <w:tcPr>
            <w:tcW w:w="6804" w:type="dxa"/>
            <w:shd w:val="clear" w:color="auto" w:fill="auto"/>
          </w:tcPr>
          <w:p w14:paraId="54F018AE" w14:textId="4933525F" w:rsidR="00CA28D6" w:rsidRPr="003C6084" w:rsidRDefault="00CA28D6" w:rsidP="00CA28D6">
            <w:pPr>
              <w:contextualSpacing/>
            </w:pPr>
            <w:r w:rsidRPr="003C6084">
              <w:t>An ICES-specific HIV database was used to identify patients with HIV</w:t>
            </w:r>
            <w:r w:rsidRPr="003C6084">
              <w:rPr>
                <w:color w:val="000000"/>
                <w:shd w:val="clear" w:color="auto" w:fill="FFFFFF"/>
              </w:rPr>
              <w:t xml:space="preserve">, based on </w:t>
            </w:r>
            <w:r w:rsidRPr="003C6084">
              <w:t>3 physician claims in 3 years with OHIP diagnostic codes: 042, 043</w:t>
            </w:r>
            <w:r w:rsidR="004F4EE7">
              <w:t>,</w:t>
            </w:r>
            <w:r w:rsidRPr="003C6084">
              <w:t xml:space="preserve"> or 044.</w:t>
            </w:r>
            <w:r w:rsidR="00D052A5" w:rsidRPr="00D052A5">
              <w:rPr>
                <w:vertAlign w:val="superscript"/>
              </w:rPr>
              <w:t>1</w:t>
            </w:r>
            <w:r w:rsidR="00864AD9" w:rsidRPr="003C6084" w:rsidDel="00CA28D6">
              <w:t xml:space="preserve"> </w:t>
            </w:r>
          </w:p>
        </w:tc>
      </w:tr>
      <w:tr w:rsidR="005B408E" w:rsidRPr="003C6084" w14:paraId="6AE13944" w14:textId="77777777">
        <w:tc>
          <w:tcPr>
            <w:tcW w:w="2376" w:type="dxa"/>
            <w:shd w:val="clear" w:color="auto" w:fill="auto"/>
          </w:tcPr>
          <w:p w14:paraId="625F6D04" w14:textId="14FA9BE2" w:rsidR="005B408E" w:rsidRPr="003C6084" w:rsidRDefault="005B408E">
            <w:pPr>
              <w:rPr>
                <w:rFonts w:eastAsiaTheme="minorEastAsia"/>
              </w:rPr>
            </w:pPr>
            <w:r w:rsidRPr="003C6084">
              <w:rPr>
                <w:rFonts w:eastAsiaTheme="minorEastAsia"/>
              </w:rPr>
              <w:t xml:space="preserve">HIV </w:t>
            </w:r>
            <w:r w:rsidR="00CA28D6">
              <w:rPr>
                <w:rFonts w:eastAsiaTheme="minorEastAsia"/>
              </w:rPr>
              <w:t>pre-exposure prophylaxis</w:t>
            </w:r>
          </w:p>
        </w:tc>
        <w:tc>
          <w:tcPr>
            <w:tcW w:w="6804" w:type="dxa"/>
            <w:shd w:val="clear" w:color="auto" w:fill="auto"/>
          </w:tcPr>
          <w:p w14:paraId="233CB465" w14:textId="5CB2F159" w:rsidR="005B408E" w:rsidRPr="009A27F9" w:rsidRDefault="005B408E" w:rsidP="00864AD9">
            <w:pPr>
              <w:rPr>
                <w:rFonts w:eastAsiaTheme="minorEastAsia"/>
              </w:rPr>
            </w:pPr>
            <w:r w:rsidRPr="009A27F9">
              <w:rPr>
                <w:rFonts w:eastAsiaTheme="minorEastAsia"/>
              </w:rPr>
              <w:t xml:space="preserve">HIV pre-exposure prophylaxis </w:t>
            </w:r>
            <w:r w:rsidR="00D6545F">
              <w:rPr>
                <w:rFonts w:eastAsiaTheme="minorEastAsia"/>
              </w:rPr>
              <w:t xml:space="preserve">defined as </w:t>
            </w:r>
            <w:r w:rsidR="005D6228">
              <w:rPr>
                <w:rFonts w:eastAsiaTheme="minorEastAsia"/>
              </w:rPr>
              <w:t>a</w:t>
            </w:r>
            <w:r w:rsidR="00D55BD3">
              <w:rPr>
                <w:rFonts w:eastAsiaTheme="minorEastAsia"/>
              </w:rPr>
              <w:t xml:space="preserve"> </w:t>
            </w:r>
            <w:r w:rsidR="00D6545F">
              <w:rPr>
                <w:rFonts w:eastAsiaTheme="minorEastAsia"/>
              </w:rPr>
              <w:t>dispensation of tenofovir</w:t>
            </w:r>
            <w:r w:rsidR="006A0062">
              <w:rPr>
                <w:rFonts w:eastAsiaTheme="minorEastAsia"/>
              </w:rPr>
              <w:t>/</w:t>
            </w:r>
            <w:r w:rsidR="00D6545F">
              <w:rPr>
                <w:rFonts w:eastAsiaTheme="minorEastAsia"/>
              </w:rPr>
              <w:t xml:space="preserve">emtricitabine </w:t>
            </w:r>
            <w:r w:rsidR="004B2FBA">
              <w:rPr>
                <w:rFonts w:eastAsiaTheme="minorEastAsia"/>
              </w:rPr>
              <w:t>recorded in the</w:t>
            </w:r>
            <w:r w:rsidRPr="009A27F9">
              <w:rPr>
                <w:rFonts w:eastAsiaTheme="minorEastAsia"/>
              </w:rPr>
              <w:t xml:space="preserve"> </w:t>
            </w:r>
            <w:r w:rsidRPr="009A27F9">
              <w:t>Ontario Drug Benefit (ODB)</w:t>
            </w:r>
            <w:r w:rsidR="00CA28D6" w:rsidRPr="009A27F9">
              <w:t xml:space="preserve"> </w:t>
            </w:r>
            <w:proofErr w:type="gramStart"/>
            <w:r w:rsidR="00CA28D6" w:rsidRPr="009A27F9">
              <w:t>database</w:t>
            </w:r>
            <w:r w:rsidRPr="009A27F9">
              <w:t xml:space="preserve">, </w:t>
            </w:r>
            <w:r w:rsidR="00D55BD3">
              <w:rPr>
                <w:rFonts w:eastAsiaTheme="minorEastAsia"/>
              </w:rPr>
              <w:t>and</w:t>
            </w:r>
            <w:proofErr w:type="gramEnd"/>
            <w:r w:rsidR="00D55BD3" w:rsidRPr="009A27F9">
              <w:rPr>
                <w:rFonts w:eastAsiaTheme="minorEastAsia"/>
              </w:rPr>
              <w:t xml:space="preserve"> </w:t>
            </w:r>
            <w:r w:rsidRPr="009A27F9">
              <w:rPr>
                <w:rFonts w:eastAsiaTheme="minorEastAsia"/>
              </w:rPr>
              <w:t>exclud</w:t>
            </w:r>
            <w:r w:rsidR="00D55BD3">
              <w:rPr>
                <w:rFonts w:eastAsiaTheme="minorEastAsia"/>
              </w:rPr>
              <w:t>ing</w:t>
            </w:r>
            <w:r w:rsidRPr="009A27F9">
              <w:rPr>
                <w:rFonts w:eastAsiaTheme="minorEastAsia"/>
              </w:rPr>
              <w:t xml:space="preserve"> those prescribed other antiretrovirals within three months of the </w:t>
            </w:r>
            <w:r w:rsidR="00D55BD3">
              <w:rPr>
                <w:rFonts w:eastAsiaTheme="minorEastAsia"/>
              </w:rPr>
              <w:t>tenofovir/emtricitabine</w:t>
            </w:r>
            <w:r w:rsidR="00D55BD3" w:rsidRPr="009A27F9">
              <w:rPr>
                <w:rFonts w:eastAsiaTheme="minorEastAsia"/>
              </w:rPr>
              <w:t xml:space="preserve"> </w:t>
            </w:r>
            <w:r w:rsidRPr="009A27F9">
              <w:rPr>
                <w:rFonts w:eastAsiaTheme="minorEastAsia"/>
              </w:rPr>
              <w:t>prescription.</w:t>
            </w:r>
            <w:r w:rsidR="00D052A5" w:rsidRPr="00D052A5">
              <w:rPr>
                <w:rFonts w:eastAsiaTheme="minorEastAsia"/>
                <w:vertAlign w:val="superscript"/>
              </w:rPr>
              <w:t>4</w:t>
            </w:r>
            <w:r w:rsidR="00864AD9" w:rsidRPr="009A27F9">
              <w:rPr>
                <w:rFonts w:eastAsiaTheme="minorEastAsia"/>
              </w:rPr>
              <w:t xml:space="preserve"> </w:t>
            </w:r>
          </w:p>
        </w:tc>
      </w:tr>
      <w:tr w:rsidR="005B408E" w:rsidRPr="003C6084" w14:paraId="16F185B6" w14:textId="77777777">
        <w:tc>
          <w:tcPr>
            <w:tcW w:w="2376" w:type="dxa"/>
            <w:shd w:val="clear" w:color="auto" w:fill="auto"/>
          </w:tcPr>
          <w:p w14:paraId="5D5ED6D8" w14:textId="7B24F69B" w:rsidR="005B408E" w:rsidRPr="003C6084" w:rsidRDefault="005B408E">
            <w:pPr>
              <w:rPr>
                <w:rFonts w:eastAsiaTheme="minorEastAsia"/>
              </w:rPr>
            </w:pPr>
            <w:r w:rsidRPr="003C6084">
              <w:rPr>
                <w:rFonts w:eastAsiaTheme="minorEastAsia"/>
              </w:rPr>
              <w:t xml:space="preserve">History of receipt of </w:t>
            </w:r>
            <w:r w:rsidR="006828A8">
              <w:rPr>
                <w:rFonts w:eastAsiaTheme="minorEastAsia"/>
              </w:rPr>
              <w:t>non-MVA-BN</w:t>
            </w:r>
            <w:r w:rsidR="006828A8" w:rsidRPr="003C6084">
              <w:rPr>
                <w:rFonts w:eastAsiaTheme="minorEastAsia"/>
              </w:rPr>
              <w:t xml:space="preserve"> </w:t>
            </w:r>
            <w:r w:rsidRPr="003C6084">
              <w:rPr>
                <w:rFonts w:eastAsiaTheme="minorEastAsia"/>
              </w:rPr>
              <w:t>vaccine</w:t>
            </w:r>
            <w:r>
              <w:rPr>
                <w:rFonts w:eastAsiaTheme="minorEastAsia"/>
              </w:rPr>
              <w:t xml:space="preserve">s </w:t>
            </w:r>
            <w:r w:rsidRPr="003C6084">
              <w:rPr>
                <w:rFonts w:eastAsiaTheme="minorEastAsia"/>
              </w:rPr>
              <w:t xml:space="preserve">in </w:t>
            </w:r>
            <w:r>
              <w:rPr>
                <w:rFonts w:eastAsiaTheme="minorEastAsia"/>
              </w:rPr>
              <w:t>past one year</w:t>
            </w:r>
          </w:p>
        </w:tc>
        <w:tc>
          <w:tcPr>
            <w:tcW w:w="6804" w:type="dxa"/>
            <w:shd w:val="clear" w:color="auto" w:fill="auto"/>
          </w:tcPr>
          <w:p w14:paraId="1A65011A" w14:textId="6F92EAB4" w:rsidR="005B408E" w:rsidRDefault="005B408E">
            <w:pPr>
              <w:rPr>
                <w:rFonts w:eastAsiaTheme="minorEastAsia"/>
              </w:rPr>
            </w:pPr>
            <w:bookmarkStart w:id="5" w:name="_Hlk142750688"/>
            <w:r w:rsidRPr="007412BA">
              <w:rPr>
                <w:u w:val="single"/>
              </w:rPr>
              <w:t>COVID-19 vaccine</w:t>
            </w:r>
            <w:r w:rsidR="006828A8">
              <w:rPr>
                <w:u w:val="single"/>
              </w:rPr>
              <w:t>s</w:t>
            </w:r>
            <w:r>
              <w:t>: T</w:t>
            </w:r>
            <w:r w:rsidRPr="003C6084">
              <w:t xml:space="preserve">he date of </w:t>
            </w:r>
            <w:r>
              <w:t>vaccine</w:t>
            </w:r>
            <w:r w:rsidRPr="003C6084">
              <w:t xml:space="preserve"> receipt </w:t>
            </w:r>
            <w:bookmarkEnd w:id="5"/>
            <w:r>
              <w:t xml:space="preserve">from </w:t>
            </w:r>
            <w:proofErr w:type="spellStart"/>
            <w:r>
              <w:t>COVaXON</w:t>
            </w:r>
            <w:proofErr w:type="spellEnd"/>
            <w:r>
              <w:t>.</w:t>
            </w:r>
          </w:p>
          <w:p w14:paraId="2FE7F3C0" w14:textId="77777777" w:rsidR="005B408E" w:rsidRDefault="005B408E">
            <w:pPr>
              <w:rPr>
                <w:rFonts w:eastAsiaTheme="minorEastAsia"/>
              </w:rPr>
            </w:pPr>
          </w:p>
          <w:p w14:paraId="707ED427" w14:textId="691676DF" w:rsidR="005B408E" w:rsidRDefault="005B408E">
            <w:pPr>
              <w:rPr>
                <w:rFonts w:eastAsiaTheme="minorEastAsia"/>
              </w:rPr>
            </w:pPr>
            <w:r w:rsidRPr="007412BA">
              <w:rPr>
                <w:rFonts w:eastAsiaTheme="minorEastAsia"/>
                <w:u w:val="single"/>
              </w:rPr>
              <w:t>Influenza vaccine</w:t>
            </w:r>
            <w:r w:rsidR="006828A8">
              <w:rPr>
                <w:rFonts w:eastAsiaTheme="minorEastAsia"/>
                <w:u w:val="single"/>
              </w:rPr>
              <w:t>s</w:t>
            </w:r>
            <w:r>
              <w:rPr>
                <w:rFonts w:eastAsiaTheme="minorEastAsia"/>
              </w:rPr>
              <w:t>:</w:t>
            </w:r>
          </w:p>
          <w:p w14:paraId="4C9DE057" w14:textId="2146B8C6" w:rsidR="005B408E" w:rsidRPr="007412BA" w:rsidRDefault="005B408E">
            <w:pPr>
              <w:rPr>
                <w:rFonts w:eastAsiaTheme="minorEastAsia"/>
              </w:rPr>
            </w:pPr>
            <w:r>
              <w:rPr>
                <w:rFonts w:eastAsiaTheme="minorEastAsia"/>
              </w:rPr>
              <w:t>Received in physician office</w:t>
            </w:r>
            <w:r w:rsidR="00434B05">
              <w:rPr>
                <w:rFonts w:eastAsiaTheme="minorEastAsia"/>
              </w:rPr>
              <w:t>s</w:t>
            </w:r>
            <w:r>
              <w:rPr>
                <w:rFonts w:eastAsiaTheme="minorEastAsia"/>
              </w:rPr>
              <w:t xml:space="preserve"> - </w:t>
            </w:r>
            <w:r w:rsidRPr="007412BA">
              <w:rPr>
                <w:rFonts w:eastAsiaTheme="minorEastAsia"/>
              </w:rPr>
              <w:t xml:space="preserve">OHIP </w:t>
            </w:r>
            <w:proofErr w:type="spellStart"/>
            <w:r w:rsidR="00434B05">
              <w:rPr>
                <w:rFonts w:eastAsiaTheme="minorEastAsia"/>
              </w:rPr>
              <w:t>f</w:t>
            </w:r>
            <w:r w:rsidRPr="007412BA">
              <w:rPr>
                <w:rFonts w:eastAsiaTheme="minorEastAsia"/>
              </w:rPr>
              <w:t>eecode</w:t>
            </w:r>
            <w:r w:rsidR="000474AD">
              <w:rPr>
                <w:rFonts w:eastAsiaTheme="minorEastAsia"/>
              </w:rPr>
              <w:t>s</w:t>
            </w:r>
            <w:proofErr w:type="spellEnd"/>
            <w:r w:rsidRPr="007412BA">
              <w:rPr>
                <w:rFonts w:eastAsiaTheme="minorEastAsia"/>
              </w:rPr>
              <w:t>: G590, G591, G592, Q130, Q590, Q690, Q691</w:t>
            </w:r>
          </w:p>
          <w:p w14:paraId="23EDA2AC" w14:textId="77777777" w:rsidR="005B408E" w:rsidRDefault="005B408E">
            <w:pPr>
              <w:rPr>
                <w:rFonts w:eastAsiaTheme="minorEastAsia"/>
              </w:rPr>
            </w:pPr>
            <w:r>
              <w:rPr>
                <w:rFonts w:eastAsiaTheme="minorEastAsia"/>
              </w:rPr>
              <w:t xml:space="preserve">Received in pharmacy - </w:t>
            </w:r>
            <w:r w:rsidRPr="007412BA">
              <w:rPr>
                <w:rFonts w:eastAsiaTheme="minorEastAsia"/>
              </w:rPr>
              <w:t>ODB</w:t>
            </w:r>
            <w:r>
              <w:rPr>
                <w:rFonts w:eastAsiaTheme="minorEastAsia"/>
              </w:rPr>
              <w:t xml:space="preserve"> billing with any of the following </w:t>
            </w:r>
            <w:r w:rsidRPr="003C6084">
              <w:rPr>
                <w:rFonts w:eastAsiaTheme="minorEastAsia"/>
              </w:rPr>
              <w:t>Drug Identification Numbers (DINs)</w:t>
            </w:r>
            <w:r w:rsidRPr="007412BA">
              <w:rPr>
                <w:rFonts w:eastAsiaTheme="minorEastAsia"/>
              </w:rPr>
              <w:t>: 02420643, 02420783, 02432730, 02473283, 02445646, 02494248, 09857645, 09857646</w:t>
            </w:r>
          </w:p>
          <w:p w14:paraId="6E865C33" w14:textId="77777777" w:rsidR="005B408E" w:rsidRDefault="005B408E">
            <w:pPr>
              <w:rPr>
                <w:rFonts w:eastAsiaTheme="minorEastAsia"/>
              </w:rPr>
            </w:pPr>
          </w:p>
          <w:p w14:paraId="338C07D0" w14:textId="19FBB947" w:rsidR="005B408E" w:rsidRPr="00040146" w:rsidRDefault="005B408E">
            <w:pPr>
              <w:rPr>
                <w:rFonts w:eastAsiaTheme="minorEastAsia"/>
                <w:u w:val="single"/>
              </w:rPr>
            </w:pPr>
            <w:r w:rsidRPr="00040146">
              <w:rPr>
                <w:rFonts w:eastAsiaTheme="minorEastAsia"/>
                <w:u w:val="single"/>
              </w:rPr>
              <w:t>Other vaccines received in physician office</w:t>
            </w:r>
            <w:r w:rsidR="00434B05">
              <w:rPr>
                <w:rFonts w:eastAsiaTheme="minorEastAsia"/>
                <w:u w:val="single"/>
              </w:rPr>
              <w:t>s</w:t>
            </w:r>
            <w:r w:rsidRPr="00040146">
              <w:rPr>
                <w:rFonts w:eastAsiaTheme="minorEastAsia"/>
                <w:u w:val="single"/>
              </w:rPr>
              <w:t>:</w:t>
            </w:r>
          </w:p>
          <w:p w14:paraId="1E1496FF" w14:textId="312B535B" w:rsidR="005B408E" w:rsidRPr="003C6084" w:rsidRDefault="005B408E" w:rsidP="00753616">
            <w:pPr>
              <w:rPr>
                <w:rFonts w:eastAsiaTheme="minorEastAsia"/>
              </w:rPr>
            </w:pPr>
            <w:r>
              <w:rPr>
                <w:rFonts w:eastAsiaTheme="minorEastAsia"/>
              </w:rPr>
              <w:t xml:space="preserve">OHIP </w:t>
            </w:r>
            <w:proofErr w:type="spellStart"/>
            <w:r>
              <w:rPr>
                <w:rFonts w:eastAsiaTheme="minorEastAsia"/>
              </w:rPr>
              <w:t>feecode</w:t>
            </w:r>
            <w:r w:rsidR="000474AD">
              <w:rPr>
                <w:rFonts w:eastAsiaTheme="minorEastAsia"/>
              </w:rPr>
              <w:t>s</w:t>
            </w:r>
            <w:proofErr w:type="spellEnd"/>
            <w:r>
              <w:rPr>
                <w:rFonts w:eastAsiaTheme="minorEastAsia"/>
              </w:rPr>
              <w:t xml:space="preserve">: </w:t>
            </w:r>
            <w:r w:rsidR="00753616" w:rsidRPr="00753616">
              <w:rPr>
                <w:rFonts w:eastAsiaTheme="minorEastAsia"/>
                <w:lang w:val="en-US"/>
              </w:rPr>
              <w:t>G840, G841, G842, G843, G844, G845, G846, G847, G848, G538, G539</w:t>
            </w:r>
          </w:p>
        </w:tc>
      </w:tr>
      <w:tr w:rsidR="005B408E" w:rsidRPr="003C6084" w14:paraId="406E6ECD" w14:textId="77777777">
        <w:tc>
          <w:tcPr>
            <w:tcW w:w="2376" w:type="dxa"/>
            <w:shd w:val="clear" w:color="auto" w:fill="auto"/>
          </w:tcPr>
          <w:p w14:paraId="24E1AC43" w14:textId="2C630661" w:rsidR="005B408E" w:rsidRPr="003C6084" w:rsidRDefault="005B408E" w:rsidP="00D35B58">
            <w:pPr>
              <w:rPr>
                <w:rFonts w:eastAsiaTheme="minorEastAsia"/>
              </w:rPr>
            </w:pPr>
            <w:r w:rsidRPr="003C6084">
              <w:rPr>
                <w:rFonts w:eastAsiaTheme="minorEastAsia"/>
              </w:rPr>
              <w:t>Neighborhood-level income</w:t>
            </w:r>
          </w:p>
        </w:tc>
        <w:tc>
          <w:tcPr>
            <w:tcW w:w="6804" w:type="dxa"/>
            <w:shd w:val="clear" w:color="auto" w:fill="auto"/>
          </w:tcPr>
          <w:p w14:paraId="009A4835" w14:textId="6DF87820" w:rsidR="005B408E" w:rsidRPr="003C6084" w:rsidRDefault="005B408E">
            <w:pPr>
              <w:rPr>
                <w:rFonts w:eastAsiaTheme="minorEastAsia"/>
              </w:rPr>
            </w:pPr>
            <w:r w:rsidRPr="003C6084">
              <w:rPr>
                <w:rFonts w:eastAsiaTheme="minorEastAsia"/>
              </w:rPr>
              <w:t>Household income quintile calculated at the disseminated area (DA) level was used for the neighborhood-level income</w:t>
            </w:r>
            <w:r w:rsidR="00D35B58">
              <w:rPr>
                <w:rFonts w:eastAsiaTheme="minorEastAsia"/>
              </w:rPr>
              <w:t>.</w:t>
            </w:r>
          </w:p>
          <w:p w14:paraId="39D0BFC5" w14:textId="77777777" w:rsidR="005B408E" w:rsidRPr="003C6084" w:rsidRDefault="005B408E">
            <w:pPr>
              <w:rPr>
                <w:rFonts w:eastAsiaTheme="minorEastAsia"/>
              </w:rPr>
            </w:pPr>
          </w:p>
          <w:p w14:paraId="1859A9FC" w14:textId="77777777" w:rsidR="005B408E" w:rsidRPr="003C6084" w:rsidRDefault="005B408E">
            <w:pPr>
              <w:rPr>
                <w:rFonts w:eastAsiaTheme="minorEastAsia"/>
              </w:rPr>
            </w:pPr>
            <w:r w:rsidRPr="003C6084">
              <w:rPr>
                <w:rFonts w:eastAsiaTheme="minorEastAsia"/>
              </w:rPr>
              <w:t>A dissemination area (DA) is the smallest standard geographic area for which all census data are disseminated. A DA generally comprises approximately 400-700 people, but in densely populated cities may contain several thousand people. DAs cover all the territory of Canada.</w:t>
            </w:r>
            <w:r w:rsidRPr="003C6084">
              <w:rPr>
                <w:rFonts w:eastAsiaTheme="minorEastAsia"/>
              </w:rPr>
              <w:fldChar w:fldCharType="begin"/>
            </w:r>
            <w:r>
              <w:rPr>
                <w:rFonts w:eastAsiaTheme="minorEastAsia"/>
              </w:rPr>
              <w:instrText xml:space="preserve"> ADDIN EN.CITE &lt;EndNote&gt;&lt;Cite&gt;&lt;Author&gt;Statistics Canada&lt;/Author&gt;&lt;Year&gt;2020&lt;/Year&gt;&lt;RecNum&gt;355&lt;/RecNum&gt;&lt;DisplayText&gt;&lt;style face="superscript"&gt;3&lt;/style&gt;&lt;/DisplayText&gt;&lt;record&gt;&lt;rec-number&gt;355&lt;/rec-number&gt;&lt;foreign-keys&gt;&lt;key app="EN" db-id="5fx0axw0swrdereaatuxz90kx095wf02espw" timestamp="1626320995"&gt;355&lt;/key&gt;&lt;/foreign-keys&gt;&lt;ref-type name="Web Page"&gt;12&lt;/ref-type&gt;&lt;contributors&gt;&lt;authors&gt;&lt;author&gt;Statistics Canada,&lt;/author&gt;&lt;/authors&gt;&lt;/contributors&gt;&lt;titles&gt;&lt;title&gt;Dictionary, Census of Population, 2016&lt;/title&gt;&lt;/titles&gt;&lt;volume&gt;2020&lt;/volume&gt;&lt;number&gt;13 October&lt;/number&gt;&lt;dates&gt;&lt;year&gt;2020&lt;/year&gt;&lt;/dates&gt;&lt;urls&gt;&lt;related-urls&gt;&lt;url&gt;https://www12.statcan.gc.ca/census-recensement/2016/ref/dict/geo021-eng.cfm&lt;/url&gt;&lt;/related-urls&gt;&lt;/urls&gt;&lt;/record&gt;&lt;/Cite&gt;&lt;/EndNote&gt;</w:instrText>
            </w:r>
            <w:r w:rsidRPr="003C6084">
              <w:rPr>
                <w:rFonts w:eastAsiaTheme="minorEastAsia"/>
              </w:rPr>
              <w:fldChar w:fldCharType="separate"/>
            </w:r>
            <w:r w:rsidRPr="00040146">
              <w:rPr>
                <w:rFonts w:eastAsiaTheme="minorEastAsia"/>
                <w:noProof/>
                <w:vertAlign w:val="superscript"/>
              </w:rPr>
              <w:t>3</w:t>
            </w:r>
            <w:r w:rsidRPr="003C6084">
              <w:rPr>
                <w:rFonts w:eastAsiaTheme="minorEastAsia"/>
              </w:rPr>
              <w:fldChar w:fldCharType="end"/>
            </w:r>
            <w:r w:rsidRPr="003C6084">
              <w:rPr>
                <w:rFonts w:eastAsiaTheme="minorEastAsia"/>
              </w:rPr>
              <w:t xml:space="preserve"> We assigned subjects to a DA using postal code, as recorded in the Registered Persons Database.</w:t>
            </w:r>
          </w:p>
          <w:p w14:paraId="42DAD714" w14:textId="77777777" w:rsidR="005B408E" w:rsidRPr="003C6084" w:rsidRDefault="005B408E">
            <w:pPr>
              <w:rPr>
                <w:rFonts w:eastAsiaTheme="minorEastAsia"/>
              </w:rPr>
            </w:pPr>
          </w:p>
          <w:p w14:paraId="6079EC63" w14:textId="70254900" w:rsidR="005B408E" w:rsidRPr="003C6084" w:rsidRDefault="005B408E">
            <w:pPr>
              <w:rPr>
                <w:rFonts w:eastAsiaTheme="minorEastAsia"/>
              </w:rPr>
            </w:pPr>
            <w:r w:rsidRPr="003C6084">
              <w:rPr>
                <w:rFonts w:eastAsiaTheme="minorEastAsia"/>
              </w:rPr>
              <w:t>Calculated at the DA level using 2016 Census data by multiplying the median income (before-tax) by the number of households and dividing by the sum of single-person equivalent to obtain income per single person equivalent.</w:t>
            </w:r>
            <w:r w:rsidRPr="003C6084">
              <w:rPr>
                <w:rFonts w:eastAsiaTheme="minorEastAsia"/>
              </w:rPr>
              <w:fldChar w:fldCharType="begin"/>
            </w:r>
            <w:r>
              <w:rPr>
                <w:rFonts w:eastAsiaTheme="minorEastAsia"/>
              </w:rPr>
              <w:instrText xml:space="preserve"> ADDIN EN.CITE &lt;EndNote&gt;&lt;Cite&gt;&lt;Author&gt;Statistics Canada&lt;/Author&gt;&lt;Year&gt;2020&lt;/Year&gt;&lt;RecNum&gt;356&lt;/RecNum&gt;&lt;DisplayText&gt;&lt;style face="superscript"&gt;4&lt;/style&gt;&lt;/DisplayText&gt;&lt;record&gt;&lt;rec-number&gt;356&lt;/rec-number&gt;&lt;foreign-keys&gt;&lt;key app="EN" db-id="5fx0axw0swrdereaatuxz90kx095wf02espw" timestamp="1626321457"&gt;356&lt;/key&gt;&lt;/foreign-keys&gt;&lt;ref-type name="Web Page"&gt;12&lt;/ref-type&gt;&lt;contributors&gt;&lt;authors&gt;&lt;author&gt;Statistics Canada,&lt;/author&gt;&lt;/authors&gt;&lt;/contributors&gt;&lt;titles&gt;&lt;title&gt;Low Income Lines: What they are and how they are created. Income Research Paper Series Web site. &lt;/title&gt;&lt;/titles&gt;&lt;volume&gt;2020&lt;/volume&gt;&lt;number&gt;13 October&lt;/number&gt;&lt;dates&gt;&lt;year&gt;2020&lt;/year&gt;&lt;/dates&gt;&lt;urls&gt;&lt;related-urls&gt;&lt;url&gt;https://www150.statcan.gc.ca/n1/en/catalogue/75F0002M2016002&lt;/url&gt;&lt;/related-urls&gt;&lt;/urls&gt;&lt;/record&gt;&lt;/Cite&gt;&lt;/EndNote&gt;</w:instrText>
            </w:r>
            <w:r w:rsidRPr="003C6084">
              <w:rPr>
                <w:rFonts w:eastAsiaTheme="minorEastAsia"/>
              </w:rPr>
              <w:fldChar w:fldCharType="separate"/>
            </w:r>
            <w:r w:rsidRPr="00040146">
              <w:rPr>
                <w:rFonts w:eastAsiaTheme="minorEastAsia"/>
                <w:noProof/>
                <w:vertAlign w:val="superscript"/>
              </w:rPr>
              <w:t>4</w:t>
            </w:r>
            <w:r w:rsidRPr="003C6084">
              <w:rPr>
                <w:rFonts w:eastAsiaTheme="minorEastAsia"/>
              </w:rPr>
              <w:fldChar w:fldCharType="end"/>
            </w:r>
            <w:r w:rsidRPr="003C6084">
              <w:rPr>
                <w:rFonts w:eastAsiaTheme="minorEastAsia"/>
              </w:rPr>
              <w:t xml:space="preserve"> For DAs where median income was unavailable, neighboring DAs were used to estimate income per single person equivalent. DA-based income quintiles were constructed separately for each census metropolitan area or census agglomeration (one or more adjacent municipalities integrated via commuting flows). DAs within each such area were ranked from the lowest average income per single-person equivalent to the highest, and DAs were assigned to five groups, such that each group contained approximately one-fifth the total in-scope population of each area.</w:t>
            </w:r>
          </w:p>
        </w:tc>
      </w:tr>
    </w:tbl>
    <w:p w14:paraId="7062384A" w14:textId="77777777" w:rsidR="00F02EC2" w:rsidRDefault="00F02EC2" w:rsidP="005B408E">
      <w:pPr>
        <w:rPr>
          <w:b/>
        </w:rPr>
      </w:pPr>
    </w:p>
    <w:p w14:paraId="735C9E64" w14:textId="3ED88A3F" w:rsidR="00EC2C46" w:rsidRPr="00F222D5" w:rsidRDefault="00B435FC" w:rsidP="00F222D5">
      <w:pPr>
        <w:pStyle w:val="Heading1"/>
        <w:rPr>
          <w:rFonts w:ascii="Times New Roman" w:hAnsi="Times New Roman" w:cs="Times New Roman"/>
          <w:bCs/>
          <w:color w:val="auto"/>
          <w:sz w:val="24"/>
          <w:szCs w:val="24"/>
        </w:rPr>
      </w:pPr>
      <w:bookmarkStart w:id="6" w:name="_Toc147303605"/>
      <w:r w:rsidRPr="00F222D5">
        <w:rPr>
          <w:rFonts w:ascii="Times New Roman" w:hAnsi="Times New Roman" w:cs="Times New Roman"/>
          <w:b/>
          <w:bCs/>
          <w:color w:val="auto"/>
          <w:sz w:val="24"/>
          <w:szCs w:val="24"/>
        </w:rPr>
        <w:t>Table S2.</w:t>
      </w:r>
      <w:r w:rsidR="00A861E7" w:rsidRPr="00F222D5">
        <w:rPr>
          <w:rFonts w:ascii="Times New Roman" w:hAnsi="Times New Roman" w:cs="Times New Roman"/>
          <w:bCs/>
          <w:color w:val="auto"/>
          <w:sz w:val="24"/>
          <w:szCs w:val="24"/>
        </w:rPr>
        <w:t xml:space="preserve"> </w:t>
      </w:r>
      <w:r w:rsidR="7312ECB6" w:rsidRPr="00F222D5">
        <w:rPr>
          <w:rFonts w:ascii="Times New Roman" w:eastAsia="Segoe UI" w:hAnsi="Times New Roman" w:cs="Times New Roman"/>
          <w:color w:val="auto"/>
          <w:sz w:val="24"/>
          <w:szCs w:val="24"/>
        </w:rPr>
        <w:t>Socio-demographic and exposure risk characteristics of the eligible and enrolled study population</w:t>
      </w:r>
      <w:bookmarkEnd w:id="6"/>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15"/>
        <w:gridCol w:w="1605"/>
        <w:gridCol w:w="1515"/>
        <w:gridCol w:w="1410"/>
      </w:tblGrid>
      <w:tr w:rsidR="252F9B59" w14:paraId="793EF95E" w14:textId="77777777" w:rsidTr="252F9B59">
        <w:trPr>
          <w:trHeight w:val="300"/>
        </w:trPr>
        <w:tc>
          <w:tcPr>
            <w:tcW w:w="4815" w:type="dxa"/>
            <w:tcBorders>
              <w:top w:val="single" w:sz="6" w:space="0" w:color="auto"/>
              <w:left w:val="nil"/>
              <w:bottom w:val="single" w:sz="6" w:space="0" w:color="auto"/>
              <w:right w:val="nil"/>
            </w:tcBorders>
            <w:tcMar>
              <w:left w:w="105" w:type="dxa"/>
              <w:right w:w="105" w:type="dxa"/>
            </w:tcMar>
          </w:tcPr>
          <w:p w14:paraId="26A11100" w14:textId="22A99D26" w:rsidR="252F9B59" w:rsidRDefault="252F9B59" w:rsidP="252F9B59">
            <w:pPr>
              <w:spacing w:line="259" w:lineRule="auto"/>
              <w:rPr>
                <w:rFonts w:eastAsia="Calibri"/>
                <w:sz w:val="22"/>
                <w:szCs w:val="22"/>
              </w:rPr>
            </w:pPr>
          </w:p>
        </w:tc>
        <w:tc>
          <w:tcPr>
            <w:tcW w:w="1605" w:type="dxa"/>
            <w:tcBorders>
              <w:top w:val="single" w:sz="6" w:space="0" w:color="auto"/>
              <w:left w:val="nil"/>
              <w:bottom w:val="single" w:sz="6" w:space="0" w:color="auto"/>
              <w:right w:val="nil"/>
            </w:tcBorders>
            <w:tcMar>
              <w:left w:w="105" w:type="dxa"/>
              <w:right w:w="105" w:type="dxa"/>
            </w:tcMar>
          </w:tcPr>
          <w:p w14:paraId="276251BD" w14:textId="62DF1A12" w:rsidR="252F9B59" w:rsidRDefault="252F9B59" w:rsidP="252F9B59">
            <w:pPr>
              <w:spacing w:line="259" w:lineRule="auto"/>
              <w:jc w:val="center"/>
              <w:rPr>
                <w:rFonts w:eastAsia="Calibri"/>
                <w:sz w:val="22"/>
                <w:szCs w:val="22"/>
              </w:rPr>
            </w:pPr>
            <w:r w:rsidRPr="5C993E2C">
              <w:rPr>
                <w:rFonts w:eastAsia="Calibri"/>
                <w:b/>
                <w:bCs/>
                <w:sz w:val="22"/>
                <w:szCs w:val="22"/>
              </w:rPr>
              <w:t xml:space="preserve">Eligible, </w:t>
            </w:r>
          </w:p>
          <w:p w14:paraId="3AC51B72" w14:textId="2B863BC1" w:rsidR="252F9B59" w:rsidRDefault="252F9B59" w:rsidP="252F9B59">
            <w:pPr>
              <w:spacing w:line="259" w:lineRule="auto"/>
              <w:jc w:val="center"/>
              <w:rPr>
                <w:rFonts w:eastAsia="Calibri"/>
                <w:sz w:val="22"/>
                <w:szCs w:val="22"/>
              </w:rPr>
            </w:pPr>
            <w:r w:rsidRPr="5C993E2C">
              <w:rPr>
                <w:rFonts w:eastAsia="Calibri"/>
                <w:b/>
                <w:bCs/>
                <w:sz w:val="22"/>
                <w:szCs w:val="22"/>
              </w:rPr>
              <w:t>n = 3,268 (%)</w:t>
            </w:r>
          </w:p>
        </w:tc>
        <w:tc>
          <w:tcPr>
            <w:tcW w:w="1515" w:type="dxa"/>
            <w:tcBorders>
              <w:top w:val="single" w:sz="6" w:space="0" w:color="auto"/>
              <w:left w:val="nil"/>
              <w:bottom w:val="single" w:sz="6" w:space="0" w:color="auto"/>
              <w:right w:val="nil"/>
            </w:tcBorders>
            <w:tcMar>
              <w:left w:w="105" w:type="dxa"/>
              <w:right w:w="105" w:type="dxa"/>
            </w:tcMar>
          </w:tcPr>
          <w:p w14:paraId="2E073CFC" w14:textId="11540F18" w:rsidR="252F9B59" w:rsidRDefault="252F9B59" w:rsidP="252F9B59">
            <w:pPr>
              <w:spacing w:line="259" w:lineRule="auto"/>
              <w:jc w:val="center"/>
              <w:rPr>
                <w:rFonts w:eastAsia="Calibri"/>
                <w:sz w:val="22"/>
                <w:szCs w:val="22"/>
              </w:rPr>
            </w:pPr>
            <w:r w:rsidRPr="5C993E2C">
              <w:rPr>
                <w:rFonts w:eastAsia="Calibri"/>
                <w:b/>
                <w:bCs/>
                <w:sz w:val="22"/>
                <w:szCs w:val="22"/>
              </w:rPr>
              <w:t xml:space="preserve">Matched, </w:t>
            </w:r>
          </w:p>
          <w:p w14:paraId="28A36959" w14:textId="78DE0EAC" w:rsidR="252F9B59" w:rsidRDefault="252F9B59" w:rsidP="252F9B59">
            <w:pPr>
              <w:spacing w:line="259" w:lineRule="auto"/>
              <w:jc w:val="center"/>
              <w:rPr>
                <w:rFonts w:eastAsia="Calibri"/>
                <w:sz w:val="22"/>
                <w:szCs w:val="22"/>
              </w:rPr>
            </w:pPr>
            <w:r w:rsidRPr="5C993E2C">
              <w:rPr>
                <w:rFonts w:eastAsia="Calibri"/>
                <w:b/>
                <w:bCs/>
                <w:sz w:val="22"/>
                <w:szCs w:val="22"/>
              </w:rPr>
              <w:t>n = 3,204 (%)</w:t>
            </w:r>
          </w:p>
        </w:tc>
        <w:tc>
          <w:tcPr>
            <w:tcW w:w="1410" w:type="dxa"/>
            <w:tcBorders>
              <w:top w:val="single" w:sz="6" w:space="0" w:color="auto"/>
              <w:left w:val="nil"/>
              <w:bottom w:val="single" w:sz="6" w:space="0" w:color="auto"/>
              <w:right w:val="nil"/>
            </w:tcBorders>
            <w:tcMar>
              <w:left w:w="105" w:type="dxa"/>
              <w:right w:w="105" w:type="dxa"/>
            </w:tcMar>
          </w:tcPr>
          <w:p w14:paraId="533E3AD6" w14:textId="226EC321" w:rsidR="252F9B59" w:rsidRDefault="252F9B59" w:rsidP="252F9B59">
            <w:pPr>
              <w:spacing w:line="259" w:lineRule="auto"/>
              <w:jc w:val="center"/>
              <w:rPr>
                <w:rFonts w:eastAsia="Calibri"/>
                <w:sz w:val="22"/>
                <w:szCs w:val="22"/>
              </w:rPr>
            </w:pPr>
            <w:r w:rsidRPr="5C993E2C">
              <w:rPr>
                <w:rFonts w:eastAsia="Calibri"/>
                <w:b/>
                <w:bCs/>
                <w:sz w:val="22"/>
                <w:szCs w:val="22"/>
              </w:rPr>
              <w:t>SD</w:t>
            </w:r>
          </w:p>
        </w:tc>
      </w:tr>
      <w:tr w:rsidR="252F9B59" w14:paraId="5040A905" w14:textId="77777777" w:rsidTr="252F9B59">
        <w:trPr>
          <w:trHeight w:val="300"/>
        </w:trPr>
        <w:tc>
          <w:tcPr>
            <w:tcW w:w="4815" w:type="dxa"/>
            <w:tcBorders>
              <w:top w:val="single" w:sz="6" w:space="0" w:color="auto"/>
              <w:left w:val="nil"/>
              <w:bottom w:val="nil"/>
              <w:right w:val="nil"/>
            </w:tcBorders>
            <w:tcMar>
              <w:left w:w="105" w:type="dxa"/>
              <w:right w:w="105" w:type="dxa"/>
            </w:tcMar>
          </w:tcPr>
          <w:p w14:paraId="7786A7FE" w14:textId="5644E6EF" w:rsidR="252F9B59" w:rsidRDefault="252F9B59" w:rsidP="252F9B59">
            <w:pPr>
              <w:spacing w:line="259" w:lineRule="auto"/>
              <w:rPr>
                <w:rFonts w:eastAsia="Calibri"/>
                <w:sz w:val="22"/>
                <w:szCs w:val="22"/>
              </w:rPr>
            </w:pPr>
            <w:r w:rsidRPr="5C993E2C">
              <w:rPr>
                <w:rFonts w:eastAsia="Calibri"/>
                <w:sz w:val="22"/>
                <w:szCs w:val="22"/>
              </w:rPr>
              <w:t>Inclusion criteria fulfilled</w:t>
            </w:r>
          </w:p>
        </w:tc>
        <w:tc>
          <w:tcPr>
            <w:tcW w:w="1605" w:type="dxa"/>
            <w:tcBorders>
              <w:top w:val="single" w:sz="6" w:space="0" w:color="auto"/>
              <w:left w:val="nil"/>
              <w:bottom w:val="nil"/>
              <w:right w:val="nil"/>
            </w:tcBorders>
            <w:tcMar>
              <w:left w:w="105" w:type="dxa"/>
              <w:right w:w="105" w:type="dxa"/>
            </w:tcMar>
          </w:tcPr>
          <w:p w14:paraId="28302147" w14:textId="7439A6EA" w:rsidR="252F9B59" w:rsidRDefault="252F9B59" w:rsidP="252F9B59">
            <w:pPr>
              <w:spacing w:line="259" w:lineRule="auto"/>
              <w:jc w:val="center"/>
              <w:rPr>
                <w:rFonts w:eastAsia="Calibri"/>
                <w:sz w:val="22"/>
                <w:szCs w:val="22"/>
              </w:rPr>
            </w:pPr>
          </w:p>
        </w:tc>
        <w:tc>
          <w:tcPr>
            <w:tcW w:w="1515" w:type="dxa"/>
            <w:tcBorders>
              <w:top w:val="single" w:sz="6" w:space="0" w:color="auto"/>
              <w:left w:val="nil"/>
              <w:bottom w:val="nil"/>
              <w:right w:val="nil"/>
            </w:tcBorders>
            <w:tcMar>
              <w:left w:w="105" w:type="dxa"/>
              <w:right w:w="105" w:type="dxa"/>
            </w:tcMar>
          </w:tcPr>
          <w:p w14:paraId="1CF195A8" w14:textId="5F13317A" w:rsidR="252F9B59" w:rsidRDefault="252F9B59" w:rsidP="252F9B59">
            <w:pPr>
              <w:spacing w:line="259" w:lineRule="auto"/>
              <w:jc w:val="center"/>
              <w:rPr>
                <w:rFonts w:eastAsia="Calibri"/>
                <w:sz w:val="22"/>
                <w:szCs w:val="22"/>
              </w:rPr>
            </w:pPr>
          </w:p>
        </w:tc>
        <w:tc>
          <w:tcPr>
            <w:tcW w:w="1410" w:type="dxa"/>
            <w:tcBorders>
              <w:top w:val="single" w:sz="6" w:space="0" w:color="auto"/>
              <w:left w:val="nil"/>
              <w:bottom w:val="nil"/>
              <w:right w:val="nil"/>
            </w:tcBorders>
            <w:tcMar>
              <w:left w:w="105" w:type="dxa"/>
              <w:right w:w="105" w:type="dxa"/>
            </w:tcMar>
          </w:tcPr>
          <w:p w14:paraId="0BE8A3C1" w14:textId="56DD644D" w:rsidR="252F9B59" w:rsidRDefault="252F9B59" w:rsidP="252F9B59">
            <w:pPr>
              <w:spacing w:line="259" w:lineRule="auto"/>
              <w:jc w:val="center"/>
              <w:rPr>
                <w:rFonts w:eastAsia="Calibri"/>
                <w:sz w:val="22"/>
                <w:szCs w:val="22"/>
              </w:rPr>
            </w:pPr>
          </w:p>
        </w:tc>
      </w:tr>
      <w:tr w:rsidR="252F9B59" w14:paraId="35231439" w14:textId="77777777" w:rsidTr="252F9B59">
        <w:trPr>
          <w:trHeight w:val="300"/>
        </w:trPr>
        <w:tc>
          <w:tcPr>
            <w:tcW w:w="4815" w:type="dxa"/>
            <w:tcBorders>
              <w:top w:val="nil"/>
              <w:left w:val="nil"/>
              <w:bottom w:val="nil"/>
              <w:right w:val="nil"/>
            </w:tcBorders>
            <w:tcMar>
              <w:left w:w="105" w:type="dxa"/>
              <w:right w:w="105" w:type="dxa"/>
            </w:tcMar>
          </w:tcPr>
          <w:p w14:paraId="2A60D41F" w14:textId="557B341F" w:rsidR="252F9B59" w:rsidRDefault="3259559A" w:rsidP="252F9B59">
            <w:pPr>
              <w:spacing w:line="259" w:lineRule="auto"/>
              <w:ind w:left="284"/>
              <w:rPr>
                <w:rFonts w:eastAsia="Calibri"/>
                <w:sz w:val="22"/>
                <w:szCs w:val="22"/>
              </w:rPr>
            </w:pPr>
            <w:r w:rsidRPr="5C993E2C">
              <w:rPr>
                <w:sz w:val="22"/>
                <w:szCs w:val="22"/>
              </w:rPr>
              <w:t xml:space="preserve">≥ </w:t>
            </w:r>
            <w:r w:rsidR="252F9B59" w:rsidRPr="5C993E2C">
              <w:rPr>
                <w:rFonts w:eastAsia="Calibri"/>
                <w:sz w:val="22"/>
                <w:szCs w:val="22"/>
              </w:rPr>
              <w:t xml:space="preserve">1 syphilis test and </w:t>
            </w:r>
            <w:r w:rsidR="52004780" w:rsidRPr="5C993E2C">
              <w:rPr>
                <w:sz w:val="22"/>
                <w:szCs w:val="22"/>
              </w:rPr>
              <w:t>≥</w:t>
            </w:r>
            <w:r w:rsidR="252F9B59" w:rsidRPr="5C993E2C">
              <w:rPr>
                <w:rFonts w:eastAsia="Calibri"/>
                <w:sz w:val="22"/>
                <w:szCs w:val="22"/>
              </w:rPr>
              <w:t>1 bacterial STI, past 1 year</w:t>
            </w:r>
          </w:p>
        </w:tc>
        <w:tc>
          <w:tcPr>
            <w:tcW w:w="1605" w:type="dxa"/>
            <w:tcBorders>
              <w:top w:val="nil"/>
              <w:left w:val="nil"/>
              <w:bottom w:val="nil"/>
              <w:right w:val="nil"/>
            </w:tcBorders>
            <w:tcMar>
              <w:left w:w="105" w:type="dxa"/>
              <w:right w:w="105" w:type="dxa"/>
            </w:tcMar>
          </w:tcPr>
          <w:p w14:paraId="53721420" w14:textId="6D12A4DA" w:rsidR="252F9B59" w:rsidRDefault="252F9B59" w:rsidP="252F9B59">
            <w:pPr>
              <w:spacing w:line="259" w:lineRule="auto"/>
              <w:jc w:val="center"/>
              <w:rPr>
                <w:rFonts w:eastAsia="Calibri"/>
                <w:sz w:val="22"/>
                <w:szCs w:val="22"/>
              </w:rPr>
            </w:pPr>
            <w:r w:rsidRPr="5C993E2C">
              <w:rPr>
                <w:rFonts w:eastAsia="Calibri"/>
                <w:sz w:val="22"/>
                <w:szCs w:val="22"/>
              </w:rPr>
              <w:t>1,862 (57.0%)</w:t>
            </w:r>
          </w:p>
        </w:tc>
        <w:tc>
          <w:tcPr>
            <w:tcW w:w="1515" w:type="dxa"/>
            <w:tcBorders>
              <w:top w:val="nil"/>
              <w:left w:val="nil"/>
              <w:bottom w:val="nil"/>
              <w:right w:val="nil"/>
            </w:tcBorders>
            <w:tcMar>
              <w:left w:w="105" w:type="dxa"/>
              <w:right w:w="105" w:type="dxa"/>
            </w:tcMar>
            <w:vAlign w:val="bottom"/>
          </w:tcPr>
          <w:p w14:paraId="1974D118" w14:textId="26CFE3C3"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1,810 (56.5%)</w:t>
            </w:r>
          </w:p>
        </w:tc>
        <w:tc>
          <w:tcPr>
            <w:tcW w:w="1410" w:type="dxa"/>
            <w:tcBorders>
              <w:top w:val="nil"/>
              <w:left w:val="nil"/>
              <w:bottom w:val="nil"/>
              <w:right w:val="nil"/>
            </w:tcBorders>
            <w:tcMar>
              <w:left w:w="105" w:type="dxa"/>
              <w:right w:w="105" w:type="dxa"/>
            </w:tcMar>
            <w:vAlign w:val="bottom"/>
          </w:tcPr>
          <w:p w14:paraId="75C0E8FB" w14:textId="280EBF6C"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0.01</w:t>
            </w:r>
          </w:p>
        </w:tc>
      </w:tr>
      <w:tr w:rsidR="252F9B59" w14:paraId="0225DCCF" w14:textId="77777777" w:rsidTr="252F9B59">
        <w:trPr>
          <w:trHeight w:val="300"/>
        </w:trPr>
        <w:tc>
          <w:tcPr>
            <w:tcW w:w="4815" w:type="dxa"/>
            <w:tcBorders>
              <w:top w:val="nil"/>
              <w:left w:val="nil"/>
              <w:bottom w:val="nil"/>
              <w:right w:val="nil"/>
            </w:tcBorders>
            <w:tcMar>
              <w:left w:w="105" w:type="dxa"/>
              <w:right w:w="105" w:type="dxa"/>
            </w:tcMar>
          </w:tcPr>
          <w:p w14:paraId="605D27C1" w14:textId="0360402A" w:rsidR="252F9B59" w:rsidRDefault="252F9B59" w:rsidP="252F9B59">
            <w:pPr>
              <w:spacing w:line="259" w:lineRule="auto"/>
              <w:ind w:left="284"/>
              <w:rPr>
                <w:rFonts w:eastAsia="Calibri"/>
                <w:sz w:val="22"/>
                <w:szCs w:val="22"/>
              </w:rPr>
            </w:pPr>
            <w:r w:rsidRPr="5C993E2C">
              <w:rPr>
                <w:rFonts w:eastAsia="Calibri"/>
                <w:sz w:val="22"/>
                <w:szCs w:val="22"/>
              </w:rPr>
              <w:t xml:space="preserve">HIV </w:t>
            </w:r>
            <w:proofErr w:type="spellStart"/>
            <w:r w:rsidRPr="5C993E2C">
              <w:rPr>
                <w:rFonts w:eastAsia="Calibri"/>
                <w:sz w:val="22"/>
                <w:szCs w:val="22"/>
              </w:rPr>
              <w:t>PrEP</w:t>
            </w:r>
            <w:proofErr w:type="spellEnd"/>
            <w:r w:rsidRPr="5C993E2C">
              <w:rPr>
                <w:rFonts w:eastAsia="Calibri"/>
                <w:sz w:val="22"/>
                <w:szCs w:val="22"/>
              </w:rPr>
              <w:t xml:space="preserve"> prescription, past 1 year</w:t>
            </w:r>
          </w:p>
        </w:tc>
        <w:tc>
          <w:tcPr>
            <w:tcW w:w="1605" w:type="dxa"/>
            <w:tcBorders>
              <w:top w:val="nil"/>
              <w:left w:val="nil"/>
              <w:bottom w:val="nil"/>
              <w:right w:val="nil"/>
            </w:tcBorders>
            <w:tcMar>
              <w:left w:w="105" w:type="dxa"/>
              <w:right w:w="105" w:type="dxa"/>
            </w:tcMar>
          </w:tcPr>
          <w:p w14:paraId="150D6E0D" w14:textId="53E278F7" w:rsidR="252F9B59" w:rsidRDefault="252F9B59" w:rsidP="252F9B59">
            <w:pPr>
              <w:spacing w:line="259" w:lineRule="auto"/>
              <w:jc w:val="center"/>
              <w:rPr>
                <w:rFonts w:eastAsia="Calibri"/>
                <w:sz w:val="22"/>
                <w:szCs w:val="22"/>
              </w:rPr>
            </w:pPr>
            <w:r w:rsidRPr="5C993E2C">
              <w:rPr>
                <w:rFonts w:eastAsia="Calibri"/>
                <w:sz w:val="22"/>
                <w:szCs w:val="22"/>
              </w:rPr>
              <w:t>1,089 (33.3%)</w:t>
            </w:r>
          </w:p>
        </w:tc>
        <w:tc>
          <w:tcPr>
            <w:tcW w:w="1515" w:type="dxa"/>
            <w:tcBorders>
              <w:top w:val="nil"/>
              <w:left w:val="nil"/>
              <w:bottom w:val="nil"/>
              <w:right w:val="nil"/>
            </w:tcBorders>
            <w:tcMar>
              <w:left w:w="105" w:type="dxa"/>
              <w:right w:w="105" w:type="dxa"/>
            </w:tcMar>
            <w:vAlign w:val="bottom"/>
          </w:tcPr>
          <w:p w14:paraId="10671B3D" w14:textId="005C88CA"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1,082 (33.8%)</w:t>
            </w:r>
          </w:p>
        </w:tc>
        <w:tc>
          <w:tcPr>
            <w:tcW w:w="1410" w:type="dxa"/>
            <w:tcBorders>
              <w:top w:val="nil"/>
              <w:left w:val="nil"/>
              <w:bottom w:val="nil"/>
              <w:right w:val="nil"/>
            </w:tcBorders>
            <w:tcMar>
              <w:left w:w="105" w:type="dxa"/>
              <w:right w:w="105" w:type="dxa"/>
            </w:tcMar>
            <w:vAlign w:val="bottom"/>
          </w:tcPr>
          <w:p w14:paraId="037D4530" w14:textId="0BBFD20D"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w:t>
            </w:r>
            <w:r w:rsidR="00CE31C2">
              <w:rPr>
                <w:rFonts w:eastAsia="Calibri"/>
                <w:color w:val="000000" w:themeColor="text1"/>
                <w:sz w:val="22"/>
                <w:szCs w:val="22"/>
              </w:rPr>
              <w:t>1</w:t>
            </w:r>
          </w:p>
        </w:tc>
      </w:tr>
      <w:tr w:rsidR="252F9B59" w14:paraId="384D961F" w14:textId="77777777" w:rsidTr="252F9B59">
        <w:trPr>
          <w:trHeight w:val="300"/>
        </w:trPr>
        <w:tc>
          <w:tcPr>
            <w:tcW w:w="4815" w:type="dxa"/>
            <w:tcBorders>
              <w:top w:val="nil"/>
              <w:left w:val="nil"/>
              <w:bottom w:val="nil"/>
              <w:right w:val="nil"/>
            </w:tcBorders>
            <w:tcMar>
              <w:left w:w="105" w:type="dxa"/>
              <w:right w:w="105" w:type="dxa"/>
            </w:tcMar>
          </w:tcPr>
          <w:p w14:paraId="22527A56" w14:textId="0067957D" w:rsidR="252F9B59" w:rsidRDefault="252F9B59" w:rsidP="252F9B59">
            <w:pPr>
              <w:spacing w:line="259" w:lineRule="auto"/>
              <w:ind w:left="284"/>
              <w:rPr>
                <w:rFonts w:eastAsia="Calibri"/>
                <w:sz w:val="22"/>
                <w:szCs w:val="22"/>
              </w:rPr>
            </w:pPr>
            <w:r w:rsidRPr="5C993E2C">
              <w:rPr>
                <w:rFonts w:eastAsia="Calibri"/>
                <w:sz w:val="22"/>
                <w:szCs w:val="22"/>
              </w:rPr>
              <w:t>Meeting both criteria</w:t>
            </w:r>
          </w:p>
        </w:tc>
        <w:tc>
          <w:tcPr>
            <w:tcW w:w="1605" w:type="dxa"/>
            <w:tcBorders>
              <w:top w:val="nil"/>
              <w:left w:val="nil"/>
              <w:bottom w:val="nil"/>
              <w:right w:val="nil"/>
            </w:tcBorders>
            <w:tcMar>
              <w:left w:w="105" w:type="dxa"/>
              <w:right w:w="105" w:type="dxa"/>
            </w:tcMar>
          </w:tcPr>
          <w:p w14:paraId="1E78068A" w14:textId="4646AFCE" w:rsidR="252F9B59" w:rsidRDefault="252F9B59" w:rsidP="252F9B59">
            <w:pPr>
              <w:spacing w:line="259" w:lineRule="auto"/>
              <w:jc w:val="center"/>
              <w:rPr>
                <w:rFonts w:eastAsia="Calibri"/>
                <w:sz w:val="22"/>
                <w:szCs w:val="22"/>
              </w:rPr>
            </w:pPr>
            <w:r w:rsidRPr="5C993E2C">
              <w:rPr>
                <w:rFonts w:eastAsia="Calibri"/>
                <w:sz w:val="22"/>
                <w:szCs w:val="22"/>
              </w:rPr>
              <w:t>317 (9.7%)</w:t>
            </w:r>
          </w:p>
        </w:tc>
        <w:tc>
          <w:tcPr>
            <w:tcW w:w="1515" w:type="dxa"/>
            <w:tcBorders>
              <w:top w:val="nil"/>
              <w:left w:val="nil"/>
              <w:bottom w:val="nil"/>
              <w:right w:val="nil"/>
            </w:tcBorders>
            <w:tcMar>
              <w:left w:w="105" w:type="dxa"/>
              <w:right w:w="105" w:type="dxa"/>
            </w:tcMar>
            <w:vAlign w:val="bottom"/>
          </w:tcPr>
          <w:p w14:paraId="4A4FAF6F" w14:textId="4EC18A4C"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312 (9.7%)</w:t>
            </w:r>
          </w:p>
        </w:tc>
        <w:tc>
          <w:tcPr>
            <w:tcW w:w="1410" w:type="dxa"/>
            <w:tcBorders>
              <w:top w:val="nil"/>
              <w:left w:val="nil"/>
              <w:bottom w:val="nil"/>
              <w:right w:val="nil"/>
            </w:tcBorders>
            <w:tcMar>
              <w:left w:w="105" w:type="dxa"/>
              <w:right w:w="105" w:type="dxa"/>
            </w:tcMar>
            <w:vAlign w:val="bottom"/>
          </w:tcPr>
          <w:p w14:paraId="72FC100F" w14:textId="02D6C86F"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0.001</w:t>
            </w:r>
          </w:p>
        </w:tc>
      </w:tr>
      <w:tr w:rsidR="252F9B59" w14:paraId="78A48985" w14:textId="77777777" w:rsidTr="252F9B59">
        <w:trPr>
          <w:trHeight w:val="300"/>
        </w:trPr>
        <w:tc>
          <w:tcPr>
            <w:tcW w:w="4815" w:type="dxa"/>
            <w:tcBorders>
              <w:top w:val="nil"/>
              <w:left w:val="nil"/>
              <w:bottom w:val="nil"/>
              <w:right w:val="nil"/>
            </w:tcBorders>
            <w:tcMar>
              <w:left w:w="105" w:type="dxa"/>
              <w:right w:w="105" w:type="dxa"/>
            </w:tcMar>
          </w:tcPr>
          <w:p w14:paraId="249C02FB" w14:textId="69F2DAB3" w:rsidR="252F9B59" w:rsidRDefault="252F9B59" w:rsidP="252F9B59">
            <w:pPr>
              <w:spacing w:line="259" w:lineRule="auto"/>
              <w:rPr>
                <w:rFonts w:eastAsia="Calibri"/>
                <w:sz w:val="22"/>
                <w:szCs w:val="22"/>
              </w:rPr>
            </w:pPr>
            <w:r w:rsidRPr="5C993E2C">
              <w:rPr>
                <w:rFonts w:eastAsia="Calibri"/>
                <w:sz w:val="22"/>
                <w:szCs w:val="22"/>
              </w:rPr>
              <w:t>Age, median (interquartile range)</w:t>
            </w:r>
          </w:p>
        </w:tc>
        <w:tc>
          <w:tcPr>
            <w:tcW w:w="1605" w:type="dxa"/>
            <w:tcBorders>
              <w:top w:val="nil"/>
              <w:left w:val="nil"/>
              <w:bottom w:val="nil"/>
              <w:right w:val="nil"/>
            </w:tcBorders>
            <w:shd w:val="clear" w:color="auto" w:fill="FFFFFF" w:themeFill="background1"/>
            <w:tcMar>
              <w:left w:w="105" w:type="dxa"/>
              <w:right w:w="105" w:type="dxa"/>
            </w:tcMar>
            <w:vAlign w:val="bottom"/>
          </w:tcPr>
          <w:p w14:paraId="71356301" w14:textId="06A73CA5"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35 (29-47)</w:t>
            </w:r>
          </w:p>
        </w:tc>
        <w:tc>
          <w:tcPr>
            <w:tcW w:w="1515" w:type="dxa"/>
            <w:tcBorders>
              <w:top w:val="nil"/>
              <w:left w:val="nil"/>
              <w:bottom w:val="nil"/>
              <w:right w:val="nil"/>
            </w:tcBorders>
            <w:shd w:val="clear" w:color="auto" w:fill="FFFFFF" w:themeFill="background1"/>
            <w:tcMar>
              <w:left w:w="105" w:type="dxa"/>
              <w:right w:w="105" w:type="dxa"/>
            </w:tcMar>
            <w:vAlign w:val="bottom"/>
          </w:tcPr>
          <w:p w14:paraId="44EBBF54" w14:textId="05C22A93"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35 (29-46)</w:t>
            </w:r>
          </w:p>
        </w:tc>
        <w:tc>
          <w:tcPr>
            <w:tcW w:w="1410" w:type="dxa"/>
            <w:tcBorders>
              <w:top w:val="nil"/>
              <w:left w:val="nil"/>
              <w:bottom w:val="nil"/>
              <w:right w:val="nil"/>
            </w:tcBorders>
            <w:shd w:val="clear" w:color="auto" w:fill="FFFFFF" w:themeFill="background1"/>
            <w:tcMar>
              <w:left w:w="105" w:type="dxa"/>
              <w:right w:w="105" w:type="dxa"/>
            </w:tcMar>
            <w:vAlign w:val="bottom"/>
          </w:tcPr>
          <w:p w14:paraId="7D061B7D" w14:textId="0272E864"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0.01</w:t>
            </w:r>
          </w:p>
        </w:tc>
      </w:tr>
      <w:tr w:rsidR="252F9B59" w14:paraId="152C69AC" w14:textId="77777777" w:rsidTr="252F9B59">
        <w:trPr>
          <w:trHeight w:val="300"/>
        </w:trPr>
        <w:tc>
          <w:tcPr>
            <w:tcW w:w="4815" w:type="dxa"/>
            <w:tcBorders>
              <w:top w:val="nil"/>
              <w:left w:val="nil"/>
              <w:bottom w:val="nil"/>
              <w:right w:val="nil"/>
            </w:tcBorders>
            <w:tcMar>
              <w:left w:w="105" w:type="dxa"/>
              <w:right w:w="105" w:type="dxa"/>
            </w:tcMar>
          </w:tcPr>
          <w:p w14:paraId="6FD1DCDE" w14:textId="4D7B450C" w:rsidR="252F9B59" w:rsidRDefault="252F9B59" w:rsidP="252F9B59">
            <w:pPr>
              <w:spacing w:line="259" w:lineRule="auto"/>
              <w:rPr>
                <w:rFonts w:eastAsia="Calibri"/>
                <w:sz w:val="22"/>
                <w:szCs w:val="22"/>
              </w:rPr>
            </w:pPr>
            <w:r w:rsidRPr="5C993E2C">
              <w:rPr>
                <w:rFonts w:eastAsia="Calibri"/>
                <w:sz w:val="22"/>
                <w:szCs w:val="22"/>
              </w:rPr>
              <w:t>Age group (years)</w:t>
            </w:r>
          </w:p>
        </w:tc>
        <w:tc>
          <w:tcPr>
            <w:tcW w:w="1605" w:type="dxa"/>
            <w:tcBorders>
              <w:top w:val="nil"/>
              <w:left w:val="nil"/>
              <w:bottom w:val="nil"/>
              <w:right w:val="nil"/>
            </w:tcBorders>
            <w:tcMar>
              <w:left w:w="105" w:type="dxa"/>
              <w:right w:w="105" w:type="dxa"/>
            </w:tcMar>
          </w:tcPr>
          <w:p w14:paraId="39B148AC" w14:textId="5A47BB71" w:rsidR="252F9B59" w:rsidRDefault="252F9B59" w:rsidP="252F9B59">
            <w:pPr>
              <w:spacing w:line="259" w:lineRule="auto"/>
              <w:jc w:val="center"/>
              <w:rPr>
                <w:rFonts w:eastAsia="Calibri"/>
                <w:color w:val="BFBFBF" w:themeColor="background1" w:themeShade="BF"/>
                <w:sz w:val="22"/>
                <w:szCs w:val="22"/>
              </w:rPr>
            </w:pPr>
          </w:p>
        </w:tc>
        <w:tc>
          <w:tcPr>
            <w:tcW w:w="1515" w:type="dxa"/>
            <w:tcBorders>
              <w:top w:val="nil"/>
              <w:left w:val="nil"/>
              <w:bottom w:val="nil"/>
              <w:right w:val="nil"/>
            </w:tcBorders>
            <w:tcMar>
              <w:left w:w="105" w:type="dxa"/>
              <w:right w:w="105" w:type="dxa"/>
            </w:tcMar>
          </w:tcPr>
          <w:p w14:paraId="5F1BA029" w14:textId="185448F2" w:rsidR="252F9B59" w:rsidRDefault="252F9B59" w:rsidP="252F9B59">
            <w:pPr>
              <w:spacing w:line="259" w:lineRule="auto"/>
              <w:jc w:val="center"/>
              <w:rPr>
                <w:rFonts w:eastAsia="Calibri"/>
                <w:color w:val="BFBFBF" w:themeColor="background1" w:themeShade="BF"/>
                <w:sz w:val="22"/>
                <w:szCs w:val="22"/>
              </w:rPr>
            </w:pPr>
          </w:p>
        </w:tc>
        <w:tc>
          <w:tcPr>
            <w:tcW w:w="1410" w:type="dxa"/>
            <w:tcBorders>
              <w:top w:val="nil"/>
              <w:left w:val="nil"/>
              <w:bottom w:val="nil"/>
              <w:right w:val="nil"/>
            </w:tcBorders>
            <w:tcMar>
              <w:left w:w="105" w:type="dxa"/>
              <w:right w:w="105" w:type="dxa"/>
            </w:tcMar>
          </w:tcPr>
          <w:p w14:paraId="6F3A9729" w14:textId="71FDFD1B" w:rsidR="252F9B59" w:rsidRDefault="252F9B59" w:rsidP="252F9B59">
            <w:pPr>
              <w:spacing w:line="259" w:lineRule="auto"/>
              <w:jc w:val="center"/>
              <w:rPr>
                <w:rFonts w:eastAsia="Calibri"/>
                <w:color w:val="BFBFBF" w:themeColor="background1" w:themeShade="BF"/>
                <w:sz w:val="22"/>
                <w:szCs w:val="22"/>
              </w:rPr>
            </w:pPr>
          </w:p>
        </w:tc>
      </w:tr>
      <w:tr w:rsidR="252F9B59" w14:paraId="7C024823" w14:textId="77777777" w:rsidTr="252F9B59">
        <w:trPr>
          <w:trHeight w:val="300"/>
        </w:trPr>
        <w:tc>
          <w:tcPr>
            <w:tcW w:w="4815" w:type="dxa"/>
            <w:tcBorders>
              <w:top w:val="nil"/>
              <w:left w:val="nil"/>
              <w:bottom w:val="nil"/>
              <w:right w:val="nil"/>
            </w:tcBorders>
            <w:tcMar>
              <w:left w:w="105" w:type="dxa"/>
              <w:right w:w="105" w:type="dxa"/>
            </w:tcMar>
          </w:tcPr>
          <w:p w14:paraId="08EEA2D7" w14:textId="6C2D7D85" w:rsidR="252F9B59" w:rsidRDefault="252F9B59" w:rsidP="252F9B59">
            <w:pPr>
              <w:spacing w:line="259" w:lineRule="auto"/>
              <w:ind w:left="284"/>
              <w:rPr>
                <w:rFonts w:eastAsia="Calibri"/>
                <w:sz w:val="22"/>
                <w:szCs w:val="22"/>
              </w:rPr>
            </w:pPr>
            <w:r w:rsidRPr="5C993E2C">
              <w:rPr>
                <w:rFonts w:eastAsia="Calibri"/>
                <w:sz w:val="22"/>
                <w:szCs w:val="22"/>
              </w:rPr>
              <w:t>18-24</w:t>
            </w:r>
          </w:p>
        </w:tc>
        <w:tc>
          <w:tcPr>
            <w:tcW w:w="1605" w:type="dxa"/>
            <w:tcBorders>
              <w:top w:val="nil"/>
              <w:left w:val="nil"/>
              <w:bottom w:val="nil"/>
              <w:right w:val="nil"/>
            </w:tcBorders>
            <w:shd w:val="clear" w:color="auto" w:fill="FFFFFF" w:themeFill="background1"/>
            <w:tcMar>
              <w:left w:w="105" w:type="dxa"/>
              <w:right w:w="105" w:type="dxa"/>
            </w:tcMar>
            <w:vAlign w:val="bottom"/>
          </w:tcPr>
          <w:p w14:paraId="7D8A8B44" w14:textId="53205ED6"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421 (12.9%)</w:t>
            </w:r>
          </w:p>
        </w:tc>
        <w:tc>
          <w:tcPr>
            <w:tcW w:w="1515" w:type="dxa"/>
            <w:tcBorders>
              <w:top w:val="nil"/>
              <w:left w:val="nil"/>
              <w:bottom w:val="nil"/>
              <w:right w:val="nil"/>
            </w:tcBorders>
            <w:shd w:val="clear" w:color="auto" w:fill="FFFFFF" w:themeFill="background1"/>
            <w:tcMar>
              <w:left w:w="105" w:type="dxa"/>
              <w:right w:w="105" w:type="dxa"/>
            </w:tcMar>
            <w:vAlign w:val="bottom"/>
          </w:tcPr>
          <w:p w14:paraId="0162A3DC" w14:textId="56028196"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418 (13.0%)</w:t>
            </w:r>
          </w:p>
        </w:tc>
        <w:tc>
          <w:tcPr>
            <w:tcW w:w="1410" w:type="dxa"/>
            <w:tcBorders>
              <w:top w:val="nil"/>
              <w:left w:val="nil"/>
              <w:bottom w:val="nil"/>
              <w:right w:val="nil"/>
            </w:tcBorders>
            <w:shd w:val="clear" w:color="auto" w:fill="FFFFFF" w:themeFill="background1"/>
            <w:tcMar>
              <w:left w:w="105" w:type="dxa"/>
              <w:right w:w="105" w:type="dxa"/>
            </w:tcMar>
            <w:vAlign w:val="bottom"/>
          </w:tcPr>
          <w:p w14:paraId="67B5A7F8" w14:textId="58E9E110"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w:t>
            </w:r>
            <w:r w:rsidR="00CE31C2">
              <w:rPr>
                <w:rFonts w:eastAsia="Calibri"/>
                <w:color w:val="000000" w:themeColor="text1"/>
                <w:sz w:val="22"/>
                <w:szCs w:val="22"/>
              </w:rPr>
              <w:t>1</w:t>
            </w:r>
          </w:p>
        </w:tc>
      </w:tr>
      <w:tr w:rsidR="252F9B59" w14:paraId="32EF74B8" w14:textId="77777777" w:rsidTr="252F9B59">
        <w:trPr>
          <w:trHeight w:val="300"/>
        </w:trPr>
        <w:tc>
          <w:tcPr>
            <w:tcW w:w="4815" w:type="dxa"/>
            <w:tcBorders>
              <w:top w:val="nil"/>
              <w:left w:val="nil"/>
              <w:bottom w:val="nil"/>
              <w:right w:val="nil"/>
            </w:tcBorders>
            <w:tcMar>
              <w:left w:w="105" w:type="dxa"/>
              <w:right w:w="105" w:type="dxa"/>
            </w:tcMar>
          </w:tcPr>
          <w:p w14:paraId="21F0A91D" w14:textId="284D6E31" w:rsidR="252F9B59" w:rsidRDefault="252F9B59" w:rsidP="252F9B59">
            <w:pPr>
              <w:spacing w:line="259" w:lineRule="auto"/>
              <w:ind w:left="284"/>
              <w:rPr>
                <w:rFonts w:eastAsia="Calibri"/>
                <w:sz w:val="22"/>
                <w:szCs w:val="22"/>
              </w:rPr>
            </w:pPr>
            <w:r w:rsidRPr="5C993E2C">
              <w:rPr>
                <w:rFonts w:eastAsia="Calibri"/>
                <w:sz w:val="22"/>
                <w:szCs w:val="22"/>
              </w:rPr>
              <w:t>25-29</w:t>
            </w:r>
          </w:p>
        </w:tc>
        <w:tc>
          <w:tcPr>
            <w:tcW w:w="1605" w:type="dxa"/>
            <w:tcBorders>
              <w:top w:val="nil"/>
              <w:left w:val="nil"/>
              <w:bottom w:val="nil"/>
              <w:right w:val="nil"/>
            </w:tcBorders>
            <w:shd w:val="clear" w:color="auto" w:fill="FFFFFF" w:themeFill="background1"/>
            <w:tcMar>
              <w:left w:w="105" w:type="dxa"/>
              <w:right w:w="105" w:type="dxa"/>
            </w:tcMar>
            <w:vAlign w:val="bottom"/>
          </w:tcPr>
          <w:p w14:paraId="139B932A" w14:textId="149AF35E"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451 (13.8%)</w:t>
            </w:r>
          </w:p>
        </w:tc>
        <w:tc>
          <w:tcPr>
            <w:tcW w:w="1515" w:type="dxa"/>
            <w:tcBorders>
              <w:top w:val="nil"/>
              <w:left w:val="nil"/>
              <w:bottom w:val="nil"/>
              <w:right w:val="nil"/>
            </w:tcBorders>
            <w:shd w:val="clear" w:color="auto" w:fill="FFFFFF" w:themeFill="background1"/>
            <w:tcMar>
              <w:left w:w="105" w:type="dxa"/>
              <w:right w:w="105" w:type="dxa"/>
            </w:tcMar>
            <w:vAlign w:val="bottom"/>
          </w:tcPr>
          <w:p w14:paraId="61172623" w14:textId="40D52F9A"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448 (14.0%)</w:t>
            </w:r>
          </w:p>
        </w:tc>
        <w:tc>
          <w:tcPr>
            <w:tcW w:w="1410" w:type="dxa"/>
            <w:tcBorders>
              <w:top w:val="nil"/>
              <w:left w:val="nil"/>
              <w:bottom w:val="nil"/>
              <w:right w:val="nil"/>
            </w:tcBorders>
            <w:shd w:val="clear" w:color="auto" w:fill="FFFFFF" w:themeFill="background1"/>
            <w:tcMar>
              <w:left w:w="105" w:type="dxa"/>
              <w:right w:w="105" w:type="dxa"/>
            </w:tcMar>
            <w:vAlign w:val="bottom"/>
          </w:tcPr>
          <w:p w14:paraId="48C7217E" w14:textId="1F6C0053"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w:t>
            </w:r>
            <w:r w:rsidR="00CE31C2">
              <w:rPr>
                <w:rFonts w:eastAsia="Calibri"/>
                <w:color w:val="000000" w:themeColor="text1"/>
                <w:sz w:val="22"/>
                <w:szCs w:val="22"/>
              </w:rPr>
              <w:t>1</w:t>
            </w:r>
          </w:p>
        </w:tc>
      </w:tr>
      <w:tr w:rsidR="252F9B59" w14:paraId="1B67D1AB" w14:textId="77777777" w:rsidTr="252F9B59">
        <w:trPr>
          <w:trHeight w:val="300"/>
        </w:trPr>
        <w:tc>
          <w:tcPr>
            <w:tcW w:w="4815" w:type="dxa"/>
            <w:tcBorders>
              <w:top w:val="nil"/>
              <w:left w:val="nil"/>
              <w:bottom w:val="nil"/>
              <w:right w:val="nil"/>
            </w:tcBorders>
            <w:tcMar>
              <w:left w:w="105" w:type="dxa"/>
              <w:right w:w="105" w:type="dxa"/>
            </w:tcMar>
          </w:tcPr>
          <w:p w14:paraId="32F412D3" w14:textId="2D4798A1" w:rsidR="252F9B59" w:rsidRDefault="252F9B59" w:rsidP="252F9B59">
            <w:pPr>
              <w:spacing w:line="259" w:lineRule="auto"/>
              <w:ind w:left="284"/>
              <w:rPr>
                <w:rFonts w:eastAsia="Calibri"/>
                <w:sz w:val="22"/>
                <w:szCs w:val="22"/>
              </w:rPr>
            </w:pPr>
            <w:r w:rsidRPr="5C993E2C">
              <w:rPr>
                <w:rFonts w:eastAsia="Calibri"/>
                <w:sz w:val="22"/>
                <w:szCs w:val="22"/>
              </w:rPr>
              <w:t>30-39</w:t>
            </w:r>
          </w:p>
        </w:tc>
        <w:tc>
          <w:tcPr>
            <w:tcW w:w="1605" w:type="dxa"/>
            <w:tcBorders>
              <w:top w:val="nil"/>
              <w:left w:val="nil"/>
              <w:bottom w:val="nil"/>
              <w:right w:val="nil"/>
            </w:tcBorders>
            <w:shd w:val="clear" w:color="auto" w:fill="FFFFFF" w:themeFill="background1"/>
            <w:tcMar>
              <w:left w:w="105" w:type="dxa"/>
              <w:right w:w="105" w:type="dxa"/>
            </w:tcMar>
            <w:vAlign w:val="bottom"/>
          </w:tcPr>
          <w:p w14:paraId="30C6F6C5" w14:textId="77F5506D"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1,146 (35.1%)</w:t>
            </w:r>
          </w:p>
        </w:tc>
        <w:tc>
          <w:tcPr>
            <w:tcW w:w="1515" w:type="dxa"/>
            <w:tcBorders>
              <w:top w:val="nil"/>
              <w:left w:val="nil"/>
              <w:bottom w:val="nil"/>
              <w:right w:val="nil"/>
            </w:tcBorders>
            <w:shd w:val="clear" w:color="auto" w:fill="FFFFFF" w:themeFill="background1"/>
            <w:tcMar>
              <w:left w:w="105" w:type="dxa"/>
              <w:right w:w="105" w:type="dxa"/>
            </w:tcMar>
            <w:vAlign w:val="bottom"/>
          </w:tcPr>
          <w:p w14:paraId="64657F63" w14:textId="21D14724"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1,122 (35.0%)</w:t>
            </w:r>
          </w:p>
        </w:tc>
        <w:tc>
          <w:tcPr>
            <w:tcW w:w="1410" w:type="dxa"/>
            <w:tcBorders>
              <w:top w:val="nil"/>
              <w:left w:val="nil"/>
              <w:bottom w:val="nil"/>
              <w:right w:val="nil"/>
            </w:tcBorders>
            <w:shd w:val="clear" w:color="auto" w:fill="FFFFFF" w:themeFill="background1"/>
            <w:tcMar>
              <w:left w:w="105" w:type="dxa"/>
              <w:right w:w="105" w:type="dxa"/>
            </w:tcMar>
            <w:vAlign w:val="bottom"/>
          </w:tcPr>
          <w:p w14:paraId="337D3CBD" w14:textId="43371FF8"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0.001</w:t>
            </w:r>
          </w:p>
        </w:tc>
      </w:tr>
      <w:tr w:rsidR="252F9B59" w14:paraId="67AAD79C" w14:textId="77777777" w:rsidTr="252F9B59">
        <w:trPr>
          <w:trHeight w:val="300"/>
        </w:trPr>
        <w:tc>
          <w:tcPr>
            <w:tcW w:w="4815" w:type="dxa"/>
            <w:tcBorders>
              <w:top w:val="nil"/>
              <w:left w:val="nil"/>
              <w:bottom w:val="nil"/>
              <w:right w:val="nil"/>
            </w:tcBorders>
            <w:tcMar>
              <w:left w:w="105" w:type="dxa"/>
              <w:right w:w="105" w:type="dxa"/>
            </w:tcMar>
          </w:tcPr>
          <w:p w14:paraId="3CD21B27" w14:textId="2C96F7CE" w:rsidR="252F9B59" w:rsidRDefault="252F9B59" w:rsidP="252F9B59">
            <w:pPr>
              <w:spacing w:line="259" w:lineRule="auto"/>
              <w:ind w:left="284"/>
              <w:rPr>
                <w:rFonts w:eastAsia="Calibri"/>
                <w:sz w:val="22"/>
                <w:szCs w:val="22"/>
              </w:rPr>
            </w:pPr>
            <w:r w:rsidRPr="5C993E2C">
              <w:rPr>
                <w:rFonts w:eastAsia="Calibri"/>
                <w:sz w:val="22"/>
                <w:szCs w:val="22"/>
              </w:rPr>
              <w:t>40-49</w:t>
            </w:r>
          </w:p>
        </w:tc>
        <w:tc>
          <w:tcPr>
            <w:tcW w:w="1605" w:type="dxa"/>
            <w:tcBorders>
              <w:top w:val="nil"/>
              <w:left w:val="nil"/>
              <w:bottom w:val="nil"/>
              <w:right w:val="nil"/>
            </w:tcBorders>
            <w:shd w:val="clear" w:color="auto" w:fill="FFFFFF" w:themeFill="background1"/>
            <w:tcMar>
              <w:left w:w="105" w:type="dxa"/>
              <w:right w:w="105" w:type="dxa"/>
            </w:tcMar>
            <w:vAlign w:val="bottom"/>
          </w:tcPr>
          <w:p w14:paraId="6A361063" w14:textId="4F2D574A"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573 (17.5%)</w:t>
            </w:r>
          </w:p>
        </w:tc>
        <w:tc>
          <w:tcPr>
            <w:tcW w:w="1515" w:type="dxa"/>
            <w:tcBorders>
              <w:top w:val="nil"/>
              <w:left w:val="nil"/>
              <w:bottom w:val="nil"/>
              <w:right w:val="nil"/>
            </w:tcBorders>
            <w:shd w:val="clear" w:color="auto" w:fill="FFFFFF" w:themeFill="background1"/>
            <w:tcMar>
              <w:left w:w="105" w:type="dxa"/>
              <w:right w:w="105" w:type="dxa"/>
            </w:tcMar>
            <w:vAlign w:val="bottom"/>
          </w:tcPr>
          <w:p w14:paraId="1DBB3C05" w14:textId="7F62CDDB"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562 (17.5%)</w:t>
            </w:r>
          </w:p>
        </w:tc>
        <w:tc>
          <w:tcPr>
            <w:tcW w:w="1410" w:type="dxa"/>
            <w:tcBorders>
              <w:top w:val="nil"/>
              <w:left w:val="nil"/>
              <w:bottom w:val="nil"/>
              <w:right w:val="nil"/>
            </w:tcBorders>
            <w:shd w:val="clear" w:color="auto" w:fill="FFFFFF" w:themeFill="background1"/>
            <w:tcMar>
              <w:left w:w="105" w:type="dxa"/>
              <w:right w:w="105" w:type="dxa"/>
            </w:tcMar>
            <w:vAlign w:val="bottom"/>
          </w:tcPr>
          <w:p w14:paraId="5D1B9304" w14:textId="724BAA71"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w:t>
            </w:r>
          </w:p>
        </w:tc>
      </w:tr>
      <w:tr w:rsidR="252F9B59" w14:paraId="2610DCB6" w14:textId="77777777" w:rsidTr="252F9B59">
        <w:trPr>
          <w:trHeight w:val="300"/>
        </w:trPr>
        <w:tc>
          <w:tcPr>
            <w:tcW w:w="4815" w:type="dxa"/>
            <w:tcBorders>
              <w:top w:val="nil"/>
              <w:left w:val="nil"/>
              <w:bottom w:val="nil"/>
              <w:right w:val="nil"/>
            </w:tcBorders>
            <w:tcMar>
              <w:left w:w="105" w:type="dxa"/>
              <w:right w:w="105" w:type="dxa"/>
            </w:tcMar>
          </w:tcPr>
          <w:p w14:paraId="30EB3122" w14:textId="779E4DBF" w:rsidR="252F9B59" w:rsidRDefault="63DE25D9" w:rsidP="252F9B59">
            <w:pPr>
              <w:spacing w:line="259" w:lineRule="auto"/>
              <w:ind w:left="284"/>
              <w:rPr>
                <w:rFonts w:eastAsia="Calibri"/>
                <w:sz w:val="22"/>
                <w:szCs w:val="22"/>
              </w:rPr>
            </w:pPr>
            <w:r w:rsidRPr="5C993E2C">
              <w:rPr>
                <w:sz w:val="22"/>
                <w:szCs w:val="22"/>
              </w:rPr>
              <w:t xml:space="preserve">≥ </w:t>
            </w:r>
            <w:r w:rsidR="252F9B59" w:rsidRPr="5C993E2C">
              <w:rPr>
                <w:rFonts w:eastAsia="Calibri"/>
                <w:sz w:val="22"/>
                <w:szCs w:val="22"/>
              </w:rPr>
              <w:t>50</w:t>
            </w:r>
          </w:p>
        </w:tc>
        <w:tc>
          <w:tcPr>
            <w:tcW w:w="1605" w:type="dxa"/>
            <w:tcBorders>
              <w:top w:val="nil"/>
              <w:left w:val="nil"/>
              <w:bottom w:val="nil"/>
              <w:right w:val="nil"/>
            </w:tcBorders>
            <w:shd w:val="clear" w:color="auto" w:fill="FFFFFF" w:themeFill="background1"/>
            <w:tcMar>
              <w:left w:w="105" w:type="dxa"/>
              <w:right w:w="105" w:type="dxa"/>
            </w:tcMar>
            <w:vAlign w:val="bottom"/>
          </w:tcPr>
          <w:p w14:paraId="47DD3FA5" w14:textId="4E67DB5A"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677 (20.7%)</w:t>
            </w:r>
          </w:p>
        </w:tc>
        <w:tc>
          <w:tcPr>
            <w:tcW w:w="1515" w:type="dxa"/>
            <w:tcBorders>
              <w:top w:val="nil"/>
              <w:left w:val="nil"/>
              <w:bottom w:val="nil"/>
              <w:right w:val="nil"/>
            </w:tcBorders>
            <w:shd w:val="clear" w:color="auto" w:fill="FFFFFF" w:themeFill="background1"/>
            <w:tcMar>
              <w:left w:w="105" w:type="dxa"/>
              <w:right w:w="105" w:type="dxa"/>
            </w:tcMar>
            <w:vAlign w:val="bottom"/>
          </w:tcPr>
          <w:p w14:paraId="2E0ABE9B" w14:textId="5E111356"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654 (20.4%)</w:t>
            </w:r>
          </w:p>
        </w:tc>
        <w:tc>
          <w:tcPr>
            <w:tcW w:w="1410" w:type="dxa"/>
            <w:tcBorders>
              <w:top w:val="nil"/>
              <w:left w:val="nil"/>
              <w:bottom w:val="nil"/>
              <w:right w:val="nil"/>
            </w:tcBorders>
            <w:shd w:val="clear" w:color="auto" w:fill="FFFFFF" w:themeFill="background1"/>
            <w:tcMar>
              <w:left w:w="105" w:type="dxa"/>
              <w:right w:w="105" w:type="dxa"/>
            </w:tcMar>
            <w:vAlign w:val="bottom"/>
          </w:tcPr>
          <w:p w14:paraId="5CBAA7D0" w14:textId="0D553E02"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w:t>
            </w:r>
            <w:r w:rsidR="00CE31C2">
              <w:rPr>
                <w:rFonts w:eastAsia="Calibri"/>
                <w:color w:val="000000" w:themeColor="text1"/>
                <w:sz w:val="22"/>
                <w:szCs w:val="22"/>
              </w:rPr>
              <w:t>1</w:t>
            </w:r>
          </w:p>
        </w:tc>
      </w:tr>
      <w:tr w:rsidR="252F9B59" w14:paraId="06682D90" w14:textId="77777777" w:rsidTr="252F9B59">
        <w:trPr>
          <w:trHeight w:val="300"/>
        </w:trPr>
        <w:tc>
          <w:tcPr>
            <w:tcW w:w="4815" w:type="dxa"/>
            <w:tcBorders>
              <w:top w:val="nil"/>
              <w:left w:val="nil"/>
              <w:bottom w:val="nil"/>
              <w:right w:val="nil"/>
            </w:tcBorders>
            <w:tcMar>
              <w:left w:w="105" w:type="dxa"/>
              <w:right w:w="105" w:type="dxa"/>
            </w:tcMar>
          </w:tcPr>
          <w:p w14:paraId="0508ADC8" w14:textId="12418ADD" w:rsidR="252F9B59" w:rsidRDefault="252F9B59" w:rsidP="252F9B59">
            <w:pPr>
              <w:spacing w:line="259" w:lineRule="auto"/>
              <w:rPr>
                <w:rFonts w:eastAsia="Calibri"/>
                <w:sz w:val="22"/>
                <w:szCs w:val="22"/>
              </w:rPr>
            </w:pPr>
            <w:r w:rsidRPr="5C993E2C">
              <w:rPr>
                <w:rFonts w:eastAsia="Calibri"/>
                <w:sz w:val="22"/>
                <w:szCs w:val="22"/>
              </w:rPr>
              <w:t>Geographic region</w:t>
            </w:r>
          </w:p>
        </w:tc>
        <w:tc>
          <w:tcPr>
            <w:tcW w:w="1605" w:type="dxa"/>
            <w:tcBorders>
              <w:top w:val="nil"/>
              <w:left w:val="nil"/>
              <w:bottom w:val="nil"/>
              <w:right w:val="nil"/>
            </w:tcBorders>
            <w:tcMar>
              <w:left w:w="105" w:type="dxa"/>
              <w:right w:w="105" w:type="dxa"/>
            </w:tcMar>
          </w:tcPr>
          <w:p w14:paraId="3B305E31" w14:textId="1A018FCE" w:rsidR="252F9B59" w:rsidRDefault="252F9B59" w:rsidP="252F9B59">
            <w:pPr>
              <w:spacing w:line="259" w:lineRule="auto"/>
              <w:jc w:val="center"/>
              <w:rPr>
                <w:rFonts w:eastAsia="Calibri"/>
                <w:color w:val="BFBFBF" w:themeColor="background1" w:themeShade="BF"/>
                <w:sz w:val="22"/>
                <w:szCs w:val="22"/>
              </w:rPr>
            </w:pPr>
          </w:p>
        </w:tc>
        <w:tc>
          <w:tcPr>
            <w:tcW w:w="1515" w:type="dxa"/>
            <w:tcBorders>
              <w:top w:val="nil"/>
              <w:left w:val="nil"/>
              <w:bottom w:val="nil"/>
              <w:right w:val="nil"/>
            </w:tcBorders>
            <w:tcMar>
              <w:left w:w="105" w:type="dxa"/>
              <w:right w:w="105" w:type="dxa"/>
            </w:tcMar>
          </w:tcPr>
          <w:p w14:paraId="47E5439D" w14:textId="2EBD1BFE" w:rsidR="252F9B59" w:rsidRDefault="252F9B59" w:rsidP="252F9B59">
            <w:pPr>
              <w:spacing w:line="259" w:lineRule="auto"/>
              <w:jc w:val="center"/>
              <w:rPr>
                <w:rFonts w:eastAsia="Calibri"/>
                <w:color w:val="BFBFBF" w:themeColor="background1" w:themeShade="BF"/>
                <w:sz w:val="22"/>
                <w:szCs w:val="22"/>
              </w:rPr>
            </w:pPr>
          </w:p>
        </w:tc>
        <w:tc>
          <w:tcPr>
            <w:tcW w:w="1410" w:type="dxa"/>
            <w:tcBorders>
              <w:top w:val="nil"/>
              <w:left w:val="nil"/>
              <w:bottom w:val="nil"/>
              <w:right w:val="nil"/>
            </w:tcBorders>
            <w:tcMar>
              <w:left w:w="105" w:type="dxa"/>
              <w:right w:w="105" w:type="dxa"/>
            </w:tcMar>
          </w:tcPr>
          <w:p w14:paraId="4C798B1D" w14:textId="7F54E029" w:rsidR="252F9B59" w:rsidRDefault="252F9B59" w:rsidP="252F9B59">
            <w:pPr>
              <w:spacing w:line="259" w:lineRule="auto"/>
              <w:jc w:val="center"/>
              <w:rPr>
                <w:rFonts w:eastAsia="Calibri"/>
                <w:color w:val="BFBFBF" w:themeColor="background1" w:themeShade="BF"/>
                <w:sz w:val="22"/>
                <w:szCs w:val="22"/>
              </w:rPr>
            </w:pPr>
          </w:p>
        </w:tc>
      </w:tr>
      <w:tr w:rsidR="252F9B59" w14:paraId="427AC7C4" w14:textId="77777777" w:rsidTr="252F9B59">
        <w:trPr>
          <w:trHeight w:val="300"/>
        </w:trPr>
        <w:tc>
          <w:tcPr>
            <w:tcW w:w="4815" w:type="dxa"/>
            <w:tcBorders>
              <w:top w:val="nil"/>
              <w:left w:val="nil"/>
              <w:bottom w:val="nil"/>
              <w:right w:val="nil"/>
            </w:tcBorders>
            <w:tcMar>
              <w:left w:w="105" w:type="dxa"/>
              <w:right w:w="105" w:type="dxa"/>
            </w:tcMar>
          </w:tcPr>
          <w:p w14:paraId="69177833" w14:textId="193C339A" w:rsidR="252F9B59" w:rsidRDefault="252F9B59" w:rsidP="252F9B59">
            <w:pPr>
              <w:spacing w:line="259" w:lineRule="auto"/>
              <w:ind w:left="284"/>
              <w:rPr>
                <w:rFonts w:eastAsia="Calibri"/>
                <w:sz w:val="22"/>
                <w:szCs w:val="22"/>
              </w:rPr>
            </w:pPr>
            <w:r w:rsidRPr="5C993E2C">
              <w:rPr>
                <w:rFonts w:eastAsia="Calibri"/>
                <w:sz w:val="22"/>
                <w:szCs w:val="22"/>
              </w:rPr>
              <w:t>Toronto</w:t>
            </w:r>
          </w:p>
        </w:tc>
        <w:tc>
          <w:tcPr>
            <w:tcW w:w="1605" w:type="dxa"/>
            <w:tcBorders>
              <w:top w:val="nil"/>
              <w:left w:val="nil"/>
              <w:bottom w:val="nil"/>
              <w:right w:val="nil"/>
            </w:tcBorders>
            <w:shd w:val="clear" w:color="auto" w:fill="FFFFFF" w:themeFill="background1"/>
            <w:tcMar>
              <w:left w:w="105" w:type="dxa"/>
              <w:right w:w="105" w:type="dxa"/>
            </w:tcMar>
            <w:vAlign w:val="bottom"/>
          </w:tcPr>
          <w:p w14:paraId="7E0204A7" w14:textId="3A2524B1"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2,135 (65.3%)</w:t>
            </w:r>
          </w:p>
        </w:tc>
        <w:tc>
          <w:tcPr>
            <w:tcW w:w="1515" w:type="dxa"/>
            <w:tcBorders>
              <w:top w:val="nil"/>
              <w:left w:val="nil"/>
              <w:bottom w:val="nil"/>
              <w:right w:val="nil"/>
            </w:tcBorders>
            <w:shd w:val="clear" w:color="auto" w:fill="FFFFFF" w:themeFill="background1"/>
            <w:tcMar>
              <w:left w:w="105" w:type="dxa"/>
              <w:right w:w="105" w:type="dxa"/>
            </w:tcMar>
            <w:vAlign w:val="bottom"/>
          </w:tcPr>
          <w:p w14:paraId="27349C07" w14:textId="3218E4D0"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2,117 (66.1%)</w:t>
            </w:r>
          </w:p>
        </w:tc>
        <w:tc>
          <w:tcPr>
            <w:tcW w:w="1410" w:type="dxa"/>
            <w:tcBorders>
              <w:top w:val="nil"/>
              <w:left w:val="nil"/>
              <w:bottom w:val="nil"/>
              <w:right w:val="nil"/>
            </w:tcBorders>
            <w:shd w:val="clear" w:color="auto" w:fill="FFFFFF" w:themeFill="background1"/>
            <w:tcMar>
              <w:left w:w="105" w:type="dxa"/>
              <w:right w:w="105" w:type="dxa"/>
            </w:tcMar>
            <w:vAlign w:val="bottom"/>
          </w:tcPr>
          <w:p w14:paraId="082F5F80" w14:textId="1A387BA4"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w:t>
            </w:r>
            <w:r w:rsidR="00CE31C2">
              <w:rPr>
                <w:rFonts w:eastAsia="Calibri"/>
                <w:color w:val="000000" w:themeColor="text1"/>
                <w:sz w:val="22"/>
                <w:szCs w:val="22"/>
              </w:rPr>
              <w:t>2</w:t>
            </w:r>
          </w:p>
        </w:tc>
      </w:tr>
      <w:tr w:rsidR="252F9B59" w14:paraId="02B9248E" w14:textId="77777777" w:rsidTr="252F9B59">
        <w:trPr>
          <w:trHeight w:val="300"/>
        </w:trPr>
        <w:tc>
          <w:tcPr>
            <w:tcW w:w="4815" w:type="dxa"/>
            <w:tcBorders>
              <w:top w:val="nil"/>
              <w:left w:val="nil"/>
              <w:bottom w:val="nil"/>
              <w:right w:val="nil"/>
            </w:tcBorders>
            <w:tcMar>
              <w:left w:w="105" w:type="dxa"/>
              <w:right w:w="105" w:type="dxa"/>
            </w:tcMar>
          </w:tcPr>
          <w:p w14:paraId="3A188D78" w14:textId="40CBEFF1" w:rsidR="252F9B59" w:rsidRDefault="252F9B59" w:rsidP="252F9B59">
            <w:pPr>
              <w:spacing w:line="259" w:lineRule="auto"/>
              <w:ind w:left="284"/>
              <w:rPr>
                <w:rFonts w:eastAsia="Calibri"/>
                <w:sz w:val="22"/>
                <w:szCs w:val="22"/>
              </w:rPr>
            </w:pPr>
            <w:r w:rsidRPr="5C993E2C">
              <w:rPr>
                <w:rFonts w:eastAsia="Calibri"/>
                <w:sz w:val="22"/>
                <w:szCs w:val="22"/>
              </w:rPr>
              <w:t>Peel, York, Durham, Halton</w:t>
            </w:r>
          </w:p>
        </w:tc>
        <w:tc>
          <w:tcPr>
            <w:tcW w:w="1605" w:type="dxa"/>
            <w:tcBorders>
              <w:top w:val="nil"/>
              <w:left w:val="nil"/>
              <w:bottom w:val="nil"/>
              <w:right w:val="nil"/>
            </w:tcBorders>
            <w:shd w:val="clear" w:color="auto" w:fill="FFFFFF" w:themeFill="background1"/>
            <w:tcMar>
              <w:left w:w="105" w:type="dxa"/>
              <w:right w:w="105" w:type="dxa"/>
            </w:tcMar>
            <w:vAlign w:val="bottom"/>
          </w:tcPr>
          <w:p w14:paraId="6F0043FA" w14:textId="5384919D"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354 (10.8%)</w:t>
            </w:r>
          </w:p>
        </w:tc>
        <w:tc>
          <w:tcPr>
            <w:tcW w:w="1515" w:type="dxa"/>
            <w:tcBorders>
              <w:top w:val="nil"/>
              <w:left w:val="nil"/>
              <w:bottom w:val="nil"/>
              <w:right w:val="nil"/>
            </w:tcBorders>
            <w:shd w:val="clear" w:color="auto" w:fill="FFFFFF" w:themeFill="background1"/>
            <w:tcMar>
              <w:left w:w="105" w:type="dxa"/>
              <w:right w:w="105" w:type="dxa"/>
            </w:tcMar>
            <w:vAlign w:val="bottom"/>
          </w:tcPr>
          <w:p w14:paraId="0D3535D8" w14:textId="220B73B4"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345 (10.8%)</w:t>
            </w:r>
          </w:p>
        </w:tc>
        <w:tc>
          <w:tcPr>
            <w:tcW w:w="1410" w:type="dxa"/>
            <w:tcBorders>
              <w:top w:val="nil"/>
              <w:left w:val="nil"/>
              <w:bottom w:val="nil"/>
              <w:right w:val="nil"/>
            </w:tcBorders>
            <w:shd w:val="clear" w:color="auto" w:fill="FFFFFF" w:themeFill="background1"/>
            <w:tcMar>
              <w:left w:w="105" w:type="dxa"/>
              <w:right w:w="105" w:type="dxa"/>
            </w:tcMar>
            <w:vAlign w:val="bottom"/>
          </w:tcPr>
          <w:p w14:paraId="3063936B" w14:textId="7DA4CD53"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0.002</w:t>
            </w:r>
          </w:p>
        </w:tc>
      </w:tr>
      <w:tr w:rsidR="252F9B59" w14:paraId="11EFA7A3" w14:textId="77777777" w:rsidTr="252F9B59">
        <w:trPr>
          <w:trHeight w:val="300"/>
        </w:trPr>
        <w:tc>
          <w:tcPr>
            <w:tcW w:w="4815" w:type="dxa"/>
            <w:tcBorders>
              <w:top w:val="nil"/>
              <w:left w:val="nil"/>
              <w:bottom w:val="nil"/>
              <w:right w:val="nil"/>
            </w:tcBorders>
            <w:tcMar>
              <w:left w:w="105" w:type="dxa"/>
              <w:right w:w="105" w:type="dxa"/>
            </w:tcMar>
          </w:tcPr>
          <w:p w14:paraId="1E071F5E" w14:textId="3C81E3A5" w:rsidR="252F9B59" w:rsidRDefault="252F9B59" w:rsidP="252F9B59">
            <w:pPr>
              <w:spacing w:line="259" w:lineRule="auto"/>
              <w:ind w:left="284"/>
              <w:rPr>
                <w:rFonts w:eastAsia="Calibri"/>
                <w:sz w:val="22"/>
                <w:szCs w:val="22"/>
              </w:rPr>
            </w:pPr>
            <w:r w:rsidRPr="5C993E2C">
              <w:rPr>
                <w:rFonts w:eastAsia="Calibri"/>
                <w:sz w:val="22"/>
                <w:szCs w:val="22"/>
              </w:rPr>
              <w:t>Hamilton, Niagara, London, Windsor</w:t>
            </w:r>
          </w:p>
        </w:tc>
        <w:tc>
          <w:tcPr>
            <w:tcW w:w="1605" w:type="dxa"/>
            <w:tcBorders>
              <w:top w:val="nil"/>
              <w:left w:val="nil"/>
              <w:bottom w:val="nil"/>
              <w:right w:val="nil"/>
            </w:tcBorders>
            <w:shd w:val="clear" w:color="auto" w:fill="FFFFFF" w:themeFill="background1"/>
            <w:tcMar>
              <w:left w:w="105" w:type="dxa"/>
              <w:right w:w="105" w:type="dxa"/>
            </w:tcMar>
            <w:vAlign w:val="bottom"/>
          </w:tcPr>
          <w:p w14:paraId="2EA75E8C" w14:textId="37925727"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216 (6.6%)</w:t>
            </w:r>
          </w:p>
        </w:tc>
        <w:tc>
          <w:tcPr>
            <w:tcW w:w="1515" w:type="dxa"/>
            <w:tcBorders>
              <w:top w:val="nil"/>
              <w:left w:val="nil"/>
              <w:bottom w:val="nil"/>
              <w:right w:val="nil"/>
            </w:tcBorders>
            <w:shd w:val="clear" w:color="auto" w:fill="FFFFFF" w:themeFill="background1"/>
            <w:tcMar>
              <w:left w:w="105" w:type="dxa"/>
              <w:right w:w="105" w:type="dxa"/>
            </w:tcMar>
            <w:vAlign w:val="bottom"/>
          </w:tcPr>
          <w:p w14:paraId="48274904" w14:textId="3F3B4E1A"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212 (6.6%)</w:t>
            </w:r>
          </w:p>
        </w:tc>
        <w:tc>
          <w:tcPr>
            <w:tcW w:w="1410" w:type="dxa"/>
            <w:tcBorders>
              <w:top w:val="nil"/>
              <w:left w:val="nil"/>
              <w:bottom w:val="nil"/>
              <w:right w:val="nil"/>
            </w:tcBorders>
            <w:shd w:val="clear" w:color="auto" w:fill="FFFFFF" w:themeFill="background1"/>
            <w:tcMar>
              <w:left w:w="105" w:type="dxa"/>
              <w:right w:w="105" w:type="dxa"/>
            </w:tcMar>
            <w:vAlign w:val="bottom"/>
          </w:tcPr>
          <w:p w14:paraId="5FDC99DA" w14:textId="36DEA337"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w:t>
            </w:r>
          </w:p>
        </w:tc>
      </w:tr>
      <w:tr w:rsidR="252F9B59" w14:paraId="05F8362E" w14:textId="77777777" w:rsidTr="252F9B59">
        <w:trPr>
          <w:trHeight w:val="300"/>
        </w:trPr>
        <w:tc>
          <w:tcPr>
            <w:tcW w:w="4815" w:type="dxa"/>
            <w:tcBorders>
              <w:top w:val="nil"/>
              <w:left w:val="nil"/>
              <w:bottom w:val="nil"/>
              <w:right w:val="nil"/>
            </w:tcBorders>
            <w:tcMar>
              <w:left w:w="105" w:type="dxa"/>
              <w:right w:w="105" w:type="dxa"/>
            </w:tcMar>
          </w:tcPr>
          <w:p w14:paraId="62215D12" w14:textId="463A0F43" w:rsidR="252F9B59" w:rsidRDefault="252F9B59" w:rsidP="252F9B59">
            <w:pPr>
              <w:spacing w:line="259" w:lineRule="auto"/>
              <w:ind w:left="284"/>
              <w:rPr>
                <w:rFonts w:eastAsia="Calibri"/>
                <w:sz w:val="22"/>
                <w:szCs w:val="22"/>
              </w:rPr>
            </w:pPr>
            <w:r w:rsidRPr="5C993E2C">
              <w:rPr>
                <w:rFonts w:eastAsia="Calibri"/>
                <w:sz w:val="22"/>
                <w:szCs w:val="22"/>
              </w:rPr>
              <w:t>Ottawa</w:t>
            </w:r>
          </w:p>
        </w:tc>
        <w:tc>
          <w:tcPr>
            <w:tcW w:w="1605" w:type="dxa"/>
            <w:tcBorders>
              <w:top w:val="nil"/>
              <w:left w:val="nil"/>
              <w:bottom w:val="nil"/>
              <w:right w:val="nil"/>
            </w:tcBorders>
            <w:shd w:val="clear" w:color="auto" w:fill="FFFFFF" w:themeFill="background1"/>
            <w:tcMar>
              <w:left w:w="105" w:type="dxa"/>
              <w:right w:w="105" w:type="dxa"/>
            </w:tcMar>
            <w:vAlign w:val="bottom"/>
          </w:tcPr>
          <w:p w14:paraId="0E83FA1E" w14:textId="7977C488"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272 (8.3%)</w:t>
            </w:r>
          </w:p>
        </w:tc>
        <w:tc>
          <w:tcPr>
            <w:tcW w:w="1515" w:type="dxa"/>
            <w:tcBorders>
              <w:top w:val="nil"/>
              <w:left w:val="nil"/>
              <w:bottom w:val="nil"/>
              <w:right w:val="nil"/>
            </w:tcBorders>
            <w:shd w:val="clear" w:color="auto" w:fill="FFFFFF" w:themeFill="background1"/>
            <w:tcMar>
              <w:left w:w="105" w:type="dxa"/>
              <w:right w:w="105" w:type="dxa"/>
            </w:tcMar>
            <w:vAlign w:val="bottom"/>
          </w:tcPr>
          <w:p w14:paraId="53B46CAC" w14:textId="4CE280E7"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247 (7.7%)</w:t>
            </w:r>
          </w:p>
        </w:tc>
        <w:tc>
          <w:tcPr>
            <w:tcW w:w="1410" w:type="dxa"/>
            <w:tcBorders>
              <w:top w:val="nil"/>
              <w:left w:val="nil"/>
              <w:bottom w:val="nil"/>
              <w:right w:val="nil"/>
            </w:tcBorders>
            <w:shd w:val="clear" w:color="auto" w:fill="FFFFFF" w:themeFill="background1"/>
            <w:tcMar>
              <w:left w:w="105" w:type="dxa"/>
              <w:right w:w="105" w:type="dxa"/>
            </w:tcMar>
            <w:vAlign w:val="bottom"/>
          </w:tcPr>
          <w:p w14:paraId="160146BF" w14:textId="03EBFCCD"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0.02</w:t>
            </w:r>
          </w:p>
        </w:tc>
      </w:tr>
      <w:tr w:rsidR="252F9B59" w14:paraId="1142A40B" w14:textId="77777777" w:rsidTr="252F9B59">
        <w:trPr>
          <w:trHeight w:val="300"/>
        </w:trPr>
        <w:tc>
          <w:tcPr>
            <w:tcW w:w="4815" w:type="dxa"/>
            <w:tcBorders>
              <w:top w:val="nil"/>
              <w:left w:val="nil"/>
              <w:bottom w:val="nil"/>
              <w:right w:val="nil"/>
            </w:tcBorders>
            <w:tcMar>
              <w:left w:w="105" w:type="dxa"/>
              <w:right w:w="105" w:type="dxa"/>
            </w:tcMar>
          </w:tcPr>
          <w:p w14:paraId="174B6AF0" w14:textId="3A72CDC6" w:rsidR="252F9B59" w:rsidRDefault="252F9B59" w:rsidP="252F9B59">
            <w:pPr>
              <w:spacing w:line="259" w:lineRule="auto"/>
              <w:ind w:left="284"/>
              <w:rPr>
                <w:rFonts w:eastAsia="Calibri"/>
                <w:sz w:val="22"/>
                <w:szCs w:val="22"/>
              </w:rPr>
            </w:pPr>
            <w:r w:rsidRPr="5C993E2C">
              <w:rPr>
                <w:rFonts w:eastAsia="Calibri"/>
                <w:sz w:val="22"/>
                <w:szCs w:val="22"/>
              </w:rPr>
              <w:t>Rest of Ontario</w:t>
            </w:r>
          </w:p>
        </w:tc>
        <w:tc>
          <w:tcPr>
            <w:tcW w:w="1605" w:type="dxa"/>
            <w:tcBorders>
              <w:top w:val="nil"/>
              <w:left w:val="nil"/>
              <w:bottom w:val="nil"/>
              <w:right w:val="nil"/>
            </w:tcBorders>
            <w:shd w:val="clear" w:color="auto" w:fill="FFFFFF" w:themeFill="background1"/>
            <w:tcMar>
              <w:left w:w="105" w:type="dxa"/>
              <w:right w:w="105" w:type="dxa"/>
            </w:tcMar>
            <w:vAlign w:val="bottom"/>
          </w:tcPr>
          <w:p w14:paraId="52707439" w14:textId="1C870634"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291 (8.9%)</w:t>
            </w:r>
          </w:p>
        </w:tc>
        <w:tc>
          <w:tcPr>
            <w:tcW w:w="1515" w:type="dxa"/>
            <w:tcBorders>
              <w:top w:val="nil"/>
              <w:left w:val="nil"/>
              <w:bottom w:val="nil"/>
              <w:right w:val="nil"/>
            </w:tcBorders>
            <w:shd w:val="clear" w:color="auto" w:fill="FFFFFF" w:themeFill="background1"/>
            <w:tcMar>
              <w:left w:w="105" w:type="dxa"/>
              <w:right w:w="105" w:type="dxa"/>
            </w:tcMar>
            <w:vAlign w:val="bottom"/>
          </w:tcPr>
          <w:p w14:paraId="24ABEC67" w14:textId="49EBFAA9"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283 (8.8%)</w:t>
            </w:r>
          </w:p>
        </w:tc>
        <w:tc>
          <w:tcPr>
            <w:tcW w:w="1410" w:type="dxa"/>
            <w:tcBorders>
              <w:top w:val="nil"/>
              <w:left w:val="nil"/>
              <w:bottom w:val="nil"/>
              <w:right w:val="nil"/>
            </w:tcBorders>
            <w:shd w:val="clear" w:color="auto" w:fill="FFFFFF" w:themeFill="background1"/>
            <w:tcMar>
              <w:left w:w="105" w:type="dxa"/>
              <w:right w:w="105" w:type="dxa"/>
            </w:tcMar>
            <w:vAlign w:val="bottom"/>
          </w:tcPr>
          <w:p w14:paraId="7B4581A9" w14:textId="38CDC4E9"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0.003</w:t>
            </w:r>
          </w:p>
        </w:tc>
      </w:tr>
      <w:tr w:rsidR="252F9B59" w14:paraId="272F9067" w14:textId="77777777" w:rsidTr="252F9B59">
        <w:trPr>
          <w:trHeight w:val="300"/>
        </w:trPr>
        <w:tc>
          <w:tcPr>
            <w:tcW w:w="4815" w:type="dxa"/>
            <w:tcBorders>
              <w:top w:val="nil"/>
              <w:left w:val="nil"/>
              <w:bottom w:val="nil"/>
              <w:right w:val="nil"/>
            </w:tcBorders>
            <w:tcMar>
              <w:left w:w="105" w:type="dxa"/>
              <w:right w:w="105" w:type="dxa"/>
            </w:tcMar>
          </w:tcPr>
          <w:p w14:paraId="21F44E10" w14:textId="3D137793" w:rsidR="252F9B59" w:rsidRDefault="252F9B59" w:rsidP="252F9B59">
            <w:pPr>
              <w:spacing w:line="259" w:lineRule="auto"/>
              <w:rPr>
                <w:rFonts w:eastAsia="Calibri"/>
                <w:sz w:val="22"/>
                <w:szCs w:val="22"/>
              </w:rPr>
            </w:pPr>
            <w:r w:rsidRPr="5C993E2C">
              <w:rPr>
                <w:rFonts w:eastAsia="Calibri"/>
                <w:sz w:val="22"/>
                <w:szCs w:val="22"/>
              </w:rPr>
              <w:t xml:space="preserve">Neighborhood income quintile </w:t>
            </w:r>
          </w:p>
        </w:tc>
        <w:tc>
          <w:tcPr>
            <w:tcW w:w="1605" w:type="dxa"/>
            <w:tcBorders>
              <w:top w:val="nil"/>
              <w:left w:val="nil"/>
              <w:bottom w:val="nil"/>
              <w:right w:val="nil"/>
            </w:tcBorders>
            <w:tcMar>
              <w:left w:w="105" w:type="dxa"/>
              <w:right w:w="105" w:type="dxa"/>
            </w:tcMar>
          </w:tcPr>
          <w:p w14:paraId="6FB67DA7" w14:textId="338A0904" w:rsidR="252F9B59" w:rsidRDefault="252F9B59" w:rsidP="252F9B59">
            <w:pPr>
              <w:spacing w:line="259" w:lineRule="auto"/>
              <w:jc w:val="center"/>
              <w:rPr>
                <w:rFonts w:eastAsia="Calibri"/>
                <w:color w:val="BFBFBF" w:themeColor="background1" w:themeShade="BF"/>
                <w:sz w:val="22"/>
                <w:szCs w:val="22"/>
              </w:rPr>
            </w:pPr>
          </w:p>
        </w:tc>
        <w:tc>
          <w:tcPr>
            <w:tcW w:w="1515" w:type="dxa"/>
            <w:tcBorders>
              <w:top w:val="nil"/>
              <w:left w:val="nil"/>
              <w:bottom w:val="nil"/>
              <w:right w:val="nil"/>
            </w:tcBorders>
            <w:tcMar>
              <w:left w:w="105" w:type="dxa"/>
              <w:right w:w="105" w:type="dxa"/>
            </w:tcMar>
          </w:tcPr>
          <w:p w14:paraId="7F090CAA" w14:textId="024262BB" w:rsidR="252F9B59" w:rsidRDefault="252F9B59" w:rsidP="252F9B59">
            <w:pPr>
              <w:spacing w:line="259" w:lineRule="auto"/>
              <w:jc w:val="center"/>
              <w:rPr>
                <w:rFonts w:eastAsia="Calibri"/>
                <w:color w:val="BFBFBF" w:themeColor="background1" w:themeShade="BF"/>
                <w:sz w:val="22"/>
                <w:szCs w:val="22"/>
              </w:rPr>
            </w:pPr>
          </w:p>
        </w:tc>
        <w:tc>
          <w:tcPr>
            <w:tcW w:w="1410" w:type="dxa"/>
            <w:tcBorders>
              <w:top w:val="nil"/>
              <w:left w:val="nil"/>
              <w:bottom w:val="nil"/>
              <w:right w:val="nil"/>
            </w:tcBorders>
            <w:tcMar>
              <w:left w:w="105" w:type="dxa"/>
              <w:right w:w="105" w:type="dxa"/>
            </w:tcMar>
          </w:tcPr>
          <w:p w14:paraId="5E35BA35" w14:textId="78D6BD26" w:rsidR="252F9B59" w:rsidRDefault="252F9B59" w:rsidP="252F9B59">
            <w:pPr>
              <w:spacing w:line="259" w:lineRule="auto"/>
              <w:jc w:val="center"/>
              <w:rPr>
                <w:rFonts w:eastAsia="Calibri"/>
                <w:color w:val="BFBFBF" w:themeColor="background1" w:themeShade="BF"/>
                <w:sz w:val="22"/>
                <w:szCs w:val="22"/>
              </w:rPr>
            </w:pPr>
          </w:p>
        </w:tc>
      </w:tr>
      <w:tr w:rsidR="252F9B59" w14:paraId="099B1E80" w14:textId="77777777" w:rsidTr="252F9B59">
        <w:trPr>
          <w:trHeight w:val="300"/>
        </w:trPr>
        <w:tc>
          <w:tcPr>
            <w:tcW w:w="4815" w:type="dxa"/>
            <w:tcBorders>
              <w:top w:val="nil"/>
              <w:left w:val="nil"/>
              <w:bottom w:val="nil"/>
              <w:right w:val="nil"/>
            </w:tcBorders>
            <w:tcMar>
              <w:left w:w="105" w:type="dxa"/>
              <w:right w:w="105" w:type="dxa"/>
            </w:tcMar>
          </w:tcPr>
          <w:p w14:paraId="2868AD82" w14:textId="269F2D7F" w:rsidR="252F9B59" w:rsidRDefault="252F9B59" w:rsidP="252F9B59">
            <w:pPr>
              <w:spacing w:line="259" w:lineRule="auto"/>
              <w:ind w:left="284"/>
              <w:rPr>
                <w:rFonts w:eastAsia="Calibri"/>
                <w:sz w:val="22"/>
                <w:szCs w:val="22"/>
              </w:rPr>
            </w:pPr>
            <w:r w:rsidRPr="5C993E2C">
              <w:rPr>
                <w:rFonts w:eastAsia="Calibri"/>
                <w:sz w:val="22"/>
                <w:szCs w:val="22"/>
              </w:rPr>
              <w:t>1 (lowest)</w:t>
            </w:r>
          </w:p>
        </w:tc>
        <w:tc>
          <w:tcPr>
            <w:tcW w:w="1605" w:type="dxa"/>
            <w:tcBorders>
              <w:top w:val="nil"/>
              <w:left w:val="nil"/>
              <w:bottom w:val="nil"/>
              <w:right w:val="nil"/>
            </w:tcBorders>
            <w:shd w:val="clear" w:color="auto" w:fill="FFFFFF" w:themeFill="background1"/>
            <w:tcMar>
              <w:left w:w="105" w:type="dxa"/>
              <w:right w:w="105" w:type="dxa"/>
            </w:tcMar>
            <w:vAlign w:val="bottom"/>
          </w:tcPr>
          <w:p w14:paraId="44D6AEE4" w14:textId="22D78B18"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815 (24.9%)</w:t>
            </w:r>
          </w:p>
        </w:tc>
        <w:tc>
          <w:tcPr>
            <w:tcW w:w="1515" w:type="dxa"/>
            <w:tcBorders>
              <w:top w:val="nil"/>
              <w:left w:val="nil"/>
              <w:bottom w:val="nil"/>
              <w:right w:val="nil"/>
            </w:tcBorders>
            <w:shd w:val="clear" w:color="auto" w:fill="FFFFFF" w:themeFill="background1"/>
            <w:tcMar>
              <w:left w:w="105" w:type="dxa"/>
              <w:right w:w="105" w:type="dxa"/>
            </w:tcMar>
            <w:vAlign w:val="bottom"/>
          </w:tcPr>
          <w:p w14:paraId="4DDEDFB5" w14:textId="507C49FD"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794 (24.8%)</w:t>
            </w:r>
          </w:p>
        </w:tc>
        <w:tc>
          <w:tcPr>
            <w:tcW w:w="1410" w:type="dxa"/>
            <w:tcBorders>
              <w:top w:val="nil"/>
              <w:left w:val="nil"/>
              <w:bottom w:val="nil"/>
              <w:right w:val="nil"/>
            </w:tcBorders>
            <w:shd w:val="clear" w:color="auto" w:fill="FFFFFF" w:themeFill="background1"/>
            <w:tcMar>
              <w:left w:w="105" w:type="dxa"/>
              <w:right w:w="105" w:type="dxa"/>
            </w:tcMar>
            <w:vAlign w:val="bottom"/>
          </w:tcPr>
          <w:p w14:paraId="655EFC14" w14:textId="2D7E1ABF"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0.004</w:t>
            </w:r>
          </w:p>
        </w:tc>
      </w:tr>
      <w:tr w:rsidR="252F9B59" w14:paraId="6EC61381" w14:textId="77777777" w:rsidTr="252F9B59">
        <w:trPr>
          <w:trHeight w:val="300"/>
        </w:trPr>
        <w:tc>
          <w:tcPr>
            <w:tcW w:w="4815" w:type="dxa"/>
            <w:tcBorders>
              <w:top w:val="nil"/>
              <w:left w:val="nil"/>
              <w:bottom w:val="nil"/>
              <w:right w:val="nil"/>
            </w:tcBorders>
            <w:tcMar>
              <w:left w:w="105" w:type="dxa"/>
              <w:right w:w="105" w:type="dxa"/>
            </w:tcMar>
          </w:tcPr>
          <w:p w14:paraId="4E8397D8" w14:textId="71249821" w:rsidR="252F9B59" w:rsidRDefault="252F9B59" w:rsidP="252F9B59">
            <w:pPr>
              <w:spacing w:line="259" w:lineRule="auto"/>
              <w:ind w:left="284"/>
              <w:rPr>
                <w:rFonts w:eastAsia="Calibri"/>
                <w:sz w:val="22"/>
                <w:szCs w:val="22"/>
              </w:rPr>
            </w:pPr>
            <w:r w:rsidRPr="5C993E2C">
              <w:rPr>
                <w:rFonts w:eastAsia="Calibri"/>
                <w:sz w:val="22"/>
                <w:szCs w:val="22"/>
              </w:rPr>
              <w:t>2</w:t>
            </w:r>
          </w:p>
        </w:tc>
        <w:tc>
          <w:tcPr>
            <w:tcW w:w="1605" w:type="dxa"/>
            <w:tcBorders>
              <w:top w:val="nil"/>
              <w:left w:val="nil"/>
              <w:bottom w:val="nil"/>
              <w:right w:val="nil"/>
            </w:tcBorders>
            <w:shd w:val="clear" w:color="auto" w:fill="FFFFFF" w:themeFill="background1"/>
            <w:tcMar>
              <w:left w:w="105" w:type="dxa"/>
              <w:right w:w="105" w:type="dxa"/>
            </w:tcMar>
            <w:vAlign w:val="bottom"/>
          </w:tcPr>
          <w:p w14:paraId="65C87ABE" w14:textId="506AE4B1"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758 (23.2%)</w:t>
            </w:r>
          </w:p>
        </w:tc>
        <w:tc>
          <w:tcPr>
            <w:tcW w:w="1515" w:type="dxa"/>
            <w:tcBorders>
              <w:top w:val="nil"/>
              <w:left w:val="nil"/>
              <w:bottom w:val="nil"/>
              <w:right w:val="nil"/>
            </w:tcBorders>
            <w:shd w:val="clear" w:color="auto" w:fill="FFFFFF" w:themeFill="background1"/>
            <w:tcMar>
              <w:left w:w="105" w:type="dxa"/>
              <w:right w:w="105" w:type="dxa"/>
            </w:tcMar>
            <w:vAlign w:val="bottom"/>
          </w:tcPr>
          <w:p w14:paraId="071B407A" w14:textId="7C489ED2"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742 (23.2%)</w:t>
            </w:r>
          </w:p>
        </w:tc>
        <w:tc>
          <w:tcPr>
            <w:tcW w:w="1410" w:type="dxa"/>
            <w:tcBorders>
              <w:top w:val="nil"/>
              <w:left w:val="nil"/>
              <w:bottom w:val="nil"/>
              <w:right w:val="nil"/>
            </w:tcBorders>
            <w:shd w:val="clear" w:color="auto" w:fill="FFFFFF" w:themeFill="background1"/>
            <w:tcMar>
              <w:left w:w="105" w:type="dxa"/>
              <w:right w:w="105" w:type="dxa"/>
            </w:tcMar>
            <w:vAlign w:val="bottom"/>
          </w:tcPr>
          <w:p w14:paraId="6E122F3C" w14:textId="61DCDF79"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0.001</w:t>
            </w:r>
          </w:p>
        </w:tc>
      </w:tr>
      <w:tr w:rsidR="252F9B59" w14:paraId="4826F55F" w14:textId="77777777" w:rsidTr="252F9B59">
        <w:trPr>
          <w:trHeight w:val="300"/>
        </w:trPr>
        <w:tc>
          <w:tcPr>
            <w:tcW w:w="4815" w:type="dxa"/>
            <w:tcBorders>
              <w:top w:val="nil"/>
              <w:left w:val="nil"/>
              <w:bottom w:val="nil"/>
              <w:right w:val="nil"/>
            </w:tcBorders>
            <w:tcMar>
              <w:left w:w="105" w:type="dxa"/>
              <w:right w:w="105" w:type="dxa"/>
            </w:tcMar>
          </w:tcPr>
          <w:p w14:paraId="396849E0" w14:textId="3990DBE5" w:rsidR="252F9B59" w:rsidRDefault="252F9B59" w:rsidP="252F9B59">
            <w:pPr>
              <w:spacing w:line="259" w:lineRule="auto"/>
              <w:ind w:left="284"/>
              <w:rPr>
                <w:rFonts w:eastAsia="Calibri"/>
                <w:sz w:val="22"/>
                <w:szCs w:val="22"/>
              </w:rPr>
            </w:pPr>
            <w:r w:rsidRPr="5C993E2C">
              <w:rPr>
                <w:rFonts w:eastAsia="Calibri"/>
                <w:sz w:val="22"/>
                <w:szCs w:val="22"/>
              </w:rPr>
              <w:t>3</w:t>
            </w:r>
          </w:p>
        </w:tc>
        <w:tc>
          <w:tcPr>
            <w:tcW w:w="1605" w:type="dxa"/>
            <w:tcBorders>
              <w:top w:val="nil"/>
              <w:left w:val="nil"/>
              <w:bottom w:val="nil"/>
              <w:right w:val="nil"/>
            </w:tcBorders>
            <w:shd w:val="clear" w:color="auto" w:fill="FFFFFF" w:themeFill="background1"/>
            <w:tcMar>
              <w:left w:w="105" w:type="dxa"/>
              <w:right w:w="105" w:type="dxa"/>
            </w:tcMar>
            <w:vAlign w:val="bottom"/>
          </w:tcPr>
          <w:p w14:paraId="63F88386" w14:textId="29D5E181"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612 (18.7%)</w:t>
            </w:r>
          </w:p>
        </w:tc>
        <w:tc>
          <w:tcPr>
            <w:tcW w:w="1515" w:type="dxa"/>
            <w:tcBorders>
              <w:top w:val="nil"/>
              <w:left w:val="nil"/>
              <w:bottom w:val="nil"/>
              <w:right w:val="nil"/>
            </w:tcBorders>
            <w:shd w:val="clear" w:color="auto" w:fill="FFFFFF" w:themeFill="background1"/>
            <w:tcMar>
              <w:left w:w="105" w:type="dxa"/>
              <w:right w:w="105" w:type="dxa"/>
            </w:tcMar>
            <w:vAlign w:val="bottom"/>
          </w:tcPr>
          <w:p w14:paraId="26DC7051" w14:textId="55AA30B9"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604 (18.9%)</w:t>
            </w:r>
          </w:p>
        </w:tc>
        <w:tc>
          <w:tcPr>
            <w:tcW w:w="1410" w:type="dxa"/>
            <w:tcBorders>
              <w:top w:val="nil"/>
              <w:left w:val="nil"/>
              <w:bottom w:val="nil"/>
              <w:right w:val="nil"/>
            </w:tcBorders>
            <w:shd w:val="clear" w:color="auto" w:fill="FFFFFF" w:themeFill="background1"/>
            <w:tcMar>
              <w:left w:w="105" w:type="dxa"/>
              <w:right w:w="105" w:type="dxa"/>
            </w:tcMar>
            <w:vAlign w:val="bottom"/>
          </w:tcPr>
          <w:p w14:paraId="208D44E8" w14:textId="3834B135"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0.003</w:t>
            </w:r>
          </w:p>
        </w:tc>
      </w:tr>
      <w:tr w:rsidR="252F9B59" w14:paraId="4B6FC5DB" w14:textId="77777777" w:rsidTr="252F9B59">
        <w:trPr>
          <w:trHeight w:val="300"/>
        </w:trPr>
        <w:tc>
          <w:tcPr>
            <w:tcW w:w="4815" w:type="dxa"/>
            <w:tcBorders>
              <w:top w:val="nil"/>
              <w:left w:val="nil"/>
              <w:bottom w:val="nil"/>
              <w:right w:val="nil"/>
            </w:tcBorders>
            <w:tcMar>
              <w:left w:w="105" w:type="dxa"/>
              <w:right w:w="105" w:type="dxa"/>
            </w:tcMar>
          </w:tcPr>
          <w:p w14:paraId="1DD380FE" w14:textId="12184111" w:rsidR="252F9B59" w:rsidRDefault="252F9B59" w:rsidP="252F9B59">
            <w:pPr>
              <w:spacing w:line="259" w:lineRule="auto"/>
              <w:ind w:left="284"/>
              <w:rPr>
                <w:rFonts w:eastAsia="Calibri"/>
                <w:sz w:val="22"/>
                <w:szCs w:val="22"/>
              </w:rPr>
            </w:pPr>
            <w:r w:rsidRPr="5C993E2C">
              <w:rPr>
                <w:rFonts w:eastAsia="Calibri"/>
                <w:sz w:val="22"/>
                <w:szCs w:val="22"/>
              </w:rPr>
              <w:t>4</w:t>
            </w:r>
          </w:p>
        </w:tc>
        <w:tc>
          <w:tcPr>
            <w:tcW w:w="1605" w:type="dxa"/>
            <w:tcBorders>
              <w:top w:val="nil"/>
              <w:left w:val="nil"/>
              <w:bottom w:val="nil"/>
              <w:right w:val="nil"/>
            </w:tcBorders>
            <w:shd w:val="clear" w:color="auto" w:fill="FFFFFF" w:themeFill="background1"/>
            <w:tcMar>
              <w:left w:w="105" w:type="dxa"/>
              <w:right w:w="105" w:type="dxa"/>
            </w:tcMar>
            <w:vAlign w:val="bottom"/>
          </w:tcPr>
          <w:p w14:paraId="066638D2" w14:textId="3C2B8742"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519 (15.9%)</w:t>
            </w:r>
          </w:p>
        </w:tc>
        <w:tc>
          <w:tcPr>
            <w:tcW w:w="1515" w:type="dxa"/>
            <w:tcBorders>
              <w:top w:val="nil"/>
              <w:left w:val="nil"/>
              <w:bottom w:val="nil"/>
              <w:right w:val="nil"/>
            </w:tcBorders>
            <w:shd w:val="clear" w:color="auto" w:fill="FFFFFF" w:themeFill="background1"/>
            <w:tcMar>
              <w:left w:w="105" w:type="dxa"/>
              <w:right w:w="105" w:type="dxa"/>
            </w:tcMar>
            <w:vAlign w:val="bottom"/>
          </w:tcPr>
          <w:p w14:paraId="71363BB4" w14:textId="0E338C54"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508 (15.9%)</w:t>
            </w:r>
          </w:p>
        </w:tc>
        <w:tc>
          <w:tcPr>
            <w:tcW w:w="1410" w:type="dxa"/>
            <w:tcBorders>
              <w:top w:val="nil"/>
              <w:left w:val="nil"/>
              <w:bottom w:val="nil"/>
              <w:right w:val="nil"/>
            </w:tcBorders>
            <w:shd w:val="clear" w:color="auto" w:fill="FFFFFF" w:themeFill="background1"/>
            <w:tcMar>
              <w:left w:w="105" w:type="dxa"/>
              <w:right w:w="105" w:type="dxa"/>
            </w:tcMar>
            <w:vAlign w:val="bottom"/>
          </w:tcPr>
          <w:p w14:paraId="2FC0C40E" w14:textId="0DCF58B1"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0.001</w:t>
            </w:r>
          </w:p>
        </w:tc>
      </w:tr>
      <w:tr w:rsidR="252F9B59" w14:paraId="0BA9BE12" w14:textId="77777777" w:rsidTr="252F9B59">
        <w:trPr>
          <w:trHeight w:val="300"/>
        </w:trPr>
        <w:tc>
          <w:tcPr>
            <w:tcW w:w="4815" w:type="dxa"/>
            <w:tcBorders>
              <w:top w:val="nil"/>
              <w:left w:val="nil"/>
              <w:bottom w:val="nil"/>
              <w:right w:val="nil"/>
            </w:tcBorders>
            <w:tcMar>
              <w:left w:w="105" w:type="dxa"/>
              <w:right w:w="105" w:type="dxa"/>
            </w:tcMar>
          </w:tcPr>
          <w:p w14:paraId="41CD5F91" w14:textId="5FA15159" w:rsidR="252F9B59" w:rsidRDefault="252F9B59" w:rsidP="252F9B59">
            <w:pPr>
              <w:spacing w:line="259" w:lineRule="auto"/>
              <w:ind w:left="284"/>
              <w:rPr>
                <w:rFonts w:eastAsia="Calibri"/>
                <w:sz w:val="22"/>
                <w:szCs w:val="22"/>
              </w:rPr>
            </w:pPr>
            <w:r w:rsidRPr="5C993E2C">
              <w:rPr>
                <w:rFonts w:eastAsia="Calibri"/>
                <w:sz w:val="22"/>
                <w:szCs w:val="22"/>
              </w:rPr>
              <w:t>5 (highest)</w:t>
            </w:r>
          </w:p>
        </w:tc>
        <w:tc>
          <w:tcPr>
            <w:tcW w:w="1605" w:type="dxa"/>
            <w:tcBorders>
              <w:top w:val="nil"/>
              <w:left w:val="nil"/>
              <w:bottom w:val="nil"/>
              <w:right w:val="nil"/>
            </w:tcBorders>
            <w:shd w:val="clear" w:color="auto" w:fill="FFFFFF" w:themeFill="background1"/>
            <w:tcMar>
              <w:left w:w="105" w:type="dxa"/>
              <w:right w:w="105" w:type="dxa"/>
            </w:tcMar>
            <w:vAlign w:val="bottom"/>
          </w:tcPr>
          <w:p w14:paraId="28C9346D" w14:textId="3B780187"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550 (16.8%)</w:t>
            </w:r>
          </w:p>
        </w:tc>
        <w:tc>
          <w:tcPr>
            <w:tcW w:w="1515" w:type="dxa"/>
            <w:tcBorders>
              <w:top w:val="nil"/>
              <w:left w:val="nil"/>
              <w:bottom w:val="nil"/>
              <w:right w:val="nil"/>
            </w:tcBorders>
            <w:shd w:val="clear" w:color="auto" w:fill="FFFFFF" w:themeFill="background1"/>
            <w:tcMar>
              <w:left w:w="105" w:type="dxa"/>
              <w:right w:w="105" w:type="dxa"/>
            </w:tcMar>
            <w:vAlign w:val="bottom"/>
          </w:tcPr>
          <w:p w14:paraId="72FD379C" w14:textId="7D08D495"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543 (16.9%)</w:t>
            </w:r>
          </w:p>
        </w:tc>
        <w:tc>
          <w:tcPr>
            <w:tcW w:w="1410" w:type="dxa"/>
            <w:tcBorders>
              <w:top w:val="nil"/>
              <w:left w:val="nil"/>
              <w:bottom w:val="nil"/>
              <w:right w:val="nil"/>
            </w:tcBorders>
            <w:shd w:val="clear" w:color="auto" w:fill="FFFFFF" w:themeFill="background1"/>
            <w:tcMar>
              <w:left w:w="105" w:type="dxa"/>
              <w:right w:w="105" w:type="dxa"/>
            </w:tcMar>
            <w:vAlign w:val="bottom"/>
          </w:tcPr>
          <w:p w14:paraId="111DA306" w14:textId="0B448E34"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0.003</w:t>
            </w:r>
          </w:p>
        </w:tc>
      </w:tr>
      <w:tr w:rsidR="252F9B59" w14:paraId="08547A6D" w14:textId="77777777" w:rsidTr="252F9B59">
        <w:trPr>
          <w:trHeight w:val="300"/>
        </w:trPr>
        <w:tc>
          <w:tcPr>
            <w:tcW w:w="4815" w:type="dxa"/>
            <w:tcBorders>
              <w:top w:val="nil"/>
              <w:left w:val="nil"/>
              <w:bottom w:val="nil"/>
              <w:right w:val="nil"/>
            </w:tcBorders>
            <w:tcMar>
              <w:left w:w="105" w:type="dxa"/>
              <w:right w:w="105" w:type="dxa"/>
            </w:tcMar>
          </w:tcPr>
          <w:p w14:paraId="350FF346" w14:textId="57D909D7" w:rsidR="252F9B59" w:rsidRDefault="252F9B59" w:rsidP="252F9B59">
            <w:pPr>
              <w:spacing w:line="259" w:lineRule="auto"/>
              <w:rPr>
                <w:rFonts w:eastAsia="Calibri"/>
                <w:sz w:val="22"/>
                <w:szCs w:val="22"/>
              </w:rPr>
            </w:pPr>
            <w:r w:rsidRPr="5C993E2C">
              <w:rPr>
                <w:rFonts w:eastAsia="Calibri"/>
                <w:sz w:val="22"/>
                <w:szCs w:val="22"/>
              </w:rPr>
              <w:t>History of HIV diagnosis</w:t>
            </w:r>
          </w:p>
        </w:tc>
        <w:tc>
          <w:tcPr>
            <w:tcW w:w="1605" w:type="dxa"/>
            <w:tcBorders>
              <w:top w:val="nil"/>
              <w:left w:val="nil"/>
              <w:bottom w:val="nil"/>
              <w:right w:val="nil"/>
            </w:tcBorders>
            <w:shd w:val="clear" w:color="auto" w:fill="FFFFFF" w:themeFill="background1"/>
            <w:tcMar>
              <w:left w:w="105" w:type="dxa"/>
              <w:right w:w="105" w:type="dxa"/>
            </w:tcMar>
            <w:vAlign w:val="bottom"/>
          </w:tcPr>
          <w:p w14:paraId="371B0733" w14:textId="723AB9F7"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733 (22.4%)</w:t>
            </w:r>
          </w:p>
        </w:tc>
        <w:tc>
          <w:tcPr>
            <w:tcW w:w="1515" w:type="dxa"/>
            <w:tcBorders>
              <w:top w:val="nil"/>
              <w:left w:val="nil"/>
              <w:bottom w:val="nil"/>
              <w:right w:val="nil"/>
            </w:tcBorders>
            <w:shd w:val="clear" w:color="auto" w:fill="FFFFFF" w:themeFill="background1"/>
            <w:tcMar>
              <w:left w:w="105" w:type="dxa"/>
              <w:right w:w="105" w:type="dxa"/>
            </w:tcMar>
            <w:vAlign w:val="bottom"/>
          </w:tcPr>
          <w:p w14:paraId="3D4F07EA" w14:textId="2ADF68D6"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697 (21.8%)</w:t>
            </w:r>
          </w:p>
        </w:tc>
        <w:tc>
          <w:tcPr>
            <w:tcW w:w="1410" w:type="dxa"/>
            <w:tcBorders>
              <w:top w:val="nil"/>
              <w:left w:val="nil"/>
              <w:bottom w:val="nil"/>
              <w:right w:val="nil"/>
            </w:tcBorders>
            <w:shd w:val="clear" w:color="auto" w:fill="FFFFFF" w:themeFill="background1"/>
            <w:tcMar>
              <w:left w:w="105" w:type="dxa"/>
              <w:right w:w="105" w:type="dxa"/>
            </w:tcMar>
            <w:vAlign w:val="bottom"/>
          </w:tcPr>
          <w:p w14:paraId="0F22E7EA" w14:textId="0F4DFD1F"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w:t>
            </w:r>
            <w:r w:rsidR="00CE31C2">
              <w:rPr>
                <w:rFonts w:eastAsia="Calibri"/>
                <w:color w:val="000000" w:themeColor="text1"/>
                <w:sz w:val="22"/>
                <w:szCs w:val="22"/>
              </w:rPr>
              <w:t>2</w:t>
            </w:r>
          </w:p>
        </w:tc>
      </w:tr>
      <w:tr w:rsidR="252F9B59" w14:paraId="18E4A2DB" w14:textId="77777777" w:rsidTr="252F9B59">
        <w:trPr>
          <w:trHeight w:val="300"/>
        </w:trPr>
        <w:tc>
          <w:tcPr>
            <w:tcW w:w="4815" w:type="dxa"/>
            <w:tcBorders>
              <w:top w:val="nil"/>
              <w:left w:val="nil"/>
              <w:bottom w:val="nil"/>
              <w:right w:val="nil"/>
            </w:tcBorders>
            <w:tcMar>
              <w:left w:w="105" w:type="dxa"/>
              <w:right w:w="105" w:type="dxa"/>
            </w:tcMar>
          </w:tcPr>
          <w:p w14:paraId="13EF0587" w14:textId="5A04CD7C" w:rsidR="252F9B59" w:rsidRDefault="252F9B59" w:rsidP="252F9B59">
            <w:pPr>
              <w:spacing w:line="259" w:lineRule="auto"/>
              <w:rPr>
                <w:rFonts w:eastAsia="Calibri"/>
                <w:sz w:val="22"/>
                <w:szCs w:val="22"/>
              </w:rPr>
            </w:pPr>
            <w:r w:rsidRPr="5C993E2C">
              <w:rPr>
                <w:rFonts w:eastAsia="Calibri"/>
                <w:sz w:val="22"/>
                <w:szCs w:val="22"/>
              </w:rPr>
              <w:t>Number of syphilis tests, past 3 years</w:t>
            </w:r>
          </w:p>
        </w:tc>
        <w:tc>
          <w:tcPr>
            <w:tcW w:w="1605" w:type="dxa"/>
            <w:tcBorders>
              <w:top w:val="nil"/>
              <w:left w:val="nil"/>
              <w:bottom w:val="nil"/>
              <w:right w:val="nil"/>
            </w:tcBorders>
            <w:tcMar>
              <w:left w:w="105" w:type="dxa"/>
              <w:right w:w="105" w:type="dxa"/>
            </w:tcMar>
          </w:tcPr>
          <w:p w14:paraId="02CBBC98" w14:textId="461251EC" w:rsidR="252F9B59" w:rsidRDefault="252F9B59" w:rsidP="252F9B59">
            <w:pPr>
              <w:spacing w:line="259" w:lineRule="auto"/>
              <w:jc w:val="center"/>
              <w:rPr>
                <w:rFonts w:eastAsia="Calibri"/>
                <w:color w:val="BFBFBF" w:themeColor="background1" w:themeShade="BF"/>
                <w:sz w:val="22"/>
                <w:szCs w:val="22"/>
              </w:rPr>
            </w:pPr>
          </w:p>
        </w:tc>
        <w:tc>
          <w:tcPr>
            <w:tcW w:w="1515" w:type="dxa"/>
            <w:tcBorders>
              <w:top w:val="nil"/>
              <w:left w:val="nil"/>
              <w:bottom w:val="nil"/>
              <w:right w:val="nil"/>
            </w:tcBorders>
            <w:tcMar>
              <w:left w:w="105" w:type="dxa"/>
              <w:right w:w="105" w:type="dxa"/>
            </w:tcMar>
          </w:tcPr>
          <w:p w14:paraId="7C081779" w14:textId="22DC9B29" w:rsidR="252F9B59" w:rsidRDefault="252F9B59" w:rsidP="252F9B59">
            <w:pPr>
              <w:spacing w:line="259" w:lineRule="auto"/>
              <w:jc w:val="center"/>
              <w:rPr>
                <w:rFonts w:eastAsia="Calibri"/>
                <w:color w:val="BFBFBF" w:themeColor="background1" w:themeShade="BF"/>
                <w:sz w:val="22"/>
                <w:szCs w:val="22"/>
              </w:rPr>
            </w:pPr>
          </w:p>
        </w:tc>
        <w:tc>
          <w:tcPr>
            <w:tcW w:w="1410" w:type="dxa"/>
            <w:tcBorders>
              <w:top w:val="nil"/>
              <w:left w:val="nil"/>
              <w:bottom w:val="nil"/>
              <w:right w:val="nil"/>
            </w:tcBorders>
            <w:tcMar>
              <w:left w:w="105" w:type="dxa"/>
              <w:right w:w="105" w:type="dxa"/>
            </w:tcMar>
          </w:tcPr>
          <w:p w14:paraId="66C573CA" w14:textId="6F722065" w:rsidR="252F9B59" w:rsidRDefault="252F9B59" w:rsidP="252F9B59">
            <w:pPr>
              <w:spacing w:line="259" w:lineRule="auto"/>
              <w:jc w:val="center"/>
              <w:rPr>
                <w:rFonts w:eastAsia="Calibri"/>
                <w:color w:val="BFBFBF" w:themeColor="background1" w:themeShade="BF"/>
                <w:sz w:val="22"/>
                <w:szCs w:val="22"/>
              </w:rPr>
            </w:pPr>
          </w:p>
        </w:tc>
      </w:tr>
      <w:tr w:rsidR="252F9B59" w14:paraId="725D86C5" w14:textId="77777777" w:rsidTr="252F9B59">
        <w:trPr>
          <w:trHeight w:val="300"/>
        </w:trPr>
        <w:tc>
          <w:tcPr>
            <w:tcW w:w="4815" w:type="dxa"/>
            <w:tcBorders>
              <w:top w:val="nil"/>
              <w:left w:val="nil"/>
              <w:bottom w:val="nil"/>
              <w:right w:val="nil"/>
            </w:tcBorders>
            <w:tcMar>
              <w:left w:w="105" w:type="dxa"/>
              <w:right w:w="105" w:type="dxa"/>
            </w:tcMar>
          </w:tcPr>
          <w:p w14:paraId="3B3ABFDD" w14:textId="23DB7663" w:rsidR="252F9B59" w:rsidRDefault="252F9B59" w:rsidP="252F9B59">
            <w:pPr>
              <w:spacing w:line="259" w:lineRule="auto"/>
              <w:ind w:left="284"/>
              <w:rPr>
                <w:rFonts w:eastAsia="Calibri"/>
                <w:sz w:val="22"/>
                <w:szCs w:val="22"/>
              </w:rPr>
            </w:pPr>
            <w:r w:rsidRPr="5C993E2C">
              <w:rPr>
                <w:rFonts w:eastAsia="Calibri"/>
                <w:sz w:val="22"/>
                <w:szCs w:val="22"/>
              </w:rPr>
              <w:t xml:space="preserve">0 </w:t>
            </w:r>
          </w:p>
        </w:tc>
        <w:tc>
          <w:tcPr>
            <w:tcW w:w="1605" w:type="dxa"/>
            <w:tcBorders>
              <w:top w:val="nil"/>
              <w:left w:val="nil"/>
              <w:bottom w:val="nil"/>
              <w:right w:val="nil"/>
            </w:tcBorders>
            <w:shd w:val="clear" w:color="auto" w:fill="FFFFFF" w:themeFill="background1"/>
            <w:tcMar>
              <w:left w:w="105" w:type="dxa"/>
              <w:right w:w="105" w:type="dxa"/>
            </w:tcMar>
            <w:vAlign w:val="bottom"/>
          </w:tcPr>
          <w:p w14:paraId="01BA25E6" w14:textId="52FA8388"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133 (4.1%)</w:t>
            </w:r>
          </w:p>
        </w:tc>
        <w:tc>
          <w:tcPr>
            <w:tcW w:w="1515" w:type="dxa"/>
            <w:tcBorders>
              <w:top w:val="nil"/>
              <w:left w:val="nil"/>
              <w:bottom w:val="nil"/>
              <w:right w:val="nil"/>
            </w:tcBorders>
            <w:shd w:val="clear" w:color="auto" w:fill="FFFFFF" w:themeFill="background1"/>
            <w:tcMar>
              <w:left w:w="105" w:type="dxa"/>
              <w:right w:w="105" w:type="dxa"/>
            </w:tcMar>
            <w:vAlign w:val="bottom"/>
          </w:tcPr>
          <w:p w14:paraId="3C40AC88" w14:textId="64858FED"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132 (4.1%)</w:t>
            </w:r>
          </w:p>
        </w:tc>
        <w:tc>
          <w:tcPr>
            <w:tcW w:w="1410" w:type="dxa"/>
            <w:tcBorders>
              <w:top w:val="nil"/>
              <w:left w:val="nil"/>
              <w:bottom w:val="nil"/>
              <w:right w:val="nil"/>
            </w:tcBorders>
            <w:shd w:val="clear" w:color="auto" w:fill="FFFFFF" w:themeFill="background1"/>
            <w:tcMar>
              <w:left w:w="105" w:type="dxa"/>
              <w:right w:w="105" w:type="dxa"/>
            </w:tcMar>
            <w:vAlign w:val="bottom"/>
          </w:tcPr>
          <w:p w14:paraId="5F846A6F" w14:textId="497F53A0"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0.003</w:t>
            </w:r>
          </w:p>
        </w:tc>
      </w:tr>
      <w:tr w:rsidR="252F9B59" w14:paraId="403C2D55" w14:textId="77777777" w:rsidTr="252F9B59">
        <w:trPr>
          <w:trHeight w:val="300"/>
        </w:trPr>
        <w:tc>
          <w:tcPr>
            <w:tcW w:w="4815" w:type="dxa"/>
            <w:tcBorders>
              <w:top w:val="nil"/>
              <w:left w:val="nil"/>
              <w:bottom w:val="nil"/>
              <w:right w:val="nil"/>
            </w:tcBorders>
            <w:tcMar>
              <w:left w:w="105" w:type="dxa"/>
              <w:right w:w="105" w:type="dxa"/>
            </w:tcMar>
          </w:tcPr>
          <w:p w14:paraId="42AAAAA7" w14:textId="6BC9DB56" w:rsidR="252F9B59" w:rsidRDefault="252F9B59" w:rsidP="252F9B59">
            <w:pPr>
              <w:spacing w:line="259" w:lineRule="auto"/>
              <w:ind w:left="284"/>
              <w:rPr>
                <w:rFonts w:eastAsia="Calibri"/>
                <w:sz w:val="22"/>
                <w:szCs w:val="22"/>
              </w:rPr>
            </w:pPr>
            <w:r w:rsidRPr="5C993E2C">
              <w:rPr>
                <w:rFonts w:eastAsia="Calibri"/>
                <w:sz w:val="22"/>
                <w:szCs w:val="22"/>
              </w:rPr>
              <w:t xml:space="preserve">1 </w:t>
            </w:r>
          </w:p>
        </w:tc>
        <w:tc>
          <w:tcPr>
            <w:tcW w:w="1605" w:type="dxa"/>
            <w:tcBorders>
              <w:top w:val="nil"/>
              <w:left w:val="nil"/>
              <w:bottom w:val="nil"/>
              <w:right w:val="nil"/>
            </w:tcBorders>
            <w:shd w:val="clear" w:color="auto" w:fill="FFFFFF" w:themeFill="background1"/>
            <w:tcMar>
              <w:left w:w="105" w:type="dxa"/>
              <w:right w:w="105" w:type="dxa"/>
            </w:tcMar>
            <w:vAlign w:val="bottom"/>
          </w:tcPr>
          <w:p w14:paraId="72C24710" w14:textId="06FAB8BE"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211 (6.5%)</w:t>
            </w:r>
          </w:p>
        </w:tc>
        <w:tc>
          <w:tcPr>
            <w:tcW w:w="1515" w:type="dxa"/>
            <w:tcBorders>
              <w:top w:val="nil"/>
              <w:left w:val="nil"/>
              <w:bottom w:val="nil"/>
              <w:right w:val="nil"/>
            </w:tcBorders>
            <w:shd w:val="clear" w:color="auto" w:fill="FFFFFF" w:themeFill="background1"/>
            <w:tcMar>
              <w:left w:w="105" w:type="dxa"/>
              <w:right w:w="105" w:type="dxa"/>
            </w:tcMar>
            <w:vAlign w:val="bottom"/>
          </w:tcPr>
          <w:p w14:paraId="123A744D" w14:textId="01494453"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208 (6.5%)</w:t>
            </w:r>
          </w:p>
        </w:tc>
        <w:tc>
          <w:tcPr>
            <w:tcW w:w="1410" w:type="dxa"/>
            <w:tcBorders>
              <w:top w:val="nil"/>
              <w:left w:val="nil"/>
              <w:bottom w:val="nil"/>
              <w:right w:val="nil"/>
            </w:tcBorders>
            <w:shd w:val="clear" w:color="auto" w:fill="FFFFFF" w:themeFill="background1"/>
            <w:tcMar>
              <w:left w:w="105" w:type="dxa"/>
              <w:right w:w="105" w:type="dxa"/>
            </w:tcMar>
            <w:vAlign w:val="bottom"/>
          </w:tcPr>
          <w:p w14:paraId="58527A31" w14:textId="245BF11D"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0.001</w:t>
            </w:r>
          </w:p>
        </w:tc>
      </w:tr>
      <w:tr w:rsidR="252F9B59" w14:paraId="2C28313D" w14:textId="77777777" w:rsidTr="252F9B59">
        <w:trPr>
          <w:trHeight w:val="300"/>
        </w:trPr>
        <w:tc>
          <w:tcPr>
            <w:tcW w:w="4815" w:type="dxa"/>
            <w:tcBorders>
              <w:top w:val="nil"/>
              <w:left w:val="nil"/>
              <w:bottom w:val="nil"/>
              <w:right w:val="nil"/>
            </w:tcBorders>
            <w:tcMar>
              <w:left w:w="105" w:type="dxa"/>
              <w:right w:w="105" w:type="dxa"/>
            </w:tcMar>
          </w:tcPr>
          <w:p w14:paraId="0E60318C" w14:textId="7EBFFC5A" w:rsidR="252F9B59" w:rsidRDefault="252F9B59" w:rsidP="252F9B59">
            <w:pPr>
              <w:spacing w:line="259" w:lineRule="auto"/>
              <w:ind w:left="284"/>
              <w:rPr>
                <w:rFonts w:eastAsia="Calibri"/>
                <w:sz w:val="22"/>
                <w:szCs w:val="22"/>
              </w:rPr>
            </w:pPr>
            <w:r w:rsidRPr="5C993E2C">
              <w:rPr>
                <w:rFonts w:eastAsia="Calibri"/>
                <w:sz w:val="22"/>
                <w:szCs w:val="22"/>
              </w:rPr>
              <w:t xml:space="preserve">2 </w:t>
            </w:r>
          </w:p>
        </w:tc>
        <w:tc>
          <w:tcPr>
            <w:tcW w:w="1605" w:type="dxa"/>
            <w:tcBorders>
              <w:top w:val="nil"/>
              <w:left w:val="nil"/>
              <w:bottom w:val="nil"/>
              <w:right w:val="nil"/>
            </w:tcBorders>
            <w:shd w:val="clear" w:color="auto" w:fill="FFFFFF" w:themeFill="background1"/>
            <w:tcMar>
              <w:left w:w="105" w:type="dxa"/>
              <w:right w:w="105" w:type="dxa"/>
            </w:tcMar>
            <w:vAlign w:val="bottom"/>
          </w:tcPr>
          <w:p w14:paraId="15765B78" w14:textId="74BBB1C3"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250 (7.6%)</w:t>
            </w:r>
          </w:p>
        </w:tc>
        <w:tc>
          <w:tcPr>
            <w:tcW w:w="1515" w:type="dxa"/>
            <w:tcBorders>
              <w:top w:val="nil"/>
              <w:left w:val="nil"/>
              <w:bottom w:val="nil"/>
              <w:right w:val="nil"/>
            </w:tcBorders>
            <w:shd w:val="clear" w:color="auto" w:fill="FFFFFF" w:themeFill="background1"/>
            <w:tcMar>
              <w:left w:w="105" w:type="dxa"/>
              <w:right w:w="105" w:type="dxa"/>
            </w:tcMar>
            <w:vAlign w:val="bottom"/>
          </w:tcPr>
          <w:p w14:paraId="31785205" w14:textId="303E824E"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243 (7.6%)</w:t>
            </w:r>
          </w:p>
        </w:tc>
        <w:tc>
          <w:tcPr>
            <w:tcW w:w="1410" w:type="dxa"/>
            <w:tcBorders>
              <w:top w:val="nil"/>
              <w:left w:val="nil"/>
              <w:bottom w:val="nil"/>
              <w:right w:val="nil"/>
            </w:tcBorders>
            <w:shd w:val="clear" w:color="auto" w:fill="FFFFFF" w:themeFill="background1"/>
            <w:tcMar>
              <w:left w:w="105" w:type="dxa"/>
              <w:right w:w="105" w:type="dxa"/>
            </w:tcMar>
            <w:vAlign w:val="bottom"/>
          </w:tcPr>
          <w:p w14:paraId="3508FBF8" w14:textId="1C638F60"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0.002</w:t>
            </w:r>
          </w:p>
        </w:tc>
      </w:tr>
      <w:tr w:rsidR="252F9B59" w14:paraId="181A49E8" w14:textId="77777777" w:rsidTr="252F9B59">
        <w:trPr>
          <w:trHeight w:val="300"/>
        </w:trPr>
        <w:tc>
          <w:tcPr>
            <w:tcW w:w="4815" w:type="dxa"/>
            <w:tcBorders>
              <w:top w:val="nil"/>
              <w:left w:val="nil"/>
              <w:bottom w:val="nil"/>
              <w:right w:val="nil"/>
            </w:tcBorders>
            <w:tcMar>
              <w:left w:w="105" w:type="dxa"/>
              <w:right w:w="105" w:type="dxa"/>
            </w:tcMar>
          </w:tcPr>
          <w:p w14:paraId="43A3CDB0" w14:textId="2D61CD5A" w:rsidR="252F9B59" w:rsidRDefault="252F9B59" w:rsidP="252F9B59">
            <w:pPr>
              <w:spacing w:line="259" w:lineRule="auto"/>
              <w:ind w:left="284"/>
              <w:rPr>
                <w:rFonts w:eastAsia="Calibri"/>
                <w:sz w:val="22"/>
                <w:szCs w:val="22"/>
              </w:rPr>
            </w:pPr>
            <w:r w:rsidRPr="5C993E2C">
              <w:rPr>
                <w:rFonts w:eastAsia="Calibri"/>
                <w:sz w:val="22"/>
                <w:szCs w:val="22"/>
              </w:rPr>
              <w:t xml:space="preserve">3 </w:t>
            </w:r>
          </w:p>
        </w:tc>
        <w:tc>
          <w:tcPr>
            <w:tcW w:w="1605" w:type="dxa"/>
            <w:tcBorders>
              <w:top w:val="nil"/>
              <w:left w:val="nil"/>
              <w:bottom w:val="nil"/>
              <w:right w:val="nil"/>
            </w:tcBorders>
            <w:shd w:val="clear" w:color="auto" w:fill="FFFFFF" w:themeFill="background1"/>
            <w:tcMar>
              <w:left w:w="105" w:type="dxa"/>
              <w:right w:w="105" w:type="dxa"/>
            </w:tcMar>
            <w:vAlign w:val="bottom"/>
          </w:tcPr>
          <w:p w14:paraId="6A9D74B5" w14:textId="5F5F4278"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288 (8.8%)</w:t>
            </w:r>
          </w:p>
        </w:tc>
        <w:tc>
          <w:tcPr>
            <w:tcW w:w="1515" w:type="dxa"/>
            <w:tcBorders>
              <w:top w:val="nil"/>
              <w:left w:val="nil"/>
              <w:bottom w:val="nil"/>
              <w:right w:val="nil"/>
            </w:tcBorders>
            <w:shd w:val="clear" w:color="auto" w:fill="FFFFFF" w:themeFill="background1"/>
            <w:tcMar>
              <w:left w:w="105" w:type="dxa"/>
              <w:right w:w="105" w:type="dxa"/>
            </w:tcMar>
            <w:vAlign w:val="bottom"/>
          </w:tcPr>
          <w:p w14:paraId="2DDD4370" w14:textId="5634C941"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281 (8.8%)</w:t>
            </w:r>
          </w:p>
        </w:tc>
        <w:tc>
          <w:tcPr>
            <w:tcW w:w="1410" w:type="dxa"/>
            <w:tcBorders>
              <w:top w:val="nil"/>
              <w:left w:val="nil"/>
              <w:bottom w:val="nil"/>
              <w:right w:val="nil"/>
            </w:tcBorders>
            <w:shd w:val="clear" w:color="auto" w:fill="FFFFFF" w:themeFill="background1"/>
            <w:tcMar>
              <w:left w:w="105" w:type="dxa"/>
              <w:right w:w="105" w:type="dxa"/>
            </w:tcMar>
            <w:vAlign w:val="bottom"/>
          </w:tcPr>
          <w:p w14:paraId="635FC43A" w14:textId="493D4568"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0.001</w:t>
            </w:r>
          </w:p>
        </w:tc>
      </w:tr>
      <w:tr w:rsidR="252F9B59" w14:paraId="3E6ED915" w14:textId="77777777" w:rsidTr="252F9B59">
        <w:trPr>
          <w:trHeight w:val="300"/>
        </w:trPr>
        <w:tc>
          <w:tcPr>
            <w:tcW w:w="4815" w:type="dxa"/>
            <w:tcBorders>
              <w:top w:val="nil"/>
              <w:left w:val="nil"/>
              <w:bottom w:val="nil"/>
              <w:right w:val="nil"/>
            </w:tcBorders>
            <w:tcMar>
              <w:left w:w="105" w:type="dxa"/>
              <w:right w:w="105" w:type="dxa"/>
            </w:tcMar>
          </w:tcPr>
          <w:p w14:paraId="3EEFD940" w14:textId="697FBF6E" w:rsidR="252F9B59" w:rsidRDefault="5D37F1E9" w:rsidP="252F9B59">
            <w:pPr>
              <w:spacing w:line="259" w:lineRule="auto"/>
              <w:ind w:left="284"/>
              <w:rPr>
                <w:rFonts w:eastAsia="Calibri"/>
                <w:sz w:val="22"/>
                <w:szCs w:val="22"/>
              </w:rPr>
            </w:pPr>
            <w:r w:rsidRPr="5C993E2C">
              <w:rPr>
                <w:sz w:val="22"/>
                <w:szCs w:val="22"/>
              </w:rPr>
              <w:t xml:space="preserve">≥ </w:t>
            </w:r>
            <w:r w:rsidR="252F9B59" w:rsidRPr="5C993E2C">
              <w:rPr>
                <w:rFonts w:eastAsia="Calibri"/>
                <w:sz w:val="22"/>
                <w:szCs w:val="22"/>
              </w:rPr>
              <w:t xml:space="preserve">4 </w:t>
            </w:r>
          </w:p>
        </w:tc>
        <w:tc>
          <w:tcPr>
            <w:tcW w:w="1605" w:type="dxa"/>
            <w:tcBorders>
              <w:top w:val="nil"/>
              <w:left w:val="nil"/>
              <w:bottom w:val="nil"/>
              <w:right w:val="nil"/>
            </w:tcBorders>
            <w:shd w:val="clear" w:color="auto" w:fill="FFFFFF" w:themeFill="background1"/>
            <w:tcMar>
              <w:left w:w="105" w:type="dxa"/>
              <w:right w:w="105" w:type="dxa"/>
            </w:tcMar>
            <w:vAlign w:val="bottom"/>
          </w:tcPr>
          <w:p w14:paraId="332635B1" w14:textId="596CECB6"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2,386 (73.0%)</w:t>
            </w:r>
          </w:p>
        </w:tc>
        <w:tc>
          <w:tcPr>
            <w:tcW w:w="1515" w:type="dxa"/>
            <w:tcBorders>
              <w:top w:val="nil"/>
              <w:left w:val="nil"/>
              <w:bottom w:val="nil"/>
              <w:right w:val="nil"/>
            </w:tcBorders>
            <w:shd w:val="clear" w:color="auto" w:fill="FFFFFF" w:themeFill="background1"/>
            <w:tcMar>
              <w:left w:w="105" w:type="dxa"/>
              <w:right w:w="105" w:type="dxa"/>
            </w:tcMar>
            <w:vAlign w:val="bottom"/>
          </w:tcPr>
          <w:p w14:paraId="15E248A2" w14:textId="741C4AE2"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2,340 (73.0%)</w:t>
            </w:r>
          </w:p>
        </w:tc>
        <w:tc>
          <w:tcPr>
            <w:tcW w:w="1410" w:type="dxa"/>
            <w:tcBorders>
              <w:top w:val="nil"/>
              <w:left w:val="nil"/>
              <w:bottom w:val="nil"/>
              <w:right w:val="nil"/>
            </w:tcBorders>
            <w:shd w:val="clear" w:color="auto" w:fill="FFFFFF" w:themeFill="background1"/>
            <w:tcMar>
              <w:left w:w="105" w:type="dxa"/>
              <w:right w:w="105" w:type="dxa"/>
            </w:tcMar>
            <w:vAlign w:val="bottom"/>
          </w:tcPr>
          <w:p w14:paraId="03997695" w14:textId="4F75490B"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0.001</w:t>
            </w:r>
          </w:p>
        </w:tc>
      </w:tr>
      <w:tr w:rsidR="252F9B59" w14:paraId="53B152EB" w14:textId="77777777" w:rsidTr="252F9B59">
        <w:trPr>
          <w:trHeight w:val="300"/>
        </w:trPr>
        <w:tc>
          <w:tcPr>
            <w:tcW w:w="4815" w:type="dxa"/>
            <w:tcBorders>
              <w:top w:val="nil"/>
              <w:left w:val="nil"/>
              <w:bottom w:val="nil"/>
              <w:right w:val="nil"/>
            </w:tcBorders>
            <w:tcMar>
              <w:left w:w="105" w:type="dxa"/>
              <w:right w:w="105" w:type="dxa"/>
            </w:tcMar>
          </w:tcPr>
          <w:p w14:paraId="704CC38C" w14:textId="532E77E8" w:rsidR="252F9B59" w:rsidRDefault="252F9B59" w:rsidP="252F9B59">
            <w:pPr>
              <w:spacing w:line="259" w:lineRule="auto"/>
              <w:rPr>
                <w:rFonts w:eastAsia="Calibri"/>
                <w:sz w:val="22"/>
                <w:szCs w:val="22"/>
              </w:rPr>
            </w:pPr>
            <w:r w:rsidRPr="5C993E2C">
              <w:rPr>
                <w:rFonts w:eastAsia="Calibri"/>
                <w:sz w:val="22"/>
                <w:szCs w:val="22"/>
              </w:rPr>
              <w:t xml:space="preserve">Number of bacterial STIs, past 3 years </w:t>
            </w:r>
          </w:p>
        </w:tc>
        <w:tc>
          <w:tcPr>
            <w:tcW w:w="1605" w:type="dxa"/>
            <w:tcBorders>
              <w:top w:val="nil"/>
              <w:left w:val="nil"/>
              <w:bottom w:val="nil"/>
              <w:right w:val="nil"/>
            </w:tcBorders>
            <w:tcMar>
              <w:left w:w="105" w:type="dxa"/>
              <w:right w:w="105" w:type="dxa"/>
            </w:tcMar>
          </w:tcPr>
          <w:p w14:paraId="0ECF7B34" w14:textId="7BF3BB17" w:rsidR="252F9B59" w:rsidRDefault="252F9B59" w:rsidP="252F9B59">
            <w:pPr>
              <w:spacing w:line="259" w:lineRule="auto"/>
              <w:jc w:val="center"/>
              <w:rPr>
                <w:rFonts w:eastAsia="Calibri"/>
                <w:color w:val="BFBFBF" w:themeColor="background1" w:themeShade="BF"/>
                <w:sz w:val="22"/>
                <w:szCs w:val="22"/>
              </w:rPr>
            </w:pPr>
          </w:p>
        </w:tc>
        <w:tc>
          <w:tcPr>
            <w:tcW w:w="1515" w:type="dxa"/>
            <w:tcBorders>
              <w:top w:val="nil"/>
              <w:left w:val="nil"/>
              <w:bottom w:val="nil"/>
              <w:right w:val="nil"/>
            </w:tcBorders>
            <w:tcMar>
              <w:left w:w="105" w:type="dxa"/>
              <w:right w:w="105" w:type="dxa"/>
            </w:tcMar>
          </w:tcPr>
          <w:p w14:paraId="2A494540" w14:textId="14C74DD7" w:rsidR="252F9B59" w:rsidRDefault="252F9B59" w:rsidP="252F9B59">
            <w:pPr>
              <w:spacing w:line="259" w:lineRule="auto"/>
              <w:jc w:val="center"/>
              <w:rPr>
                <w:rFonts w:eastAsia="Calibri"/>
                <w:color w:val="BFBFBF" w:themeColor="background1" w:themeShade="BF"/>
                <w:sz w:val="22"/>
                <w:szCs w:val="22"/>
              </w:rPr>
            </w:pPr>
          </w:p>
        </w:tc>
        <w:tc>
          <w:tcPr>
            <w:tcW w:w="1410" w:type="dxa"/>
            <w:tcBorders>
              <w:top w:val="nil"/>
              <w:left w:val="nil"/>
              <w:bottom w:val="nil"/>
              <w:right w:val="nil"/>
            </w:tcBorders>
            <w:tcMar>
              <w:left w:w="105" w:type="dxa"/>
              <w:right w:w="105" w:type="dxa"/>
            </w:tcMar>
          </w:tcPr>
          <w:p w14:paraId="7ECE5706" w14:textId="7B575E89" w:rsidR="252F9B59" w:rsidRDefault="252F9B59" w:rsidP="252F9B59">
            <w:pPr>
              <w:spacing w:line="259" w:lineRule="auto"/>
              <w:jc w:val="center"/>
              <w:rPr>
                <w:rFonts w:eastAsia="Calibri"/>
                <w:color w:val="BFBFBF" w:themeColor="background1" w:themeShade="BF"/>
                <w:sz w:val="22"/>
                <w:szCs w:val="22"/>
              </w:rPr>
            </w:pPr>
          </w:p>
        </w:tc>
      </w:tr>
      <w:tr w:rsidR="252F9B59" w14:paraId="3F9DFCA5" w14:textId="77777777" w:rsidTr="252F9B59">
        <w:trPr>
          <w:trHeight w:val="300"/>
        </w:trPr>
        <w:tc>
          <w:tcPr>
            <w:tcW w:w="4815" w:type="dxa"/>
            <w:tcBorders>
              <w:top w:val="nil"/>
              <w:left w:val="nil"/>
              <w:bottom w:val="nil"/>
              <w:right w:val="nil"/>
            </w:tcBorders>
            <w:tcMar>
              <w:left w:w="105" w:type="dxa"/>
              <w:right w:w="105" w:type="dxa"/>
            </w:tcMar>
          </w:tcPr>
          <w:p w14:paraId="025E2429" w14:textId="48506724" w:rsidR="252F9B59" w:rsidRDefault="252F9B59" w:rsidP="252F9B59">
            <w:pPr>
              <w:spacing w:line="259" w:lineRule="auto"/>
              <w:ind w:left="284"/>
              <w:rPr>
                <w:rFonts w:eastAsia="Calibri"/>
                <w:sz w:val="22"/>
                <w:szCs w:val="22"/>
              </w:rPr>
            </w:pPr>
            <w:r w:rsidRPr="5C993E2C">
              <w:rPr>
                <w:rFonts w:eastAsia="Calibri"/>
                <w:sz w:val="22"/>
                <w:szCs w:val="22"/>
              </w:rPr>
              <w:t>0</w:t>
            </w:r>
          </w:p>
        </w:tc>
        <w:tc>
          <w:tcPr>
            <w:tcW w:w="1605" w:type="dxa"/>
            <w:tcBorders>
              <w:top w:val="nil"/>
              <w:left w:val="nil"/>
              <w:bottom w:val="nil"/>
              <w:right w:val="nil"/>
            </w:tcBorders>
            <w:shd w:val="clear" w:color="auto" w:fill="FFFFFF" w:themeFill="background1"/>
            <w:tcMar>
              <w:left w:w="105" w:type="dxa"/>
              <w:right w:w="105" w:type="dxa"/>
            </w:tcMar>
            <w:vAlign w:val="bottom"/>
          </w:tcPr>
          <w:p w14:paraId="490030FA" w14:textId="5E97A76A"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1,166 (35.7%)</w:t>
            </w:r>
          </w:p>
        </w:tc>
        <w:tc>
          <w:tcPr>
            <w:tcW w:w="1515" w:type="dxa"/>
            <w:tcBorders>
              <w:top w:val="nil"/>
              <w:left w:val="nil"/>
              <w:bottom w:val="nil"/>
              <w:right w:val="nil"/>
            </w:tcBorders>
            <w:shd w:val="clear" w:color="auto" w:fill="FFFFFF" w:themeFill="background1"/>
            <w:tcMar>
              <w:left w:w="105" w:type="dxa"/>
              <w:right w:w="105" w:type="dxa"/>
            </w:tcMar>
            <w:vAlign w:val="bottom"/>
          </w:tcPr>
          <w:p w14:paraId="64FD7D01" w14:textId="3BE063AB"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1,158 (36.1%)</w:t>
            </w:r>
          </w:p>
        </w:tc>
        <w:tc>
          <w:tcPr>
            <w:tcW w:w="1410" w:type="dxa"/>
            <w:tcBorders>
              <w:top w:val="nil"/>
              <w:left w:val="nil"/>
              <w:bottom w:val="nil"/>
              <w:right w:val="nil"/>
            </w:tcBorders>
            <w:shd w:val="clear" w:color="auto" w:fill="FFFFFF" w:themeFill="background1"/>
            <w:tcMar>
              <w:left w:w="105" w:type="dxa"/>
              <w:right w:w="105" w:type="dxa"/>
            </w:tcMar>
            <w:vAlign w:val="bottom"/>
          </w:tcPr>
          <w:p w14:paraId="3F762045" w14:textId="2CB5AC6C"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0.01</w:t>
            </w:r>
          </w:p>
        </w:tc>
      </w:tr>
      <w:tr w:rsidR="252F9B59" w14:paraId="188022EA" w14:textId="77777777" w:rsidTr="252F9B59">
        <w:trPr>
          <w:trHeight w:val="300"/>
        </w:trPr>
        <w:tc>
          <w:tcPr>
            <w:tcW w:w="4815" w:type="dxa"/>
            <w:tcBorders>
              <w:top w:val="nil"/>
              <w:left w:val="nil"/>
              <w:bottom w:val="nil"/>
              <w:right w:val="nil"/>
            </w:tcBorders>
            <w:tcMar>
              <w:left w:w="105" w:type="dxa"/>
              <w:right w:w="105" w:type="dxa"/>
            </w:tcMar>
          </w:tcPr>
          <w:p w14:paraId="1538050A" w14:textId="563D6DEC" w:rsidR="252F9B59" w:rsidRDefault="252F9B59" w:rsidP="252F9B59">
            <w:pPr>
              <w:spacing w:line="259" w:lineRule="auto"/>
              <w:ind w:left="284"/>
              <w:rPr>
                <w:rFonts w:eastAsia="Calibri"/>
                <w:sz w:val="22"/>
                <w:szCs w:val="22"/>
              </w:rPr>
            </w:pPr>
            <w:r w:rsidRPr="5C993E2C">
              <w:rPr>
                <w:rFonts w:eastAsia="Calibri"/>
                <w:sz w:val="22"/>
                <w:szCs w:val="22"/>
              </w:rPr>
              <w:t>1</w:t>
            </w:r>
          </w:p>
        </w:tc>
        <w:tc>
          <w:tcPr>
            <w:tcW w:w="1605" w:type="dxa"/>
            <w:tcBorders>
              <w:top w:val="nil"/>
              <w:left w:val="nil"/>
              <w:bottom w:val="nil"/>
              <w:right w:val="nil"/>
            </w:tcBorders>
            <w:shd w:val="clear" w:color="auto" w:fill="FFFFFF" w:themeFill="background1"/>
            <w:tcMar>
              <w:left w:w="105" w:type="dxa"/>
              <w:right w:w="105" w:type="dxa"/>
            </w:tcMar>
            <w:vAlign w:val="bottom"/>
          </w:tcPr>
          <w:p w14:paraId="58B53059" w14:textId="57B86638"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1,003 (30.7%)</w:t>
            </w:r>
          </w:p>
        </w:tc>
        <w:tc>
          <w:tcPr>
            <w:tcW w:w="1515" w:type="dxa"/>
            <w:tcBorders>
              <w:top w:val="nil"/>
              <w:left w:val="nil"/>
              <w:bottom w:val="nil"/>
              <w:right w:val="nil"/>
            </w:tcBorders>
            <w:shd w:val="clear" w:color="auto" w:fill="FFFFFF" w:themeFill="background1"/>
            <w:tcMar>
              <w:left w:w="105" w:type="dxa"/>
              <w:right w:w="105" w:type="dxa"/>
            </w:tcMar>
            <w:vAlign w:val="bottom"/>
          </w:tcPr>
          <w:p w14:paraId="50695EC7" w14:textId="14016956"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998 (31.1%)</w:t>
            </w:r>
          </w:p>
        </w:tc>
        <w:tc>
          <w:tcPr>
            <w:tcW w:w="1410" w:type="dxa"/>
            <w:tcBorders>
              <w:top w:val="nil"/>
              <w:left w:val="nil"/>
              <w:bottom w:val="nil"/>
              <w:right w:val="nil"/>
            </w:tcBorders>
            <w:shd w:val="clear" w:color="auto" w:fill="FFFFFF" w:themeFill="background1"/>
            <w:tcMar>
              <w:left w:w="105" w:type="dxa"/>
              <w:right w:w="105" w:type="dxa"/>
            </w:tcMar>
            <w:vAlign w:val="bottom"/>
          </w:tcPr>
          <w:p w14:paraId="6E52460B" w14:textId="43045EDA"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0.01</w:t>
            </w:r>
          </w:p>
        </w:tc>
      </w:tr>
      <w:tr w:rsidR="252F9B59" w14:paraId="47DA83C1" w14:textId="77777777" w:rsidTr="252F9B59">
        <w:trPr>
          <w:trHeight w:val="300"/>
        </w:trPr>
        <w:tc>
          <w:tcPr>
            <w:tcW w:w="4815" w:type="dxa"/>
            <w:tcBorders>
              <w:top w:val="nil"/>
              <w:left w:val="nil"/>
              <w:bottom w:val="nil"/>
              <w:right w:val="nil"/>
            </w:tcBorders>
            <w:tcMar>
              <w:left w:w="105" w:type="dxa"/>
              <w:right w:w="105" w:type="dxa"/>
            </w:tcMar>
          </w:tcPr>
          <w:p w14:paraId="44E22F35" w14:textId="2001F514" w:rsidR="252F9B59" w:rsidRDefault="252F9B59" w:rsidP="252F9B59">
            <w:pPr>
              <w:spacing w:line="259" w:lineRule="auto"/>
              <w:ind w:left="284"/>
              <w:rPr>
                <w:rFonts w:eastAsia="Calibri"/>
                <w:sz w:val="22"/>
                <w:szCs w:val="22"/>
              </w:rPr>
            </w:pPr>
            <w:r w:rsidRPr="5C993E2C">
              <w:rPr>
                <w:rFonts w:eastAsia="Calibri"/>
                <w:sz w:val="22"/>
                <w:szCs w:val="22"/>
              </w:rPr>
              <w:t>2</w:t>
            </w:r>
          </w:p>
        </w:tc>
        <w:tc>
          <w:tcPr>
            <w:tcW w:w="1605" w:type="dxa"/>
            <w:tcBorders>
              <w:top w:val="nil"/>
              <w:left w:val="nil"/>
              <w:bottom w:val="nil"/>
              <w:right w:val="nil"/>
            </w:tcBorders>
            <w:shd w:val="clear" w:color="auto" w:fill="FFFFFF" w:themeFill="background1"/>
            <w:tcMar>
              <w:left w:w="105" w:type="dxa"/>
              <w:right w:w="105" w:type="dxa"/>
            </w:tcMar>
            <w:vAlign w:val="bottom"/>
          </w:tcPr>
          <w:p w14:paraId="02D2C4F1" w14:textId="6C9DE01A"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531 (16.2%)</w:t>
            </w:r>
          </w:p>
        </w:tc>
        <w:tc>
          <w:tcPr>
            <w:tcW w:w="1515" w:type="dxa"/>
            <w:tcBorders>
              <w:top w:val="nil"/>
              <w:left w:val="nil"/>
              <w:bottom w:val="nil"/>
              <w:right w:val="nil"/>
            </w:tcBorders>
            <w:shd w:val="clear" w:color="auto" w:fill="FFFFFF" w:themeFill="background1"/>
            <w:tcMar>
              <w:left w:w="105" w:type="dxa"/>
              <w:right w:w="105" w:type="dxa"/>
            </w:tcMar>
            <w:vAlign w:val="bottom"/>
          </w:tcPr>
          <w:p w14:paraId="652479E6" w14:textId="7F28FB51"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522 (16.3%)</w:t>
            </w:r>
          </w:p>
        </w:tc>
        <w:tc>
          <w:tcPr>
            <w:tcW w:w="1410" w:type="dxa"/>
            <w:tcBorders>
              <w:top w:val="nil"/>
              <w:left w:val="nil"/>
              <w:bottom w:val="nil"/>
              <w:right w:val="nil"/>
            </w:tcBorders>
            <w:shd w:val="clear" w:color="auto" w:fill="FFFFFF" w:themeFill="background1"/>
            <w:tcMar>
              <w:left w:w="105" w:type="dxa"/>
              <w:right w:w="105" w:type="dxa"/>
            </w:tcMar>
            <w:vAlign w:val="bottom"/>
          </w:tcPr>
          <w:p w14:paraId="4ADC2F16" w14:textId="25D62907"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0.001</w:t>
            </w:r>
          </w:p>
        </w:tc>
      </w:tr>
      <w:tr w:rsidR="252F9B59" w14:paraId="78054F4E" w14:textId="77777777" w:rsidTr="252F9B59">
        <w:trPr>
          <w:trHeight w:val="300"/>
        </w:trPr>
        <w:tc>
          <w:tcPr>
            <w:tcW w:w="4815" w:type="dxa"/>
            <w:tcBorders>
              <w:top w:val="nil"/>
              <w:left w:val="nil"/>
              <w:bottom w:val="nil"/>
              <w:right w:val="nil"/>
            </w:tcBorders>
            <w:tcMar>
              <w:left w:w="105" w:type="dxa"/>
              <w:right w:w="105" w:type="dxa"/>
            </w:tcMar>
          </w:tcPr>
          <w:p w14:paraId="527168B4" w14:textId="2AC67364" w:rsidR="252F9B59" w:rsidRDefault="252F9B59" w:rsidP="252F9B59">
            <w:pPr>
              <w:spacing w:line="259" w:lineRule="auto"/>
              <w:ind w:left="284"/>
              <w:rPr>
                <w:rFonts w:eastAsia="Calibri"/>
                <w:sz w:val="22"/>
                <w:szCs w:val="22"/>
              </w:rPr>
            </w:pPr>
            <w:r w:rsidRPr="5C993E2C">
              <w:rPr>
                <w:rFonts w:eastAsia="Calibri"/>
                <w:sz w:val="22"/>
                <w:szCs w:val="22"/>
              </w:rPr>
              <w:t>3</w:t>
            </w:r>
          </w:p>
        </w:tc>
        <w:tc>
          <w:tcPr>
            <w:tcW w:w="1605" w:type="dxa"/>
            <w:tcBorders>
              <w:top w:val="nil"/>
              <w:left w:val="nil"/>
              <w:bottom w:val="nil"/>
              <w:right w:val="nil"/>
            </w:tcBorders>
            <w:shd w:val="clear" w:color="auto" w:fill="FFFFFF" w:themeFill="background1"/>
            <w:tcMar>
              <w:left w:w="105" w:type="dxa"/>
              <w:right w:w="105" w:type="dxa"/>
            </w:tcMar>
            <w:vAlign w:val="bottom"/>
          </w:tcPr>
          <w:p w14:paraId="6FB3D7BD" w14:textId="154925CB"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256 (7.8%)</w:t>
            </w:r>
          </w:p>
        </w:tc>
        <w:tc>
          <w:tcPr>
            <w:tcW w:w="1515" w:type="dxa"/>
            <w:tcBorders>
              <w:top w:val="nil"/>
              <w:left w:val="nil"/>
              <w:bottom w:val="nil"/>
              <w:right w:val="nil"/>
            </w:tcBorders>
            <w:shd w:val="clear" w:color="auto" w:fill="FFFFFF" w:themeFill="background1"/>
            <w:tcMar>
              <w:left w:w="105" w:type="dxa"/>
              <w:right w:w="105" w:type="dxa"/>
            </w:tcMar>
            <w:vAlign w:val="bottom"/>
          </w:tcPr>
          <w:p w14:paraId="60378801" w14:textId="21946D18"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248 (7.7%)</w:t>
            </w:r>
          </w:p>
        </w:tc>
        <w:tc>
          <w:tcPr>
            <w:tcW w:w="1410" w:type="dxa"/>
            <w:tcBorders>
              <w:top w:val="nil"/>
              <w:left w:val="nil"/>
              <w:bottom w:val="nil"/>
              <w:right w:val="nil"/>
            </w:tcBorders>
            <w:shd w:val="clear" w:color="auto" w:fill="FFFFFF" w:themeFill="background1"/>
            <w:tcMar>
              <w:left w:w="105" w:type="dxa"/>
              <w:right w:w="105" w:type="dxa"/>
            </w:tcMar>
            <w:vAlign w:val="bottom"/>
          </w:tcPr>
          <w:p w14:paraId="11EFB158" w14:textId="0AC74389"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0.003</w:t>
            </w:r>
          </w:p>
        </w:tc>
      </w:tr>
      <w:tr w:rsidR="252F9B59" w14:paraId="4040AAFF" w14:textId="77777777" w:rsidTr="252F9B59">
        <w:trPr>
          <w:trHeight w:val="300"/>
        </w:trPr>
        <w:tc>
          <w:tcPr>
            <w:tcW w:w="4815" w:type="dxa"/>
            <w:tcBorders>
              <w:top w:val="nil"/>
              <w:left w:val="nil"/>
              <w:bottom w:val="nil"/>
              <w:right w:val="nil"/>
            </w:tcBorders>
            <w:tcMar>
              <w:left w:w="105" w:type="dxa"/>
              <w:right w:w="105" w:type="dxa"/>
            </w:tcMar>
          </w:tcPr>
          <w:p w14:paraId="6D303D7C" w14:textId="7F615DE7" w:rsidR="252F9B59" w:rsidRDefault="0E557FF4" w:rsidP="252F9B59">
            <w:pPr>
              <w:spacing w:line="259" w:lineRule="auto"/>
              <w:ind w:left="284"/>
              <w:rPr>
                <w:rFonts w:eastAsia="Calibri"/>
                <w:sz w:val="22"/>
                <w:szCs w:val="22"/>
              </w:rPr>
            </w:pPr>
            <w:r w:rsidRPr="5C993E2C">
              <w:rPr>
                <w:sz w:val="22"/>
                <w:szCs w:val="22"/>
              </w:rPr>
              <w:t xml:space="preserve">≥ </w:t>
            </w:r>
            <w:r w:rsidR="252F9B59" w:rsidRPr="5C993E2C">
              <w:rPr>
                <w:rFonts w:eastAsia="Calibri"/>
                <w:sz w:val="22"/>
                <w:szCs w:val="22"/>
              </w:rPr>
              <w:t>4</w:t>
            </w:r>
          </w:p>
        </w:tc>
        <w:tc>
          <w:tcPr>
            <w:tcW w:w="1605" w:type="dxa"/>
            <w:tcBorders>
              <w:top w:val="nil"/>
              <w:left w:val="nil"/>
              <w:bottom w:val="nil"/>
              <w:right w:val="nil"/>
            </w:tcBorders>
            <w:shd w:val="clear" w:color="auto" w:fill="FFFFFF" w:themeFill="background1"/>
            <w:tcMar>
              <w:left w:w="105" w:type="dxa"/>
              <w:right w:w="105" w:type="dxa"/>
            </w:tcMar>
            <w:vAlign w:val="bottom"/>
          </w:tcPr>
          <w:p w14:paraId="7D5575A3" w14:textId="4881A35A"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312 (9.5%)</w:t>
            </w:r>
          </w:p>
        </w:tc>
        <w:tc>
          <w:tcPr>
            <w:tcW w:w="1515" w:type="dxa"/>
            <w:tcBorders>
              <w:top w:val="nil"/>
              <w:left w:val="nil"/>
              <w:bottom w:val="nil"/>
              <w:right w:val="nil"/>
            </w:tcBorders>
            <w:shd w:val="clear" w:color="auto" w:fill="FFFFFF" w:themeFill="background1"/>
            <w:tcMar>
              <w:left w:w="105" w:type="dxa"/>
              <w:right w:w="105" w:type="dxa"/>
            </w:tcMar>
            <w:vAlign w:val="bottom"/>
          </w:tcPr>
          <w:p w14:paraId="3C443902" w14:textId="31E602FE"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278 (8.7%)</w:t>
            </w:r>
          </w:p>
        </w:tc>
        <w:tc>
          <w:tcPr>
            <w:tcW w:w="1410" w:type="dxa"/>
            <w:tcBorders>
              <w:top w:val="nil"/>
              <w:left w:val="nil"/>
              <w:bottom w:val="nil"/>
              <w:right w:val="nil"/>
            </w:tcBorders>
            <w:shd w:val="clear" w:color="auto" w:fill="FFFFFF" w:themeFill="background1"/>
            <w:tcMar>
              <w:left w:w="105" w:type="dxa"/>
              <w:right w:w="105" w:type="dxa"/>
            </w:tcMar>
            <w:vAlign w:val="bottom"/>
          </w:tcPr>
          <w:p w14:paraId="41688304" w14:textId="21F8B7DE" w:rsidR="252F9B59" w:rsidRDefault="252F9B59" w:rsidP="252F9B59">
            <w:pPr>
              <w:spacing w:line="259" w:lineRule="auto"/>
              <w:jc w:val="center"/>
              <w:rPr>
                <w:rFonts w:eastAsia="Calibri"/>
                <w:color w:val="000000" w:themeColor="text1"/>
                <w:sz w:val="22"/>
                <w:szCs w:val="22"/>
              </w:rPr>
            </w:pPr>
            <w:r w:rsidRPr="5C993E2C">
              <w:rPr>
                <w:rFonts w:eastAsia="Calibri"/>
                <w:color w:val="000000" w:themeColor="text1"/>
                <w:sz w:val="22"/>
                <w:szCs w:val="22"/>
              </w:rPr>
              <w:t>0.03</w:t>
            </w:r>
          </w:p>
        </w:tc>
      </w:tr>
      <w:tr w:rsidR="252F9B59" w14:paraId="162CF45D" w14:textId="77777777" w:rsidTr="252F9B59">
        <w:trPr>
          <w:trHeight w:val="300"/>
        </w:trPr>
        <w:tc>
          <w:tcPr>
            <w:tcW w:w="4815" w:type="dxa"/>
            <w:tcBorders>
              <w:top w:val="nil"/>
              <w:left w:val="nil"/>
              <w:bottom w:val="single" w:sz="6" w:space="0" w:color="auto"/>
              <w:right w:val="nil"/>
            </w:tcBorders>
            <w:tcMar>
              <w:left w:w="105" w:type="dxa"/>
              <w:right w:w="105" w:type="dxa"/>
            </w:tcMar>
          </w:tcPr>
          <w:p w14:paraId="798DAA10" w14:textId="31438957" w:rsidR="252F9B59" w:rsidRDefault="252F9B59" w:rsidP="252F9B59">
            <w:pPr>
              <w:spacing w:line="259" w:lineRule="auto"/>
              <w:rPr>
                <w:rFonts w:eastAsia="Calibri"/>
                <w:sz w:val="22"/>
                <w:szCs w:val="22"/>
              </w:rPr>
            </w:pPr>
            <w:r w:rsidRPr="5C993E2C">
              <w:rPr>
                <w:rFonts w:eastAsia="Calibri"/>
                <w:sz w:val="22"/>
                <w:szCs w:val="22"/>
              </w:rPr>
              <w:t xml:space="preserve">Received any </w:t>
            </w:r>
            <w:r w:rsidR="00CE31C2">
              <w:rPr>
                <w:rFonts w:eastAsia="Calibri"/>
                <w:sz w:val="22"/>
                <w:szCs w:val="22"/>
              </w:rPr>
              <w:t xml:space="preserve">non-MVA-BN </w:t>
            </w:r>
            <w:r w:rsidRPr="5C993E2C">
              <w:rPr>
                <w:rFonts w:eastAsia="Calibri"/>
                <w:sz w:val="22"/>
                <w:szCs w:val="22"/>
              </w:rPr>
              <w:t>vaccines, past 1 year</w:t>
            </w:r>
          </w:p>
        </w:tc>
        <w:tc>
          <w:tcPr>
            <w:tcW w:w="1605" w:type="dxa"/>
            <w:tcBorders>
              <w:top w:val="nil"/>
              <w:left w:val="nil"/>
              <w:bottom w:val="single" w:sz="6" w:space="0" w:color="auto"/>
              <w:right w:val="nil"/>
            </w:tcBorders>
            <w:tcMar>
              <w:left w:w="105" w:type="dxa"/>
              <w:right w:w="105" w:type="dxa"/>
            </w:tcMar>
          </w:tcPr>
          <w:p w14:paraId="25D2416F" w14:textId="28C394AC" w:rsidR="252F9B59" w:rsidRDefault="252F9B59" w:rsidP="252F9B59">
            <w:pPr>
              <w:spacing w:line="259" w:lineRule="auto"/>
              <w:jc w:val="center"/>
              <w:rPr>
                <w:rFonts w:eastAsia="Calibri"/>
                <w:sz w:val="22"/>
                <w:szCs w:val="22"/>
              </w:rPr>
            </w:pPr>
            <w:r w:rsidRPr="5C993E2C">
              <w:rPr>
                <w:rFonts w:eastAsia="Calibri"/>
                <w:sz w:val="22"/>
                <w:szCs w:val="22"/>
              </w:rPr>
              <w:t>3,202 (98.0%)</w:t>
            </w:r>
          </w:p>
        </w:tc>
        <w:tc>
          <w:tcPr>
            <w:tcW w:w="1515" w:type="dxa"/>
            <w:tcBorders>
              <w:top w:val="nil"/>
              <w:left w:val="nil"/>
              <w:bottom w:val="single" w:sz="6" w:space="0" w:color="auto"/>
              <w:right w:val="nil"/>
            </w:tcBorders>
            <w:tcMar>
              <w:left w:w="105" w:type="dxa"/>
              <w:right w:w="105" w:type="dxa"/>
            </w:tcMar>
          </w:tcPr>
          <w:p w14:paraId="66BA3C50" w14:textId="3B74BCE7" w:rsidR="252F9B59" w:rsidRDefault="252F9B59" w:rsidP="252F9B59">
            <w:pPr>
              <w:spacing w:line="259" w:lineRule="auto"/>
              <w:jc w:val="center"/>
              <w:rPr>
                <w:rFonts w:eastAsia="Calibri"/>
                <w:sz w:val="22"/>
                <w:szCs w:val="22"/>
              </w:rPr>
            </w:pPr>
            <w:r w:rsidRPr="5C993E2C">
              <w:rPr>
                <w:rFonts w:eastAsia="Calibri"/>
                <w:sz w:val="22"/>
                <w:szCs w:val="22"/>
              </w:rPr>
              <w:t>3,146 (98.2%)</w:t>
            </w:r>
          </w:p>
        </w:tc>
        <w:tc>
          <w:tcPr>
            <w:tcW w:w="1410" w:type="dxa"/>
            <w:tcBorders>
              <w:top w:val="nil"/>
              <w:left w:val="nil"/>
              <w:bottom w:val="single" w:sz="6" w:space="0" w:color="auto"/>
              <w:right w:val="nil"/>
            </w:tcBorders>
            <w:tcMar>
              <w:left w:w="105" w:type="dxa"/>
              <w:right w:w="105" w:type="dxa"/>
            </w:tcMar>
          </w:tcPr>
          <w:p w14:paraId="2D92993D" w14:textId="4C7A7844" w:rsidR="252F9B59" w:rsidRDefault="252F9B59" w:rsidP="252F9B59">
            <w:pPr>
              <w:spacing w:line="259" w:lineRule="auto"/>
              <w:jc w:val="center"/>
              <w:rPr>
                <w:rFonts w:eastAsia="Calibri"/>
                <w:sz w:val="22"/>
                <w:szCs w:val="22"/>
              </w:rPr>
            </w:pPr>
            <w:r w:rsidRPr="5C993E2C">
              <w:rPr>
                <w:rFonts w:eastAsia="Calibri"/>
                <w:sz w:val="22"/>
                <w:szCs w:val="22"/>
              </w:rPr>
              <w:t>0.0</w:t>
            </w:r>
            <w:r w:rsidR="00CE31C2">
              <w:rPr>
                <w:rFonts w:eastAsia="Calibri"/>
                <w:sz w:val="22"/>
                <w:szCs w:val="22"/>
              </w:rPr>
              <w:t>2</w:t>
            </w:r>
          </w:p>
        </w:tc>
      </w:tr>
    </w:tbl>
    <w:p w14:paraId="322876B0" w14:textId="2EBDB04E" w:rsidR="00EC2C46" w:rsidRPr="00654C62" w:rsidRDefault="7E12DF10" w:rsidP="252F9B59">
      <w:pPr>
        <w:spacing w:after="160" w:line="259" w:lineRule="auto"/>
        <w:rPr>
          <w:rFonts w:eastAsia="Calibri"/>
          <w:sz w:val="22"/>
          <w:szCs w:val="22"/>
        </w:rPr>
      </w:pPr>
      <w:r w:rsidRPr="00654C62">
        <w:rPr>
          <w:rFonts w:eastAsia="Calibri"/>
          <w:color w:val="000000" w:themeColor="text1"/>
          <w:sz w:val="22"/>
          <w:szCs w:val="22"/>
        </w:rPr>
        <w:lastRenderedPageBreak/>
        <w:t>SD=standardized difference; STI=sexual</w:t>
      </w:r>
      <w:r w:rsidR="00654C62" w:rsidRPr="00654C62">
        <w:rPr>
          <w:rFonts w:eastAsia="Calibri"/>
          <w:color w:val="000000" w:themeColor="text1"/>
          <w:sz w:val="22"/>
          <w:szCs w:val="22"/>
        </w:rPr>
        <w:t>ly transmitted infection (</w:t>
      </w:r>
      <w:r w:rsidRPr="00654C62">
        <w:rPr>
          <w:rFonts w:eastAsia="Calibri"/>
          <w:color w:val="000000" w:themeColor="text1"/>
          <w:sz w:val="22"/>
          <w:szCs w:val="22"/>
        </w:rPr>
        <w:t xml:space="preserve">syphilis, chlamydia, gonorrhea); </w:t>
      </w:r>
      <w:proofErr w:type="spellStart"/>
      <w:r w:rsidRPr="00654C62">
        <w:rPr>
          <w:rFonts w:eastAsia="Calibri"/>
          <w:color w:val="000000" w:themeColor="text1"/>
          <w:sz w:val="22"/>
          <w:szCs w:val="22"/>
        </w:rPr>
        <w:t>PrEP</w:t>
      </w:r>
      <w:proofErr w:type="spellEnd"/>
      <w:r w:rsidRPr="00654C62">
        <w:rPr>
          <w:rFonts w:eastAsia="Calibri"/>
          <w:color w:val="000000" w:themeColor="text1"/>
          <w:sz w:val="22"/>
          <w:szCs w:val="22"/>
        </w:rPr>
        <w:t>=Pre-exposure prophylaxis</w:t>
      </w:r>
      <w:r w:rsidR="6391B4B7" w:rsidRPr="00654C62">
        <w:rPr>
          <w:color w:val="000000" w:themeColor="text1"/>
          <w:sz w:val="22"/>
          <w:szCs w:val="22"/>
        </w:rPr>
        <w:t>; MVA-BN=</w:t>
      </w:r>
      <w:r w:rsidR="6391B4B7" w:rsidRPr="00654C62">
        <w:rPr>
          <w:color w:val="000000" w:themeColor="text1"/>
          <w:sz w:val="22"/>
          <w:szCs w:val="22"/>
          <w:lang w:val="en-US"/>
        </w:rPr>
        <w:t>modified vaccinia Ankara-Bavarian Nordic vaccine</w:t>
      </w:r>
    </w:p>
    <w:p w14:paraId="774BEC09" w14:textId="77777777" w:rsidR="006A3416" w:rsidRDefault="006A3416" w:rsidP="00F222D5">
      <w:pPr>
        <w:pStyle w:val="Heading1"/>
        <w:rPr>
          <w:rFonts w:ascii="Times New Roman" w:hAnsi="Times New Roman" w:cs="Times New Roman"/>
          <w:b/>
          <w:bCs/>
          <w:color w:val="auto"/>
          <w:sz w:val="24"/>
          <w:szCs w:val="24"/>
        </w:rPr>
      </w:pPr>
      <w:bookmarkStart w:id="7" w:name="_Toc147303606"/>
    </w:p>
    <w:p w14:paraId="4E114B3E" w14:textId="3EEBCE08" w:rsidR="00243F2D" w:rsidRPr="00F222D5" w:rsidRDefault="00243F2D" w:rsidP="00F222D5">
      <w:pPr>
        <w:pStyle w:val="Heading1"/>
        <w:rPr>
          <w:rFonts w:ascii="Times New Roman" w:hAnsi="Times New Roman" w:cs="Times New Roman"/>
          <w:b/>
          <w:bCs/>
          <w:color w:val="auto"/>
          <w:sz w:val="24"/>
          <w:szCs w:val="24"/>
        </w:rPr>
      </w:pPr>
      <w:r w:rsidRPr="00F222D5">
        <w:rPr>
          <w:rFonts w:ascii="Times New Roman" w:hAnsi="Times New Roman" w:cs="Times New Roman"/>
          <w:b/>
          <w:bCs/>
          <w:color w:val="auto"/>
          <w:sz w:val="24"/>
          <w:szCs w:val="24"/>
        </w:rPr>
        <w:t>References</w:t>
      </w:r>
      <w:bookmarkEnd w:id="7"/>
    </w:p>
    <w:p w14:paraId="19429929" w14:textId="77777777" w:rsidR="00243F2D" w:rsidRPr="00243F2D" w:rsidRDefault="00243F2D" w:rsidP="005B408E"/>
    <w:p w14:paraId="582AC591" w14:textId="3706B12A" w:rsidR="00D052A5" w:rsidRPr="00D052A5" w:rsidRDefault="00D052A5" w:rsidP="00D052A5">
      <w:pPr>
        <w:pStyle w:val="NormalWeb"/>
        <w:spacing w:line="480" w:lineRule="auto"/>
      </w:pPr>
      <w:r w:rsidRPr="00D052A5">
        <w:t>1. Antoniou T, Zagorski B, Loutfy MR, Strike C, Glazier RH. Validation of case-finding algorithms derived from administrative data for identifying adults living with human immunodeficiency virus infection. PLOS One 2011;6:e21748.</w:t>
      </w:r>
    </w:p>
    <w:p w14:paraId="7BEA3A1E" w14:textId="246192F7" w:rsidR="00D052A5" w:rsidRPr="00D052A5" w:rsidRDefault="00D052A5" w:rsidP="00D052A5">
      <w:pPr>
        <w:pStyle w:val="NormalWeb"/>
        <w:spacing w:line="480" w:lineRule="auto"/>
      </w:pPr>
      <w:r w:rsidRPr="00D052A5">
        <w:t>2. Ontario Ministry of Health. Ontario Drug Benefit (ODB) Database. Ontario: Queen's Printer for Ontario, 2017 (</w:t>
      </w:r>
      <w:hyperlink r:id="rId9" w:history="1">
        <w:r w:rsidRPr="00B54D91">
          <w:rPr>
            <w:rStyle w:val="Hyperlink"/>
          </w:rPr>
          <w:t>https://data.ontario.ca/dataset/ontario-drug-benefit-odb-database</w:t>
        </w:r>
      </w:hyperlink>
      <w:r w:rsidRPr="00B72C7C">
        <w:rPr>
          <w:rStyle w:val="Hyperlink"/>
          <w:color w:val="auto"/>
          <w:u w:val="none"/>
        </w:rPr>
        <w:t>)</w:t>
      </w:r>
      <w:r w:rsidRPr="00D052A5">
        <w:t>.</w:t>
      </w:r>
    </w:p>
    <w:p w14:paraId="63C4870F" w14:textId="5D15E705" w:rsidR="00D052A5" w:rsidRPr="00D052A5" w:rsidRDefault="00D052A5" w:rsidP="00D052A5">
      <w:pPr>
        <w:pStyle w:val="NormalWeb"/>
        <w:spacing w:line="480" w:lineRule="auto"/>
      </w:pPr>
      <w:r w:rsidRPr="00D052A5">
        <w:t>3. Ontario Ministry of Health. Get help with high prescription drug costs. Ontario: Queen's Printer for Ontario, 2016 (</w:t>
      </w:r>
      <w:hyperlink r:id="rId10" w:history="1">
        <w:r w:rsidRPr="00B54D91">
          <w:rPr>
            <w:rStyle w:val="Hyperlink"/>
          </w:rPr>
          <w:t>https://www.ontario.ca/page/get-help-high-prescription-drug-costs</w:t>
        </w:r>
      </w:hyperlink>
      <w:r w:rsidRPr="00B54D91">
        <w:rPr>
          <w:rStyle w:val="Hyperlink"/>
          <w:color w:val="auto"/>
          <w:u w:val="none"/>
        </w:rPr>
        <w:t>)</w:t>
      </w:r>
      <w:r w:rsidRPr="00D052A5">
        <w:t>.</w:t>
      </w:r>
    </w:p>
    <w:p w14:paraId="057E3587" w14:textId="77777777" w:rsidR="00D052A5" w:rsidRPr="00D052A5" w:rsidRDefault="00D052A5" w:rsidP="00D052A5">
      <w:pPr>
        <w:pStyle w:val="NormalWeb"/>
        <w:spacing w:line="480" w:lineRule="auto"/>
      </w:pPr>
      <w:r w:rsidRPr="00D052A5">
        <w:t>4. Tan DH, Dashwood TM, Wilton J, Kroch A, Gomes T, Martins D. Trends in HIV pre-exposure prophylaxis uptake in Ontario, Canada, and impact of policy changes: a population-based analysis of projected pharmacy data (2015–2018). Canadian Journal of Public Health 2021;112:89-96.</w:t>
      </w:r>
    </w:p>
    <w:p w14:paraId="6865615A" w14:textId="38B29B90" w:rsidR="00843442" w:rsidRPr="000C0553" w:rsidRDefault="00D052A5" w:rsidP="00D052A5">
      <w:pPr>
        <w:rPr>
          <w:b/>
          <w:strike/>
        </w:rPr>
      </w:pPr>
      <w:r w:rsidRPr="00D052A5">
        <w:t> </w:t>
      </w:r>
    </w:p>
    <w:sectPr w:rsidR="00843442" w:rsidRPr="000C0553" w:rsidSect="00BE4298">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75D6" w14:textId="77777777" w:rsidR="00F24828" w:rsidRDefault="00F24828" w:rsidP="00D01522">
      <w:r>
        <w:separator/>
      </w:r>
    </w:p>
  </w:endnote>
  <w:endnote w:type="continuationSeparator" w:id="0">
    <w:p w14:paraId="50159E1C" w14:textId="77777777" w:rsidR="00F24828" w:rsidRDefault="00F24828" w:rsidP="00D01522">
      <w:r>
        <w:continuationSeparator/>
      </w:r>
    </w:p>
  </w:endnote>
  <w:endnote w:type="continuationNotice" w:id="1">
    <w:p w14:paraId="2FF656A7" w14:textId="77777777" w:rsidR="00F24828" w:rsidRDefault="00F24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730680"/>
      <w:docPartObj>
        <w:docPartGallery w:val="Page Numbers (Bottom of Page)"/>
        <w:docPartUnique/>
      </w:docPartObj>
    </w:sdtPr>
    <w:sdtEndPr>
      <w:rPr>
        <w:noProof/>
      </w:rPr>
    </w:sdtEndPr>
    <w:sdtContent>
      <w:p w14:paraId="6CDEC163" w14:textId="030079B0" w:rsidR="00F222D5" w:rsidRDefault="00F222D5">
        <w:pPr>
          <w:pStyle w:val="Footer"/>
          <w:jc w:val="right"/>
        </w:pPr>
        <w:r>
          <w:fldChar w:fldCharType="begin"/>
        </w:r>
        <w:r>
          <w:instrText xml:space="preserve"> PAGE   \* MERGEFORMAT </w:instrText>
        </w:r>
        <w:r>
          <w:fldChar w:fldCharType="separate"/>
        </w:r>
        <w:r w:rsidR="00B54D91">
          <w:rPr>
            <w:noProof/>
          </w:rPr>
          <w:t>10</w:t>
        </w:r>
        <w:r>
          <w:rPr>
            <w:noProof/>
          </w:rPr>
          <w:fldChar w:fldCharType="end"/>
        </w:r>
      </w:p>
    </w:sdtContent>
  </w:sdt>
  <w:p w14:paraId="41319DC5" w14:textId="77777777" w:rsidR="00D01522" w:rsidRDefault="00D01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7A10" w14:textId="77777777" w:rsidR="00F24828" w:rsidRDefault="00F24828" w:rsidP="00D01522">
      <w:r>
        <w:separator/>
      </w:r>
    </w:p>
  </w:footnote>
  <w:footnote w:type="continuationSeparator" w:id="0">
    <w:p w14:paraId="60C5A8A1" w14:textId="77777777" w:rsidR="00F24828" w:rsidRDefault="00F24828" w:rsidP="00D01522">
      <w:r>
        <w:continuationSeparator/>
      </w:r>
    </w:p>
  </w:footnote>
  <w:footnote w:type="continuationNotice" w:id="1">
    <w:p w14:paraId="35AC18E1" w14:textId="77777777" w:rsidR="00F24828" w:rsidRDefault="00F248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7BB"/>
    <w:multiLevelType w:val="hybridMultilevel"/>
    <w:tmpl w:val="D02E16C8"/>
    <w:lvl w:ilvl="0" w:tplc="FFFFFFFF">
      <w:start w:val="1"/>
      <w:numFmt w:val="bullet"/>
      <w:lvlRestart w:val="0"/>
      <w:lvlText w:val=""/>
      <w:lvlJc w:val="left"/>
      <w:pPr>
        <w:tabs>
          <w:tab w:val="num" w:pos="360"/>
        </w:tabs>
        <w:ind w:left="360" w:hanging="360"/>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006A394C">
      <w:numFmt w:val="bullet"/>
      <w:lvlText w:val="-"/>
      <w:lvlJc w:val="left"/>
      <w:pPr>
        <w:tabs>
          <w:tab w:val="num" w:pos="3600"/>
        </w:tabs>
        <w:ind w:left="3600" w:hanging="360"/>
      </w:pPr>
      <w:rPr>
        <w:rFonts w:hint="default"/>
        <w:sz w:val="16"/>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8682A"/>
    <w:multiLevelType w:val="hybridMultilevel"/>
    <w:tmpl w:val="BCF0D854"/>
    <w:lvl w:ilvl="0" w:tplc="A1EE9974">
      <w:start w:val="1"/>
      <w:numFmt w:val="bullet"/>
      <w:lvlText w:val=""/>
      <w:lvlJc w:val="left"/>
      <w:pPr>
        <w:ind w:left="720" w:hanging="360"/>
      </w:pPr>
      <w:rPr>
        <w:rFonts w:ascii="Symbol" w:hAnsi="Symbol" w:hint="default"/>
      </w:rPr>
    </w:lvl>
    <w:lvl w:ilvl="1" w:tplc="5B82EDBC">
      <w:start w:val="1"/>
      <w:numFmt w:val="bullet"/>
      <w:lvlText w:val="o"/>
      <w:lvlJc w:val="left"/>
      <w:pPr>
        <w:ind w:left="1440" w:hanging="360"/>
      </w:pPr>
      <w:rPr>
        <w:rFonts w:ascii="Courier New" w:hAnsi="Courier New" w:hint="default"/>
      </w:rPr>
    </w:lvl>
    <w:lvl w:ilvl="2" w:tplc="E4A884A0">
      <w:start w:val="1"/>
      <w:numFmt w:val="bullet"/>
      <w:lvlText w:val=""/>
      <w:lvlJc w:val="left"/>
      <w:pPr>
        <w:ind w:left="2160" w:hanging="360"/>
      </w:pPr>
      <w:rPr>
        <w:rFonts w:ascii="Wingdings" w:hAnsi="Wingdings" w:hint="default"/>
      </w:rPr>
    </w:lvl>
    <w:lvl w:ilvl="3" w:tplc="905EEB7C">
      <w:start w:val="1"/>
      <w:numFmt w:val="bullet"/>
      <w:lvlText w:val=""/>
      <w:lvlJc w:val="left"/>
      <w:pPr>
        <w:ind w:left="2880" w:hanging="360"/>
      </w:pPr>
      <w:rPr>
        <w:rFonts w:ascii="Symbol" w:hAnsi="Symbol" w:hint="default"/>
      </w:rPr>
    </w:lvl>
    <w:lvl w:ilvl="4" w:tplc="7EC83152">
      <w:start w:val="1"/>
      <w:numFmt w:val="bullet"/>
      <w:lvlText w:val="o"/>
      <w:lvlJc w:val="left"/>
      <w:pPr>
        <w:ind w:left="3600" w:hanging="360"/>
      </w:pPr>
      <w:rPr>
        <w:rFonts w:ascii="Courier New" w:hAnsi="Courier New" w:hint="default"/>
      </w:rPr>
    </w:lvl>
    <w:lvl w:ilvl="5" w:tplc="89C26044">
      <w:start w:val="1"/>
      <w:numFmt w:val="bullet"/>
      <w:lvlText w:val=""/>
      <w:lvlJc w:val="left"/>
      <w:pPr>
        <w:ind w:left="4320" w:hanging="360"/>
      </w:pPr>
      <w:rPr>
        <w:rFonts w:ascii="Wingdings" w:hAnsi="Wingdings" w:hint="default"/>
      </w:rPr>
    </w:lvl>
    <w:lvl w:ilvl="6" w:tplc="8BB62B6C">
      <w:start w:val="1"/>
      <w:numFmt w:val="bullet"/>
      <w:lvlText w:val=""/>
      <w:lvlJc w:val="left"/>
      <w:pPr>
        <w:ind w:left="5040" w:hanging="360"/>
      </w:pPr>
      <w:rPr>
        <w:rFonts w:ascii="Symbol" w:hAnsi="Symbol" w:hint="default"/>
      </w:rPr>
    </w:lvl>
    <w:lvl w:ilvl="7" w:tplc="2116BE60">
      <w:start w:val="1"/>
      <w:numFmt w:val="bullet"/>
      <w:lvlText w:val="o"/>
      <w:lvlJc w:val="left"/>
      <w:pPr>
        <w:ind w:left="5760" w:hanging="360"/>
      </w:pPr>
      <w:rPr>
        <w:rFonts w:ascii="Courier New" w:hAnsi="Courier New" w:hint="default"/>
      </w:rPr>
    </w:lvl>
    <w:lvl w:ilvl="8" w:tplc="0A7EEA5E">
      <w:start w:val="1"/>
      <w:numFmt w:val="bullet"/>
      <w:lvlText w:val=""/>
      <w:lvlJc w:val="left"/>
      <w:pPr>
        <w:ind w:left="6480" w:hanging="360"/>
      </w:pPr>
      <w:rPr>
        <w:rFonts w:ascii="Wingdings" w:hAnsi="Wingdings" w:hint="default"/>
      </w:rPr>
    </w:lvl>
  </w:abstractNum>
  <w:abstractNum w:abstractNumId="2" w15:restartNumberingAfterBreak="0">
    <w:nsid w:val="522B08FD"/>
    <w:multiLevelType w:val="hybridMultilevel"/>
    <w:tmpl w:val="2520A042"/>
    <w:lvl w:ilvl="0" w:tplc="0409000F">
      <w:start w:val="1"/>
      <w:numFmt w:val="decimal"/>
      <w:lvlText w:val="%1."/>
      <w:lvlJc w:val="left"/>
      <w:pPr>
        <w:ind w:left="720" w:hanging="360"/>
      </w:pPr>
      <w:rPr>
        <w:rFonts w:hint="default"/>
        <w:sz w:val="16"/>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hint="default"/>
        <w:sz w:val="16"/>
      </w:rPr>
    </w:lvl>
    <w:lvl w:ilvl="5" w:tplc="FFFFFFFF">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9666C52"/>
    <w:multiLevelType w:val="hybridMultilevel"/>
    <w:tmpl w:val="947A740C"/>
    <w:lvl w:ilvl="0" w:tplc="8C9EFC4A">
      <w:start w:val="1"/>
      <w:numFmt w:val="bullet"/>
      <w:lvlText w:val=""/>
      <w:lvlJc w:val="left"/>
      <w:pPr>
        <w:ind w:left="720" w:hanging="360"/>
      </w:pPr>
      <w:rPr>
        <w:rFonts w:ascii="Symbol" w:hAnsi="Symbol" w:hint="default"/>
      </w:rPr>
    </w:lvl>
    <w:lvl w:ilvl="1" w:tplc="5FA84EC0">
      <w:start w:val="1"/>
      <w:numFmt w:val="bullet"/>
      <w:lvlText w:val="o"/>
      <w:lvlJc w:val="left"/>
      <w:pPr>
        <w:ind w:left="1440" w:hanging="360"/>
      </w:pPr>
      <w:rPr>
        <w:rFonts w:ascii="Courier New" w:hAnsi="Courier New" w:hint="default"/>
      </w:rPr>
    </w:lvl>
    <w:lvl w:ilvl="2" w:tplc="98FA1B5A">
      <w:start w:val="1"/>
      <w:numFmt w:val="bullet"/>
      <w:lvlText w:val=""/>
      <w:lvlJc w:val="left"/>
      <w:pPr>
        <w:ind w:left="2160" w:hanging="360"/>
      </w:pPr>
      <w:rPr>
        <w:rFonts w:ascii="Wingdings" w:hAnsi="Wingdings" w:hint="default"/>
      </w:rPr>
    </w:lvl>
    <w:lvl w:ilvl="3" w:tplc="D280FE3A">
      <w:start w:val="1"/>
      <w:numFmt w:val="bullet"/>
      <w:lvlText w:val=""/>
      <w:lvlJc w:val="left"/>
      <w:pPr>
        <w:ind w:left="2880" w:hanging="360"/>
      </w:pPr>
      <w:rPr>
        <w:rFonts w:ascii="Symbol" w:hAnsi="Symbol" w:hint="default"/>
      </w:rPr>
    </w:lvl>
    <w:lvl w:ilvl="4" w:tplc="868AF2C0">
      <w:start w:val="1"/>
      <w:numFmt w:val="bullet"/>
      <w:lvlText w:val="o"/>
      <w:lvlJc w:val="left"/>
      <w:pPr>
        <w:ind w:left="3600" w:hanging="360"/>
      </w:pPr>
      <w:rPr>
        <w:rFonts w:ascii="Courier New" w:hAnsi="Courier New" w:hint="default"/>
      </w:rPr>
    </w:lvl>
    <w:lvl w:ilvl="5" w:tplc="51C687B8">
      <w:start w:val="1"/>
      <w:numFmt w:val="bullet"/>
      <w:lvlText w:val=""/>
      <w:lvlJc w:val="left"/>
      <w:pPr>
        <w:ind w:left="4320" w:hanging="360"/>
      </w:pPr>
      <w:rPr>
        <w:rFonts w:ascii="Wingdings" w:hAnsi="Wingdings" w:hint="default"/>
      </w:rPr>
    </w:lvl>
    <w:lvl w:ilvl="6" w:tplc="FF32E2B8">
      <w:start w:val="1"/>
      <w:numFmt w:val="bullet"/>
      <w:lvlText w:val=""/>
      <w:lvlJc w:val="left"/>
      <w:pPr>
        <w:ind w:left="5040" w:hanging="360"/>
      </w:pPr>
      <w:rPr>
        <w:rFonts w:ascii="Symbol" w:hAnsi="Symbol" w:hint="default"/>
      </w:rPr>
    </w:lvl>
    <w:lvl w:ilvl="7" w:tplc="2EF260E2">
      <w:start w:val="1"/>
      <w:numFmt w:val="bullet"/>
      <w:lvlText w:val="o"/>
      <w:lvlJc w:val="left"/>
      <w:pPr>
        <w:ind w:left="5760" w:hanging="360"/>
      </w:pPr>
      <w:rPr>
        <w:rFonts w:ascii="Courier New" w:hAnsi="Courier New" w:hint="default"/>
      </w:rPr>
    </w:lvl>
    <w:lvl w:ilvl="8" w:tplc="5680F336">
      <w:start w:val="1"/>
      <w:numFmt w:val="bullet"/>
      <w:lvlText w:val=""/>
      <w:lvlJc w:val="left"/>
      <w:pPr>
        <w:ind w:left="6480" w:hanging="360"/>
      </w:pPr>
      <w:rPr>
        <w:rFonts w:ascii="Wingdings" w:hAnsi="Wingdings" w:hint="default"/>
      </w:rPr>
    </w:lvl>
  </w:abstractNum>
  <w:abstractNum w:abstractNumId="4" w15:restartNumberingAfterBreak="0">
    <w:nsid w:val="7183DCC5"/>
    <w:multiLevelType w:val="hybridMultilevel"/>
    <w:tmpl w:val="9AEAA360"/>
    <w:lvl w:ilvl="0" w:tplc="3BC8D368">
      <w:start w:val="1"/>
      <w:numFmt w:val="bullet"/>
      <w:lvlText w:val=""/>
      <w:lvlJc w:val="left"/>
      <w:pPr>
        <w:ind w:left="720" w:hanging="360"/>
      </w:pPr>
      <w:rPr>
        <w:rFonts w:ascii="Symbol" w:hAnsi="Symbol" w:hint="default"/>
      </w:rPr>
    </w:lvl>
    <w:lvl w:ilvl="1" w:tplc="E79AC13A">
      <w:start w:val="1"/>
      <w:numFmt w:val="bullet"/>
      <w:lvlText w:val="o"/>
      <w:lvlJc w:val="left"/>
      <w:pPr>
        <w:ind w:left="1440" w:hanging="360"/>
      </w:pPr>
      <w:rPr>
        <w:rFonts w:ascii="Courier New" w:hAnsi="Courier New" w:hint="default"/>
      </w:rPr>
    </w:lvl>
    <w:lvl w:ilvl="2" w:tplc="4E28AA74">
      <w:start w:val="1"/>
      <w:numFmt w:val="bullet"/>
      <w:lvlText w:val=""/>
      <w:lvlJc w:val="left"/>
      <w:pPr>
        <w:ind w:left="2160" w:hanging="360"/>
      </w:pPr>
      <w:rPr>
        <w:rFonts w:ascii="Wingdings" w:hAnsi="Wingdings" w:hint="default"/>
      </w:rPr>
    </w:lvl>
    <w:lvl w:ilvl="3" w:tplc="B7EEDA3E">
      <w:start w:val="1"/>
      <w:numFmt w:val="bullet"/>
      <w:lvlText w:val=""/>
      <w:lvlJc w:val="left"/>
      <w:pPr>
        <w:ind w:left="2880" w:hanging="360"/>
      </w:pPr>
      <w:rPr>
        <w:rFonts w:ascii="Symbol" w:hAnsi="Symbol" w:hint="default"/>
      </w:rPr>
    </w:lvl>
    <w:lvl w:ilvl="4" w:tplc="F5EADE78">
      <w:start w:val="1"/>
      <w:numFmt w:val="bullet"/>
      <w:lvlText w:val="o"/>
      <w:lvlJc w:val="left"/>
      <w:pPr>
        <w:ind w:left="3600" w:hanging="360"/>
      </w:pPr>
      <w:rPr>
        <w:rFonts w:ascii="Courier New" w:hAnsi="Courier New" w:hint="default"/>
      </w:rPr>
    </w:lvl>
    <w:lvl w:ilvl="5" w:tplc="364A0FC2">
      <w:start w:val="1"/>
      <w:numFmt w:val="bullet"/>
      <w:lvlText w:val=""/>
      <w:lvlJc w:val="left"/>
      <w:pPr>
        <w:ind w:left="4320" w:hanging="360"/>
      </w:pPr>
      <w:rPr>
        <w:rFonts w:ascii="Wingdings" w:hAnsi="Wingdings" w:hint="default"/>
      </w:rPr>
    </w:lvl>
    <w:lvl w:ilvl="6" w:tplc="DCEA87B8">
      <w:start w:val="1"/>
      <w:numFmt w:val="bullet"/>
      <w:lvlText w:val=""/>
      <w:lvlJc w:val="left"/>
      <w:pPr>
        <w:ind w:left="5040" w:hanging="360"/>
      </w:pPr>
      <w:rPr>
        <w:rFonts w:ascii="Symbol" w:hAnsi="Symbol" w:hint="default"/>
      </w:rPr>
    </w:lvl>
    <w:lvl w:ilvl="7" w:tplc="219E0D80">
      <w:start w:val="1"/>
      <w:numFmt w:val="bullet"/>
      <w:lvlText w:val="o"/>
      <w:lvlJc w:val="left"/>
      <w:pPr>
        <w:ind w:left="5760" w:hanging="360"/>
      </w:pPr>
      <w:rPr>
        <w:rFonts w:ascii="Courier New" w:hAnsi="Courier New" w:hint="default"/>
      </w:rPr>
    </w:lvl>
    <w:lvl w:ilvl="8" w:tplc="445A842E">
      <w:start w:val="1"/>
      <w:numFmt w:val="bullet"/>
      <w:lvlText w:val=""/>
      <w:lvlJc w:val="left"/>
      <w:pPr>
        <w:ind w:left="6480" w:hanging="360"/>
      </w:pPr>
      <w:rPr>
        <w:rFonts w:ascii="Wingdings" w:hAnsi="Wingdings" w:hint="default"/>
      </w:rPr>
    </w:lvl>
  </w:abstractNum>
  <w:abstractNum w:abstractNumId="5" w15:restartNumberingAfterBreak="0">
    <w:nsid w:val="75FF4416"/>
    <w:multiLevelType w:val="hybridMultilevel"/>
    <w:tmpl w:val="173EF700"/>
    <w:lvl w:ilvl="0" w:tplc="844CFA2E">
      <w:start w:val="1"/>
      <w:numFmt w:val="decimal"/>
      <w:lvlText w:val="%1)"/>
      <w:lvlJc w:val="left"/>
      <w:pPr>
        <w:ind w:left="720" w:hanging="360"/>
      </w:pPr>
    </w:lvl>
    <w:lvl w:ilvl="1" w:tplc="521ED488">
      <w:start w:val="1"/>
      <w:numFmt w:val="lowerLetter"/>
      <w:lvlText w:val="%2."/>
      <w:lvlJc w:val="left"/>
      <w:pPr>
        <w:ind w:left="1440" w:hanging="360"/>
      </w:pPr>
    </w:lvl>
    <w:lvl w:ilvl="2" w:tplc="DB6AF2AA">
      <w:start w:val="1"/>
      <w:numFmt w:val="lowerRoman"/>
      <w:lvlText w:val="%3."/>
      <w:lvlJc w:val="right"/>
      <w:pPr>
        <w:ind w:left="2160" w:hanging="180"/>
      </w:pPr>
    </w:lvl>
    <w:lvl w:ilvl="3" w:tplc="2C366B00">
      <w:start w:val="1"/>
      <w:numFmt w:val="decimal"/>
      <w:lvlText w:val="%4."/>
      <w:lvlJc w:val="left"/>
      <w:pPr>
        <w:ind w:left="2880" w:hanging="360"/>
      </w:pPr>
    </w:lvl>
    <w:lvl w:ilvl="4" w:tplc="6534F0F4">
      <w:start w:val="1"/>
      <w:numFmt w:val="lowerLetter"/>
      <w:lvlText w:val="%5."/>
      <w:lvlJc w:val="left"/>
      <w:pPr>
        <w:ind w:left="3600" w:hanging="360"/>
      </w:pPr>
    </w:lvl>
    <w:lvl w:ilvl="5" w:tplc="8BAE126E">
      <w:start w:val="1"/>
      <w:numFmt w:val="lowerRoman"/>
      <w:lvlText w:val="%6."/>
      <w:lvlJc w:val="right"/>
      <w:pPr>
        <w:ind w:left="4320" w:hanging="180"/>
      </w:pPr>
    </w:lvl>
    <w:lvl w:ilvl="6" w:tplc="717C1CB2">
      <w:start w:val="1"/>
      <w:numFmt w:val="decimal"/>
      <w:lvlText w:val="%7."/>
      <w:lvlJc w:val="left"/>
      <w:pPr>
        <w:ind w:left="5040" w:hanging="360"/>
      </w:pPr>
    </w:lvl>
    <w:lvl w:ilvl="7" w:tplc="28D61462">
      <w:start w:val="1"/>
      <w:numFmt w:val="lowerLetter"/>
      <w:lvlText w:val="%8."/>
      <w:lvlJc w:val="left"/>
      <w:pPr>
        <w:ind w:left="5760" w:hanging="360"/>
      </w:pPr>
    </w:lvl>
    <w:lvl w:ilvl="8" w:tplc="670C99A4">
      <w:start w:val="1"/>
      <w:numFmt w:val="lowerRoman"/>
      <w:lvlText w:val="%9."/>
      <w:lvlJc w:val="right"/>
      <w:pPr>
        <w:ind w:left="6480" w:hanging="180"/>
      </w:pPr>
    </w:lvl>
  </w:abstractNum>
  <w:num w:numId="1" w16cid:durableId="369186931">
    <w:abstractNumId w:val="3"/>
  </w:num>
  <w:num w:numId="2" w16cid:durableId="1069041859">
    <w:abstractNumId w:val="5"/>
  </w:num>
  <w:num w:numId="3" w16cid:durableId="1990358444">
    <w:abstractNumId w:val="1"/>
  </w:num>
  <w:num w:numId="4" w16cid:durableId="374042373">
    <w:abstractNumId w:val="4"/>
  </w:num>
  <w:num w:numId="5" w16cid:durableId="1415541983">
    <w:abstractNumId w:val="0"/>
  </w:num>
  <w:num w:numId="6" w16cid:durableId="756442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33A"/>
    <w:rsid w:val="000004CC"/>
    <w:rsid w:val="00000DCB"/>
    <w:rsid w:val="0002508A"/>
    <w:rsid w:val="00036167"/>
    <w:rsid w:val="00046F7C"/>
    <w:rsid w:val="000474AD"/>
    <w:rsid w:val="000558FA"/>
    <w:rsid w:val="00082F81"/>
    <w:rsid w:val="0009233A"/>
    <w:rsid w:val="000B541C"/>
    <w:rsid w:val="000B7F07"/>
    <w:rsid w:val="000C0553"/>
    <w:rsid w:val="000F5568"/>
    <w:rsid w:val="00124A5A"/>
    <w:rsid w:val="0012562F"/>
    <w:rsid w:val="00160070"/>
    <w:rsid w:val="00163038"/>
    <w:rsid w:val="0017188B"/>
    <w:rsid w:val="00175FB6"/>
    <w:rsid w:val="001778B1"/>
    <w:rsid w:val="001847C6"/>
    <w:rsid w:val="00191EC7"/>
    <w:rsid w:val="001A653D"/>
    <w:rsid w:val="001B4597"/>
    <w:rsid w:val="001D417D"/>
    <w:rsid w:val="001D43D9"/>
    <w:rsid w:val="001D55F8"/>
    <w:rsid w:val="001E404F"/>
    <w:rsid w:val="00201FBC"/>
    <w:rsid w:val="0021757C"/>
    <w:rsid w:val="00227E94"/>
    <w:rsid w:val="00233000"/>
    <w:rsid w:val="00243F2D"/>
    <w:rsid w:val="00275EC8"/>
    <w:rsid w:val="00280D3D"/>
    <w:rsid w:val="0028125D"/>
    <w:rsid w:val="00286CAD"/>
    <w:rsid w:val="00296C6D"/>
    <w:rsid w:val="002D6E29"/>
    <w:rsid w:val="002F4B6F"/>
    <w:rsid w:val="00306C1C"/>
    <w:rsid w:val="00335951"/>
    <w:rsid w:val="00340BAC"/>
    <w:rsid w:val="00353A04"/>
    <w:rsid w:val="00381A3A"/>
    <w:rsid w:val="00381B14"/>
    <w:rsid w:val="00384FD5"/>
    <w:rsid w:val="003A0DDB"/>
    <w:rsid w:val="003B1D8D"/>
    <w:rsid w:val="003B58D0"/>
    <w:rsid w:val="004038B5"/>
    <w:rsid w:val="00407BC6"/>
    <w:rsid w:val="004127FF"/>
    <w:rsid w:val="00434062"/>
    <w:rsid w:val="00434B05"/>
    <w:rsid w:val="00441318"/>
    <w:rsid w:val="004423FA"/>
    <w:rsid w:val="00445EAE"/>
    <w:rsid w:val="004759CA"/>
    <w:rsid w:val="004762EB"/>
    <w:rsid w:val="00480BEA"/>
    <w:rsid w:val="00484B69"/>
    <w:rsid w:val="00486947"/>
    <w:rsid w:val="004B18A0"/>
    <w:rsid w:val="004B2FBA"/>
    <w:rsid w:val="004C27B8"/>
    <w:rsid w:val="004C3C99"/>
    <w:rsid w:val="004C6140"/>
    <w:rsid w:val="004D1F77"/>
    <w:rsid w:val="004D7FAA"/>
    <w:rsid w:val="004E7875"/>
    <w:rsid w:val="004F44D8"/>
    <w:rsid w:val="004F4EE7"/>
    <w:rsid w:val="00527131"/>
    <w:rsid w:val="0053636D"/>
    <w:rsid w:val="0054640E"/>
    <w:rsid w:val="00554F03"/>
    <w:rsid w:val="00565676"/>
    <w:rsid w:val="00583FFC"/>
    <w:rsid w:val="005977D2"/>
    <w:rsid w:val="005B408E"/>
    <w:rsid w:val="005C24BF"/>
    <w:rsid w:val="005C4156"/>
    <w:rsid w:val="005D1D1E"/>
    <w:rsid w:val="005D3090"/>
    <w:rsid w:val="005D40F1"/>
    <w:rsid w:val="005D556B"/>
    <w:rsid w:val="005D6228"/>
    <w:rsid w:val="005E1CB0"/>
    <w:rsid w:val="005E4DC4"/>
    <w:rsid w:val="005E6B24"/>
    <w:rsid w:val="005F137D"/>
    <w:rsid w:val="005F3935"/>
    <w:rsid w:val="0060072D"/>
    <w:rsid w:val="00600FBE"/>
    <w:rsid w:val="00602DE6"/>
    <w:rsid w:val="00611E01"/>
    <w:rsid w:val="006140CE"/>
    <w:rsid w:val="00620CE0"/>
    <w:rsid w:val="00627CB4"/>
    <w:rsid w:val="00644BA7"/>
    <w:rsid w:val="00652754"/>
    <w:rsid w:val="00654C62"/>
    <w:rsid w:val="0065713A"/>
    <w:rsid w:val="006628FD"/>
    <w:rsid w:val="0067227A"/>
    <w:rsid w:val="00681A17"/>
    <w:rsid w:val="006828A8"/>
    <w:rsid w:val="006846E0"/>
    <w:rsid w:val="00684F77"/>
    <w:rsid w:val="00695417"/>
    <w:rsid w:val="006A0062"/>
    <w:rsid w:val="006A3416"/>
    <w:rsid w:val="006B46E8"/>
    <w:rsid w:val="006E4254"/>
    <w:rsid w:val="0070D9AE"/>
    <w:rsid w:val="00711537"/>
    <w:rsid w:val="00741A15"/>
    <w:rsid w:val="007526EC"/>
    <w:rsid w:val="00753616"/>
    <w:rsid w:val="00755932"/>
    <w:rsid w:val="00795125"/>
    <w:rsid w:val="007A0072"/>
    <w:rsid w:val="007A1DE0"/>
    <w:rsid w:val="007A48CC"/>
    <w:rsid w:val="007B58DF"/>
    <w:rsid w:val="007D6B70"/>
    <w:rsid w:val="00800FE9"/>
    <w:rsid w:val="008324D8"/>
    <w:rsid w:val="00835F95"/>
    <w:rsid w:val="008422BA"/>
    <w:rsid w:val="00843442"/>
    <w:rsid w:val="00857808"/>
    <w:rsid w:val="00862435"/>
    <w:rsid w:val="00864AD9"/>
    <w:rsid w:val="00872E81"/>
    <w:rsid w:val="00876910"/>
    <w:rsid w:val="00880207"/>
    <w:rsid w:val="008A76B8"/>
    <w:rsid w:val="008B11B8"/>
    <w:rsid w:val="008B48A6"/>
    <w:rsid w:val="008C604C"/>
    <w:rsid w:val="008D2392"/>
    <w:rsid w:val="008D417B"/>
    <w:rsid w:val="008E03C5"/>
    <w:rsid w:val="008E3E71"/>
    <w:rsid w:val="008F7E43"/>
    <w:rsid w:val="009179F7"/>
    <w:rsid w:val="0092503B"/>
    <w:rsid w:val="009271CC"/>
    <w:rsid w:val="00930796"/>
    <w:rsid w:val="0093092C"/>
    <w:rsid w:val="00930B6A"/>
    <w:rsid w:val="00942931"/>
    <w:rsid w:val="00952BB0"/>
    <w:rsid w:val="009626A8"/>
    <w:rsid w:val="00981B2F"/>
    <w:rsid w:val="00986FE9"/>
    <w:rsid w:val="00991BA0"/>
    <w:rsid w:val="00994311"/>
    <w:rsid w:val="009A27F9"/>
    <w:rsid w:val="009B4A90"/>
    <w:rsid w:val="009B4E6D"/>
    <w:rsid w:val="009B7FF8"/>
    <w:rsid w:val="009D34C8"/>
    <w:rsid w:val="009F2A15"/>
    <w:rsid w:val="009F7F1F"/>
    <w:rsid w:val="00A0061E"/>
    <w:rsid w:val="00A04167"/>
    <w:rsid w:val="00A17BBE"/>
    <w:rsid w:val="00A50DE6"/>
    <w:rsid w:val="00A566EB"/>
    <w:rsid w:val="00A6072D"/>
    <w:rsid w:val="00A67473"/>
    <w:rsid w:val="00A7688C"/>
    <w:rsid w:val="00A833E3"/>
    <w:rsid w:val="00A861E7"/>
    <w:rsid w:val="00A86C04"/>
    <w:rsid w:val="00A871E9"/>
    <w:rsid w:val="00A97600"/>
    <w:rsid w:val="00AA44BC"/>
    <w:rsid w:val="00AA780D"/>
    <w:rsid w:val="00AD5EC0"/>
    <w:rsid w:val="00AF264E"/>
    <w:rsid w:val="00B16557"/>
    <w:rsid w:val="00B24310"/>
    <w:rsid w:val="00B31EF5"/>
    <w:rsid w:val="00B32F05"/>
    <w:rsid w:val="00B3779F"/>
    <w:rsid w:val="00B418D2"/>
    <w:rsid w:val="00B435FC"/>
    <w:rsid w:val="00B54D91"/>
    <w:rsid w:val="00B676A4"/>
    <w:rsid w:val="00B72C7C"/>
    <w:rsid w:val="00B8072E"/>
    <w:rsid w:val="00B85D4E"/>
    <w:rsid w:val="00B93ABE"/>
    <w:rsid w:val="00B96EB7"/>
    <w:rsid w:val="00BB00EE"/>
    <w:rsid w:val="00BB24CF"/>
    <w:rsid w:val="00BB41AB"/>
    <w:rsid w:val="00BB4DA1"/>
    <w:rsid w:val="00BB6E63"/>
    <w:rsid w:val="00BC31A1"/>
    <w:rsid w:val="00BC4226"/>
    <w:rsid w:val="00BD0C0D"/>
    <w:rsid w:val="00BD4E75"/>
    <w:rsid w:val="00BE4298"/>
    <w:rsid w:val="00BE7519"/>
    <w:rsid w:val="00BF05FB"/>
    <w:rsid w:val="00BF1195"/>
    <w:rsid w:val="00C0269A"/>
    <w:rsid w:val="00C032B6"/>
    <w:rsid w:val="00C03526"/>
    <w:rsid w:val="00C167B2"/>
    <w:rsid w:val="00C300CF"/>
    <w:rsid w:val="00C4093F"/>
    <w:rsid w:val="00C42B04"/>
    <w:rsid w:val="00C50505"/>
    <w:rsid w:val="00C5794F"/>
    <w:rsid w:val="00C661E3"/>
    <w:rsid w:val="00C66289"/>
    <w:rsid w:val="00C703A3"/>
    <w:rsid w:val="00C74C4C"/>
    <w:rsid w:val="00C83DAE"/>
    <w:rsid w:val="00C94BC2"/>
    <w:rsid w:val="00CA28D6"/>
    <w:rsid w:val="00CA5D69"/>
    <w:rsid w:val="00CC10F2"/>
    <w:rsid w:val="00CC316A"/>
    <w:rsid w:val="00CD3F21"/>
    <w:rsid w:val="00CD4161"/>
    <w:rsid w:val="00CD6119"/>
    <w:rsid w:val="00CE31C2"/>
    <w:rsid w:val="00CE328C"/>
    <w:rsid w:val="00CF3000"/>
    <w:rsid w:val="00D01522"/>
    <w:rsid w:val="00D0180F"/>
    <w:rsid w:val="00D052A5"/>
    <w:rsid w:val="00D35B58"/>
    <w:rsid w:val="00D50BB7"/>
    <w:rsid w:val="00D55BD3"/>
    <w:rsid w:val="00D573BE"/>
    <w:rsid w:val="00D57980"/>
    <w:rsid w:val="00D6545F"/>
    <w:rsid w:val="00D743D3"/>
    <w:rsid w:val="00D86A97"/>
    <w:rsid w:val="00D91703"/>
    <w:rsid w:val="00DA3DA8"/>
    <w:rsid w:val="00DB5351"/>
    <w:rsid w:val="00DC1BCD"/>
    <w:rsid w:val="00DCB760"/>
    <w:rsid w:val="00DD0E9B"/>
    <w:rsid w:val="00DD60D9"/>
    <w:rsid w:val="00DF2359"/>
    <w:rsid w:val="00E06BFB"/>
    <w:rsid w:val="00E33FA4"/>
    <w:rsid w:val="00E35E5D"/>
    <w:rsid w:val="00E46560"/>
    <w:rsid w:val="00E46BBA"/>
    <w:rsid w:val="00E50801"/>
    <w:rsid w:val="00E56711"/>
    <w:rsid w:val="00E65761"/>
    <w:rsid w:val="00E73610"/>
    <w:rsid w:val="00E97680"/>
    <w:rsid w:val="00EB594E"/>
    <w:rsid w:val="00EC2C46"/>
    <w:rsid w:val="00ED7932"/>
    <w:rsid w:val="00F02EC2"/>
    <w:rsid w:val="00F05EA2"/>
    <w:rsid w:val="00F12362"/>
    <w:rsid w:val="00F14920"/>
    <w:rsid w:val="00F222D5"/>
    <w:rsid w:val="00F24828"/>
    <w:rsid w:val="00F31D08"/>
    <w:rsid w:val="00F33EA7"/>
    <w:rsid w:val="00F36146"/>
    <w:rsid w:val="00F40885"/>
    <w:rsid w:val="00F45554"/>
    <w:rsid w:val="00F4627D"/>
    <w:rsid w:val="00F60A2D"/>
    <w:rsid w:val="00F614EC"/>
    <w:rsid w:val="00F67EB8"/>
    <w:rsid w:val="00F87965"/>
    <w:rsid w:val="00F9095E"/>
    <w:rsid w:val="00FE051F"/>
    <w:rsid w:val="00FF2F1B"/>
    <w:rsid w:val="00FF39BA"/>
    <w:rsid w:val="02E471ED"/>
    <w:rsid w:val="041CD5A5"/>
    <w:rsid w:val="04D3E611"/>
    <w:rsid w:val="04EF781D"/>
    <w:rsid w:val="0560516B"/>
    <w:rsid w:val="05BBC803"/>
    <w:rsid w:val="06D06DE5"/>
    <w:rsid w:val="07041D15"/>
    <w:rsid w:val="07547667"/>
    <w:rsid w:val="09016788"/>
    <w:rsid w:val="090E6658"/>
    <w:rsid w:val="0A463D05"/>
    <w:rsid w:val="0AC4DE9A"/>
    <w:rsid w:val="0C7736F6"/>
    <w:rsid w:val="0D9F8F00"/>
    <w:rsid w:val="0E557FF4"/>
    <w:rsid w:val="0F5F884C"/>
    <w:rsid w:val="10A63631"/>
    <w:rsid w:val="1114E4B0"/>
    <w:rsid w:val="119B09A1"/>
    <w:rsid w:val="140AA29F"/>
    <w:rsid w:val="1456B4B0"/>
    <w:rsid w:val="158A4663"/>
    <w:rsid w:val="15A67300"/>
    <w:rsid w:val="168692A4"/>
    <w:rsid w:val="168B1205"/>
    <w:rsid w:val="19D6D52B"/>
    <w:rsid w:val="1B620EFD"/>
    <w:rsid w:val="1BB332EA"/>
    <w:rsid w:val="1D2B68F0"/>
    <w:rsid w:val="1DA161F8"/>
    <w:rsid w:val="1E5883B9"/>
    <w:rsid w:val="1EB99428"/>
    <w:rsid w:val="1F58414C"/>
    <w:rsid w:val="202B49DB"/>
    <w:rsid w:val="2034E323"/>
    <w:rsid w:val="20358020"/>
    <w:rsid w:val="21D15081"/>
    <w:rsid w:val="2390E2F9"/>
    <w:rsid w:val="2417CA49"/>
    <w:rsid w:val="24C7C53D"/>
    <w:rsid w:val="2508F143"/>
    <w:rsid w:val="250A8F72"/>
    <w:rsid w:val="252F9B59"/>
    <w:rsid w:val="25A6F079"/>
    <w:rsid w:val="2676308B"/>
    <w:rsid w:val="269B0D7B"/>
    <w:rsid w:val="26BFB8D0"/>
    <w:rsid w:val="26DDA7C0"/>
    <w:rsid w:val="2738A387"/>
    <w:rsid w:val="278DA2B4"/>
    <w:rsid w:val="27BD3C2F"/>
    <w:rsid w:val="29477EF4"/>
    <w:rsid w:val="29C2420E"/>
    <w:rsid w:val="2A29D288"/>
    <w:rsid w:val="2B042DA7"/>
    <w:rsid w:val="2C86BC46"/>
    <w:rsid w:val="2CFA7C4E"/>
    <w:rsid w:val="2DA289EB"/>
    <w:rsid w:val="2DF24851"/>
    <w:rsid w:val="2FAE1558"/>
    <w:rsid w:val="30AADD15"/>
    <w:rsid w:val="313484FA"/>
    <w:rsid w:val="31C415A9"/>
    <w:rsid w:val="3259559A"/>
    <w:rsid w:val="32BAB52A"/>
    <w:rsid w:val="335FE60A"/>
    <w:rsid w:val="33BC9791"/>
    <w:rsid w:val="37FAF463"/>
    <w:rsid w:val="38CAE159"/>
    <w:rsid w:val="38DAD0B1"/>
    <w:rsid w:val="3ADE4EC4"/>
    <w:rsid w:val="3AF429FB"/>
    <w:rsid w:val="3BA793B0"/>
    <w:rsid w:val="3C076927"/>
    <w:rsid w:val="3C8FFA5C"/>
    <w:rsid w:val="3D1EE0D2"/>
    <w:rsid w:val="3DA4A01A"/>
    <w:rsid w:val="3E2BCABD"/>
    <w:rsid w:val="4005CEB3"/>
    <w:rsid w:val="408F2BF4"/>
    <w:rsid w:val="40E2708A"/>
    <w:rsid w:val="40FB3644"/>
    <w:rsid w:val="41E226F9"/>
    <w:rsid w:val="42BBBA7F"/>
    <w:rsid w:val="437DF75A"/>
    <w:rsid w:val="43C113BB"/>
    <w:rsid w:val="43EFC76A"/>
    <w:rsid w:val="44813C1D"/>
    <w:rsid w:val="448FA9DD"/>
    <w:rsid w:val="44D8B8B5"/>
    <w:rsid w:val="46E6E22E"/>
    <w:rsid w:val="47B39154"/>
    <w:rsid w:val="47DA840A"/>
    <w:rsid w:val="48B2B894"/>
    <w:rsid w:val="49225E38"/>
    <w:rsid w:val="4AAA0610"/>
    <w:rsid w:val="4AEB3216"/>
    <w:rsid w:val="4BB2BDBD"/>
    <w:rsid w:val="4CF8188C"/>
    <w:rsid w:val="4E49DC0D"/>
    <w:rsid w:val="4EE06CE7"/>
    <w:rsid w:val="4F1A405E"/>
    <w:rsid w:val="4FD72FFE"/>
    <w:rsid w:val="4FD8EFC7"/>
    <w:rsid w:val="4FD969C5"/>
    <w:rsid w:val="4FECED6E"/>
    <w:rsid w:val="50694CA0"/>
    <w:rsid w:val="514AD198"/>
    <w:rsid w:val="515A739A"/>
    <w:rsid w:val="5170ECE3"/>
    <w:rsid w:val="52004780"/>
    <w:rsid w:val="52690861"/>
    <w:rsid w:val="528C5590"/>
    <w:rsid w:val="5387D164"/>
    <w:rsid w:val="55239566"/>
    <w:rsid w:val="5672DD09"/>
    <w:rsid w:val="56777DCC"/>
    <w:rsid w:val="56F65B88"/>
    <w:rsid w:val="573ACEBE"/>
    <w:rsid w:val="575B5A39"/>
    <w:rsid w:val="587331F0"/>
    <w:rsid w:val="589A62E8"/>
    <w:rsid w:val="590B311C"/>
    <w:rsid w:val="591E950A"/>
    <w:rsid w:val="59804C0B"/>
    <w:rsid w:val="59AC7186"/>
    <w:rsid w:val="59C3B0A5"/>
    <w:rsid w:val="5B5FE46B"/>
    <w:rsid w:val="5C993E2C"/>
    <w:rsid w:val="5C9EC470"/>
    <w:rsid w:val="5D37F1E9"/>
    <w:rsid w:val="5D860751"/>
    <w:rsid w:val="5F2873F7"/>
    <w:rsid w:val="5FC34C46"/>
    <w:rsid w:val="60BDA813"/>
    <w:rsid w:val="618FFDF1"/>
    <w:rsid w:val="61B2B263"/>
    <w:rsid w:val="624CD1D4"/>
    <w:rsid w:val="6265F886"/>
    <w:rsid w:val="6391B4B7"/>
    <w:rsid w:val="63DE25D9"/>
    <w:rsid w:val="63E8A235"/>
    <w:rsid w:val="6582D2BC"/>
    <w:rsid w:val="65E80654"/>
    <w:rsid w:val="6619E704"/>
    <w:rsid w:val="666EA829"/>
    <w:rsid w:val="67EC6425"/>
    <w:rsid w:val="6810FA98"/>
    <w:rsid w:val="687CE56F"/>
    <w:rsid w:val="68A28322"/>
    <w:rsid w:val="68CEB7B9"/>
    <w:rsid w:val="68E92BE2"/>
    <w:rsid w:val="6960525A"/>
    <w:rsid w:val="69B23347"/>
    <w:rsid w:val="6B9F617F"/>
    <w:rsid w:val="6C583ED5"/>
    <w:rsid w:val="6CE5AEFA"/>
    <w:rsid w:val="6CFC1A44"/>
    <w:rsid w:val="6D4CB89B"/>
    <w:rsid w:val="6DB4EDD6"/>
    <w:rsid w:val="6E7FDF2B"/>
    <w:rsid w:val="6EB15877"/>
    <w:rsid w:val="6EB7F536"/>
    <w:rsid w:val="6ECFFC4D"/>
    <w:rsid w:val="6F4FC246"/>
    <w:rsid w:val="712A3B0C"/>
    <w:rsid w:val="7312ECB6"/>
    <w:rsid w:val="73A2D1C2"/>
    <w:rsid w:val="73BF65C3"/>
    <w:rsid w:val="7461DBCE"/>
    <w:rsid w:val="74D8FD7D"/>
    <w:rsid w:val="75513D10"/>
    <w:rsid w:val="759B2DD8"/>
    <w:rsid w:val="75DA3163"/>
    <w:rsid w:val="76ED0D71"/>
    <w:rsid w:val="76ED95F5"/>
    <w:rsid w:val="7720003B"/>
    <w:rsid w:val="77366516"/>
    <w:rsid w:val="77F0DFDD"/>
    <w:rsid w:val="78C30704"/>
    <w:rsid w:val="7A57A0FD"/>
    <w:rsid w:val="7B5548B9"/>
    <w:rsid w:val="7C09D639"/>
    <w:rsid w:val="7CC26DFC"/>
    <w:rsid w:val="7CC61E6E"/>
    <w:rsid w:val="7E12DF10"/>
    <w:rsid w:val="7E73C11E"/>
    <w:rsid w:val="7F49648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46AC"/>
  <w15:chartTrackingRefBased/>
  <w15:docId w15:val="{13378288-0B64-B642-936D-A859BB1B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33A"/>
    <w:rPr>
      <w:rFonts w:ascii="Times New Roman" w:eastAsia="Times New Roman" w:hAnsi="Times New Roman" w:cs="Times New Roman"/>
      <w:kern w:val="0"/>
      <w:lang w:eastAsia="en-US"/>
      <w14:ligatures w14:val="none"/>
    </w:rPr>
  </w:style>
  <w:style w:type="paragraph" w:styleId="Heading1">
    <w:name w:val="heading 1"/>
    <w:basedOn w:val="Normal"/>
    <w:next w:val="Normal"/>
    <w:link w:val="Heading1Char"/>
    <w:uiPriority w:val="9"/>
    <w:qFormat/>
    <w:rsid w:val="00F222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22D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E75"/>
    <w:pPr>
      <w:ind w:left="720"/>
      <w:contextualSpacing/>
    </w:pPr>
  </w:style>
  <w:style w:type="paragraph" w:styleId="Header">
    <w:name w:val="header"/>
    <w:basedOn w:val="Normal"/>
    <w:link w:val="HeaderChar"/>
    <w:uiPriority w:val="99"/>
    <w:unhideWhenUsed/>
    <w:rsid w:val="00D01522"/>
    <w:pPr>
      <w:tabs>
        <w:tab w:val="center" w:pos="4680"/>
        <w:tab w:val="right" w:pos="9360"/>
      </w:tabs>
    </w:pPr>
  </w:style>
  <w:style w:type="character" w:customStyle="1" w:styleId="HeaderChar">
    <w:name w:val="Header Char"/>
    <w:basedOn w:val="DefaultParagraphFont"/>
    <w:link w:val="Header"/>
    <w:uiPriority w:val="99"/>
    <w:rsid w:val="00D01522"/>
    <w:rPr>
      <w:rFonts w:ascii="Times New Roman" w:eastAsia="Times New Roman" w:hAnsi="Times New Roman" w:cs="Times New Roman"/>
      <w:kern w:val="0"/>
      <w:lang w:eastAsia="en-US"/>
      <w14:ligatures w14:val="none"/>
    </w:rPr>
  </w:style>
  <w:style w:type="paragraph" w:styleId="Footer">
    <w:name w:val="footer"/>
    <w:basedOn w:val="Normal"/>
    <w:link w:val="FooterChar"/>
    <w:uiPriority w:val="99"/>
    <w:unhideWhenUsed/>
    <w:rsid w:val="00D01522"/>
    <w:pPr>
      <w:tabs>
        <w:tab w:val="center" w:pos="4680"/>
        <w:tab w:val="right" w:pos="9360"/>
      </w:tabs>
    </w:pPr>
  </w:style>
  <w:style w:type="character" w:customStyle="1" w:styleId="FooterChar">
    <w:name w:val="Footer Char"/>
    <w:basedOn w:val="DefaultParagraphFont"/>
    <w:link w:val="Footer"/>
    <w:uiPriority w:val="99"/>
    <w:rsid w:val="00D01522"/>
    <w:rPr>
      <w:rFonts w:ascii="Times New Roman" w:eastAsia="Times New Roman" w:hAnsi="Times New Roman" w:cs="Times New Roman"/>
      <w:kern w:val="0"/>
      <w:lang w:eastAsia="en-US"/>
      <w14:ligatures w14:val="none"/>
    </w:rPr>
  </w:style>
  <w:style w:type="character" w:styleId="Hyperlink">
    <w:name w:val="Hyperlink"/>
    <w:basedOn w:val="DefaultParagraphFont"/>
    <w:uiPriority w:val="99"/>
    <w:unhideWhenUsed/>
    <w:rsid w:val="005B408E"/>
    <w:rPr>
      <w:color w:val="0563C1" w:themeColor="hyperlink"/>
      <w:u w:val="single"/>
    </w:rPr>
  </w:style>
  <w:style w:type="character" w:styleId="CommentReference">
    <w:name w:val="annotation reference"/>
    <w:basedOn w:val="DefaultParagraphFont"/>
    <w:uiPriority w:val="99"/>
    <w:semiHidden/>
    <w:unhideWhenUsed/>
    <w:rsid w:val="005B408E"/>
    <w:rPr>
      <w:sz w:val="16"/>
      <w:szCs w:val="16"/>
    </w:rPr>
  </w:style>
  <w:style w:type="paragraph" w:styleId="CommentText">
    <w:name w:val="annotation text"/>
    <w:basedOn w:val="Normal"/>
    <w:link w:val="CommentTextChar"/>
    <w:uiPriority w:val="99"/>
    <w:unhideWhenUsed/>
    <w:rsid w:val="005B408E"/>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5B408E"/>
    <w:rPr>
      <w:rFonts w:eastAsiaTheme="minorHAnsi"/>
      <w:sz w:val="20"/>
      <w:szCs w:val="20"/>
      <w:lang w:eastAsia="en-US"/>
    </w:rPr>
  </w:style>
  <w:style w:type="paragraph" w:styleId="BalloonText">
    <w:name w:val="Balloon Text"/>
    <w:basedOn w:val="Normal"/>
    <w:link w:val="BalloonTextChar"/>
    <w:uiPriority w:val="99"/>
    <w:semiHidden/>
    <w:unhideWhenUsed/>
    <w:rsid w:val="005B40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08E"/>
    <w:rPr>
      <w:rFonts w:ascii="Segoe UI" w:eastAsia="Times New Roman" w:hAnsi="Segoe UI" w:cs="Segoe UI"/>
      <w:kern w:val="0"/>
      <w:sz w:val="18"/>
      <w:szCs w:val="18"/>
      <w:lang w:eastAsia="en-US"/>
      <w14:ligatures w14:val="none"/>
    </w:rPr>
  </w:style>
  <w:style w:type="paragraph" w:customStyle="1" w:styleId="EndNoteBibliography">
    <w:name w:val="EndNote Bibliography"/>
    <w:basedOn w:val="Normal"/>
    <w:link w:val="EndNoteBibliographyChar"/>
    <w:rsid w:val="005B408E"/>
    <w:pPr>
      <w:spacing w:after="160"/>
    </w:pPr>
    <w:rPr>
      <w:rFonts w:eastAsiaTheme="minorHAnsi"/>
      <w:noProof/>
      <w:kern w:val="2"/>
      <w:szCs w:val="22"/>
      <w:lang w:val="en-US"/>
      <w14:ligatures w14:val="standardContextual"/>
    </w:rPr>
  </w:style>
  <w:style w:type="character" w:customStyle="1" w:styleId="EndNoteBibliographyChar">
    <w:name w:val="EndNote Bibliography Char"/>
    <w:basedOn w:val="DefaultParagraphFont"/>
    <w:link w:val="EndNoteBibliography"/>
    <w:rsid w:val="005B408E"/>
    <w:rPr>
      <w:rFonts w:ascii="Times New Roman" w:eastAsiaTheme="minorHAnsi" w:hAnsi="Times New Roman" w:cs="Times New Roman"/>
      <w:noProof/>
      <w:szCs w:val="22"/>
      <w:lang w:val="en-US" w:eastAsia="en-US"/>
    </w:rPr>
  </w:style>
  <w:style w:type="paragraph" w:styleId="Revision">
    <w:name w:val="Revision"/>
    <w:hidden/>
    <w:uiPriority w:val="99"/>
    <w:semiHidden/>
    <w:rsid w:val="00B31EF5"/>
    <w:rPr>
      <w:rFonts w:ascii="Times New Roman" w:eastAsia="Times New Roman" w:hAnsi="Times New Roman" w:cs="Times New Roman"/>
      <w:kern w:val="0"/>
      <w:lang w:eastAsia="en-US"/>
      <w14:ligatures w14:val="none"/>
    </w:rPr>
  </w:style>
  <w:style w:type="paragraph" w:styleId="CommentSubject">
    <w:name w:val="annotation subject"/>
    <w:basedOn w:val="CommentText"/>
    <w:next w:val="CommentText"/>
    <w:link w:val="CommentSubjectChar"/>
    <w:uiPriority w:val="99"/>
    <w:semiHidden/>
    <w:unhideWhenUsed/>
    <w:rsid w:val="000F5568"/>
    <w:pPr>
      <w:spacing w:after="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0F5568"/>
    <w:rPr>
      <w:rFonts w:ascii="Times New Roman" w:eastAsia="Times New Roman" w:hAnsi="Times New Roman" w:cs="Times New Roman"/>
      <w:b/>
      <w:bCs/>
      <w:kern w:val="0"/>
      <w:sz w:val="20"/>
      <w:szCs w:val="20"/>
      <w:lang w:eastAsia="en-US"/>
      <w14:ligatures w14:val="none"/>
    </w:rPr>
  </w:style>
  <w:style w:type="table" w:styleId="TableGrid">
    <w:name w:val="Table Grid"/>
    <w:basedOn w:val="TableNormal"/>
    <w:uiPriority w:val="59"/>
    <w:rsid w:val="008F7E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43F2D"/>
    <w:pPr>
      <w:spacing w:before="100" w:beforeAutospacing="1" w:after="100" w:afterAutospacing="1"/>
    </w:pPr>
    <w:rPr>
      <w:rFonts w:eastAsiaTheme="minorEastAsia"/>
      <w:lang w:eastAsia="en-CA"/>
    </w:rPr>
  </w:style>
  <w:style w:type="character" w:customStyle="1" w:styleId="normaltextrun">
    <w:name w:val="normaltextrun"/>
    <w:basedOn w:val="DefaultParagraphFont"/>
    <w:rsid w:val="00F60A2D"/>
  </w:style>
  <w:style w:type="character" w:customStyle="1" w:styleId="Heading1Char">
    <w:name w:val="Heading 1 Char"/>
    <w:basedOn w:val="DefaultParagraphFont"/>
    <w:link w:val="Heading1"/>
    <w:uiPriority w:val="9"/>
    <w:rsid w:val="00F222D5"/>
    <w:rPr>
      <w:rFonts w:asciiTheme="majorHAnsi" w:eastAsiaTheme="majorEastAsia" w:hAnsiTheme="majorHAnsi" w:cstheme="majorBidi"/>
      <w:color w:val="2F5496" w:themeColor="accent1" w:themeShade="BF"/>
      <w:kern w:val="0"/>
      <w:sz w:val="32"/>
      <w:szCs w:val="32"/>
      <w:lang w:eastAsia="en-US"/>
      <w14:ligatures w14:val="none"/>
    </w:rPr>
  </w:style>
  <w:style w:type="paragraph" w:styleId="TOCHeading">
    <w:name w:val="TOC Heading"/>
    <w:basedOn w:val="Heading1"/>
    <w:next w:val="Normal"/>
    <w:uiPriority w:val="39"/>
    <w:unhideWhenUsed/>
    <w:qFormat/>
    <w:rsid w:val="00F222D5"/>
    <w:pPr>
      <w:spacing w:line="259" w:lineRule="auto"/>
      <w:outlineLvl w:val="9"/>
    </w:pPr>
    <w:rPr>
      <w:lang w:val="en-US"/>
    </w:rPr>
  </w:style>
  <w:style w:type="paragraph" w:styleId="TOC1">
    <w:name w:val="toc 1"/>
    <w:basedOn w:val="Normal"/>
    <w:next w:val="Normal"/>
    <w:autoRedefine/>
    <w:uiPriority w:val="39"/>
    <w:unhideWhenUsed/>
    <w:rsid w:val="00F222D5"/>
    <w:pPr>
      <w:spacing w:after="100"/>
    </w:pPr>
  </w:style>
  <w:style w:type="character" w:customStyle="1" w:styleId="Heading2Char">
    <w:name w:val="Heading 2 Char"/>
    <w:basedOn w:val="DefaultParagraphFont"/>
    <w:link w:val="Heading2"/>
    <w:uiPriority w:val="9"/>
    <w:semiHidden/>
    <w:rsid w:val="00F222D5"/>
    <w:rPr>
      <w:rFonts w:asciiTheme="majorHAnsi" w:eastAsiaTheme="majorEastAsia" w:hAnsiTheme="majorHAnsi" w:cstheme="majorBidi"/>
      <w:color w:val="2F5496" w:themeColor="accent1" w:themeShade="BF"/>
      <w:kern w:val="0"/>
      <w:sz w:val="26"/>
      <w:szCs w:val="26"/>
      <w:lang w:eastAsia="en-US"/>
      <w14:ligatures w14:val="none"/>
    </w:rPr>
  </w:style>
  <w:style w:type="paragraph" w:styleId="TOC2">
    <w:name w:val="toc 2"/>
    <w:basedOn w:val="Normal"/>
    <w:next w:val="Normal"/>
    <w:autoRedefine/>
    <w:uiPriority w:val="39"/>
    <w:unhideWhenUsed/>
    <w:rsid w:val="00F222D5"/>
    <w:pPr>
      <w:spacing w:after="100"/>
      <w:ind w:left="240"/>
    </w:pPr>
  </w:style>
  <w:style w:type="character" w:styleId="FollowedHyperlink">
    <w:name w:val="FollowedHyperlink"/>
    <w:basedOn w:val="DefaultParagraphFont"/>
    <w:uiPriority w:val="99"/>
    <w:semiHidden/>
    <w:unhideWhenUsed/>
    <w:rsid w:val="00B72C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441">
      <w:bodyDiv w:val="1"/>
      <w:marLeft w:val="0"/>
      <w:marRight w:val="0"/>
      <w:marTop w:val="0"/>
      <w:marBottom w:val="0"/>
      <w:divBdr>
        <w:top w:val="none" w:sz="0" w:space="0" w:color="auto"/>
        <w:left w:val="none" w:sz="0" w:space="0" w:color="auto"/>
        <w:bottom w:val="none" w:sz="0" w:space="0" w:color="auto"/>
        <w:right w:val="none" w:sz="0" w:space="0" w:color="auto"/>
      </w:divBdr>
    </w:div>
    <w:div w:id="1731464582">
      <w:bodyDiv w:val="1"/>
      <w:marLeft w:val="0"/>
      <w:marRight w:val="0"/>
      <w:marTop w:val="0"/>
      <w:marBottom w:val="0"/>
      <w:divBdr>
        <w:top w:val="none" w:sz="0" w:space="0" w:color="auto"/>
        <w:left w:val="none" w:sz="0" w:space="0" w:color="auto"/>
        <w:bottom w:val="none" w:sz="0" w:space="0" w:color="auto"/>
        <w:right w:val="none" w:sz="0" w:space="0" w:color="auto"/>
      </w:divBdr>
    </w:div>
    <w:div w:id="1773474078">
      <w:bodyDiv w:val="1"/>
      <w:marLeft w:val="0"/>
      <w:marRight w:val="0"/>
      <w:marTop w:val="0"/>
      <w:marBottom w:val="0"/>
      <w:divBdr>
        <w:top w:val="none" w:sz="0" w:space="0" w:color="auto"/>
        <w:left w:val="none" w:sz="0" w:space="0" w:color="auto"/>
        <w:bottom w:val="none" w:sz="0" w:space="0" w:color="auto"/>
        <w:right w:val="none" w:sz="0" w:space="0" w:color="auto"/>
      </w:divBdr>
    </w:div>
    <w:div w:id="1891652702">
      <w:bodyDiv w:val="1"/>
      <w:marLeft w:val="0"/>
      <w:marRight w:val="0"/>
      <w:marTop w:val="0"/>
      <w:marBottom w:val="0"/>
      <w:divBdr>
        <w:top w:val="none" w:sz="0" w:space="0" w:color="auto"/>
        <w:left w:val="none" w:sz="0" w:space="0" w:color="auto"/>
        <w:bottom w:val="none" w:sz="0" w:space="0" w:color="auto"/>
        <w:right w:val="none" w:sz="0" w:space="0" w:color="auto"/>
      </w:divBdr>
    </w:div>
    <w:div w:id="211146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ntario.ca/page/get-help-high-prescription-drug-costs" TargetMode="External"/><Relationship Id="rId4" Type="http://schemas.openxmlformats.org/officeDocument/2006/relationships/settings" Target="settings.xml"/><Relationship Id="rId9" Type="http://schemas.openxmlformats.org/officeDocument/2006/relationships/hyperlink" Target="https://data.ontario.ca/dataset/ontario-drug-benefit-odb-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F6B1F-9FD7-430E-B8A9-34DFCAAD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16896</CharactersWithSpaces>
  <SharedDoc>false</SharedDoc>
  <HLinks>
    <vt:vector size="54" baseType="variant">
      <vt:variant>
        <vt:i4>327705</vt:i4>
      </vt:variant>
      <vt:variant>
        <vt:i4>54</vt:i4>
      </vt:variant>
      <vt:variant>
        <vt:i4>0</vt:i4>
      </vt:variant>
      <vt:variant>
        <vt:i4>5</vt:i4>
      </vt:variant>
      <vt:variant>
        <vt:lpwstr>https://www.ontario.ca/page/get-help-high-prescription-drug-costs</vt:lpwstr>
      </vt:variant>
      <vt:variant>
        <vt:lpwstr/>
      </vt:variant>
      <vt:variant>
        <vt:i4>6094870</vt:i4>
      </vt:variant>
      <vt:variant>
        <vt:i4>51</vt:i4>
      </vt:variant>
      <vt:variant>
        <vt:i4>0</vt:i4>
      </vt:variant>
      <vt:variant>
        <vt:i4>5</vt:i4>
      </vt:variant>
      <vt:variant>
        <vt:lpwstr>https://data.ontario.ca/dataset/ontario-drug-benefit-odb-database</vt:lpwstr>
      </vt:variant>
      <vt:variant>
        <vt:lpwstr/>
      </vt:variant>
      <vt:variant>
        <vt:i4>1245232</vt:i4>
      </vt:variant>
      <vt:variant>
        <vt:i4>38</vt:i4>
      </vt:variant>
      <vt:variant>
        <vt:i4>0</vt:i4>
      </vt:variant>
      <vt:variant>
        <vt:i4>5</vt:i4>
      </vt:variant>
      <vt:variant>
        <vt:lpwstr/>
      </vt:variant>
      <vt:variant>
        <vt:lpwstr>_Toc147303606</vt:lpwstr>
      </vt:variant>
      <vt:variant>
        <vt:i4>1245232</vt:i4>
      </vt:variant>
      <vt:variant>
        <vt:i4>32</vt:i4>
      </vt:variant>
      <vt:variant>
        <vt:i4>0</vt:i4>
      </vt:variant>
      <vt:variant>
        <vt:i4>5</vt:i4>
      </vt:variant>
      <vt:variant>
        <vt:lpwstr/>
      </vt:variant>
      <vt:variant>
        <vt:lpwstr>_Toc147303605</vt:lpwstr>
      </vt:variant>
      <vt:variant>
        <vt:i4>1245232</vt:i4>
      </vt:variant>
      <vt:variant>
        <vt:i4>26</vt:i4>
      </vt:variant>
      <vt:variant>
        <vt:i4>0</vt:i4>
      </vt:variant>
      <vt:variant>
        <vt:i4>5</vt:i4>
      </vt:variant>
      <vt:variant>
        <vt:lpwstr/>
      </vt:variant>
      <vt:variant>
        <vt:lpwstr>_Toc147303604</vt:lpwstr>
      </vt:variant>
      <vt:variant>
        <vt:i4>1245232</vt:i4>
      </vt:variant>
      <vt:variant>
        <vt:i4>20</vt:i4>
      </vt:variant>
      <vt:variant>
        <vt:i4>0</vt:i4>
      </vt:variant>
      <vt:variant>
        <vt:i4>5</vt:i4>
      </vt:variant>
      <vt:variant>
        <vt:lpwstr/>
      </vt:variant>
      <vt:variant>
        <vt:lpwstr>_Toc147303603</vt:lpwstr>
      </vt:variant>
      <vt:variant>
        <vt:i4>1245232</vt:i4>
      </vt:variant>
      <vt:variant>
        <vt:i4>14</vt:i4>
      </vt:variant>
      <vt:variant>
        <vt:i4>0</vt:i4>
      </vt:variant>
      <vt:variant>
        <vt:i4>5</vt:i4>
      </vt:variant>
      <vt:variant>
        <vt:lpwstr/>
      </vt:variant>
      <vt:variant>
        <vt:lpwstr>_Toc147303602</vt:lpwstr>
      </vt:variant>
      <vt:variant>
        <vt:i4>1245232</vt:i4>
      </vt:variant>
      <vt:variant>
        <vt:i4>8</vt:i4>
      </vt:variant>
      <vt:variant>
        <vt:i4>0</vt:i4>
      </vt:variant>
      <vt:variant>
        <vt:i4>5</vt:i4>
      </vt:variant>
      <vt:variant>
        <vt:lpwstr/>
      </vt:variant>
      <vt:variant>
        <vt:lpwstr>_Toc147303601</vt:lpwstr>
      </vt:variant>
      <vt:variant>
        <vt:i4>1245232</vt:i4>
      </vt:variant>
      <vt:variant>
        <vt:i4>2</vt:i4>
      </vt:variant>
      <vt:variant>
        <vt:i4>0</vt:i4>
      </vt:variant>
      <vt:variant>
        <vt:i4>5</vt:i4>
      </vt:variant>
      <vt:variant>
        <vt:lpwstr/>
      </vt:variant>
      <vt:variant>
        <vt:lpwstr>_Toc147303600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Jeff Kwong</dc:creator>
  <cp:keywords/>
  <dc:description/>
  <cp:lastModifiedBy>Jeff Kwong</cp:lastModifiedBy>
  <cp:revision>24</cp:revision>
  <dcterms:created xsi:type="dcterms:W3CDTF">2023-10-04T18:19:00Z</dcterms:created>
  <dcterms:modified xsi:type="dcterms:W3CDTF">2023-10-04T20:03:00Z</dcterms:modified>
</cp:coreProperties>
</file>