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18F9" w14:textId="7E67C01B" w:rsidR="00940EF1" w:rsidRPr="003C34F2" w:rsidRDefault="00DF6D13" w:rsidP="00BA39F0">
      <w:pPr>
        <w:spacing w:after="0" w:line="240" w:lineRule="auto"/>
        <w:rPr>
          <w:rFonts w:ascii="Tahoma" w:eastAsia="Times New Roman" w:hAnsi="Tahoma" w:cs="Tahoma"/>
          <w:b/>
          <w:sz w:val="24"/>
          <w:szCs w:val="24"/>
          <w:lang w:val="en-GB" w:eastAsia="nl-NL"/>
        </w:rPr>
      </w:pPr>
      <w:bookmarkStart w:id="0" w:name="_Hlk128302455"/>
      <w:r w:rsidRPr="003C34F2">
        <w:rPr>
          <w:rFonts w:ascii="Tahoma" w:eastAsia="Times New Roman" w:hAnsi="Tahoma" w:cs="Tahoma"/>
          <w:b/>
          <w:sz w:val="24"/>
          <w:szCs w:val="24"/>
          <w:lang w:val="en-GB" w:eastAsia="nl-NL"/>
        </w:rPr>
        <w:t>An assessment of rates and covariates of mpox diagnosis and vaccination provides evidence to refine eligibility criteria for mpox vaccination among gay, bisexual and other men who have sex with men in the Netherlands</w:t>
      </w:r>
    </w:p>
    <w:p w14:paraId="6D41CE08" w14:textId="5FB90235" w:rsidR="008E25FF" w:rsidRPr="002D5EAF" w:rsidRDefault="008E25FF" w:rsidP="00BA39F0">
      <w:pPr>
        <w:spacing w:after="0" w:line="240" w:lineRule="auto"/>
        <w:rPr>
          <w:rFonts w:ascii="Tahoma" w:eastAsia="Times New Roman" w:hAnsi="Tahoma" w:cs="Tahoma"/>
          <w:bCs/>
          <w:sz w:val="20"/>
          <w:szCs w:val="20"/>
          <w:lang w:val="en-GB" w:eastAsia="nl-NL"/>
        </w:rPr>
      </w:pPr>
    </w:p>
    <w:p w14:paraId="579686E4" w14:textId="6D3E5424" w:rsidR="008E25FF" w:rsidRPr="008E25FF" w:rsidRDefault="008E25FF" w:rsidP="00BA39F0">
      <w:pPr>
        <w:spacing w:after="0" w:line="240" w:lineRule="auto"/>
        <w:rPr>
          <w:rFonts w:ascii="Tahoma" w:eastAsia="Times New Roman" w:hAnsi="Tahoma" w:cs="Tahoma"/>
          <w:bCs/>
          <w:sz w:val="20"/>
          <w:szCs w:val="20"/>
          <w:lang w:eastAsia="nl-NL"/>
        </w:rPr>
      </w:pPr>
      <w:r w:rsidRPr="002D5EAF">
        <w:rPr>
          <w:rFonts w:ascii="Tahoma" w:hAnsi="Tahoma" w:cs="Tahoma"/>
          <w:sz w:val="20"/>
          <w:szCs w:val="20"/>
        </w:rPr>
        <w:t>Adam PCG, (</w:t>
      </w:r>
      <w:hyperlink r:id="rId7" w:tgtFrame="_blank" w:history="1">
        <w:r w:rsidRPr="002D5EAF">
          <w:rPr>
            <w:rStyle w:val="Hyperlink"/>
            <w:rFonts w:ascii="Tahoma" w:hAnsi="Tahoma" w:cs="Tahoma"/>
            <w:sz w:val="20"/>
            <w:szCs w:val="20"/>
          </w:rPr>
          <w:t>https://</w:t>
        </w:r>
        <w:r w:rsidRPr="002D5EAF">
          <w:rPr>
            <w:rStyle w:val="il"/>
            <w:rFonts w:ascii="Tahoma" w:hAnsi="Tahoma" w:cs="Tahoma"/>
            <w:color w:val="0000FF"/>
            <w:sz w:val="20"/>
            <w:szCs w:val="20"/>
            <w:u w:val="single"/>
          </w:rPr>
          <w:t>orcid</w:t>
        </w:r>
        <w:r w:rsidRPr="002D5EAF">
          <w:rPr>
            <w:rStyle w:val="Hyperlink"/>
            <w:rFonts w:ascii="Tahoma" w:hAnsi="Tahoma" w:cs="Tahoma"/>
            <w:sz w:val="20"/>
            <w:szCs w:val="20"/>
          </w:rPr>
          <w:t>.org/0000-0002-8979-7372</w:t>
        </w:r>
      </w:hyperlink>
      <w:r w:rsidRPr="002D5EAF">
        <w:rPr>
          <w:rFonts w:ascii="Tahoma" w:hAnsi="Tahoma" w:cs="Tahoma"/>
          <w:sz w:val="20"/>
          <w:szCs w:val="20"/>
        </w:rPr>
        <w:t>), Op de Coul ELM (</w:t>
      </w:r>
      <w:hyperlink r:id="rId8" w:history="1">
        <w:r w:rsidR="003C34F2" w:rsidRPr="00A5057C">
          <w:rPr>
            <w:rStyle w:val="Hyperlink"/>
            <w:rFonts w:ascii="Tahoma" w:hAnsi="Tahoma" w:cs="Tahoma"/>
            <w:sz w:val="20"/>
            <w:szCs w:val="20"/>
          </w:rPr>
          <w:t>https://orcid.org/0000-0002-8263-9187</w:t>
        </w:r>
      </w:hyperlink>
      <w:r w:rsidRPr="002D5EAF">
        <w:rPr>
          <w:rFonts w:ascii="Tahoma" w:hAnsi="Tahoma" w:cs="Tahoma"/>
          <w:sz w:val="20"/>
          <w:szCs w:val="20"/>
        </w:rPr>
        <w:t>), Zantkuijl P</w:t>
      </w:r>
      <w:r w:rsidR="00206039">
        <w:rPr>
          <w:rFonts w:ascii="Tahoma" w:hAnsi="Tahoma" w:cs="Tahoma"/>
          <w:sz w:val="20"/>
          <w:szCs w:val="20"/>
        </w:rPr>
        <w:t xml:space="preserve"> </w:t>
      </w:r>
      <w:r w:rsidR="002F45A2" w:rsidRPr="002F45A2">
        <w:rPr>
          <w:rFonts w:ascii="Tahoma" w:hAnsi="Tahoma" w:cs="Tahoma"/>
          <w:sz w:val="20"/>
          <w:szCs w:val="20"/>
        </w:rPr>
        <w:t>(https://orcid.org/ 0000000328388767</w:t>
      </w:r>
      <w:r w:rsidR="002F45A2">
        <w:rPr>
          <w:rFonts w:ascii="Tahoma" w:hAnsi="Tahoma" w:cs="Tahoma"/>
          <w:sz w:val="20"/>
          <w:szCs w:val="20"/>
        </w:rPr>
        <w:t>)</w:t>
      </w:r>
      <w:r w:rsidRPr="002D5EAF">
        <w:rPr>
          <w:rFonts w:ascii="Tahoma" w:hAnsi="Tahoma" w:cs="Tahoma"/>
          <w:sz w:val="20"/>
          <w:szCs w:val="20"/>
        </w:rPr>
        <w:t>, Xiridou M (</w:t>
      </w:r>
      <w:hyperlink r:id="rId9" w:history="1">
        <w:r w:rsidR="003C34F2" w:rsidRPr="00A5057C">
          <w:rPr>
            <w:rStyle w:val="Hyperlink"/>
            <w:rFonts w:ascii="Tahoma" w:hAnsi="Tahoma" w:cs="Tahoma"/>
            <w:sz w:val="20"/>
            <w:szCs w:val="20"/>
          </w:rPr>
          <w:t>https://orcid.org/0000-0002-5257-4503</w:t>
        </w:r>
      </w:hyperlink>
      <w:r w:rsidRPr="002D5EAF">
        <w:rPr>
          <w:rFonts w:ascii="Tahoma" w:hAnsi="Tahoma" w:cs="Tahoma"/>
          <w:sz w:val="20"/>
          <w:szCs w:val="20"/>
        </w:rPr>
        <w:t xml:space="preserve">), </w:t>
      </w:r>
      <w:r w:rsidR="00EB7F09" w:rsidRPr="002D5EAF">
        <w:rPr>
          <w:rFonts w:ascii="Tahoma" w:hAnsi="Tahoma" w:cs="Tahoma"/>
          <w:sz w:val="20"/>
          <w:szCs w:val="20"/>
        </w:rPr>
        <w:t xml:space="preserve">Bos H, </w:t>
      </w:r>
      <w:r w:rsidRPr="002D5EAF">
        <w:rPr>
          <w:rFonts w:ascii="Tahoma" w:hAnsi="Tahoma" w:cs="Tahoma"/>
          <w:sz w:val="20"/>
          <w:szCs w:val="20"/>
        </w:rPr>
        <w:t>Blom C, Ketsuwan I, te Wierik M</w:t>
      </w:r>
      <w:r w:rsidR="002D4757">
        <w:rPr>
          <w:rFonts w:ascii="Tahoma" w:hAnsi="Tahoma" w:cs="Tahoma"/>
          <w:sz w:val="20"/>
          <w:szCs w:val="20"/>
        </w:rPr>
        <w:t>JM</w:t>
      </w:r>
      <w:r w:rsidRPr="002D5EAF">
        <w:rPr>
          <w:rFonts w:ascii="Tahoma" w:hAnsi="Tahoma" w:cs="Tahoma"/>
          <w:sz w:val="20"/>
          <w:szCs w:val="20"/>
        </w:rPr>
        <w:t xml:space="preserve">, </w:t>
      </w:r>
      <w:r w:rsidR="001A2FB6" w:rsidRPr="002D5EAF">
        <w:rPr>
          <w:rFonts w:ascii="Tahoma" w:hAnsi="Tahoma" w:cs="Tahoma"/>
          <w:sz w:val="20"/>
          <w:szCs w:val="20"/>
        </w:rPr>
        <w:t xml:space="preserve">David S, </w:t>
      </w:r>
      <w:r w:rsidRPr="002D5EAF">
        <w:rPr>
          <w:rFonts w:ascii="Tahoma" w:hAnsi="Tahoma" w:cs="Tahoma"/>
          <w:sz w:val="20"/>
          <w:szCs w:val="20"/>
        </w:rPr>
        <w:t>de Wit JBF (</w:t>
      </w:r>
      <w:hyperlink r:id="rId10" w:history="1">
        <w:r w:rsidR="003C34F2" w:rsidRPr="00A5057C">
          <w:rPr>
            <w:rStyle w:val="Hyperlink"/>
            <w:rFonts w:ascii="Tahoma" w:hAnsi="Tahoma" w:cs="Tahoma"/>
            <w:sz w:val="20"/>
            <w:szCs w:val="20"/>
          </w:rPr>
          <w:t>https://orcid.org/0000-0002-5895-7935</w:t>
        </w:r>
      </w:hyperlink>
      <w:r w:rsidR="003C34F2">
        <w:rPr>
          <w:rFonts w:ascii="Tahoma" w:hAnsi="Tahoma" w:cs="Tahoma"/>
          <w:sz w:val="20"/>
          <w:szCs w:val="20"/>
        </w:rPr>
        <w:t>).</w:t>
      </w:r>
    </w:p>
    <w:p w14:paraId="22EE0DA5" w14:textId="77777777" w:rsidR="008E25FF" w:rsidRPr="003C34F2" w:rsidRDefault="008E25FF" w:rsidP="00BA39F0">
      <w:pPr>
        <w:spacing w:after="0" w:line="240" w:lineRule="auto"/>
        <w:rPr>
          <w:rFonts w:ascii="Tahoma" w:hAnsi="Tahoma" w:cs="Tahoma"/>
          <w:sz w:val="28"/>
          <w:szCs w:val="28"/>
        </w:rPr>
      </w:pPr>
    </w:p>
    <w:bookmarkEnd w:id="0"/>
    <w:p w14:paraId="5F5BA6AA" w14:textId="22F4C2E6" w:rsidR="00940EF1" w:rsidRPr="003C34F2" w:rsidRDefault="00940EF1" w:rsidP="00940EF1">
      <w:pPr>
        <w:spacing w:after="0" w:line="240" w:lineRule="auto"/>
        <w:jc w:val="center"/>
        <w:rPr>
          <w:rFonts w:ascii="Tahoma" w:hAnsi="Tahoma" w:cs="Tahoma"/>
          <w:b/>
          <w:bCs/>
          <w:sz w:val="28"/>
          <w:szCs w:val="28"/>
          <w:lang w:val="en-US"/>
        </w:rPr>
      </w:pPr>
      <w:r w:rsidRPr="003C34F2">
        <w:rPr>
          <w:rFonts w:ascii="Tahoma" w:hAnsi="Tahoma" w:cs="Tahoma"/>
          <w:b/>
          <w:bCs/>
          <w:sz w:val="28"/>
          <w:szCs w:val="28"/>
          <w:lang w:val="en-US"/>
        </w:rPr>
        <w:t xml:space="preserve">Supplementary material </w:t>
      </w:r>
    </w:p>
    <w:p w14:paraId="30B0A6DE" w14:textId="01D9B925" w:rsidR="007A7BD2" w:rsidRDefault="007A7BD2" w:rsidP="00707224">
      <w:pPr>
        <w:spacing w:after="0" w:line="240" w:lineRule="auto"/>
        <w:rPr>
          <w:rFonts w:ascii="Tahoma" w:hAnsi="Tahoma" w:cs="Tahoma"/>
          <w:sz w:val="20"/>
          <w:szCs w:val="20"/>
          <w:lang w:val="en-GB"/>
        </w:rPr>
      </w:pPr>
    </w:p>
    <w:p w14:paraId="4F1532E7" w14:textId="6A3B3046" w:rsidR="007A7BD2" w:rsidRPr="00174033" w:rsidRDefault="007A7BD2" w:rsidP="00707224">
      <w:pPr>
        <w:spacing w:after="0" w:line="240" w:lineRule="auto"/>
        <w:rPr>
          <w:rFonts w:ascii="Tahoma" w:hAnsi="Tahoma" w:cs="Tahoma"/>
          <w:sz w:val="20"/>
          <w:szCs w:val="20"/>
          <w:lang w:val="en-GB"/>
        </w:rPr>
      </w:pPr>
      <w:r w:rsidRPr="00174033">
        <w:rPr>
          <w:rFonts w:ascii="Tahoma" w:hAnsi="Tahoma" w:cs="Tahoma"/>
          <w:sz w:val="20"/>
          <w:szCs w:val="20"/>
          <w:lang w:val="en-GB"/>
        </w:rPr>
        <w:t>Th</w:t>
      </w:r>
      <w:r w:rsidR="00DF6D13">
        <w:rPr>
          <w:rFonts w:ascii="Tahoma" w:hAnsi="Tahoma" w:cs="Tahoma"/>
          <w:sz w:val="20"/>
          <w:szCs w:val="20"/>
          <w:lang w:val="en-GB"/>
        </w:rPr>
        <w:t>is</w:t>
      </w:r>
      <w:r w:rsidRPr="00174033">
        <w:rPr>
          <w:rFonts w:ascii="Tahoma" w:hAnsi="Tahoma" w:cs="Tahoma"/>
          <w:sz w:val="20"/>
          <w:szCs w:val="20"/>
          <w:lang w:val="en-GB"/>
        </w:rPr>
        <w:t xml:space="preserve"> supplement</w:t>
      </w:r>
      <w:r w:rsidR="00940EF1" w:rsidRPr="00174033">
        <w:rPr>
          <w:rFonts w:ascii="Tahoma" w:hAnsi="Tahoma" w:cs="Tahoma"/>
          <w:sz w:val="20"/>
          <w:szCs w:val="20"/>
          <w:lang w:val="en-GB"/>
        </w:rPr>
        <w:t>ary material</w:t>
      </w:r>
      <w:r w:rsidRPr="00174033">
        <w:rPr>
          <w:rFonts w:ascii="Tahoma" w:hAnsi="Tahoma" w:cs="Tahoma"/>
          <w:sz w:val="20"/>
          <w:szCs w:val="20"/>
          <w:lang w:val="en-GB"/>
        </w:rPr>
        <w:t xml:space="preserve"> detail</w:t>
      </w:r>
      <w:r w:rsidR="005777D5">
        <w:rPr>
          <w:rFonts w:ascii="Tahoma" w:hAnsi="Tahoma" w:cs="Tahoma"/>
          <w:sz w:val="20"/>
          <w:szCs w:val="20"/>
          <w:lang w:val="en-GB"/>
        </w:rPr>
        <w:t>s</w:t>
      </w:r>
      <w:r w:rsidR="00940EF1" w:rsidRPr="00174033">
        <w:rPr>
          <w:rFonts w:ascii="Tahoma" w:hAnsi="Tahoma" w:cs="Tahoma"/>
          <w:sz w:val="20"/>
          <w:szCs w:val="20"/>
          <w:lang w:val="en-GB"/>
        </w:rPr>
        <w:t xml:space="preserve"> the</w:t>
      </w:r>
      <w:r w:rsidRPr="00174033">
        <w:rPr>
          <w:rFonts w:ascii="Tahoma" w:hAnsi="Tahoma" w:cs="Tahoma"/>
          <w:sz w:val="20"/>
          <w:szCs w:val="20"/>
          <w:lang w:val="en-GB"/>
        </w:rPr>
        <w:t xml:space="preserve"> data and assumptions used to </w:t>
      </w:r>
      <w:r w:rsidR="00CB0877" w:rsidRPr="00174033">
        <w:rPr>
          <w:rFonts w:ascii="Tahoma" w:hAnsi="Tahoma" w:cs="Tahoma"/>
          <w:sz w:val="20"/>
          <w:szCs w:val="20"/>
          <w:lang w:val="en-GB"/>
        </w:rPr>
        <w:t xml:space="preserve">provide an updated and adjusted </w:t>
      </w:r>
      <w:r w:rsidRPr="00174033">
        <w:rPr>
          <w:rFonts w:ascii="Tahoma" w:hAnsi="Tahoma" w:cs="Tahoma"/>
          <w:sz w:val="20"/>
          <w:szCs w:val="20"/>
          <w:lang w:val="en-GB"/>
        </w:rPr>
        <w:t xml:space="preserve">estimate </w:t>
      </w:r>
      <w:r w:rsidR="00CB0877" w:rsidRPr="00174033">
        <w:rPr>
          <w:rFonts w:ascii="Tahoma" w:hAnsi="Tahoma" w:cs="Tahoma"/>
          <w:sz w:val="20"/>
          <w:szCs w:val="20"/>
          <w:lang w:val="en-GB"/>
        </w:rPr>
        <w:t xml:space="preserve">of </w:t>
      </w:r>
      <w:r w:rsidRPr="00174033">
        <w:rPr>
          <w:rFonts w:ascii="Tahoma" w:hAnsi="Tahoma" w:cs="Tahoma"/>
          <w:sz w:val="20"/>
          <w:szCs w:val="20"/>
          <w:lang w:val="en-GB"/>
        </w:rPr>
        <w:t xml:space="preserve">the size of the </w:t>
      </w:r>
      <w:r w:rsidR="00CB0877" w:rsidRPr="00174033">
        <w:rPr>
          <w:rFonts w:ascii="Tahoma" w:hAnsi="Tahoma" w:cs="Tahoma"/>
          <w:sz w:val="20"/>
          <w:szCs w:val="20"/>
          <w:lang w:val="en-GB"/>
        </w:rPr>
        <w:t xml:space="preserve">currently sexually active </w:t>
      </w:r>
      <w:r w:rsidRPr="00174033">
        <w:rPr>
          <w:rFonts w:ascii="Tahoma" w:hAnsi="Tahoma" w:cs="Tahoma"/>
          <w:sz w:val="20"/>
          <w:szCs w:val="20"/>
          <w:lang w:val="en-GB"/>
        </w:rPr>
        <w:t xml:space="preserve">GBMSM population </w:t>
      </w:r>
      <w:r w:rsidR="00CB0877" w:rsidRPr="00174033">
        <w:rPr>
          <w:rFonts w:ascii="Tahoma" w:hAnsi="Tahoma" w:cs="Tahoma"/>
          <w:sz w:val="20"/>
          <w:szCs w:val="20"/>
          <w:lang w:val="en-GB"/>
        </w:rPr>
        <w:t>18-80 years in the Netherlands in 2022.</w:t>
      </w:r>
    </w:p>
    <w:p w14:paraId="7454CE02" w14:textId="77777777" w:rsidR="007A7BD2" w:rsidRPr="00174033" w:rsidRDefault="007A7BD2" w:rsidP="00707224">
      <w:pPr>
        <w:spacing w:after="0" w:line="240" w:lineRule="auto"/>
        <w:rPr>
          <w:rFonts w:ascii="Tahoma" w:hAnsi="Tahoma" w:cs="Tahoma"/>
          <w:sz w:val="20"/>
          <w:szCs w:val="20"/>
          <w:lang w:val="en-GB"/>
        </w:rPr>
      </w:pPr>
    </w:p>
    <w:p w14:paraId="00F071A6" w14:textId="74FF8306" w:rsidR="00C02578" w:rsidRPr="00BA39F0" w:rsidRDefault="00C02578" w:rsidP="00707224">
      <w:pPr>
        <w:spacing w:after="0" w:line="240" w:lineRule="auto"/>
        <w:rPr>
          <w:rFonts w:ascii="Tahoma" w:hAnsi="Tahoma" w:cs="Tahoma"/>
          <w:b/>
          <w:bCs/>
          <w:sz w:val="20"/>
          <w:szCs w:val="20"/>
          <w:lang w:val="en-GB"/>
        </w:rPr>
      </w:pPr>
      <w:r w:rsidRPr="00BA39F0">
        <w:rPr>
          <w:rFonts w:ascii="Tahoma" w:hAnsi="Tahoma" w:cs="Tahoma"/>
          <w:b/>
          <w:bCs/>
          <w:sz w:val="20"/>
          <w:szCs w:val="20"/>
          <w:lang w:val="en-GB"/>
        </w:rPr>
        <w:t>Estimating the size of the adult GBM</w:t>
      </w:r>
      <w:r w:rsidR="007A7BD2" w:rsidRPr="00BA39F0">
        <w:rPr>
          <w:rFonts w:ascii="Tahoma" w:hAnsi="Tahoma" w:cs="Tahoma"/>
          <w:b/>
          <w:bCs/>
          <w:sz w:val="20"/>
          <w:szCs w:val="20"/>
          <w:lang w:val="en-GB"/>
        </w:rPr>
        <w:t>SM</w:t>
      </w:r>
      <w:r w:rsidRPr="00BA39F0">
        <w:rPr>
          <w:rFonts w:ascii="Tahoma" w:hAnsi="Tahoma" w:cs="Tahoma"/>
          <w:b/>
          <w:bCs/>
          <w:sz w:val="20"/>
          <w:szCs w:val="20"/>
          <w:lang w:val="en-GB"/>
        </w:rPr>
        <w:t xml:space="preserve"> population in the Netherlands</w:t>
      </w:r>
    </w:p>
    <w:p w14:paraId="5E841A35" w14:textId="013BB666" w:rsidR="002A42FD" w:rsidRPr="00174033" w:rsidRDefault="002A42FD" w:rsidP="00707224">
      <w:pPr>
        <w:spacing w:after="0" w:line="240" w:lineRule="auto"/>
        <w:rPr>
          <w:rFonts w:ascii="Tahoma" w:hAnsi="Tahoma" w:cs="Tahoma"/>
          <w:sz w:val="20"/>
          <w:szCs w:val="20"/>
          <w:lang w:val="en-GB"/>
        </w:rPr>
      </w:pPr>
      <w:r w:rsidRPr="00174033">
        <w:rPr>
          <w:rFonts w:ascii="Tahoma" w:hAnsi="Tahoma" w:cs="Tahoma"/>
          <w:sz w:val="20"/>
          <w:szCs w:val="20"/>
          <w:lang w:val="en-GB"/>
        </w:rPr>
        <w:t>Our analyses required a baseline estimate of the number of sexually active adult GB</w:t>
      </w:r>
      <w:r w:rsidR="00604221" w:rsidRPr="00174033">
        <w:rPr>
          <w:rFonts w:ascii="Tahoma" w:hAnsi="Tahoma" w:cs="Tahoma"/>
          <w:sz w:val="20"/>
          <w:szCs w:val="20"/>
          <w:lang w:val="en-GB"/>
        </w:rPr>
        <w:t>MS</w:t>
      </w:r>
      <w:r w:rsidRPr="00174033">
        <w:rPr>
          <w:rFonts w:ascii="Tahoma" w:hAnsi="Tahoma" w:cs="Tahoma"/>
          <w:sz w:val="20"/>
          <w:szCs w:val="20"/>
          <w:lang w:val="en-GB"/>
        </w:rPr>
        <w:t xml:space="preserve">M living in the Netherlands. The </w:t>
      </w:r>
      <w:r w:rsidR="003B7C49" w:rsidRPr="00174033">
        <w:rPr>
          <w:rFonts w:ascii="Tahoma" w:hAnsi="Tahoma" w:cs="Tahoma"/>
          <w:sz w:val="20"/>
          <w:szCs w:val="20"/>
          <w:lang w:val="en-GB"/>
        </w:rPr>
        <w:t xml:space="preserve">main </w:t>
      </w:r>
      <w:r w:rsidRPr="00174033">
        <w:rPr>
          <w:rFonts w:ascii="Tahoma" w:hAnsi="Tahoma" w:cs="Tahoma"/>
          <w:sz w:val="20"/>
          <w:szCs w:val="20"/>
          <w:lang w:val="en-GB"/>
        </w:rPr>
        <w:t>source of information on the size of the GB</w:t>
      </w:r>
      <w:r w:rsidR="00604221" w:rsidRPr="00174033">
        <w:rPr>
          <w:rFonts w:ascii="Tahoma" w:hAnsi="Tahoma" w:cs="Tahoma"/>
          <w:sz w:val="20"/>
          <w:szCs w:val="20"/>
          <w:lang w:val="en-GB"/>
        </w:rPr>
        <w:t>MS</w:t>
      </w:r>
      <w:r w:rsidRPr="00174033">
        <w:rPr>
          <w:rFonts w:ascii="Tahoma" w:hAnsi="Tahoma" w:cs="Tahoma"/>
          <w:sz w:val="20"/>
          <w:szCs w:val="20"/>
          <w:lang w:val="en-GB"/>
        </w:rPr>
        <w:t xml:space="preserve">M population in the Netherlands is an assessment derived from a 2006 population-based survey that collected data on the proportions of adult males who were attracted to men, ever had sex with them, or self-identified as gay or bisexual </w:t>
      </w:r>
      <w:r w:rsidR="003B7C49" w:rsidRPr="00174033">
        <w:rPr>
          <w:rFonts w:ascii="Tahoma" w:hAnsi="Tahoma" w:cs="Tahoma"/>
          <w:sz w:val="20"/>
          <w:szCs w:val="20"/>
          <w:lang w:val="en-GB"/>
        </w:rPr>
        <w:t>[1]</w:t>
      </w:r>
      <w:r w:rsidRPr="00174033">
        <w:rPr>
          <w:rFonts w:ascii="Tahoma" w:hAnsi="Tahoma" w:cs="Tahoma"/>
          <w:sz w:val="20"/>
          <w:szCs w:val="20"/>
          <w:lang w:val="en-GB"/>
        </w:rPr>
        <w:t xml:space="preserve">. According to </w:t>
      </w:r>
      <w:r w:rsidR="003B7C49" w:rsidRPr="00174033">
        <w:rPr>
          <w:rFonts w:ascii="Tahoma" w:hAnsi="Tahoma" w:cs="Tahoma"/>
          <w:sz w:val="20"/>
          <w:szCs w:val="20"/>
          <w:lang w:val="en-GB"/>
        </w:rPr>
        <w:t>this prior estimate</w:t>
      </w:r>
      <w:r w:rsidRPr="00174033">
        <w:rPr>
          <w:rFonts w:ascii="Tahoma" w:hAnsi="Tahoma" w:cs="Tahoma"/>
          <w:sz w:val="20"/>
          <w:szCs w:val="20"/>
          <w:lang w:val="en-GB"/>
        </w:rPr>
        <w:t xml:space="preserve">, 16% of males aged 19-69 in the Netherlands in 2006 </w:t>
      </w:r>
      <w:r w:rsidR="007A7BD2" w:rsidRPr="00174033">
        <w:rPr>
          <w:rFonts w:ascii="Tahoma" w:hAnsi="Tahoma" w:cs="Tahoma"/>
          <w:sz w:val="20"/>
          <w:szCs w:val="20"/>
          <w:lang w:val="en-GB"/>
        </w:rPr>
        <w:t>repor</w:t>
      </w:r>
      <w:r w:rsidRPr="00174033">
        <w:rPr>
          <w:rFonts w:ascii="Tahoma" w:hAnsi="Tahoma" w:cs="Tahoma"/>
          <w:sz w:val="20"/>
          <w:szCs w:val="20"/>
          <w:lang w:val="en-GB"/>
        </w:rPr>
        <w:t xml:space="preserve">ted </w:t>
      </w:r>
      <w:r w:rsidR="007A7BD2" w:rsidRPr="00174033">
        <w:rPr>
          <w:rFonts w:ascii="Tahoma" w:hAnsi="Tahoma" w:cs="Tahoma"/>
          <w:sz w:val="20"/>
          <w:szCs w:val="20"/>
          <w:lang w:val="en-GB"/>
        </w:rPr>
        <w:t xml:space="preserve">affirmatively on </w:t>
      </w:r>
      <w:r w:rsidRPr="00174033">
        <w:rPr>
          <w:rFonts w:ascii="Tahoma" w:hAnsi="Tahoma" w:cs="Tahoma"/>
          <w:sz w:val="20"/>
          <w:szCs w:val="20"/>
          <w:lang w:val="en-GB"/>
        </w:rPr>
        <w:t xml:space="preserve">at least one of the three aspects of gay or bisexual experience, and 6% of all males aged 19-69 reported </w:t>
      </w:r>
      <w:r w:rsidR="007A7BD2" w:rsidRPr="00174033">
        <w:rPr>
          <w:rFonts w:ascii="Tahoma" w:hAnsi="Tahoma" w:cs="Tahoma"/>
          <w:sz w:val="20"/>
          <w:szCs w:val="20"/>
          <w:lang w:val="en-GB"/>
        </w:rPr>
        <w:t xml:space="preserve">affirmatively on </w:t>
      </w:r>
      <w:r w:rsidRPr="00174033">
        <w:rPr>
          <w:rFonts w:ascii="Tahoma" w:hAnsi="Tahoma" w:cs="Tahoma"/>
          <w:sz w:val="20"/>
          <w:szCs w:val="20"/>
          <w:lang w:val="en-GB"/>
        </w:rPr>
        <w:t xml:space="preserve">all three aspects. </w:t>
      </w:r>
      <w:r w:rsidR="003B7C49" w:rsidRPr="00174033">
        <w:rPr>
          <w:rFonts w:ascii="Tahoma" w:hAnsi="Tahoma" w:cs="Tahoma"/>
          <w:sz w:val="20"/>
          <w:szCs w:val="20"/>
          <w:lang w:val="en-GB"/>
        </w:rPr>
        <w:t>E</w:t>
      </w:r>
      <w:r w:rsidRPr="00174033">
        <w:rPr>
          <w:rFonts w:ascii="Tahoma" w:hAnsi="Tahoma" w:cs="Tahoma"/>
          <w:sz w:val="20"/>
          <w:szCs w:val="20"/>
          <w:lang w:val="en-GB"/>
        </w:rPr>
        <w:t>xtrapolat</w:t>
      </w:r>
      <w:r w:rsidR="003B7C49" w:rsidRPr="00174033">
        <w:rPr>
          <w:rFonts w:ascii="Tahoma" w:hAnsi="Tahoma" w:cs="Tahoma"/>
          <w:sz w:val="20"/>
          <w:szCs w:val="20"/>
          <w:lang w:val="en-GB"/>
        </w:rPr>
        <w:t>ing</w:t>
      </w:r>
      <w:r w:rsidRPr="00174033">
        <w:rPr>
          <w:rFonts w:ascii="Tahoma" w:hAnsi="Tahoma" w:cs="Tahoma"/>
          <w:sz w:val="20"/>
          <w:szCs w:val="20"/>
          <w:lang w:val="en-GB"/>
        </w:rPr>
        <w:t xml:space="preserve"> the 6% prevalence estimate to the size of the male population 19-69 years old living in the Netherlands in 2022 (N= 5,805,000) </w:t>
      </w:r>
      <w:r w:rsidR="003B7C49" w:rsidRPr="00174033">
        <w:rPr>
          <w:rFonts w:ascii="Tahoma" w:hAnsi="Tahoma" w:cs="Tahoma"/>
          <w:sz w:val="20"/>
          <w:szCs w:val="20"/>
          <w:lang w:val="en-GB"/>
        </w:rPr>
        <w:t>gives</w:t>
      </w:r>
      <w:r w:rsidR="007A7BD2" w:rsidRPr="00174033">
        <w:rPr>
          <w:rFonts w:ascii="Tahoma" w:hAnsi="Tahoma" w:cs="Tahoma"/>
          <w:sz w:val="20"/>
          <w:szCs w:val="20"/>
          <w:lang w:val="en-GB"/>
        </w:rPr>
        <w:t xml:space="preserve"> an estimated </w:t>
      </w:r>
      <w:r w:rsidRPr="00174033">
        <w:rPr>
          <w:rFonts w:ascii="Tahoma" w:hAnsi="Tahoma" w:cs="Tahoma"/>
          <w:sz w:val="20"/>
          <w:szCs w:val="20"/>
          <w:lang w:val="en-GB"/>
        </w:rPr>
        <w:t>348,300 males aged 19-69 years who are attracted to men, ever had sex with men and self-identified as gay or bisexual</w:t>
      </w:r>
      <w:r w:rsidR="003B7C49" w:rsidRPr="00174033">
        <w:rPr>
          <w:rFonts w:ascii="Tahoma" w:hAnsi="Tahoma" w:cs="Tahoma"/>
          <w:sz w:val="20"/>
          <w:szCs w:val="20"/>
          <w:lang w:val="en-GB"/>
        </w:rPr>
        <w:t xml:space="preserve"> in that year</w:t>
      </w:r>
      <w:r w:rsidRPr="00174033">
        <w:rPr>
          <w:rFonts w:ascii="Tahoma" w:hAnsi="Tahoma" w:cs="Tahoma"/>
          <w:sz w:val="20"/>
          <w:szCs w:val="20"/>
          <w:lang w:val="en-GB"/>
        </w:rPr>
        <w:t xml:space="preserve">. To derive </w:t>
      </w:r>
      <w:r w:rsidR="003B7C49" w:rsidRPr="00174033">
        <w:rPr>
          <w:rFonts w:ascii="Tahoma" w:hAnsi="Tahoma" w:cs="Tahoma"/>
          <w:sz w:val="20"/>
          <w:szCs w:val="20"/>
          <w:lang w:val="en-GB"/>
        </w:rPr>
        <w:t xml:space="preserve">an estimate of </w:t>
      </w:r>
      <w:r w:rsidRPr="00174033">
        <w:rPr>
          <w:rFonts w:ascii="Tahoma" w:hAnsi="Tahoma" w:cs="Tahoma"/>
          <w:sz w:val="20"/>
          <w:szCs w:val="20"/>
          <w:lang w:val="en-GB"/>
        </w:rPr>
        <w:t>the size of the population of interest for our study</w:t>
      </w:r>
      <w:r w:rsidR="003B7C49" w:rsidRPr="00174033">
        <w:rPr>
          <w:rFonts w:ascii="Tahoma" w:hAnsi="Tahoma" w:cs="Tahoma"/>
          <w:sz w:val="20"/>
          <w:szCs w:val="20"/>
          <w:lang w:val="en-GB"/>
        </w:rPr>
        <w:t xml:space="preserve"> (i.e., sexually active GBMSM aged 18-80 years in the Netherlands)</w:t>
      </w:r>
      <w:r w:rsidRPr="00174033">
        <w:rPr>
          <w:rFonts w:ascii="Tahoma" w:hAnsi="Tahoma" w:cs="Tahoma"/>
          <w:sz w:val="20"/>
          <w:szCs w:val="20"/>
          <w:lang w:val="en-GB"/>
        </w:rPr>
        <w:t xml:space="preserve">, additional adaptations relating to age and sexual activity </w:t>
      </w:r>
      <w:r w:rsidR="003B7C49" w:rsidRPr="00174033">
        <w:rPr>
          <w:rFonts w:ascii="Tahoma" w:hAnsi="Tahoma" w:cs="Tahoma"/>
          <w:sz w:val="20"/>
          <w:szCs w:val="20"/>
          <w:lang w:val="en-GB"/>
        </w:rPr>
        <w:t>a</w:t>
      </w:r>
      <w:r w:rsidRPr="00174033">
        <w:rPr>
          <w:rFonts w:ascii="Tahoma" w:hAnsi="Tahoma" w:cs="Tahoma"/>
          <w:sz w:val="20"/>
          <w:szCs w:val="20"/>
          <w:lang w:val="en-GB"/>
        </w:rPr>
        <w:t>re</w:t>
      </w:r>
      <w:r w:rsidR="003B7C49" w:rsidRPr="00174033">
        <w:rPr>
          <w:rFonts w:ascii="Tahoma" w:hAnsi="Tahoma" w:cs="Tahoma"/>
          <w:sz w:val="20"/>
          <w:szCs w:val="20"/>
          <w:lang w:val="en-GB"/>
        </w:rPr>
        <w:t>, however,</w:t>
      </w:r>
      <w:r w:rsidRPr="00174033">
        <w:rPr>
          <w:rFonts w:ascii="Tahoma" w:hAnsi="Tahoma" w:cs="Tahoma"/>
          <w:sz w:val="20"/>
          <w:szCs w:val="20"/>
          <w:lang w:val="en-GB"/>
        </w:rPr>
        <w:t xml:space="preserve"> required. </w:t>
      </w:r>
    </w:p>
    <w:p w14:paraId="573BE465" w14:textId="77777777" w:rsidR="007A7BD2" w:rsidRPr="00174033" w:rsidRDefault="007A7BD2" w:rsidP="00707224">
      <w:pPr>
        <w:spacing w:after="0" w:line="240" w:lineRule="auto"/>
        <w:rPr>
          <w:rFonts w:ascii="Tahoma" w:hAnsi="Tahoma" w:cs="Tahoma"/>
          <w:sz w:val="20"/>
          <w:szCs w:val="20"/>
          <w:lang w:val="en-GB"/>
        </w:rPr>
      </w:pPr>
    </w:p>
    <w:p w14:paraId="0CEE3F32" w14:textId="0B05FF64" w:rsidR="002A42FD" w:rsidRPr="00BA39F0" w:rsidRDefault="002A42FD" w:rsidP="00707224">
      <w:pPr>
        <w:spacing w:after="0" w:line="240" w:lineRule="auto"/>
        <w:rPr>
          <w:rFonts w:ascii="Tahoma" w:hAnsi="Tahoma" w:cs="Tahoma"/>
          <w:b/>
          <w:bCs/>
          <w:sz w:val="20"/>
          <w:szCs w:val="20"/>
          <w:lang w:val="en-GB"/>
        </w:rPr>
      </w:pPr>
      <w:r w:rsidRPr="00BA39F0">
        <w:rPr>
          <w:rFonts w:ascii="Tahoma" w:hAnsi="Tahoma" w:cs="Tahoma"/>
          <w:b/>
          <w:bCs/>
          <w:sz w:val="20"/>
          <w:szCs w:val="20"/>
          <w:lang w:val="en-GB"/>
        </w:rPr>
        <w:t xml:space="preserve">Correcting the </w:t>
      </w:r>
      <w:r w:rsidR="007C7B6A" w:rsidRPr="00BA39F0">
        <w:rPr>
          <w:rFonts w:ascii="Tahoma" w:hAnsi="Tahoma" w:cs="Tahoma"/>
          <w:b/>
          <w:bCs/>
          <w:sz w:val="20"/>
          <w:szCs w:val="20"/>
          <w:lang w:val="en-GB"/>
        </w:rPr>
        <w:t xml:space="preserve">adult GBMSM population </w:t>
      </w:r>
      <w:r w:rsidRPr="00BA39F0">
        <w:rPr>
          <w:rFonts w:ascii="Tahoma" w:hAnsi="Tahoma" w:cs="Tahoma"/>
          <w:b/>
          <w:bCs/>
          <w:sz w:val="20"/>
          <w:szCs w:val="20"/>
          <w:lang w:val="en-GB"/>
        </w:rPr>
        <w:t>estimate for missing age groups</w:t>
      </w:r>
    </w:p>
    <w:p w14:paraId="2AFB0FC5" w14:textId="6C5085DC" w:rsidR="002A42FD" w:rsidRPr="00174033" w:rsidRDefault="002A42FD" w:rsidP="000A2834">
      <w:pPr>
        <w:spacing w:after="0" w:line="240" w:lineRule="auto"/>
        <w:rPr>
          <w:rFonts w:ascii="Tahoma" w:hAnsi="Tahoma" w:cs="Tahoma"/>
          <w:sz w:val="20"/>
          <w:szCs w:val="20"/>
          <w:lang w:val="en-GB"/>
        </w:rPr>
      </w:pPr>
      <w:r w:rsidRPr="00174033">
        <w:rPr>
          <w:rFonts w:ascii="Tahoma" w:hAnsi="Tahoma" w:cs="Tahoma"/>
          <w:sz w:val="20"/>
          <w:szCs w:val="20"/>
          <w:lang w:val="en-GB"/>
        </w:rPr>
        <w:t>At the time we finalised th</w:t>
      </w:r>
      <w:r w:rsidR="007A7BD2" w:rsidRPr="00174033">
        <w:rPr>
          <w:rFonts w:ascii="Tahoma" w:hAnsi="Tahoma" w:cs="Tahoma"/>
          <w:sz w:val="20"/>
          <w:szCs w:val="20"/>
          <w:lang w:val="en-GB"/>
        </w:rPr>
        <w:t>e</w:t>
      </w:r>
      <w:r w:rsidRPr="00174033">
        <w:rPr>
          <w:rFonts w:ascii="Tahoma" w:hAnsi="Tahoma" w:cs="Tahoma"/>
          <w:sz w:val="20"/>
          <w:szCs w:val="20"/>
          <w:lang w:val="en-GB"/>
        </w:rPr>
        <w:t xml:space="preserve"> manuscript, GB</w:t>
      </w:r>
      <w:r w:rsidR="00604221" w:rsidRPr="00174033">
        <w:rPr>
          <w:rFonts w:ascii="Tahoma" w:hAnsi="Tahoma" w:cs="Tahoma"/>
          <w:sz w:val="20"/>
          <w:szCs w:val="20"/>
          <w:lang w:val="en-GB"/>
        </w:rPr>
        <w:t>MS</w:t>
      </w:r>
      <w:r w:rsidRPr="00174033">
        <w:rPr>
          <w:rFonts w:ascii="Tahoma" w:hAnsi="Tahoma" w:cs="Tahoma"/>
          <w:sz w:val="20"/>
          <w:szCs w:val="20"/>
          <w:lang w:val="en-GB"/>
        </w:rPr>
        <w:t xml:space="preserve">M diagnosed with </w:t>
      </w:r>
      <w:r w:rsidR="00060643" w:rsidRPr="00174033">
        <w:rPr>
          <w:rFonts w:ascii="Tahoma" w:hAnsi="Tahoma" w:cs="Tahoma"/>
          <w:sz w:val="20"/>
          <w:szCs w:val="20"/>
          <w:lang w:val="en-GB"/>
        </w:rPr>
        <w:t>MPXV infection</w:t>
      </w:r>
      <w:r w:rsidRPr="00174033">
        <w:rPr>
          <w:rFonts w:ascii="Tahoma" w:hAnsi="Tahoma" w:cs="Tahoma"/>
          <w:sz w:val="20"/>
          <w:szCs w:val="20"/>
          <w:lang w:val="en-GB"/>
        </w:rPr>
        <w:t xml:space="preserve"> in the Netherlands were aged 18 to 77 years old</w:t>
      </w:r>
      <w:r w:rsidR="0097417B">
        <w:rPr>
          <w:rFonts w:ascii="Tahoma" w:hAnsi="Tahoma" w:cs="Tahoma"/>
          <w:sz w:val="20"/>
          <w:szCs w:val="20"/>
          <w:lang w:val="en-GB"/>
        </w:rPr>
        <w:t xml:space="preserve"> [2]</w:t>
      </w:r>
      <w:r w:rsidRPr="00174033">
        <w:rPr>
          <w:rFonts w:ascii="Tahoma" w:hAnsi="Tahoma" w:cs="Tahoma"/>
          <w:sz w:val="20"/>
          <w:szCs w:val="20"/>
          <w:lang w:val="en-GB"/>
        </w:rPr>
        <w:t xml:space="preserve">, which is close to the age range of participants in our study (18-80 years). As the </w:t>
      </w:r>
      <w:r w:rsidR="0097417B">
        <w:rPr>
          <w:rFonts w:ascii="Tahoma" w:hAnsi="Tahoma" w:cs="Tahoma"/>
          <w:sz w:val="20"/>
          <w:szCs w:val="20"/>
          <w:lang w:val="en-GB"/>
        </w:rPr>
        <w:t xml:space="preserve">previously </w:t>
      </w:r>
      <w:r w:rsidR="007A7BD2" w:rsidRPr="00174033">
        <w:rPr>
          <w:rFonts w:ascii="Tahoma" w:hAnsi="Tahoma" w:cs="Tahoma"/>
          <w:sz w:val="20"/>
          <w:szCs w:val="20"/>
          <w:lang w:val="en-GB"/>
        </w:rPr>
        <w:t>estimate</w:t>
      </w:r>
      <w:r w:rsidR="00604221" w:rsidRPr="00174033">
        <w:rPr>
          <w:rFonts w:ascii="Tahoma" w:hAnsi="Tahoma" w:cs="Tahoma"/>
          <w:sz w:val="20"/>
          <w:szCs w:val="20"/>
          <w:lang w:val="en-GB"/>
        </w:rPr>
        <w:t>d</w:t>
      </w:r>
      <w:r w:rsidR="007A7BD2" w:rsidRPr="00174033">
        <w:rPr>
          <w:rFonts w:ascii="Tahoma" w:hAnsi="Tahoma" w:cs="Tahoma"/>
          <w:sz w:val="20"/>
          <w:szCs w:val="20"/>
          <w:lang w:val="en-GB"/>
        </w:rPr>
        <w:t xml:space="preserve"> </w:t>
      </w:r>
      <w:r w:rsidRPr="00174033">
        <w:rPr>
          <w:rFonts w:ascii="Tahoma" w:hAnsi="Tahoma" w:cs="Tahoma"/>
          <w:sz w:val="20"/>
          <w:szCs w:val="20"/>
          <w:lang w:val="en-GB"/>
        </w:rPr>
        <w:t xml:space="preserve">6% prevalence </w:t>
      </w:r>
      <w:r w:rsidR="007A7BD2" w:rsidRPr="00174033">
        <w:rPr>
          <w:rFonts w:ascii="Tahoma" w:hAnsi="Tahoma" w:cs="Tahoma"/>
          <w:sz w:val="20"/>
          <w:szCs w:val="20"/>
          <w:lang w:val="en-GB"/>
        </w:rPr>
        <w:t>of men who are attracted to men, ever had sex with men and self-identified as gay or bisexual</w:t>
      </w:r>
      <w:r w:rsidR="007A7BD2" w:rsidRPr="00174033" w:rsidDel="007A7BD2">
        <w:rPr>
          <w:rFonts w:ascii="Tahoma" w:hAnsi="Tahoma" w:cs="Tahoma"/>
          <w:sz w:val="20"/>
          <w:szCs w:val="20"/>
          <w:lang w:val="en-GB"/>
        </w:rPr>
        <w:t xml:space="preserve"> </w:t>
      </w:r>
      <w:r w:rsidR="0097417B">
        <w:rPr>
          <w:rFonts w:ascii="Tahoma" w:hAnsi="Tahoma" w:cs="Tahoma"/>
          <w:sz w:val="20"/>
          <w:szCs w:val="20"/>
          <w:lang w:val="en-GB"/>
        </w:rPr>
        <w:t xml:space="preserve">pertained to </w:t>
      </w:r>
      <w:r w:rsidRPr="00174033">
        <w:rPr>
          <w:rFonts w:ascii="Tahoma" w:hAnsi="Tahoma" w:cs="Tahoma"/>
          <w:sz w:val="20"/>
          <w:szCs w:val="20"/>
          <w:lang w:val="en-GB"/>
        </w:rPr>
        <w:t>individuals aged 19-69 years only</w:t>
      </w:r>
      <w:r w:rsidR="0097417B">
        <w:rPr>
          <w:rFonts w:ascii="Tahoma" w:hAnsi="Tahoma" w:cs="Tahoma"/>
          <w:sz w:val="20"/>
          <w:szCs w:val="20"/>
          <w:lang w:val="en-GB"/>
        </w:rPr>
        <w:t xml:space="preserve"> [</w:t>
      </w:r>
      <w:r w:rsidR="00CF4C72">
        <w:rPr>
          <w:rFonts w:ascii="Tahoma" w:hAnsi="Tahoma" w:cs="Tahoma"/>
          <w:sz w:val="20"/>
          <w:szCs w:val="20"/>
          <w:lang w:val="en-GB"/>
        </w:rPr>
        <w:t>1</w:t>
      </w:r>
      <w:r w:rsidR="0097417B">
        <w:rPr>
          <w:rFonts w:ascii="Tahoma" w:hAnsi="Tahoma" w:cs="Tahoma"/>
          <w:sz w:val="20"/>
          <w:szCs w:val="20"/>
          <w:lang w:val="en-GB"/>
        </w:rPr>
        <w:t>]</w:t>
      </w:r>
      <w:r w:rsidRPr="00174033">
        <w:rPr>
          <w:rFonts w:ascii="Tahoma" w:hAnsi="Tahoma" w:cs="Tahoma"/>
          <w:sz w:val="20"/>
          <w:szCs w:val="20"/>
          <w:lang w:val="en-GB"/>
        </w:rPr>
        <w:t xml:space="preserve">, we </w:t>
      </w:r>
      <w:r w:rsidR="007A7BD2" w:rsidRPr="00174033">
        <w:rPr>
          <w:rFonts w:ascii="Tahoma" w:hAnsi="Tahoma" w:cs="Tahoma"/>
          <w:sz w:val="20"/>
          <w:szCs w:val="20"/>
          <w:lang w:val="en-GB"/>
        </w:rPr>
        <w:t xml:space="preserve">further </w:t>
      </w:r>
      <w:r w:rsidRPr="00174033">
        <w:rPr>
          <w:rFonts w:ascii="Tahoma" w:hAnsi="Tahoma" w:cs="Tahoma"/>
          <w:sz w:val="20"/>
          <w:szCs w:val="20"/>
          <w:lang w:val="en-GB"/>
        </w:rPr>
        <w:t xml:space="preserve">estimated the proportion of individuals </w:t>
      </w:r>
      <w:r w:rsidR="007A7BD2" w:rsidRPr="00174033">
        <w:rPr>
          <w:rFonts w:ascii="Tahoma" w:hAnsi="Tahoma" w:cs="Tahoma"/>
          <w:sz w:val="20"/>
          <w:szCs w:val="20"/>
          <w:lang w:val="en-GB"/>
        </w:rPr>
        <w:t>reporting affirmatively on all</w:t>
      </w:r>
      <w:r w:rsidRPr="00174033">
        <w:rPr>
          <w:rFonts w:ascii="Tahoma" w:hAnsi="Tahoma" w:cs="Tahoma"/>
          <w:sz w:val="20"/>
          <w:szCs w:val="20"/>
          <w:lang w:val="en-GB"/>
        </w:rPr>
        <w:t xml:space="preserve"> three aspects of gay or bisexual experience among males aged 18 and 70</w:t>
      </w:r>
      <w:r w:rsidR="000A2834" w:rsidRPr="00174033">
        <w:rPr>
          <w:rFonts w:ascii="Tahoma" w:hAnsi="Tahoma" w:cs="Tahoma"/>
          <w:sz w:val="20"/>
          <w:szCs w:val="20"/>
          <w:lang w:val="en-GB"/>
        </w:rPr>
        <w:t>-</w:t>
      </w:r>
      <w:r w:rsidRPr="00174033">
        <w:rPr>
          <w:rFonts w:ascii="Tahoma" w:hAnsi="Tahoma" w:cs="Tahoma"/>
          <w:sz w:val="20"/>
          <w:szCs w:val="20"/>
          <w:lang w:val="en-GB"/>
        </w:rPr>
        <w:t xml:space="preserve">80 years </w:t>
      </w:r>
      <w:r w:rsidR="007A7BD2" w:rsidRPr="00174033">
        <w:rPr>
          <w:rFonts w:ascii="Tahoma" w:hAnsi="Tahoma" w:cs="Tahoma"/>
          <w:sz w:val="20"/>
          <w:szCs w:val="20"/>
          <w:lang w:val="en-GB"/>
        </w:rPr>
        <w:t>of age</w:t>
      </w:r>
      <w:r w:rsidR="003425FE" w:rsidRPr="00174033">
        <w:rPr>
          <w:rFonts w:ascii="Tahoma" w:hAnsi="Tahoma" w:cs="Tahoma"/>
          <w:sz w:val="20"/>
          <w:szCs w:val="20"/>
          <w:lang w:val="en-GB"/>
        </w:rPr>
        <w:t>, respectively</w:t>
      </w:r>
      <w:r w:rsidRPr="00174033">
        <w:rPr>
          <w:rFonts w:ascii="Tahoma" w:hAnsi="Tahoma" w:cs="Tahoma"/>
          <w:sz w:val="20"/>
          <w:szCs w:val="20"/>
          <w:lang w:val="en-GB"/>
        </w:rPr>
        <w:t>.</w:t>
      </w:r>
    </w:p>
    <w:p w14:paraId="6AAB9C61" w14:textId="77777777" w:rsidR="00F971CF" w:rsidRPr="00174033" w:rsidRDefault="00F971CF" w:rsidP="00203AFD">
      <w:pPr>
        <w:spacing w:after="0" w:line="240" w:lineRule="auto"/>
        <w:rPr>
          <w:rFonts w:ascii="Tahoma" w:hAnsi="Tahoma" w:cs="Tahoma"/>
          <w:sz w:val="20"/>
          <w:szCs w:val="20"/>
          <w:lang w:val="en-GB"/>
        </w:rPr>
      </w:pPr>
    </w:p>
    <w:p w14:paraId="7C98D1A7" w14:textId="0B59C9D8" w:rsidR="002A42FD" w:rsidRPr="00174033" w:rsidRDefault="002A42FD" w:rsidP="000A2834">
      <w:pPr>
        <w:spacing w:after="0" w:line="240" w:lineRule="auto"/>
        <w:rPr>
          <w:rFonts w:ascii="Tahoma" w:hAnsi="Tahoma" w:cs="Tahoma"/>
          <w:sz w:val="20"/>
          <w:szCs w:val="20"/>
          <w:lang w:val="en-GB"/>
        </w:rPr>
      </w:pPr>
      <w:r w:rsidRPr="00174033">
        <w:rPr>
          <w:rFonts w:ascii="Tahoma" w:hAnsi="Tahoma" w:cs="Tahoma"/>
          <w:i/>
          <w:iCs/>
          <w:sz w:val="20"/>
          <w:szCs w:val="20"/>
          <w:lang w:val="en-GB"/>
        </w:rPr>
        <w:t>Males aged 18 years old</w:t>
      </w:r>
      <w:r w:rsidR="000A2834" w:rsidRPr="00174033">
        <w:rPr>
          <w:rFonts w:ascii="Tahoma" w:hAnsi="Tahoma" w:cs="Tahoma"/>
          <w:i/>
          <w:iCs/>
          <w:sz w:val="20"/>
          <w:szCs w:val="20"/>
          <w:lang w:val="en-GB"/>
        </w:rPr>
        <w:t>:</w:t>
      </w:r>
      <w:r w:rsidRPr="00174033">
        <w:rPr>
          <w:rFonts w:ascii="Tahoma" w:hAnsi="Tahoma" w:cs="Tahoma"/>
          <w:sz w:val="20"/>
          <w:szCs w:val="20"/>
          <w:lang w:val="en-GB"/>
        </w:rPr>
        <w:t xml:space="preserve"> According to </w:t>
      </w:r>
      <w:r w:rsidR="00CF4C72">
        <w:rPr>
          <w:rFonts w:ascii="Tahoma" w:hAnsi="Tahoma" w:cs="Tahoma"/>
          <w:sz w:val="20"/>
          <w:szCs w:val="20"/>
          <w:lang w:val="en-GB"/>
        </w:rPr>
        <w:t>a</w:t>
      </w:r>
      <w:r w:rsidR="00CF4C72" w:rsidRPr="00174033">
        <w:rPr>
          <w:rFonts w:ascii="Tahoma" w:hAnsi="Tahoma" w:cs="Tahoma"/>
          <w:sz w:val="20"/>
          <w:szCs w:val="20"/>
          <w:lang w:val="en-GB"/>
        </w:rPr>
        <w:t xml:space="preserve"> </w:t>
      </w:r>
      <w:r w:rsidRPr="00174033">
        <w:rPr>
          <w:rFonts w:ascii="Tahoma" w:hAnsi="Tahoma" w:cs="Tahoma"/>
          <w:sz w:val="20"/>
          <w:szCs w:val="20"/>
          <w:lang w:val="en-GB"/>
        </w:rPr>
        <w:t xml:space="preserve">2017 </w:t>
      </w:r>
      <w:r w:rsidR="00CF4C72">
        <w:rPr>
          <w:rFonts w:ascii="Tahoma" w:hAnsi="Tahoma" w:cs="Tahoma"/>
          <w:sz w:val="20"/>
          <w:szCs w:val="20"/>
          <w:lang w:val="en-GB"/>
        </w:rPr>
        <w:t>population</w:t>
      </w:r>
      <w:r w:rsidRPr="00174033">
        <w:rPr>
          <w:rFonts w:ascii="Tahoma" w:hAnsi="Tahoma" w:cs="Tahoma"/>
          <w:sz w:val="20"/>
          <w:szCs w:val="20"/>
          <w:lang w:val="en-GB"/>
        </w:rPr>
        <w:t xml:space="preserve"> survey, half of you</w:t>
      </w:r>
      <w:r w:rsidR="00CF4C72">
        <w:rPr>
          <w:rFonts w:ascii="Tahoma" w:hAnsi="Tahoma" w:cs="Tahoma"/>
          <w:sz w:val="20"/>
          <w:szCs w:val="20"/>
          <w:lang w:val="en-GB"/>
        </w:rPr>
        <w:t>ng people aged 1</w:t>
      </w:r>
      <w:r w:rsidR="0087604A">
        <w:rPr>
          <w:rFonts w:ascii="Tahoma" w:hAnsi="Tahoma" w:cs="Tahoma"/>
          <w:sz w:val="20"/>
          <w:szCs w:val="20"/>
          <w:lang w:val="en-GB"/>
        </w:rPr>
        <w:t>2</w:t>
      </w:r>
      <w:r w:rsidR="00CF4C72">
        <w:rPr>
          <w:rFonts w:ascii="Tahoma" w:hAnsi="Tahoma" w:cs="Tahoma"/>
          <w:sz w:val="20"/>
          <w:szCs w:val="20"/>
          <w:lang w:val="en-GB"/>
        </w:rPr>
        <w:t>-</w:t>
      </w:r>
      <w:r w:rsidR="004F4B47">
        <w:rPr>
          <w:rFonts w:ascii="Tahoma" w:hAnsi="Tahoma" w:cs="Tahoma"/>
          <w:sz w:val="20"/>
          <w:szCs w:val="20"/>
          <w:lang w:val="en-GB"/>
        </w:rPr>
        <w:t>2</w:t>
      </w:r>
      <w:r w:rsidR="00CF4C72">
        <w:rPr>
          <w:rFonts w:ascii="Tahoma" w:hAnsi="Tahoma" w:cs="Tahoma"/>
          <w:sz w:val="20"/>
          <w:szCs w:val="20"/>
          <w:lang w:val="en-GB"/>
        </w:rPr>
        <w:t xml:space="preserve">5 years </w:t>
      </w:r>
      <w:r w:rsidRPr="00174033">
        <w:rPr>
          <w:rFonts w:ascii="Tahoma" w:hAnsi="Tahoma" w:cs="Tahoma"/>
          <w:sz w:val="20"/>
          <w:szCs w:val="20"/>
          <w:lang w:val="en-GB"/>
        </w:rPr>
        <w:t xml:space="preserve">in the Netherlands have had sexual intercourse </w:t>
      </w:r>
      <w:r w:rsidR="000A2834" w:rsidRPr="00174033">
        <w:rPr>
          <w:rFonts w:ascii="Tahoma" w:hAnsi="Tahoma" w:cs="Tahoma"/>
          <w:sz w:val="20"/>
          <w:szCs w:val="20"/>
          <w:lang w:val="en-GB"/>
        </w:rPr>
        <w:t xml:space="preserve">by </w:t>
      </w:r>
      <w:r w:rsidRPr="00174033">
        <w:rPr>
          <w:rFonts w:ascii="Tahoma" w:hAnsi="Tahoma" w:cs="Tahoma"/>
          <w:sz w:val="20"/>
          <w:szCs w:val="20"/>
          <w:lang w:val="en-GB"/>
        </w:rPr>
        <w:t>the age of 18.6</w:t>
      </w:r>
      <w:r w:rsidR="007A7BD2" w:rsidRPr="00174033">
        <w:rPr>
          <w:rFonts w:ascii="Tahoma" w:hAnsi="Tahoma" w:cs="Tahoma"/>
          <w:sz w:val="20"/>
          <w:szCs w:val="20"/>
          <w:lang w:val="en-GB"/>
        </w:rPr>
        <w:t xml:space="preserve"> years</w:t>
      </w:r>
      <w:r w:rsidRPr="00174033">
        <w:rPr>
          <w:rFonts w:ascii="Tahoma" w:hAnsi="Tahoma" w:cs="Tahoma"/>
          <w:sz w:val="20"/>
          <w:szCs w:val="20"/>
          <w:lang w:val="en-GB"/>
        </w:rPr>
        <w:t xml:space="preserve"> </w:t>
      </w:r>
      <w:r w:rsidR="00CF4C72">
        <w:rPr>
          <w:rFonts w:ascii="Tahoma" w:hAnsi="Tahoma" w:cs="Tahoma"/>
          <w:sz w:val="20"/>
          <w:szCs w:val="20"/>
          <w:lang w:val="en-GB"/>
        </w:rPr>
        <w:t>[3</w:t>
      </w:r>
      <w:r w:rsidR="00E24A6B">
        <w:rPr>
          <w:rFonts w:ascii="Tahoma" w:hAnsi="Tahoma" w:cs="Tahoma"/>
          <w:sz w:val="20"/>
          <w:szCs w:val="20"/>
          <w:lang w:val="en-GB"/>
        </w:rPr>
        <w:t>,4</w:t>
      </w:r>
      <w:r w:rsidR="00CF4C72">
        <w:rPr>
          <w:rFonts w:ascii="Tahoma" w:hAnsi="Tahoma" w:cs="Tahoma"/>
          <w:sz w:val="20"/>
          <w:szCs w:val="20"/>
          <w:lang w:val="en-GB"/>
        </w:rPr>
        <w:t>]</w:t>
      </w:r>
      <w:r w:rsidR="007A7BD2" w:rsidRPr="00174033">
        <w:rPr>
          <w:rFonts w:ascii="Tahoma" w:hAnsi="Tahoma" w:cs="Tahoma"/>
          <w:sz w:val="20"/>
          <w:szCs w:val="20"/>
          <w:lang w:val="en-GB"/>
        </w:rPr>
        <w:t>.</w:t>
      </w:r>
      <w:r w:rsidRPr="00174033">
        <w:rPr>
          <w:rFonts w:ascii="Tahoma" w:hAnsi="Tahoma" w:cs="Tahoma"/>
          <w:sz w:val="20"/>
          <w:szCs w:val="20"/>
          <w:lang w:val="en-GB"/>
        </w:rPr>
        <w:t xml:space="preserve"> </w:t>
      </w:r>
      <w:r w:rsidR="007A7BD2" w:rsidRPr="00174033">
        <w:rPr>
          <w:rFonts w:ascii="Tahoma" w:hAnsi="Tahoma" w:cs="Tahoma"/>
          <w:sz w:val="20"/>
          <w:szCs w:val="20"/>
          <w:lang w:val="en-GB"/>
        </w:rPr>
        <w:t>W</w:t>
      </w:r>
      <w:r w:rsidRPr="00174033">
        <w:rPr>
          <w:rFonts w:ascii="Tahoma" w:hAnsi="Tahoma" w:cs="Tahoma"/>
          <w:sz w:val="20"/>
          <w:szCs w:val="20"/>
          <w:lang w:val="en-GB"/>
        </w:rPr>
        <w:t>e assumed there was no difference in age of sexual debut according to sexual orientation</w:t>
      </w:r>
      <w:r w:rsidR="007A7BD2" w:rsidRPr="00174033">
        <w:rPr>
          <w:rFonts w:ascii="Tahoma" w:hAnsi="Tahoma" w:cs="Tahoma"/>
          <w:sz w:val="20"/>
          <w:szCs w:val="20"/>
          <w:lang w:val="en-GB"/>
        </w:rPr>
        <w:t>.</w:t>
      </w:r>
      <w:r w:rsidRPr="00174033">
        <w:rPr>
          <w:rFonts w:ascii="Tahoma" w:hAnsi="Tahoma" w:cs="Tahoma"/>
          <w:sz w:val="20"/>
          <w:szCs w:val="20"/>
          <w:lang w:val="en-GB"/>
        </w:rPr>
        <w:t xml:space="preserve"> </w:t>
      </w:r>
      <w:r w:rsidR="000A2834" w:rsidRPr="00174033">
        <w:rPr>
          <w:rFonts w:ascii="Tahoma" w:hAnsi="Tahoma" w:cs="Tahoma"/>
          <w:sz w:val="20"/>
          <w:szCs w:val="20"/>
          <w:lang w:val="en-GB"/>
        </w:rPr>
        <w:t>As</w:t>
      </w:r>
      <w:r w:rsidRPr="00174033">
        <w:rPr>
          <w:rFonts w:ascii="Tahoma" w:hAnsi="Tahoma" w:cs="Tahoma"/>
          <w:sz w:val="20"/>
          <w:szCs w:val="20"/>
          <w:lang w:val="en-GB"/>
        </w:rPr>
        <w:t xml:space="preserve"> </w:t>
      </w:r>
      <w:r w:rsidR="000A2834" w:rsidRPr="00174033">
        <w:rPr>
          <w:rFonts w:ascii="Tahoma" w:hAnsi="Tahoma" w:cs="Tahoma"/>
          <w:sz w:val="20"/>
          <w:szCs w:val="20"/>
          <w:lang w:val="en-GB"/>
        </w:rPr>
        <w:t>not all</w:t>
      </w:r>
      <w:r w:rsidRPr="00174033">
        <w:rPr>
          <w:rFonts w:ascii="Tahoma" w:hAnsi="Tahoma" w:cs="Tahoma"/>
          <w:sz w:val="20"/>
          <w:szCs w:val="20"/>
          <w:lang w:val="en-GB"/>
        </w:rPr>
        <w:t xml:space="preserve"> young </w:t>
      </w:r>
      <w:r w:rsidR="000A2834" w:rsidRPr="00174033">
        <w:rPr>
          <w:rFonts w:ascii="Tahoma" w:hAnsi="Tahoma" w:cs="Tahoma"/>
          <w:sz w:val="20"/>
          <w:szCs w:val="20"/>
          <w:lang w:val="en-GB"/>
        </w:rPr>
        <w:t>men</w:t>
      </w:r>
      <w:r w:rsidRPr="00174033">
        <w:rPr>
          <w:rFonts w:ascii="Tahoma" w:hAnsi="Tahoma" w:cs="Tahoma"/>
          <w:sz w:val="20"/>
          <w:szCs w:val="20"/>
          <w:lang w:val="en-GB"/>
        </w:rPr>
        <w:t xml:space="preserve"> start having sex </w:t>
      </w:r>
      <w:r w:rsidR="000A2834" w:rsidRPr="00174033">
        <w:rPr>
          <w:rFonts w:ascii="Tahoma" w:hAnsi="Tahoma" w:cs="Tahoma"/>
          <w:sz w:val="20"/>
          <w:szCs w:val="20"/>
          <w:lang w:val="en-GB"/>
        </w:rPr>
        <w:t xml:space="preserve">before </w:t>
      </w:r>
      <w:r w:rsidRPr="00174033">
        <w:rPr>
          <w:rFonts w:ascii="Tahoma" w:hAnsi="Tahoma" w:cs="Tahoma"/>
          <w:sz w:val="20"/>
          <w:szCs w:val="20"/>
          <w:lang w:val="en-GB"/>
        </w:rPr>
        <w:t>the</w:t>
      </w:r>
      <w:r w:rsidR="000A2834" w:rsidRPr="00174033">
        <w:rPr>
          <w:rFonts w:ascii="Tahoma" w:hAnsi="Tahoma" w:cs="Tahoma"/>
          <w:sz w:val="20"/>
          <w:szCs w:val="20"/>
          <w:lang w:val="en-GB"/>
        </w:rPr>
        <w:t xml:space="preserve"> age of 19,</w:t>
      </w:r>
      <w:r w:rsidRPr="00174033">
        <w:rPr>
          <w:rFonts w:ascii="Tahoma" w:hAnsi="Tahoma" w:cs="Tahoma"/>
          <w:sz w:val="20"/>
          <w:szCs w:val="20"/>
          <w:lang w:val="en-GB"/>
        </w:rPr>
        <w:t xml:space="preserve"> </w:t>
      </w:r>
      <w:r w:rsidR="000A2834" w:rsidRPr="00174033">
        <w:rPr>
          <w:rFonts w:ascii="Tahoma" w:hAnsi="Tahoma" w:cs="Tahoma"/>
          <w:sz w:val="20"/>
          <w:szCs w:val="20"/>
          <w:lang w:val="en-GB"/>
        </w:rPr>
        <w:t xml:space="preserve">we assumed that </w:t>
      </w:r>
      <w:r w:rsidRPr="00174033">
        <w:rPr>
          <w:rFonts w:ascii="Tahoma" w:hAnsi="Tahoma" w:cs="Tahoma"/>
          <w:sz w:val="20"/>
          <w:szCs w:val="20"/>
          <w:lang w:val="en-GB"/>
        </w:rPr>
        <w:t xml:space="preserve">the </w:t>
      </w:r>
      <w:r w:rsidR="000A2834" w:rsidRPr="00174033">
        <w:rPr>
          <w:rFonts w:ascii="Tahoma" w:hAnsi="Tahoma" w:cs="Tahoma"/>
          <w:sz w:val="20"/>
          <w:szCs w:val="20"/>
          <w:lang w:val="en-GB"/>
        </w:rPr>
        <w:t xml:space="preserve">rate </w:t>
      </w:r>
      <w:r w:rsidRPr="00174033">
        <w:rPr>
          <w:rFonts w:ascii="Tahoma" w:hAnsi="Tahoma" w:cs="Tahoma"/>
          <w:sz w:val="20"/>
          <w:szCs w:val="20"/>
          <w:lang w:val="en-GB"/>
        </w:rPr>
        <w:t xml:space="preserve">of </w:t>
      </w:r>
      <w:r w:rsidR="000A2834" w:rsidRPr="00174033">
        <w:rPr>
          <w:rFonts w:ascii="Tahoma" w:hAnsi="Tahoma" w:cs="Tahoma"/>
          <w:sz w:val="20"/>
          <w:szCs w:val="20"/>
          <w:lang w:val="en-GB"/>
        </w:rPr>
        <w:t xml:space="preserve">men 18 years of age </w:t>
      </w:r>
      <w:r w:rsidRPr="00174033">
        <w:rPr>
          <w:rFonts w:ascii="Tahoma" w:hAnsi="Tahoma" w:cs="Tahoma"/>
          <w:sz w:val="20"/>
          <w:szCs w:val="20"/>
          <w:lang w:val="en-GB"/>
        </w:rPr>
        <w:t xml:space="preserve">reporting gay or bisexual attraction, behaviour and identity could be lower than </w:t>
      </w:r>
      <w:r w:rsidR="000A2834" w:rsidRPr="00174033">
        <w:rPr>
          <w:rFonts w:ascii="Tahoma" w:hAnsi="Tahoma" w:cs="Tahoma"/>
          <w:sz w:val="20"/>
          <w:szCs w:val="20"/>
          <w:lang w:val="en-GB"/>
        </w:rPr>
        <w:t xml:space="preserve">the </w:t>
      </w:r>
      <w:r w:rsidRPr="00174033">
        <w:rPr>
          <w:rFonts w:ascii="Tahoma" w:hAnsi="Tahoma" w:cs="Tahoma"/>
          <w:sz w:val="20"/>
          <w:szCs w:val="20"/>
          <w:lang w:val="en-GB"/>
        </w:rPr>
        <w:t xml:space="preserve">6% </w:t>
      </w:r>
      <w:r w:rsidR="000A2834" w:rsidRPr="00174033">
        <w:rPr>
          <w:rFonts w:ascii="Tahoma" w:hAnsi="Tahoma" w:cs="Tahoma"/>
          <w:sz w:val="20"/>
          <w:szCs w:val="20"/>
          <w:lang w:val="en-GB"/>
        </w:rPr>
        <w:t>estimated for the 19-69 year</w:t>
      </w:r>
      <w:r w:rsidR="00604221" w:rsidRPr="00174033">
        <w:rPr>
          <w:rFonts w:ascii="Tahoma" w:hAnsi="Tahoma" w:cs="Tahoma"/>
          <w:sz w:val="20"/>
          <w:szCs w:val="20"/>
          <w:lang w:val="en-GB"/>
        </w:rPr>
        <w:t>s</w:t>
      </w:r>
      <w:r w:rsidR="000A2834" w:rsidRPr="00174033">
        <w:rPr>
          <w:rFonts w:ascii="Tahoma" w:hAnsi="Tahoma" w:cs="Tahoma"/>
          <w:sz w:val="20"/>
          <w:szCs w:val="20"/>
          <w:lang w:val="en-GB"/>
        </w:rPr>
        <w:t xml:space="preserve"> old</w:t>
      </w:r>
      <w:r w:rsidR="00CF4C72">
        <w:rPr>
          <w:rFonts w:ascii="Tahoma" w:hAnsi="Tahoma" w:cs="Tahoma"/>
          <w:sz w:val="20"/>
          <w:szCs w:val="20"/>
          <w:lang w:val="en-GB"/>
        </w:rPr>
        <w:t xml:space="preserve"> [1]</w:t>
      </w:r>
      <w:r w:rsidRPr="00174033">
        <w:rPr>
          <w:rFonts w:ascii="Tahoma" w:hAnsi="Tahoma" w:cs="Tahoma"/>
          <w:sz w:val="20"/>
          <w:szCs w:val="20"/>
          <w:lang w:val="en-GB"/>
        </w:rPr>
        <w:t>. We</w:t>
      </w:r>
      <w:r w:rsidR="0087604A">
        <w:rPr>
          <w:rFonts w:ascii="Tahoma" w:hAnsi="Tahoma" w:cs="Tahoma"/>
          <w:sz w:val="20"/>
          <w:szCs w:val="20"/>
          <w:lang w:val="en-GB"/>
        </w:rPr>
        <w:t>, therefore,</w:t>
      </w:r>
      <w:r w:rsidR="000A2834" w:rsidRPr="00174033">
        <w:rPr>
          <w:rFonts w:ascii="Tahoma" w:hAnsi="Tahoma" w:cs="Tahoma"/>
          <w:sz w:val="20"/>
          <w:szCs w:val="20"/>
          <w:lang w:val="en-GB"/>
        </w:rPr>
        <w:t xml:space="preserve"> set </w:t>
      </w:r>
      <w:r w:rsidRPr="00174033">
        <w:rPr>
          <w:rFonts w:ascii="Tahoma" w:hAnsi="Tahoma" w:cs="Tahoma"/>
          <w:sz w:val="20"/>
          <w:szCs w:val="20"/>
          <w:lang w:val="en-GB"/>
        </w:rPr>
        <w:t xml:space="preserve">the </w:t>
      </w:r>
      <w:r w:rsidR="000A2834" w:rsidRPr="00174033">
        <w:rPr>
          <w:rFonts w:ascii="Tahoma" w:hAnsi="Tahoma" w:cs="Tahoma"/>
          <w:sz w:val="20"/>
          <w:szCs w:val="20"/>
          <w:lang w:val="en-GB"/>
        </w:rPr>
        <w:t xml:space="preserve">rate </w:t>
      </w:r>
      <w:r w:rsidRPr="00174033">
        <w:rPr>
          <w:rFonts w:ascii="Tahoma" w:hAnsi="Tahoma" w:cs="Tahoma"/>
          <w:sz w:val="20"/>
          <w:szCs w:val="20"/>
          <w:lang w:val="en-GB"/>
        </w:rPr>
        <w:t xml:space="preserve">estimate of males aged 18 years who would </w:t>
      </w:r>
      <w:r w:rsidR="000A2834" w:rsidRPr="00174033">
        <w:rPr>
          <w:rFonts w:ascii="Tahoma" w:hAnsi="Tahoma" w:cs="Tahoma"/>
          <w:sz w:val="20"/>
          <w:szCs w:val="20"/>
          <w:lang w:val="en-GB"/>
        </w:rPr>
        <w:t xml:space="preserve">respond affirmatively on all </w:t>
      </w:r>
      <w:r w:rsidRPr="00174033">
        <w:rPr>
          <w:rFonts w:ascii="Tahoma" w:hAnsi="Tahoma" w:cs="Tahoma"/>
          <w:sz w:val="20"/>
          <w:szCs w:val="20"/>
          <w:lang w:val="en-GB"/>
        </w:rPr>
        <w:t>three aspects of gay or bisexual experience</w:t>
      </w:r>
      <w:r w:rsidR="000A2834" w:rsidRPr="00174033">
        <w:rPr>
          <w:rFonts w:ascii="Tahoma" w:hAnsi="Tahoma" w:cs="Tahoma"/>
          <w:sz w:val="20"/>
          <w:szCs w:val="20"/>
          <w:lang w:val="en-GB"/>
        </w:rPr>
        <w:t xml:space="preserve"> to 4.5%</w:t>
      </w:r>
      <w:r w:rsidR="004B1681">
        <w:rPr>
          <w:rFonts w:ascii="Tahoma" w:hAnsi="Tahoma" w:cs="Tahoma"/>
          <w:sz w:val="20"/>
          <w:szCs w:val="20"/>
          <w:lang w:val="en-GB"/>
        </w:rPr>
        <w:t xml:space="preserve"> (see Table 1)</w:t>
      </w:r>
      <w:r w:rsidRPr="00174033">
        <w:rPr>
          <w:rFonts w:ascii="Tahoma" w:hAnsi="Tahoma" w:cs="Tahoma"/>
          <w:sz w:val="20"/>
          <w:szCs w:val="20"/>
          <w:lang w:val="en-GB"/>
        </w:rPr>
        <w:t>.</w:t>
      </w:r>
    </w:p>
    <w:p w14:paraId="09CF68FC" w14:textId="77777777" w:rsidR="007A7BD2" w:rsidRPr="00174033" w:rsidRDefault="007A7BD2" w:rsidP="000A2834">
      <w:pPr>
        <w:spacing w:after="0" w:line="240" w:lineRule="auto"/>
        <w:rPr>
          <w:rFonts w:ascii="Tahoma" w:hAnsi="Tahoma" w:cs="Tahoma"/>
          <w:sz w:val="20"/>
          <w:szCs w:val="20"/>
          <w:lang w:val="en-GB"/>
        </w:rPr>
      </w:pPr>
    </w:p>
    <w:p w14:paraId="0DAFF2C0" w14:textId="0B889B26" w:rsidR="002A42FD" w:rsidRPr="00174033" w:rsidRDefault="002A42FD" w:rsidP="000A2834">
      <w:pPr>
        <w:spacing w:after="0" w:line="240" w:lineRule="auto"/>
        <w:rPr>
          <w:rFonts w:ascii="Tahoma" w:hAnsi="Tahoma" w:cs="Tahoma"/>
          <w:sz w:val="20"/>
          <w:szCs w:val="20"/>
          <w:lang w:val="en-GB"/>
        </w:rPr>
      </w:pPr>
      <w:r w:rsidRPr="00174033">
        <w:rPr>
          <w:rFonts w:ascii="Tahoma" w:hAnsi="Tahoma" w:cs="Tahoma"/>
          <w:i/>
          <w:iCs/>
          <w:sz w:val="20"/>
          <w:szCs w:val="20"/>
          <w:lang w:val="en-GB"/>
        </w:rPr>
        <w:t xml:space="preserve">Males aged 70-80 </w:t>
      </w:r>
      <w:r w:rsidR="000A2834" w:rsidRPr="00174033">
        <w:rPr>
          <w:rFonts w:ascii="Tahoma" w:hAnsi="Tahoma" w:cs="Tahoma"/>
          <w:i/>
          <w:iCs/>
          <w:sz w:val="20"/>
          <w:szCs w:val="20"/>
          <w:lang w:val="en-GB"/>
        </w:rPr>
        <w:t>years old:</w:t>
      </w:r>
      <w:r w:rsidRPr="00174033">
        <w:rPr>
          <w:rFonts w:ascii="Tahoma" w:hAnsi="Tahoma" w:cs="Tahoma"/>
          <w:sz w:val="20"/>
          <w:szCs w:val="20"/>
          <w:lang w:val="en-GB"/>
        </w:rPr>
        <w:t xml:space="preserve"> The </w:t>
      </w:r>
      <w:r w:rsidR="000A2834" w:rsidRPr="00174033">
        <w:rPr>
          <w:rFonts w:ascii="Tahoma" w:hAnsi="Tahoma" w:cs="Tahoma"/>
          <w:sz w:val="20"/>
          <w:szCs w:val="20"/>
          <w:lang w:val="en-GB"/>
        </w:rPr>
        <w:t xml:space="preserve">comparatively high rate of </w:t>
      </w:r>
      <w:r w:rsidRPr="00174033">
        <w:rPr>
          <w:rFonts w:ascii="Tahoma" w:hAnsi="Tahoma" w:cs="Tahoma"/>
          <w:sz w:val="20"/>
          <w:szCs w:val="20"/>
          <w:lang w:val="en-GB"/>
        </w:rPr>
        <w:t xml:space="preserve">same-sex experiences in the Netherlands </w:t>
      </w:r>
      <w:r w:rsidR="000A2834" w:rsidRPr="00174033">
        <w:rPr>
          <w:rFonts w:ascii="Tahoma" w:hAnsi="Tahoma" w:cs="Tahoma"/>
          <w:sz w:val="20"/>
          <w:szCs w:val="20"/>
          <w:lang w:val="en-GB"/>
        </w:rPr>
        <w:t xml:space="preserve">is attributed </w:t>
      </w:r>
      <w:r w:rsidRPr="00174033">
        <w:rPr>
          <w:rFonts w:ascii="Tahoma" w:hAnsi="Tahoma" w:cs="Tahoma"/>
          <w:sz w:val="20"/>
          <w:szCs w:val="20"/>
          <w:lang w:val="en-GB"/>
        </w:rPr>
        <w:t xml:space="preserve">to the tolerant attitudes towards homosexuality that </w:t>
      </w:r>
      <w:r w:rsidR="00AE3F82">
        <w:rPr>
          <w:rFonts w:ascii="Tahoma" w:hAnsi="Tahoma" w:cs="Tahoma"/>
          <w:sz w:val="20"/>
          <w:szCs w:val="20"/>
          <w:lang w:val="en-GB"/>
        </w:rPr>
        <w:t>has existed for several</w:t>
      </w:r>
      <w:r w:rsidRPr="00174033">
        <w:rPr>
          <w:rFonts w:ascii="Tahoma" w:hAnsi="Tahoma" w:cs="Tahoma"/>
          <w:sz w:val="20"/>
          <w:szCs w:val="20"/>
          <w:lang w:val="en-GB"/>
        </w:rPr>
        <w:t xml:space="preserve"> decades </w:t>
      </w:r>
      <w:r w:rsidR="00AE3F82">
        <w:rPr>
          <w:rFonts w:ascii="Tahoma" w:hAnsi="Tahoma" w:cs="Tahoma"/>
          <w:sz w:val="20"/>
          <w:szCs w:val="20"/>
          <w:lang w:val="en-GB"/>
        </w:rPr>
        <w:t>[</w:t>
      </w:r>
      <w:r w:rsidR="00E24A6B">
        <w:rPr>
          <w:rFonts w:ascii="Tahoma" w:hAnsi="Tahoma" w:cs="Tahoma"/>
          <w:sz w:val="20"/>
          <w:szCs w:val="20"/>
          <w:lang w:val="en-GB"/>
        </w:rPr>
        <w:t>5</w:t>
      </w:r>
      <w:r w:rsidR="00AE3F82">
        <w:rPr>
          <w:rFonts w:ascii="Tahoma" w:hAnsi="Tahoma" w:cs="Tahoma"/>
          <w:sz w:val="20"/>
          <w:szCs w:val="20"/>
          <w:lang w:val="en-GB"/>
        </w:rPr>
        <w:t>]</w:t>
      </w:r>
      <w:r w:rsidRPr="00174033">
        <w:rPr>
          <w:rFonts w:ascii="Tahoma" w:hAnsi="Tahoma" w:cs="Tahoma"/>
          <w:sz w:val="20"/>
          <w:szCs w:val="20"/>
          <w:lang w:val="en-GB"/>
        </w:rPr>
        <w:t xml:space="preserve">. A less tolerant </w:t>
      </w:r>
      <w:r w:rsidR="00AE3F82">
        <w:rPr>
          <w:rFonts w:ascii="Tahoma" w:hAnsi="Tahoma" w:cs="Tahoma"/>
          <w:sz w:val="20"/>
          <w:szCs w:val="20"/>
          <w:lang w:val="en-GB"/>
        </w:rPr>
        <w:t>social environment</w:t>
      </w:r>
      <w:r w:rsidR="00A86B00">
        <w:rPr>
          <w:rFonts w:ascii="Tahoma" w:hAnsi="Tahoma" w:cs="Tahoma"/>
          <w:sz w:val="20"/>
          <w:szCs w:val="20"/>
          <w:lang w:val="en-GB"/>
        </w:rPr>
        <w:t xml:space="preserve"> may</w:t>
      </w:r>
      <w:r w:rsidR="00AE3F82">
        <w:rPr>
          <w:rFonts w:ascii="Tahoma" w:hAnsi="Tahoma" w:cs="Tahoma"/>
          <w:sz w:val="20"/>
          <w:szCs w:val="20"/>
          <w:lang w:val="en-GB"/>
        </w:rPr>
        <w:t xml:space="preserve"> </w:t>
      </w:r>
      <w:r w:rsidR="00A86B00">
        <w:rPr>
          <w:rFonts w:ascii="Tahoma" w:hAnsi="Tahoma" w:cs="Tahoma"/>
          <w:sz w:val="20"/>
          <w:szCs w:val="20"/>
          <w:lang w:val="en-GB"/>
        </w:rPr>
        <w:t xml:space="preserve">have </w:t>
      </w:r>
      <w:r w:rsidR="00AE3F82">
        <w:rPr>
          <w:rFonts w:ascii="Tahoma" w:hAnsi="Tahoma" w:cs="Tahoma"/>
          <w:sz w:val="20"/>
          <w:szCs w:val="20"/>
          <w:lang w:val="en-GB"/>
        </w:rPr>
        <w:t xml:space="preserve">existed </w:t>
      </w:r>
      <w:r w:rsidR="000A2834" w:rsidRPr="00174033">
        <w:rPr>
          <w:rFonts w:ascii="Tahoma" w:hAnsi="Tahoma" w:cs="Tahoma"/>
          <w:sz w:val="20"/>
          <w:szCs w:val="20"/>
          <w:lang w:val="en-GB"/>
        </w:rPr>
        <w:t>in the past</w:t>
      </w:r>
      <w:r w:rsidR="00AE3F82">
        <w:rPr>
          <w:rFonts w:ascii="Tahoma" w:hAnsi="Tahoma" w:cs="Tahoma"/>
          <w:sz w:val="20"/>
          <w:szCs w:val="20"/>
          <w:lang w:val="en-GB"/>
        </w:rPr>
        <w:t>, which</w:t>
      </w:r>
      <w:r w:rsidR="000A2834" w:rsidRPr="00174033">
        <w:rPr>
          <w:rFonts w:ascii="Tahoma" w:hAnsi="Tahoma" w:cs="Tahoma"/>
          <w:sz w:val="20"/>
          <w:szCs w:val="20"/>
          <w:lang w:val="en-GB"/>
        </w:rPr>
        <w:t xml:space="preserve"> </w:t>
      </w:r>
      <w:r w:rsidRPr="00174033">
        <w:rPr>
          <w:rFonts w:ascii="Tahoma" w:hAnsi="Tahoma" w:cs="Tahoma"/>
          <w:sz w:val="20"/>
          <w:szCs w:val="20"/>
          <w:lang w:val="en-GB"/>
        </w:rPr>
        <w:t>may have prevented some individuals in olde</w:t>
      </w:r>
      <w:r w:rsidR="00AE3F82">
        <w:rPr>
          <w:rFonts w:ascii="Tahoma" w:hAnsi="Tahoma" w:cs="Tahoma"/>
          <w:sz w:val="20"/>
          <w:szCs w:val="20"/>
          <w:lang w:val="en-GB"/>
        </w:rPr>
        <w:t>r</w:t>
      </w:r>
      <w:r w:rsidRPr="00174033">
        <w:rPr>
          <w:rFonts w:ascii="Tahoma" w:hAnsi="Tahoma" w:cs="Tahoma"/>
          <w:sz w:val="20"/>
          <w:szCs w:val="20"/>
          <w:lang w:val="en-GB"/>
        </w:rPr>
        <w:t xml:space="preserve"> generations from </w:t>
      </w:r>
      <w:r w:rsidR="000A2834" w:rsidRPr="00174033">
        <w:rPr>
          <w:rFonts w:ascii="Tahoma" w:hAnsi="Tahoma" w:cs="Tahoma"/>
          <w:sz w:val="20"/>
          <w:szCs w:val="20"/>
          <w:lang w:val="en-GB"/>
        </w:rPr>
        <w:t xml:space="preserve">acknowledging and/or enacting </w:t>
      </w:r>
      <w:r w:rsidRPr="00174033">
        <w:rPr>
          <w:rFonts w:ascii="Tahoma" w:hAnsi="Tahoma" w:cs="Tahoma"/>
          <w:sz w:val="20"/>
          <w:szCs w:val="20"/>
          <w:lang w:val="en-GB"/>
        </w:rPr>
        <w:t xml:space="preserve">same-sex attraction, behaviour or identity. </w:t>
      </w:r>
      <w:r w:rsidR="000A2834" w:rsidRPr="00174033">
        <w:rPr>
          <w:rFonts w:ascii="Tahoma" w:hAnsi="Tahoma" w:cs="Tahoma"/>
          <w:sz w:val="20"/>
          <w:szCs w:val="20"/>
          <w:lang w:val="en-GB"/>
        </w:rPr>
        <w:t>W</w:t>
      </w:r>
      <w:r w:rsidRPr="00174033">
        <w:rPr>
          <w:rFonts w:ascii="Tahoma" w:hAnsi="Tahoma" w:cs="Tahoma"/>
          <w:sz w:val="20"/>
          <w:szCs w:val="20"/>
          <w:lang w:val="en-GB"/>
        </w:rPr>
        <w:t xml:space="preserve">e </w:t>
      </w:r>
      <w:r w:rsidR="000A2834" w:rsidRPr="00174033">
        <w:rPr>
          <w:rFonts w:ascii="Tahoma" w:hAnsi="Tahoma" w:cs="Tahoma"/>
          <w:sz w:val="20"/>
          <w:szCs w:val="20"/>
          <w:lang w:val="en-GB"/>
        </w:rPr>
        <w:t xml:space="preserve">therefore </w:t>
      </w:r>
      <w:r w:rsidRPr="00174033">
        <w:rPr>
          <w:rFonts w:ascii="Tahoma" w:hAnsi="Tahoma" w:cs="Tahoma"/>
          <w:sz w:val="20"/>
          <w:szCs w:val="20"/>
          <w:lang w:val="en-GB"/>
        </w:rPr>
        <w:t>reduced the estimate</w:t>
      </w:r>
      <w:r w:rsidR="000A2834" w:rsidRPr="00174033">
        <w:rPr>
          <w:rFonts w:ascii="Tahoma" w:hAnsi="Tahoma" w:cs="Tahoma"/>
          <w:sz w:val="20"/>
          <w:szCs w:val="20"/>
          <w:lang w:val="en-GB"/>
        </w:rPr>
        <w:t>d rate</w:t>
      </w:r>
      <w:r w:rsidRPr="00174033">
        <w:rPr>
          <w:rFonts w:ascii="Tahoma" w:hAnsi="Tahoma" w:cs="Tahoma"/>
          <w:sz w:val="20"/>
          <w:szCs w:val="20"/>
          <w:lang w:val="en-GB"/>
        </w:rPr>
        <w:t xml:space="preserve"> of males aged 70-80 years who </w:t>
      </w:r>
      <w:r w:rsidR="00604221" w:rsidRPr="00174033">
        <w:rPr>
          <w:rFonts w:ascii="Tahoma" w:hAnsi="Tahoma" w:cs="Tahoma"/>
          <w:sz w:val="20"/>
          <w:szCs w:val="20"/>
          <w:lang w:val="en-GB"/>
        </w:rPr>
        <w:t>present</w:t>
      </w:r>
      <w:r w:rsidR="000A2834" w:rsidRPr="00174033">
        <w:rPr>
          <w:rFonts w:ascii="Tahoma" w:hAnsi="Tahoma" w:cs="Tahoma"/>
          <w:sz w:val="20"/>
          <w:szCs w:val="20"/>
          <w:lang w:val="en-GB"/>
        </w:rPr>
        <w:t xml:space="preserve"> </w:t>
      </w:r>
      <w:r w:rsidR="00604221" w:rsidRPr="00174033">
        <w:rPr>
          <w:rFonts w:ascii="Tahoma" w:hAnsi="Tahoma" w:cs="Tahoma"/>
          <w:sz w:val="20"/>
          <w:szCs w:val="20"/>
          <w:lang w:val="en-GB"/>
        </w:rPr>
        <w:t>all</w:t>
      </w:r>
      <w:r w:rsidRPr="00174033">
        <w:rPr>
          <w:rFonts w:ascii="Tahoma" w:hAnsi="Tahoma" w:cs="Tahoma"/>
          <w:sz w:val="20"/>
          <w:szCs w:val="20"/>
          <w:lang w:val="en-GB"/>
        </w:rPr>
        <w:t xml:space="preserve"> three aspects of gay or bisexual </w:t>
      </w:r>
      <w:r w:rsidR="000A2834" w:rsidRPr="00174033">
        <w:rPr>
          <w:rFonts w:ascii="Tahoma" w:hAnsi="Tahoma" w:cs="Tahoma"/>
          <w:sz w:val="20"/>
          <w:szCs w:val="20"/>
          <w:lang w:val="en-GB"/>
        </w:rPr>
        <w:t>experience to 5%</w:t>
      </w:r>
      <w:r w:rsidR="004B1681">
        <w:rPr>
          <w:rFonts w:ascii="Tahoma" w:hAnsi="Tahoma" w:cs="Tahoma"/>
          <w:sz w:val="20"/>
          <w:szCs w:val="20"/>
          <w:lang w:val="en-GB"/>
        </w:rPr>
        <w:t xml:space="preserve"> (see Table 1)</w:t>
      </w:r>
      <w:r w:rsidRPr="00174033">
        <w:rPr>
          <w:rFonts w:ascii="Tahoma" w:hAnsi="Tahoma" w:cs="Tahoma"/>
          <w:sz w:val="20"/>
          <w:szCs w:val="20"/>
          <w:lang w:val="en-GB"/>
        </w:rPr>
        <w:t>.</w:t>
      </w:r>
    </w:p>
    <w:p w14:paraId="7C978515" w14:textId="77777777" w:rsidR="00B22619" w:rsidRPr="00174033" w:rsidRDefault="00B22619" w:rsidP="000A2834">
      <w:pPr>
        <w:spacing w:after="0" w:line="240" w:lineRule="auto"/>
        <w:rPr>
          <w:rFonts w:ascii="Tahoma" w:hAnsi="Tahoma" w:cs="Tahoma"/>
          <w:sz w:val="20"/>
          <w:szCs w:val="20"/>
          <w:lang w:val="en-GB"/>
        </w:rPr>
      </w:pPr>
    </w:p>
    <w:p w14:paraId="3247676D" w14:textId="6B47A72A" w:rsidR="0064730D" w:rsidRPr="00BA39F0" w:rsidRDefault="002A42FD" w:rsidP="000A2834">
      <w:pPr>
        <w:spacing w:after="0" w:line="240" w:lineRule="auto"/>
        <w:rPr>
          <w:rFonts w:ascii="Tahoma" w:hAnsi="Tahoma" w:cs="Tahoma"/>
          <w:b/>
          <w:bCs/>
          <w:sz w:val="20"/>
          <w:szCs w:val="20"/>
          <w:lang w:val="en-GB"/>
        </w:rPr>
      </w:pPr>
      <w:r w:rsidRPr="00BA39F0">
        <w:rPr>
          <w:rFonts w:ascii="Tahoma" w:hAnsi="Tahoma" w:cs="Tahoma"/>
          <w:b/>
          <w:bCs/>
          <w:sz w:val="20"/>
          <w:szCs w:val="20"/>
          <w:lang w:val="en-GB"/>
        </w:rPr>
        <w:t>Correcting the estimate</w:t>
      </w:r>
      <w:r w:rsidR="000A2834" w:rsidRPr="00BA39F0">
        <w:rPr>
          <w:rFonts w:ascii="Tahoma" w:hAnsi="Tahoma" w:cs="Tahoma"/>
          <w:b/>
          <w:bCs/>
          <w:sz w:val="20"/>
          <w:szCs w:val="20"/>
          <w:lang w:val="en-GB"/>
        </w:rPr>
        <w:t xml:space="preserve">d </w:t>
      </w:r>
      <w:r w:rsidR="00F971CF" w:rsidRPr="00BA39F0">
        <w:rPr>
          <w:rFonts w:ascii="Tahoma" w:hAnsi="Tahoma" w:cs="Tahoma"/>
          <w:b/>
          <w:bCs/>
          <w:sz w:val="20"/>
          <w:szCs w:val="20"/>
          <w:lang w:val="en-GB"/>
        </w:rPr>
        <w:t>GBMSM</w:t>
      </w:r>
      <w:r w:rsidR="000A2834" w:rsidRPr="00BA39F0">
        <w:rPr>
          <w:rFonts w:ascii="Tahoma" w:hAnsi="Tahoma" w:cs="Tahoma"/>
          <w:b/>
          <w:bCs/>
          <w:sz w:val="20"/>
          <w:szCs w:val="20"/>
          <w:lang w:val="en-GB"/>
        </w:rPr>
        <w:t xml:space="preserve"> population size</w:t>
      </w:r>
      <w:r w:rsidRPr="00BA39F0">
        <w:rPr>
          <w:rFonts w:ascii="Tahoma" w:hAnsi="Tahoma" w:cs="Tahoma"/>
          <w:b/>
          <w:bCs/>
          <w:sz w:val="20"/>
          <w:szCs w:val="20"/>
          <w:lang w:val="en-GB"/>
        </w:rPr>
        <w:t xml:space="preserve"> for recent sexual activity</w:t>
      </w:r>
    </w:p>
    <w:p w14:paraId="4D703AE1" w14:textId="0D1828F5" w:rsidR="002A42FD" w:rsidRDefault="00243387" w:rsidP="000A2834">
      <w:pPr>
        <w:spacing w:after="0" w:line="240" w:lineRule="auto"/>
        <w:rPr>
          <w:rFonts w:ascii="Tahoma" w:hAnsi="Tahoma" w:cs="Tahoma"/>
          <w:sz w:val="20"/>
          <w:szCs w:val="20"/>
          <w:lang w:val="en-GB"/>
        </w:rPr>
      </w:pPr>
      <w:r w:rsidRPr="00174033">
        <w:rPr>
          <w:rFonts w:ascii="Tahoma" w:hAnsi="Tahoma" w:cs="Tahoma"/>
          <w:sz w:val="20"/>
          <w:szCs w:val="20"/>
          <w:lang w:val="en-GB"/>
        </w:rPr>
        <w:t>The previous estimat</w:t>
      </w:r>
      <w:r w:rsidR="00327A8A">
        <w:rPr>
          <w:rFonts w:ascii="Tahoma" w:hAnsi="Tahoma" w:cs="Tahoma"/>
          <w:sz w:val="20"/>
          <w:szCs w:val="20"/>
          <w:lang w:val="en-GB"/>
        </w:rPr>
        <w:t>e</w:t>
      </w:r>
      <w:r w:rsidRPr="00174033">
        <w:rPr>
          <w:rFonts w:ascii="Tahoma" w:hAnsi="Tahoma" w:cs="Tahoma"/>
          <w:sz w:val="20"/>
          <w:szCs w:val="20"/>
          <w:lang w:val="en-GB"/>
        </w:rPr>
        <w:t xml:space="preserve"> </w:t>
      </w:r>
      <w:r w:rsidR="00327A8A">
        <w:rPr>
          <w:rFonts w:ascii="Tahoma" w:hAnsi="Tahoma" w:cs="Tahoma"/>
          <w:sz w:val="20"/>
          <w:szCs w:val="20"/>
          <w:lang w:val="en-GB"/>
        </w:rPr>
        <w:t xml:space="preserve">of the size of the GBMSM population in the Netherlands encompassed </w:t>
      </w:r>
      <w:r w:rsidR="002A42FD" w:rsidRPr="00174033">
        <w:rPr>
          <w:rFonts w:ascii="Tahoma" w:hAnsi="Tahoma" w:cs="Tahoma"/>
          <w:sz w:val="20"/>
          <w:szCs w:val="20"/>
          <w:u w:val="single"/>
          <w:lang w:val="en-GB"/>
        </w:rPr>
        <w:t>ever</w:t>
      </w:r>
      <w:r w:rsidR="002A42FD" w:rsidRPr="00174033">
        <w:rPr>
          <w:rFonts w:ascii="Tahoma" w:hAnsi="Tahoma" w:cs="Tahoma"/>
          <w:sz w:val="20"/>
          <w:szCs w:val="20"/>
          <w:lang w:val="en-GB"/>
        </w:rPr>
        <w:t xml:space="preserve"> </w:t>
      </w:r>
      <w:r w:rsidR="00F971CF" w:rsidRPr="00174033">
        <w:rPr>
          <w:rFonts w:ascii="Tahoma" w:hAnsi="Tahoma" w:cs="Tahoma"/>
          <w:sz w:val="20"/>
          <w:szCs w:val="20"/>
          <w:lang w:val="en-GB"/>
        </w:rPr>
        <w:t xml:space="preserve">having </w:t>
      </w:r>
      <w:r w:rsidR="002A42FD" w:rsidRPr="00174033">
        <w:rPr>
          <w:rFonts w:ascii="Tahoma" w:hAnsi="Tahoma" w:cs="Tahoma"/>
          <w:sz w:val="20"/>
          <w:szCs w:val="20"/>
          <w:lang w:val="en-GB"/>
        </w:rPr>
        <w:t>had sex with men as criteri</w:t>
      </w:r>
      <w:r w:rsidR="00F971CF" w:rsidRPr="00174033">
        <w:rPr>
          <w:rFonts w:ascii="Tahoma" w:hAnsi="Tahoma" w:cs="Tahoma"/>
          <w:sz w:val="20"/>
          <w:szCs w:val="20"/>
          <w:lang w:val="en-GB"/>
        </w:rPr>
        <w:t>on</w:t>
      </w:r>
      <w:r w:rsidR="002A42FD" w:rsidRPr="00174033">
        <w:rPr>
          <w:rFonts w:ascii="Tahoma" w:hAnsi="Tahoma" w:cs="Tahoma"/>
          <w:sz w:val="20"/>
          <w:szCs w:val="20"/>
          <w:lang w:val="en-GB"/>
        </w:rPr>
        <w:t xml:space="preserve"> for inclusion in the GBM</w:t>
      </w:r>
      <w:r w:rsidR="00F971CF" w:rsidRPr="00174033">
        <w:rPr>
          <w:rFonts w:ascii="Tahoma" w:hAnsi="Tahoma" w:cs="Tahoma"/>
          <w:sz w:val="20"/>
          <w:szCs w:val="20"/>
          <w:lang w:val="en-GB"/>
        </w:rPr>
        <w:t>SM</w:t>
      </w:r>
      <w:r w:rsidR="002A42FD" w:rsidRPr="00174033">
        <w:rPr>
          <w:rFonts w:ascii="Tahoma" w:hAnsi="Tahoma" w:cs="Tahoma"/>
          <w:sz w:val="20"/>
          <w:szCs w:val="20"/>
          <w:lang w:val="en-GB"/>
        </w:rPr>
        <w:t xml:space="preserve"> populatio</w:t>
      </w:r>
      <w:r w:rsidR="003425FE" w:rsidRPr="00174033">
        <w:rPr>
          <w:rFonts w:ascii="Tahoma" w:hAnsi="Tahoma" w:cs="Tahoma"/>
          <w:sz w:val="20"/>
          <w:szCs w:val="20"/>
          <w:lang w:val="en-GB"/>
        </w:rPr>
        <w:t>n</w:t>
      </w:r>
      <w:r w:rsidR="00F971CF" w:rsidRPr="00174033">
        <w:rPr>
          <w:rFonts w:ascii="Tahoma" w:hAnsi="Tahoma" w:cs="Tahoma"/>
          <w:sz w:val="20"/>
          <w:szCs w:val="20"/>
          <w:lang w:val="en-GB"/>
        </w:rPr>
        <w:t>, in addition to same-sex attraction and self-identified as gay or bisexual</w:t>
      </w:r>
      <w:r w:rsidR="00327A8A">
        <w:rPr>
          <w:rFonts w:ascii="Tahoma" w:hAnsi="Tahoma" w:cs="Tahoma"/>
          <w:sz w:val="20"/>
          <w:szCs w:val="20"/>
          <w:lang w:val="en-GB"/>
        </w:rPr>
        <w:t xml:space="preserve"> [1]</w:t>
      </w:r>
      <w:r w:rsidR="003425FE" w:rsidRPr="00174033">
        <w:rPr>
          <w:rFonts w:ascii="Tahoma" w:hAnsi="Tahoma" w:cs="Tahoma"/>
          <w:sz w:val="20"/>
          <w:szCs w:val="20"/>
          <w:lang w:val="en-GB"/>
        </w:rPr>
        <w:t>. T</w:t>
      </w:r>
      <w:r w:rsidR="002A42FD" w:rsidRPr="00174033">
        <w:rPr>
          <w:rFonts w:ascii="Tahoma" w:hAnsi="Tahoma" w:cs="Tahoma"/>
          <w:sz w:val="20"/>
          <w:szCs w:val="20"/>
          <w:lang w:val="en-GB"/>
        </w:rPr>
        <w:t>h</w:t>
      </w:r>
      <w:r w:rsidR="00327A8A">
        <w:rPr>
          <w:rFonts w:ascii="Tahoma" w:hAnsi="Tahoma" w:cs="Tahoma"/>
          <w:sz w:val="20"/>
          <w:szCs w:val="20"/>
          <w:lang w:val="en-GB"/>
        </w:rPr>
        <w:t>e resulting</w:t>
      </w:r>
      <w:r w:rsidR="00F971CF" w:rsidRPr="00174033">
        <w:rPr>
          <w:rFonts w:ascii="Tahoma" w:hAnsi="Tahoma" w:cs="Tahoma"/>
          <w:sz w:val="20"/>
          <w:szCs w:val="20"/>
          <w:lang w:val="en-GB"/>
        </w:rPr>
        <w:t xml:space="preserve"> </w:t>
      </w:r>
      <w:r w:rsidR="002A42FD" w:rsidRPr="00174033">
        <w:rPr>
          <w:rFonts w:ascii="Tahoma" w:hAnsi="Tahoma" w:cs="Tahoma"/>
          <w:sz w:val="20"/>
          <w:szCs w:val="20"/>
          <w:lang w:val="en-GB"/>
        </w:rPr>
        <w:t>estimat</w:t>
      </w:r>
      <w:r w:rsidR="00F971CF" w:rsidRPr="00174033">
        <w:rPr>
          <w:rFonts w:ascii="Tahoma" w:hAnsi="Tahoma" w:cs="Tahoma"/>
          <w:sz w:val="20"/>
          <w:szCs w:val="20"/>
          <w:lang w:val="en-GB"/>
        </w:rPr>
        <w:t xml:space="preserve">e of the size of the GBMSM </w:t>
      </w:r>
      <w:r w:rsidR="00F971CF" w:rsidRPr="00174033">
        <w:rPr>
          <w:rFonts w:ascii="Tahoma" w:hAnsi="Tahoma" w:cs="Tahoma"/>
          <w:sz w:val="20"/>
          <w:szCs w:val="20"/>
          <w:lang w:val="en-GB"/>
        </w:rPr>
        <w:lastRenderedPageBreak/>
        <w:t xml:space="preserve">population therefore </w:t>
      </w:r>
      <w:r w:rsidR="002A42FD" w:rsidRPr="00174033">
        <w:rPr>
          <w:rFonts w:ascii="Tahoma" w:hAnsi="Tahoma" w:cs="Tahoma"/>
          <w:sz w:val="20"/>
          <w:szCs w:val="20"/>
          <w:lang w:val="en-GB"/>
        </w:rPr>
        <w:t>include</w:t>
      </w:r>
      <w:r w:rsidR="00604221" w:rsidRPr="00174033">
        <w:rPr>
          <w:rFonts w:ascii="Tahoma" w:hAnsi="Tahoma" w:cs="Tahoma"/>
          <w:sz w:val="20"/>
          <w:szCs w:val="20"/>
          <w:lang w:val="en-GB"/>
        </w:rPr>
        <w:t>s</w:t>
      </w:r>
      <w:r w:rsidR="002A42FD" w:rsidRPr="00174033">
        <w:rPr>
          <w:rFonts w:ascii="Tahoma" w:hAnsi="Tahoma" w:cs="Tahoma"/>
          <w:sz w:val="20"/>
          <w:szCs w:val="20"/>
          <w:lang w:val="en-GB"/>
        </w:rPr>
        <w:t xml:space="preserve"> individuals who have not been recently sexually active</w:t>
      </w:r>
      <w:r w:rsidR="00327A8A">
        <w:rPr>
          <w:rFonts w:ascii="Tahoma" w:hAnsi="Tahoma" w:cs="Tahoma"/>
          <w:sz w:val="20"/>
          <w:szCs w:val="20"/>
          <w:lang w:val="en-GB"/>
        </w:rPr>
        <w:t xml:space="preserve"> with men</w:t>
      </w:r>
      <w:r w:rsidR="002A42FD" w:rsidRPr="00174033">
        <w:rPr>
          <w:rFonts w:ascii="Tahoma" w:hAnsi="Tahoma" w:cs="Tahoma"/>
          <w:sz w:val="20"/>
          <w:szCs w:val="20"/>
          <w:lang w:val="en-GB"/>
        </w:rPr>
        <w:t xml:space="preserve">. These individuals are not the focus of our study as they are not at risk of </w:t>
      </w:r>
      <w:r w:rsidR="003425FE" w:rsidRPr="00174033">
        <w:rPr>
          <w:rFonts w:ascii="Tahoma" w:hAnsi="Tahoma" w:cs="Tahoma"/>
          <w:sz w:val="20"/>
          <w:szCs w:val="20"/>
          <w:lang w:val="en-GB"/>
        </w:rPr>
        <w:t>MPXV</w:t>
      </w:r>
      <w:r w:rsidR="002A42FD" w:rsidRPr="00174033">
        <w:rPr>
          <w:rFonts w:ascii="Tahoma" w:hAnsi="Tahoma" w:cs="Tahoma"/>
          <w:sz w:val="20"/>
          <w:szCs w:val="20"/>
          <w:lang w:val="en-GB"/>
        </w:rPr>
        <w:t xml:space="preserve"> infection, nor are they in need of </w:t>
      </w:r>
      <w:r w:rsidR="003425FE" w:rsidRPr="00174033">
        <w:rPr>
          <w:rFonts w:ascii="Tahoma" w:hAnsi="Tahoma" w:cs="Tahoma"/>
          <w:sz w:val="20"/>
          <w:szCs w:val="20"/>
          <w:lang w:val="en-GB"/>
        </w:rPr>
        <w:t xml:space="preserve">mpox </w:t>
      </w:r>
      <w:r w:rsidR="002A42FD" w:rsidRPr="00174033">
        <w:rPr>
          <w:rFonts w:ascii="Tahoma" w:hAnsi="Tahoma" w:cs="Tahoma"/>
          <w:sz w:val="20"/>
          <w:szCs w:val="20"/>
          <w:lang w:val="en-GB"/>
        </w:rPr>
        <w:t>vaccination. We</w:t>
      </w:r>
      <w:r w:rsidR="009013B7">
        <w:rPr>
          <w:rFonts w:ascii="Tahoma" w:hAnsi="Tahoma" w:cs="Tahoma"/>
          <w:sz w:val="20"/>
          <w:szCs w:val="20"/>
          <w:lang w:val="en-GB"/>
        </w:rPr>
        <w:t>, therefore,</w:t>
      </w:r>
      <w:r w:rsidR="002A42FD" w:rsidRPr="00174033">
        <w:rPr>
          <w:rFonts w:ascii="Tahoma" w:hAnsi="Tahoma" w:cs="Tahoma"/>
          <w:sz w:val="20"/>
          <w:szCs w:val="20"/>
          <w:lang w:val="en-GB"/>
        </w:rPr>
        <w:t xml:space="preserve"> made additional corrections to restrict the </w:t>
      </w:r>
      <w:r w:rsidRPr="00174033">
        <w:rPr>
          <w:rFonts w:ascii="Tahoma" w:hAnsi="Tahoma" w:cs="Tahoma"/>
          <w:sz w:val="20"/>
          <w:szCs w:val="20"/>
          <w:lang w:val="en-GB"/>
        </w:rPr>
        <w:t xml:space="preserve">estimated size of the </w:t>
      </w:r>
      <w:r w:rsidR="002A42FD" w:rsidRPr="00174033">
        <w:rPr>
          <w:rFonts w:ascii="Tahoma" w:hAnsi="Tahoma" w:cs="Tahoma"/>
          <w:sz w:val="20"/>
          <w:szCs w:val="20"/>
          <w:lang w:val="en-GB"/>
        </w:rPr>
        <w:t>GBM</w:t>
      </w:r>
      <w:r w:rsidRPr="00174033">
        <w:rPr>
          <w:rFonts w:ascii="Tahoma" w:hAnsi="Tahoma" w:cs="Tahoma"/>
          <w:sz w:val="20"/>
          <w:szCs w:val="20"/>
          <w:lang w:val="en-GB"/>
        </w:rPr>
        <w:t xml:space="preserve">SM population to those who </w:t>
      </w:r>
      <w:r w:rsidR="00604221" w:rsidRPr="00174033">
        <w:rPr>
          <w:rFonts w:ascii="Tahoma" w:hAnsi="Tahoma" w:cs="Tahoma"/>
          <w:sz w:val="20"/>
          <w:szCs w:val="20"/>
          <w:lang w:val="en-GB"/>
        </w:rPr>
        <w:t>have recently been</w:t>
      </w:r>
      <w:r w:rsidR="002A42FD" w:rsidRPr="00174033">
        <w:rPr>
          <w:rFonts w:ascii="Tahoma" w:hAnsi="Tahoma" w:cs="Tahoma"/>
          <w:sz w:val="20"/>
          <w:szCs w:val="20"/>
          <w:lang w:val="en-GB"/>
        </w:rPr>
        <w:t xml:space="preserve"> sexually active</w:t>
      </w:r>
      <w:r w:rsidR="00922AFF" w:rsidRPr="00174033">
        <w:rPr>
          <w:rFonts w:ascii="Tahoma" w:hAnsi="Tahoma" w:cs="Tahoma"/>
          <w:sz w:val="20"/>
          <w:szCs w:val="20"/>
          <w:lang w:val="en-GB"/>
        </w:rPr>
        <w:t xml:space="preserve"> (i.e. wh</w:t>
      </w:r>
      <w:r w:rsidR="0022476C" w:rsidRPr="00174033">
        <w:rPr>
          <w:rFonts w:ascii="Tahoma" w:hAnsi="Tahoma" w:cs="Tahoma"/>
          <w:sz w:val="20"/>
          <w:szCs w:val="20"/>
          <w:lang w:val="en-GB"/>
        </w:rPr>
        <w:t>o</w:t>
      </w:r>
      <w:r w:rsidR="00922AFF" w:rsidRPr="00174033">
        <w:rPr>
          <w:rFonts w:ascii="Tahoma" w:hAnsi="Tahoma" w:cs="Tahoma"/>
          <w:sz w:val="20"/>
          <w:szCs w:val="20"/>
          <w:lang w:val="en-GB"/>
        </w:rPr>
        <w:t xml:space="preserve"> engaged in sexual activity at least once in the past </w:t>
      </w:r>
      <w:r w:rsidR="00604221" w:rsidRPr="00174033">
        <w:rPr>
          <w:rFonts w:ascii="Tahoma" w:hAnsi="Tahoma" w:cs="Tahoma"/>
          <w:sz w:val="20"/>
          <w:szCs w:val="20"/>
          <w:lang w:val="en-GB"/>
        </w:rPr>
        <w:t>six</w:t>
      </w:r>
      <w:r w:rsidR="00922AFF" w:rsidRPr="00174033">
        <w:rPr>
          <w:rFonts w:ascii="Tahoma" w:hAnsi="Tahoma" w:cs="Tahoma"/>
          <w:sz w:val="20"/>
          <w:szCs w:val="20"/>
          <w:lang w:val="en-GB"/>
        </w:rPr>
        <w:t xml:space="preserve"> months)</w:t>
      </w:r>
      <w:r w:rsidR="002A42FD" w:rsidRPr="00174033">
        <w:rPr>
          <w:rFonts w:ascii="Tahoma" w:hAnsi="Tahoma" w:cs="Tahoma"/>
          <w:sz w:val="20"/>
          <w:szCs w:val="20"/>
          <w:lang w:val="en-GB"/>
        </w:rPr>
        <w:t xml:space="preserve">. </w:t>
      </w:r>
      <w:r w:rsidRPr="00174033">
        <w:rPr>
          <w:rFonts w:ascii="Tahoma" w:hAnsi="Tahoma" w:cs="Tahoma"/>
          <w:sz w:val="20"/>
          <w:szCs w:val="20"/>
          <w:lang w:val="en-GB"/>
        </w:rPr>
        <w:t>For this estimation, w</w:t>
      </w:r>
      <w:r w:rsidR="002A42FD" w:rsidRPr="00174033">
        <w:rPr>
          <w:rFonts w:ascii="Tahoma" w:hAnsi="Tahoma" w:cs="Tahoma"/>
          <w:sz w:val="20"/>
          <w:szCs w:val="20"/>
          <w:lang w:val="en-GB"/>
        </w:rPr>
        <w:t>e assumed that</w:t>
      </w:r>
      <w:r w:rsidR="009013B7">
        <w:rPr>
          <w:rFonts w:ascii="Tahoma" w:hAnsi="Tahoma" w:cs="Tahoma"/>
          <w:sz w:val="20"/>
          <w:szCs w:val="20"/>
          <w:lang w:val="en-GB"/>
        </w:rPr>
        <w:t>,</w:t>
      </w:r>
      <w:r w:rsidR="002A42FD" w:rsidRPr="00174033">
        <w:rPr>
          <w:rFonts w:ascii="Tahoma" w:hAnsi="Tahoma" w:cs="Tahoma"/>
          <w:sz w:val="20"/>
          <w:szCs w:val="20"/>
          <w:lang w:val="en-GB"/>
        </w:rPr>
        <w:t xml:space="preserve"> among males </w:t>
      </w:r>
      <w:r w:rsidR="009013B7">
        <w:rPr>
          <w:rFonts w:ascii="Tahoma" w:hAnsi="Tahoma" w:cs="Tahoma"/>
          <w:sz w:val="20"/>
          <w:szCs w:val="20"/>
          <w:lang w:val="en-GB"/>
        </w:rPr>
        <w:t>reporting</w:t>
      </w:r>
      <w:r w:rsidR="00F971CF" w:rsidRPr="00174033">
        <w:rPr>
          <w:rFonts w:ascii="Tahoma" w:hAnsi="Tahoma" w:cs="Tahoma"/>
          <w:sz w:val="20"/>
          <w:szCs w:val="20"/>
          <w:lang w:val="en-GB"/>
        </w:rPr>
        <w:t xml:space="preserve"> </w:t>
      </w:r>
      <w:r w:rsidR="009013B7">
        <w:rPr>
          <w:rFonts w:ascii="Tahoma" w:hAnsi="Tahoma" w:cs="Tahoma"/>
          <w:sz w:val="20"/>
          <w:szCs w:val="20"/>
          <w:lang w:val="en-GB"/>
        </w:rPr>
        <w:t>same-sex</w:t>
      </w:r>
      <w:r w:rsidR="009013B7" w:rsidRPr="009013B7">
        <w:rPr>
          <w:rFonts w:ascii="Tahoma" w:hAnsi="Tahoma" w:cs="Tahoma"/>
          <w:sz w:val="20"/>
          <w:szCs w:val="20"/>
          <w:lang w:val="en-GB"/>
        </w:rPr>
        <w:t xml:space="preserve"> </w:t>
      </w:r>
      <w:r w:rsidR="009013B7" w:rsidRPr="00174033">
        <w:rPr>
          <w:rFonts w:ascii="Tahoma" w:hAnsi="Tahoma" w:cs="Tahoma"/>
          <w:sz w:val="20"/>
          <w:szCs w:val="20"/>
          <w:lang w:val="en-GB"/>
        </w:rPr>
        <w:t>attraction</w:t>
      </w:r>
      <w:r w:rsidR="009013B7">
        <w:rPr>
          <w:rFonts w:ascii="Tahoma" w:hAnsi="Tahoma" w:cs="Tahoma"/>
          <w:sz w:val="20"/>
          <w:szCs w:val="20"/>
          <w:lang w:val="en-GB"/>
        </w:rPr>
        <w:t xml:space="preserve">, ever having had sex with a man </w:t>
      </w:r>
      <w:r w:rsidR="009013B7" w:rsidRPr="00174033">
        <w:rPr>
          <w:rFonts w:ascii="Tahoma" w:hAnsi="Tahoma" w:cs="Tahoma"/>
          <w:sz w:val="20"/>
          <w:szCs w:val="20"/>
          <w:lang w:val="en-GB"/>
        </w:rPr>
        <w:t>and self-identifi</w:t>
      </w:r>
      <w:r w:rsidR="009013B7">
        <w:rPr>
          <w:rFonts w:ascii="Tahoma" w:hAnsi="Tahoma" w:cs="Tahoma"/>
          <w:sz w:val="20"/>
          <w:szCs w:val="20"/>
          <w:lang w:val="en-GB"/>
        </w:rPr>
        <w:t>cation</w:t>
      </w:r>
      <w:r w:rsidR="009013B7" w:rsidRPr="00174033">
        <w:rPr>
          <w:rFonts w:ascii="Tahoma" w:hAnsi="Tahoma" w:cs="Tahoma"/>
          <w:sz w:val="20"/>
          <w:szCs w:val="20"/>
          <w:lang w:val="en-GB"/>
        </w:rPr>
        <w:t xml:space="preserve"> as gay or bisexual</w:t>
      </w:r>
      <w:r w:rsidR="002A42FD" w:rsidRPr="00174033">
        <w:rPr>
          <w:rFonts w:ascii="Tahoma" w:hAnsi="Tahoma" w:cs="Tahoma"/>
          <w:sz w:val="20"/>
          <w:szCs w:val="20"/>
          <w:lang w:val="en-GB"/>
        </w:rPr>
        <w:t xml:space="preserve">, the proportion </w:t>
      </w:r>
      <w:r w:rsidR="009013B7">
        <w:rPr>
          <w:rFonts w:ascii="Tahoma" w:hAnsi="Tahoma" w:cs="Tahoma"/>
          <w:sz w:val="20"/>
          <w:szCs w:val="20"/>
          <w:lang w:val="en-GB"/>
        </w:rPr>
        <w:t xml:space="preserve">who </w:t>
      </w:r>
      <w:r w:rsidR="00604221" w:rsidRPr="00174033">
        <w:rPr>
          <w:rFonts w:ascii="Tahoma" w:hAnsi="Tahoma" w:cs="Tahoma"/>
          <w:sz w:val="20"/>
          <w:szCs w:val="20"/>
          <w:lang w:val="en-GB"/>
        </w:rPr>
        <w:t>recent</w:t>
      </w:r>
      <w:r w:rsidR="009013B7">
        <w:rPr>
          <w:rFonts w:ascii="Tahoma" w:hAnsi="Tahoma" w:cs="Tahoma"/>
          <w:sz w:val="20"/>
          <w:szCs w:val="20"/>
          <w:lang w:val="en-GB"/>
        </w:rPr>
        <w:t>ly were</w:t>
      </w:r>
      <w:r w:rsidR="00604221" w:rsidRPr="00174033">
        <w:rPr>
          <w:rFonts w:ascii="Tahoma" w:hAnsi="Tahoma" w:cs="Tahoma"/>
          <w:sz w:val="20"/>
          <w:szCs w:val="20"/>
          <w:lang w:val="en-GB"/>
        </w:rPr>
        <w:t xml:space="preserve"> </w:t>
      </w:r>
      <w:r w:rsidR="002A42FD" w:rsidRPr="00174033">
        <w:rPr>
          <w:rFonts w:ascii="Tahoma" w:hAnsi="Tahoma" w:cs="Tahoma"/>
          <w:sz w:val="20"/>
          <w:szCs w:val="20"/>
          <w:lang w:val="en-GB"/>
        </w:rPr>
        <w:t>sexual</w:t>
      </w:r>
      <w:r w:rsidR="00DF6D13">
        <w:rPr>
          <w:rFonts w:ascii="Tahoma" w:hAnsi="Tahoma" w:cs="Tahoma"/>
          <w:sz w:val="20"/>
          <w:szCs w:val="20"/>
          <w:lang w:val="en-GB"/>
        </w:rPr>
        <w:t>ly</w:t>
      </w:r>
      <w:r w:rsidR="002A42FD" w:rsidRPr="00174033">
        <w:rPr>
          <w:rFonts w:ascii="Tahoma" w:hAnsi="Tahoma" w:cs="Tahoma"/>
          <w:sz w:val="20"/>
          <w:szCs w:val="20"/>
          <w:lang w:val="en-GB"/>
        </w:rPr>
        <w:t xml:space="preserve"> activ</w:t>
      </w:r>
      <w:r w:rsidR="009013B7">
        <w:rPr>
          <w:rFonts w:ascii="Tahoma" w:hAnsi="Tahoma" w:cs="Tahoma"/>
          <w:sz w:val="20"/>
          <w:szCs w:val="20"/>
          <w:lang w:val="en-GB"/>
        </w:rPr>
        <w:t>e would</w:t>
      </w:r>
      <w:r w:rsidR="002A42FD" w:rsidRPr="00174033">
        <w:rPr>
          <w:rFonts w:ascii="Tahoma" w:hAnsi="Tahoma" w:cs="Tahoma"/>
          <w:sz w:val="20"/>
          <w:szCs w:val="20"/>
          <w:lang w:val="en-GB"/>
        </w:rPr>
        <w:t xml:space="preserve"> be 75% for males aged 18 years, 85% for males 19-54 years old, 75% for males 55-69 years old, 60% for males 70-74 old, and 50% for males 75-79 years old</w:t>
      </w:r>
      <w:r w:rsidR="009013B7">
        <w:rPr>
          <w:rFonts w:ascii="Tahoma" w:hAnsi="Tahoma" w:cs="Tahoma"/>
          <w:sz w:val="20"/>
          <w:szCs w:val="20"/>
          <w:lang w:val="en-GB"/>
        </w:rPr>
        <w:t xml:space="preserve"> (see </w:t>
      </w:r>
      <w:r w:rsidR="00FC2411">
        <w:rPr>
          <w:rFonts w:ascii="Tahoma" w:hAnsi="Tahoma" w:cs="Tahoma"/>
          <w:sz w:val="20"/>
          <w:szCs w:val="20"/>
          <w:lang w:val="en-GB"/>
        </w:rPr>
        <w:t>T</w:t>
      </w:r>
      <w:r w:rsidR="009013B7">
        <w:rPr>
          <w:rFonts w:ascii="Tahoma" w:hAnsi="Tahoma" w:cs="Tahoma"/>
          <w:sz w:val="20"/>
          <w:szCs w:val="20"/>
          <w:lang w:val="en-GB"/>
        </w:rPr>
        <w:t>able 1)</w:t>
      </w:r>
      <w:r w:rsidR="002A42FD" w:rsidRPr="00174033">
        <w:rPr>
          <w:rFonts w:ascii="Tahoma" w:hAnsi="Tahoma" w:cs="Tahoma"/>
          <w:sz w:val="20"/>
          <w:szCs w:val="20"/>
          <w:lang w:val="en-GB"/>
        </w:rPr>
        <w:t xml:space="preserve">. </w:t>
      </w:r>
      <w:r w:rsidR="009013B7">
        <w:rPr>
          <w:rFonts w:ascii="Tahoma" w:hAnsi="Tahoma" w:cs="Tahoma"/>
          <w:sz w:val="20"/>
          <w:szCs w:val="20"/>
          <w:lang w:val="en-GB"/>
        </w:rPr>
        <w:t>Using these</w:t>
      </w:r>
      <w:r w:rsidR="0022476C" w:rsidRPr="00174033">
        <w:rPr>
          <w:rFonts w:ascii="Tahoma" w:hAnsi="Tahoma" w:cs="Tahoma"/>
          <w:sz w:val="20"/>
          <w:szCs w:val="20"/>
          <w:lang w:val="en-GB"/>
        </w:rPr>
        <w:t xml:space="preserve"> </w:t>
      </w:r>
      <w:r w:rsidR="009013B7">
        <w:rPr>
          <w:rFonts w:ascii="Tahoma" w:hAnsi="Tahoma" w:cs="Tahoma"/>
          <w:sz w:val="20"/>
          <w:szCs w:val="20"/>
          <w:lang w:val="en-GB"/>
        </w:rPr>
        <w:t>proportions</w:t>
      </w:r>
      <w:r w:rsidR="00604221" w:rsidRPr="00174033">
        <w:rPr>
          <w:rFonts w:ascii="Tahoma" w:hAnsi="Tahoma" w:cs="Tahoma"/>
          <w:sz w:val="20"/>
          <w:szCs w:val="20"/>
          <w:lang w:val="en-GB"/>
        </w:rPr>
        <w:t>,</w:t>
      </w:r>
      <w:r w:rsidR="002A42FD" w:rsidRPr="00174033">
        <w:rPr>
          <w:rFonts w:ascii="Tahoma" w:hAnsi="Tahoma" w:cs="Tahoma"/>
          <w:sz w:val="20"/>
          <w:szCs w:val="20"/>
          <w:lang w:val="en-GB"/>
        </w:rPr>
        <w:t xml:space="preserve"> </w:t>
      </w:r>
      <w:r w:rsidR="00F971CF" w:rsidRPr="00174033">
        <w:rPr>
          <w:rFonts w:ascii="Tahoma" w:hAnsi="Tahoma" w:cs="Tahoma"/>
          <w:sz w:val="20"/>
          <w:szCs w:val="20"/>
          <w:lang w:val="en-GB"/>
        </w:rPr>
        <w:t xml:space="preserve">we </w:t>
      </w:r>
      <w:r w:rsidR="002A42FD" w:rsidRPr="00174033">
        <w:rPr>
          <w:rFonts w:ascii="Tahoma" w:hAnsi="Tahoma" w:cs="Tahoma"/>
          <w:sz w:val="20"/>
          <w:szCs w:val="20"/>
          <w:lang w:val="en-GB"/>
        </w:rPr>
        <w:t>estimat</w:t>
      </w:r>
      <w:r w:rsidR="00F971CF" w:rsidRPr="00174033">
        <w:rPr>
          <w:rFonts w:ascii="Tahoma" w:hAnsi="Tahoma" w:cs="Tahoma"/>
          <w:sz w:val="20"/>
          <w:szCs w:val="20"/>
          <w:lang w:val="en-GB"/>
        </w:rPr>
        <w:t>ed</w:t>
      </w:r>
      <w:r w:rsidR="002A42FD" w:rsidRPr="00174033">
        <w:rPr>
          <w:rFonts w:ascii="Tahoma" w:hAnsi="Tahoma" w:cs="Tahoma"/>
          <w:sz w:val="20"/>
          <w:szCs w:val="20"/>
          <w:lang w:val="en-GB"/>
        </w:rPr>
        <w:t xml:space="preserve"> </w:t>
      </w:r>
      <w:r w:rsidR="009013B7">
        <w:rPr>
          <w:rFonts w:ascii="Tahoma" w:hAnsi="Tahoma" w:cs="Tahoma"/>
          <w:sz w:val="20"/>
          <w:szCs w:val="20"/>
          <w:lang w:val="en-GB"/>
        </w:rPr>
        <w:t xml:space="preserve">for each age group </w:t>
      </w:r>
      <w:r w:rsidR="002A42FD" w:rsidRPr="00174033">
        <w:rPr>
          <w:rFonts w:ascii="Tahoma" w:hAnsi="Tahoma" w:cs="Tahoma"/>
          <w:sz w:val="20"/>
          <w:szCs w:val="20"/>
          <w:lang w:val="en-GB"/>
        </w:rPr>
        <w:t xml:space="preserve">the proportion of </w:t>
      </w:r>
      <w:r w:rsidR="00F971CF" w:rsidRPr="00174033">
        <w:rPr>
          <w:rFonts w:ascii="Tahoma" w:hAnsi="Tahoma" w:cs="Tahoma"/>
          <w:sz w:val="20"/>
          <w:szCs w:val="20"/>
          <w:lang w:val="en-GB"/>
        </w:rPr>
        <w:t xml:space="preserve">GBMSM </w:t>
      </w:r>
      <w:r w:rsidR="009013B7">
        <w:rPr>
          <w:rFonts w:ascii="Tahoma" w:hAnsi="Tahoma" w:cs="Tahoma"/>
          <w:sz w:val="20"/>
          <w:szCs w:val="20"/>
          <w:lang w:val="en-GB"/>
        </w:rPr>
        <w:t xml:space="preserve">18-80 years </w:t>
      </w:r>
      <w:r w:rsidR="002A42FD" w:rsidRPr="00174033">
        <w:rPr>
          <w:rFonts w:ascii="Tahoma" w:hAnsi="Tahoma" w:cs="Tahoma"/>
          <w:sz w:val="20"/>
          <w:szCs w:val="20"/>
          <w:lang w:val="en-GB"/>
        </w:rPr>
        <w:t xml:space="preserve">who </w:t>
      </w:r>
      <w:r w:rsidR="00604221" w:rsidRPr="00174033">
        <w:rPr>
          <w:rFonts w:ascii="Tahoma" w:hAnsi="Tahoma" w:cs="Tahoma"/>
          <w:sz w:val="20"/>
          <w:szCs w:val="20"/>
          <w:lang w:val="en-GB"/>
        </w:rPr>
        <w:t>had been recently</w:t>
      </w:r>
      <w:r w:rsidR="0022476C" w:rsidRPr="00174033">
        <w:rPr>
          <w:rFonts w:ascii="Tahoma" w:hAnsi="Tahoma" w:cs="Tahoma"/>
          <w:sz w:val="20"/>
          <w:szCs w:val="20"/>
          <w:lang w:val="en-GB"/>
        </w:rPr>
        <w:t xml:space="preserve"> </w:t>
      </w:r>
      <w:r w:rsidR="002A42FD" w:rsidRPr="00174033">
        <w:rPr>
          <w:rFonts w:ascii="Tahoma" w:hAnsi="Tahoma" w:cs="Tahoma"/>
          <w:sz w:val="20"/>
          <w:szCs w:val="20"/>
          <w:lang w:val="en-GB"/>
        </w:rPr>
        <w:t>sexually active</w:t>
      </w:r>
      <w:r w:rsidR="00FC2411">
        <w:rPr>
          <w:rFonts w:ascii="Tahoma" w:hAnsi="Tahoma" w:cs="Tahoma"/>
          <w:sz w:val="20"/>
          <w:szCs w:val="20"/>
          <w:lang w:val="en-GB"/>
        </w:rPr>
        <w:t>, and subsequently</w:t>
      </w:r>
      <w:r w:rsidR="009013B7">
        <w:rPr>
          <w:rFonts w:ascii="Tahoma" w:hAnsi="Tahoma" w:cs="Tahoma"/>
          <w:sz w:val="20"/>
          <w:szCs w:val="20"/>
          <w:lang w:val="en-GB"/>
        </w:rPr>
        <w:t xml:space="preserve"> estimate</w:t>
      </w:r>
      <w:r w:rsidR="00FC2411">
        <w:rPr>
          <w:rFonts w:ascii="Tahoma" w:hAnsi="Tahoma" w:cs="Tahoma"/>
          <w:sz w:val="20"/>
          <w:szCs w:val="20"/>
          <w:lang w:val="en-GB"/>
        </w:rPr>
        <w:t>d</w:t>
      </w:r>
      <w:r w:rsidR="009013B7">
        <w:rPr>
          <w:rFonts w:ascii="Tahoma" w:hAnsi="Tahoma" w:cs="Tahoma"/>
          <w:sz w:val="20"/>
          <w:szCs w:val="20"/>
          <w:lang w:val="en-GB"/>
        </w:rPr>
        <w:t xml:space="preserve"> </w:t>
      </w:r>
      <w:r w:rsidR="002A42FD" w:rsidRPr="00174033">
        <w:rPr>
          <w:rFonts w:ascii="Tahoma" w:hAnsi="Tahoma" w:cs="Tahoma"/>
          <w:sz w:val="20"/>
          <w:szCs w:val="20"/>
          <w:lang w:val="en-GB"/>
        </w:rPr>
        <w:t xml:space="preserve">the </w:t>
      </w:r>
      <w:r w:rsidR="00F971CF" w:rsidRPr="00174033">
        <w:rPr>
          <w:rFonts w:ascii="Tahoma" w:hAnsi="Tahoma" w:cs="Tahoma"/>
          <w:sz w:val="20"/>
          <w:szCs w:val="20"/>
          <w:lang w:val="en-GB"/>
        </w:rPr>
        <w:t xml:space="preserve">proportion </w:t>
      </w:r>
      <w:r w:rsidR="002A42FD" w:rsidRPr="00174033">
        <w:rPr>
          <w:rFonts w:ascii="Tahoma" w:hAnsi="Tahoma" w:cs="Tahoma"/>
          <w:sz w:val="20"/>
          <w:szCs w:val="20"/>
          <w:lang w:val="en-GB"/>
        </w:rPr>
        <w:t xml:space="preserve">of males </w:t>
      </w:r>
      <w:r w:rsidR="003425FE" w:rsidRPr="00174033">
        <w:rPr>
          <w:rFonts w:ascii="Tahoma" w:hAnsi="Tahoma" w:cs="Tahoma"/>
          <w:sz w:val="20"/>
          <w:szCs w:val="20"/>
          <w:lang w:val="en-GB"/>
        </w:rPr>
        <w:t xml:space="preserve">who are attracted to men, </w:t>
      </w:r>
      <w:r w:rsidR="002571D5" w:rsidRPr="00174033">
        <w:rPr>
          <w:rFonts w:ascii="Tahoma" w:hAnsi="Tahoma" w:cs="Tahoma"/>
          <w:sz w:val="20"/>
          <w:szCs w:val="20"/>
          <w:lang w:val="en-GB"/>
        </w:rPr>
        <w:t xml:space="preserve">recently </w:t>
      </w:r>
      <w:r w:rsidR="003425FE" w:rsidRPr="00174033">
        <w:rPr>
          <w:rFonts w:ascii="Tahoma" w:hAnsi="Tahoma" w:cs="Tahoma"/>
          <w:sz w:val="20"/>
          <w:szCs w:val="20"/>
          <w:lang w:val="en-GB"/>
        </w:rPr>
        <w:t>ha</w:t>
      </w:r>
      <w:r w:rsidR="002571D5" w:rsidRPr="00174033">
        <w:rPr>
          <w:rFonts w:ascii="Tahoma" w:hAnsi="Tahoma" w:cs="Tahoma"/>
          <w:sz w:val="20"/>
          <w:szCs w:val="20"/>
          <w:lang w:val="en-GB"/>
        </w:rPr>
        <w:t>d</w:t>
      </w:r>
      <w:r w:rsidR="003425FE" w:rsidRPr="00174033">
        <w:rPr>
          <w:rFonts w:ascii="Tahoma" w:hAnsi="Tahoma" w:cs="Tahoma"/>
          <w:sz w:val="20"/>
          <w:szCs w:val="20"/>
          <w:lang w:val="en-GB"/>
        </w:rPr>
        <w:t xml:space="preserve"> sex with </w:t>
      </w:r>
      <w:r w:rsidR="00F971CF" w:rsidRPr="00174033">
        <w:rPr>
          <w:rFonts w:ascii="Tahoma" w:hAnsi="Tahoma" w:cs="Tahoma"/>
          <w:sz w:val="20"/>
          <w:szCs w:val="20"/>
          <w:lang w:val="en-GB"/>
        </w:rPr>
        <w:t>men</w:t>
      </w:r>
      <w:r w:rsidR="003425FE" w:rsidRPr="00174033">
        <w:rPr>
          <w:rFonts w:ascii="Tahoma" w:hAnsi="Tahoma" w:cs="Tahoma"/>
          <w:sz w:val="20"/>
          <w:szCs w:val="20"/>
          <w:lang w:val="en-GB"/>
        </w:rPr>
        <w:t xml:space="preserve">, and self-identified as gay or bisexual </w:t>
      </w:r>
      <w:r w:rsidR="00F971CF" w:rsidRPr="00174033">
        <w:rPr>
          <w:rFonts w:ascii="Tahoma" w:hAnsi="Tahoma" w:cs="Tahoma"/>
          <w:sz w:val="20"/>
          <w:szCs w:val="20"/>
          <w:lang w:val="en-GB"/>
        </w:rPr>
        <w:t>to be</w:t>
      </w:r>
      <w:r w:rsidR="002A42FD" w:rsidRPr="00174033">
        <w:rPr>
          <w:rFonts w:ascii="Tahoma" w:hAnsi="Tahoma" w:cs="Tahoma"/>
          <w:sz w:val="20"/>
          <w:szCs w:val="20"/>
          <w:lang w:val="en-GB"/>
        </w:rPr>
        <w:t xml:space="preserve"> 3.4% for males 18 years, 5.1% for males 19-54 years, 4.5% for males 55-69 years, 3.0% for males 70-74 </w:t>
      </w:r>
      <w:r w:rsidR="002258E4">
        <w:rPr>
          <w:rFonts w:ascii="Tahoma" w:hAnsi="Tahoma" w:cs="Tahoma"/>
          <w:sz w:val="20"/>
          <w:szCs w:val="20"/>
          <w:lang w:val="en-GB"/>
        </w:rPr>
        <w:t>years</w:t>
      </w:r>
      <w:r w:rsidR="002A42FD" w:rsidRPr="00174033">
        <w:rPr>
          <w:rFonts w:ascii="Tahoma" w:hAnsi="Tahoma" w:cs="Tahoma"/>
          <w:sz w:val="20"/>
          <w:szCs w:val="20"/>
          <w:lang w:val="en-GB"/>
        </w:rPr>
        <w:t>, and 2.5% for males 75-79 years.</w:t>
      </w:r>
    </w:p>
    <w:p w14:paraId="472D54AD" w14:textId="77777777" w:rsidR="00BD7FCF" w:rsidRPr="00174033" w:rsidRDefault="00BD7FCF" w:rsidP="000A2834">
      <w:pPr>
        <w:spacing w:after="0" w:line="240" w:lineRule="auto"/>
        <w:rPr>
          <w:rFonts w:ascii="Tahoma" w:hAnsi="Tahoma" w:cs="Tahoma"/>
          <w:sz w:val="20"/>
          <w:szCs w:val="20"/>
          <w:lang w:val="en-GB"/>
        </w:rPr>
      </w:pPr>
    </w:p>
    <w:p w14:paraId="4B5F45F7" w14:textId="4961DF42" w:rsidR="008841F3" w:rsidRPr="00174033" w:rsidRDefault="008841F3" w:rsidP="008841F3">
      <w:pPr>
        <w:spacing w:after="0" w:line="240" w:lineRule="auto"/>
        <w:rPr>
          <w:rFonts w:ascii="Tahoma" w:hAnsi="Tahoma" w:cs="Tahoma"/>
          <w:sz w:val="20"/>
          <w:szCs w:val="20"/>
          <w:lang w:val="en-GB"/>
        </w:rPr>
      </w:pPr>
      <w:r w:rsidRPr="00174033">
        <w:rPr>
          <w:rFonts w:ascii="Tahoma" w:hAnsi="Tahoma" w:cs="Tahoma"/>
          <w:sz w:val="20"/>
          <w:szCs w:val="20"/>
          <w:lang w:val="en-GB"/>
        </w:rPr>
        <w:t xml:space="preserve">Table S1: </w:t>
      </w:r>
      <w:r w:rsidR="005777D5">
        <w:rPr>
          <w:rFonts w:ascii="Tahoma" w:hAnsi="Tahoma" w:cs="Tahoma"/>
          <w:sz w:val="20"/>
          <w:szCs w:val="20"/>
          <w:lang w:val="en-GB"/>
        </w:rPr>
        <w:t>E</w:t>
      </w:r>
      <w:r w:rsidRPr="00174033">
        <w:rPr>
          <w:rFonts w:ascii="Tahoma" w:hAnsi="Tahoma" w:cs="Tahoma"/>
          <w:sz w:val="20"/>
          <w:szCs w:val="20"/>
          <w:lang w:val="en-GB"/>
        </w:rPr>
        <w:t>stimat</w:t>
      </w:r>
      <w:r w:rsidR="005777D5">
        <w:rPr>
          <w:rFonts w:ascii="Tahoma" w:hAnsi="Tahoma" w:cs="Tahoma"/>
          <w:sz w:val="20"/>
          <w:szCs w:val="20"/>
          <w:lang w:val="en-GB"/>
        </w:rPr>
        <w:t>es of</w:t>
      </w:r>
      <w:r w:rsidRPr="00174033">
        <w:rPr>
          <w:rFonts w:ascii="Tahoma" w:hAnsi="Tahoma" w:cs="Tahoma"/>
          <w:sz w:val="20"/>
          <w:szCs w:val="20"/>
          <w:lang w:val="en-GB"/>
        </w:rPr>
        <w:t xml:space="preserve"> </w:t>
      </w:r>
      <w:r w:rsidR="005777D5">
        <w:rPr>
          <w:rFonts w:ascii="Tahoma" w:hAnsi="Tahoma" w:cs="Tahoma"/>
          <w:sz w:val="20"/>
          <w:szCs w:val="20"/>
          <w:lang w:val="en-GB"/>
        </w:rPr>
        <w:t xml:space="preserve">the </w:t>
      </w:r>
      <w:r w:rsidR="00844D26">
        <w:rPr>
          <w:rFonts w:ascii="Tahoma" w:hAnsi="Tahoma" w:cs="Tahoma"/>
          <w:sz w:val="20"/>
          <w:szCs w:val="20"/>
          <w:lang w:val="en-GB"/>
        </w:rPr>
        <w:t xml:space="preserve">2022 </w:t>
      </w:r>
      <w:r w:rsidR="005777D5">
        <w:rPr>
          <w:rFonts w:ascii="Tahoma" w:hAnsi="Tahoma" w:cs="Tahoma"/>
          <w:sz w:val="20"/>
          <w:szCs w:val="20"/>
          <w:lang w:val="en-GB"/>
        </w:rPr>
        <w:t xml:space="preserve">proportion of sexually active men </w:t>
      </w:r>
      <w:r w:rsidR="008565C4" w:rsidRPr="00174033">
        <w:rPr>
          <w:rFonts w:ascii="Tahoma" w:hAnsi="Tahoma" w:cs="Tahoma"/>
          <w:sz w:val="20"/>
          <w:szCs w:val="20"/>
          <w:lang w:val="en-GB"/>
        </w:rPr>
        <w:t>reporting same-sex attraction, sex with men and gay or bisexual identity</w:t>
      </w:r>
      <w:r w:rsidR="005777D5">
        <w:rPr>
          <w:rFonts w:ascii="Tahoma" w:hAnsi="Tahoma" w:cs="Tahoma"/>
          <w:sz w:val="20"/>
          <w:szCs w:val="20"/>
          <w:lang w:val="en-GB"/>
        </w:rPr>
        <w:t>, by age group.</w:t>
      </w:r>
    </w:p>
    <w:tbl>
      <w:tblPr>
        <w:tblpPr w:leftFromText="141" w:rightFromText="141" w:vertAnchor="text" w:tblpY="1"/>
        <w:tblOverlap w:val="never"/>
        <w:tblW w:w="9748" w:type="dxa"/>
        <w:tblLayout w:type="fixed"/>
        <w:tblCellMar>
          <w:left w:w="70" w:type="dxa"/>
          <w:right w:w="70" w:type="dxa"/>
        </w:tblCellMar>
        <w:tblLook w:val="04A0" w:firstRow="1" w:lastRow="0" w:firstColumn="1" w:lastColumn="0" w:noHBand="0" w:noVBand="1"/>
      </w:tblPr>
      <w:tblGrid>
        <w:gridCol w:w="1418"/>
        <w:gridCol w:w="2776"/>
        <w:gridCol w:w="2777"/>
        <w:gridCol w:w="2777"/>
      </w:tblGrid>
      <w:tr w:rsidR="00844D26" w:rsidRPr="00EB7F09" w14:paraId="2491792D" w14:textId="77777777" w:rsidTr="003C34F2">
        <w:trPr>
          <w:trHeight w:val="841"/>
        </w:trPr>
        <w:tc>
          <w:tcPr>
            <w:tcW w:w="1418" w:type="dxa"/>
            <w:tcBorders>
              <w:top w:val="single" w:sz="4" w:space="0" w:color="auto"/>
              <w:bottom w:val="single" w:sz="4" w:space="0" w:color="auto"/>
            </w:tcBorders>
            <w:shd w:val="clear" w:color="auto" w:fill="auto"/>
            <w:noWrap/>
            <w:vAlign w:val="bottom"/>
          </w:tcPr>
          <w:p w14:paraId="0908F64B" w14:textId="113D4E85" w:rsidR="005777D5" w:rsidRPr="003C34F2" w:rsidRDefault="005777D5" w:rsidP="006F6793">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Age group</w:t>
            </w:r>
          </w:p>
        </w:tc>
        <w:tc>
          <w:tcPr>
            <w:tcW w:w="2776" w:type="dxa"/>
            <w:tcBorders>
              <w:top w:val="single" w:sz="4" w:space="0" w:color="auto"/>
              <w:bottom w:val="single" w:sz="4" w:space="0" w:color="auto"/>
            </w:tcBorders>
            <w:shd w:val="clear" w:color="auto" w:fill="auto"/>
            <w:noWrap/>
            <w:vAlign w:val="bottom"/>
          </w:tcPr>
          <w:p w14:paraId="77999BF0" w14:textId="5FC62EB8" w:rsidR="005777D5" w:rsidRPr="003C34F2" w:rsidRDefault="005777D5" w:rsidP="00BA39F0">
            <w:pPr>
              <w:spacing w:after="0" w:line="240" w:lineRule="auto"/>
              <w:jc w:val="center"/>
              <w:rPr>
                <w:rFonts w:ascii="Tahoma" w:eastAsia="Times New Roman" w:hAnsi="Tahoma" w:cs="Tahoma"/>
                <w:color w:val="000000"/>
                <w:sz w:val="18"/>
                <w:szCs w:val="18"/>
                <w:lang w:val="en-GB" w:eastAsia="nl-NL"/>
              </w:rPr>
            </w:pPr>
            <w:r w:rsidRPr="003C34F2">
              <w:rPr>
                <w:rFonts w:ascii="Tahoma" w:eastAsia="Times New Roman" w:hAnsi="Tahoma" w:cs="Tahoma"/>
                <w:color w:val="000000"/>
                <w:sz w:val="18"/>
                <w:szCs w:val="18"/>
                <w:lang w:val="en-GB" w:eastAsia="nl-NL"/>
              </w:rPr>
              <w:t xml:space="preserve">Estimated proportion of men reporting same sex attraction, </w:t>
            </w:r>
            <w:r w:rsidR="00844D26" w:rsidRPr="003C34F2">
              <w:rPr>
                <w:rFonts w:ascii="Tahoma" w:eastAsia="Times New Roman" w:hAnsi="Tahoma" w:cs="Tahoma"/>
                <w:color w:val="000000"/>
                <w:sz w:val="18"/>
                <w:szCs w:val="18"/>
                <w:lang w:val="en-GB" w:eastAsia="nl-NL"/>
              </w:rPr>
              <w:t xml:space="preserve">ever </w:t>
            </w:r>
            <w:r w:rsidRPr="003C34F2">
              <w:rPr>
                <w:rFonts w:ascii="Tahoma" w:eastAsia="Times New Roman" w:hAnsi="Tahoma" w:cs="Tahoma"/>
                <w:color w:val="000000"/>
                <w:sz w:val="18"/>
                <w:szCs w:val="18"/>
                <w:lang w:val="en-GB" w:eastAsia="nl-NL"/>
              </w:rPr>
              <w:t>sex with men, and gay or bisexual</w:t>
            </w:r>
            <w:r w:rsidR="00844D26" w:rsidRPr="003C34F2">
              <w:rPr>
                <w:rFonts w:ascii="Tahoma" w:eastAsia="Times New Roman" w:hAnsi="Tahoma" w:cs="Tahoma"/>
                <w:color w:val="000000"/>
                <w:sz w:val="18"/>
                <w:szCs w:val="18"/>
                <w:lang w:val="en-GB" w:eastAsia="nl-NL"/>
              </w:rPr>
              <w:t xml:space="preserve"> identity</w:t>
            </w:r>
          </w:p>
        </w:tc>
        <w:tc>
          <w:tcPr>
            <w:tcW w:w="2777" w:type="dxa"/>
            <w:tcBorders>
              <w:top w:val="single" w:sz="4" w:space="0" w:color="auto"/>
              <w:bottom w:val="single" w:sz="4" w:space="0" w:color="auto"/>
            </w:tcBorders>
            <w:shd w:val="clear" w:color="auto" w:fill="auto"/>
            <w:vAlign w:val="bottom"/>
          </w:tcPr>
          <w:p w14:paraId="37DD4761" w14:textId="21C453E9" w:rsidR="005777D5" w:rsidRPr="003C34F2" w:rsidRDefault="005777D5" w:rsidP="00E94AAA">
            <w:pPr>
              <w:spacing w:after="0" w:line="240" w:lineRule="auto"/>
              <w:jc w:val="center"/>
              <w:rPr>
                <w:rFonts w:ascii="Tahoma" w:eastAsia="Times New Roman" w:hAnsi="Tahoma" w:cs="Tahoma"/>
                <w:color w:val="000000"/>
                <w:sz w:val="18"/>
                <w:szCs w:val="18"/>
                <w:lang w:val="en-GB" w:eastAsia="nl-NL"/>
              </w:rPr>
            </w:pPr>
            <w:r w:rsidRPr="003C34F2">
              <w:rPr>
                <w:rFonts w:ascii="Tahoma" w:eastAsia="Times New Roman" w:hAnsi="Tahoma" w:cs="Tahoma"/>
                <w:color w:val="000000"/>
                <w:sz w:val="18"/>
                <w:szCs w:val="18"/>
                <w:lang w:val="en-US" w:eastAsia="nl-NL"/>
              </w:rPr>
              <w:t xml:space="preserve">Proportion </w:t>
            </w:r>
            <w:r w:rsidR="00844D26" w:rsidRPr="003C34F2">
              <w:rPr>
                <w:rFonts w:ascii="Tahoma" w:eastAsia="Times New Roman" w:hAnsi="Tahoma" w:cs="Tahoma"/>
                <w:color w:val="000000"/>
                <w:sz w:val="18"/>
                <w:szCs w:val="18"/>
                <w:lang w:val="en-US" w:eastAsia="nl-NL"/>
              </w:rPr>
              <w:t xml:space="preserve">of GBMSM </w:t>
            </w:r>
            <w:r w:rsidRPr="003C34F2">
              <w:rPr>
                <w:rFonts w:ascii="Tahoma" w:eastAsia="Times New Roman" w:hAnsi="Tahoma" w:cs="Tahoma"/>
                <w:color w:val="000000"/>
                <w:sz w:val="18"/>
                <w:szCs w:val="18"/>
                <w:lang w:val="en-US" w:eastAsia="nl-NL"/>
              </w:rPr>
              <w:t>reporting being recently sexually active</w:t>
            </w:r>
          </w:p>
        </w:tc>
        <w:tc>
          <w:tcPr>
            <w:tcW w:w="2777" w:type="dxa"/>
            <w:tcBorders>
              <w:top w:val="single" w:sz="4" w:space="0" w:color="auto"/>
              <w:bottom w:val="single" w:sz="4" w:space="0" w:color="auto"/>
            </w:tcBorders>
            <w:shd w:val="clear" w:color="auto" w:fill="auto"/>
            <w:noWrap/>
            <w:vAlign w:val="bottom"/>
          </w:tcPr>
          <w:p w14:paraId="5EA61571" w14:textId="20F1ADA2" w:rsidR="005777D5" w:rsidRPr="003C34F2" w:rsidRDefault="005777D5" w:rsidP="00BA39F0">
            <w:pPr>
              <w:spacing w:after="0" w:line="240" w:lineRule="auto"/>
              <w:jc w:val="center"/>
              <w:rPr>
                <w:rFonts w:ascii="Tahoma" w:eastAsia="Times New Roman" w:hAnsi="Tahoma" w:cs="Tahoma"/>
                <w:color w:val="000000"/>
                <w:sz w:val="18"/>
                <w:szCs w:val="18"/>
                <w:lang w:val="en-GB" w:eastAsia="nl-NL"/>
              </w:rPr>
            </w:pPr>
            <w:r w:rsidRPr="003C34F2">
              <w:rPr>
                <w:rFonts w:ascii="Tahoma" w:eastAsia="Times New Roman" w:hAnsi="Tahoma" w:cs="Tahoma"/>
                <w:color w:val="000000"/>
                <w:sz w:val="18"/>
                <w:szCs w:val="18"/>
                <w:lang w:val="en-GB" w:eastAsia="nl-NL"/>
              </w:rPr>
              <w:t xml:space="preserve">Estimated proportion of men </w:t>
            </w:r>
            <w:r w:rsidR="00844D26" w:rsidRPr="003C34F2">
              <w:rPr>
                <w:rFonts w:ascii="Tahoma" w:eastAsia="Times New Roman" w:hAnsi="Tahoma" w:cs="Tahoma"/>
                <w:color w:val="000000"/>
                <w:sz w:val="18"/>
                <w:szCs w:val="18"/>
                <w:lang w:val="en-GB" w:eastAsia="nl-NL"/>
              </w:rPr>
              <w:t xml:space="preserve">reporting </w:t>
            </w:r>
            <w:r w:rsidRPr="003C34F2">
              <w:rPr>
                <w:rFonts w:ascii="Tahoma" w:eastAsia="Times New Roman" w:hAnsi="Tahoma" w:cs="Tahoma"/>
                <w:color w:val="000000"/>
                <w:sz w:val="18"/>
                <w:szCs w:val="18"/>
                <w:lang w:val="en-GB" w:eastAsia="nl-NL"/>
              </w:rPr>
              <w:t>same sex attraction, recent sex with men, and gay or bisexual</w:t>
            </w:r>
          </w:p>
        </w:tc>
      </w:tr>
      <w:tr w:rsidR="00844D26" w:rsidRPr="005777D5" w14:paraId="39367D81" w14:textId="77777777" w:rsidTr="00BA39F0">
        <w:trPr>
          <w:trHeight w:val="227"/>
        </w:trPr>
        <w:tc>
          <w:tcPr>
            <w:tcW w:w="1418" w:type="dxa"/>
            <w:tcBorders>
              <w:top w:val="single" w:sz="4" w:space="0" w:color="auto"/>
              <w:left w:val="nil"/>
              <w:bottom w:val="nil"/>
              <w:right w:val="nil"/>
            </w:tcBorders>
            <w:shd w:val="clear" w:color="auto" w:fill="auto"/>
            <w:noWrap/>
            <w:vAlign w:val="bottom"/>
            <w:hideMark/>
          </w:tcPr>
          <w:p w14:paraId="7B1CE009" w14:textId="77777777" w:rsidR="005777D5" w:rsidRPr="003C34F2" w:rsidRDefault="005777D5" w:rsidP="006F6793">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18</w:t>
            </w:r>
          </w:p>
        </w:tc>
        <w:tc>
          <w:tcPr>
            <w:tcW w:w="2776" w:type="dxa"/>
            <w:tcBorders>
              <w:top w:val="single" w:sz="4" w:space="0" w:color="auto"/>
              <w:left w:val="nil"/>
              <w:bottom w:val="nil"/>
              <w:right w:val="nil"/>
            </w:tcBorders>
            <w:shd w:val="clear" w:color="auto" w:fill="auto"/>
            <w:noWrap/>
            <w:vAlign w:val="bottom"/>
            <w:hideMark/>
          </w:tcPr>
          <w:p w14:paraId="1DCBB25B" w14:textId="77777777"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4.5%</w:t>
            </w:r>
          </w:p>
        </w:tc>
        <w:tc>
          <w:tcPr>
            <w:tcW w:w="2777" w:type="dxa"/>
            <w:tcBorders>
              <w:top w:val="single" w:sz="4" w:space="0" w:color="auto"/>
              <w:left w:val="nil"/>
              <w:bottom w:val="nil"/>
              <w:right w:val="nil"/>
            </w:tcBorders>
            <w:vAlign w:val="bottom"/>
          </w:tcPr>
          <w:p w14:paraId="74DD3643" w14:textId="6053DE4F" w:rsidR="005777D5" w:rsidRPr="003C34F2" w:rsidRDefault="005777D5" w:rsidP="005777D5">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75%</w:t>
            </w:r>
          </w:p>
        </w:tc>
        <w:tc>
          <w:tcPr>
            <w:tcW w:w="2777" w:type="dxa"/>
            <w:tcBorders>
              <w:top w:val="single" w:sz="4" w:space="0" w:color="auto"/>
              <w:left w:val="nil"/>
              <w:bottom w:val="nil"/>
              <w:right w:val="nil"/>
            </w:tcBorders>
            <w:shd w:val="clear" w:color="auto" w:fill="auto"/>
            <w:noWrap/>
            <w:vAlign w:val="bottom"/>
            <w:hideMark/>
          </w:tcPr>
          <w:p w14:paraId="65779FB3" w14:textId="77777777"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3.4%</w:t>
            </w:r>
          </w:p>
        </w:tc>
      </w:tr>
      <w:tr w:rsidR="00844D26" w:rsidRPr="005777D5" w14:paraId="077100FC" w14:textId="77777777" w:rsidTr="00BA39F0">
        <w:trPr>
          <w:trHeight w:val="227"/>
        </w:trPr>
        <w:tc>
          <w:tcPr>
            <w:tcW w:w="1418" w:type="dxa"/>
            <w:tcBorders>
              <w:top w:val="nil"/>
              <w:left w:val="nil"/>
              <w:bottom w:val="nil"/>
              <w:right w:val="nil"/>
            </w:tcBorders>
            <w:shd w:val="clear" w:color="auto" w:fill="auto"/>
            <w:noWrap/>
            <w:vAlign w:val="bottom"/>
            <w:hideMark/>
          </w:tcPr>
          <w:p w14:paraId="7A7991C8" w14:textId="77777777" w:rsidR="005777D5" w:rsidRPr="003C34F2" w:rsidRDefault="005777D5" w:rsidP="006F6793">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19-34</w:t>
            </w:r>
          </w:p>
        </w:tc>
        <w:tc>
          <w:tcPr>
            <w:tcW w:w="2776" w:type="dxa"/>
            <w:tcBorders>
              <w:top w:val="nil"/>
              <w:left w:val="nil"/>
              <w:bottom w:val="nil"/>
              <w:right w:val="nil"/>
            </w:tcBorders>
            <w:shd w:val="clear" w:color="auto" w:fill="auto"/>
            <w:noWrap/>
            <w:vAlign w:val="bottom"/>
            <w:hideMark/>
          </w:tcPr>
          <w:p w14:paraId="24DA9048" w14:textId="570636AC"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6% [1]</w:t>
            </w:r>
          </w:p>
        </w:tc>
        <w:tc>
          <w:tcPr>
            <w:tcW w:w="2777" w:type="dxa"/>
            <w:tcBorders>
              <w:top w:val="nil"/>
              <w:left w:val="nil"/>
              <w:bottom w:val="nil"/>
              <w:right w:val="nil"/>
            </w:tcBorders>
            <w:vAlign w:val="bottom"/>
          </w:tcPr>
          <w:p w14:paraId="2DE3F1F8" w14:textId="2A1217DB" w:rsidR="005777D5" w:rsidRPr="003C34F2" w:rsidRDefault="005777D5" w:rsidP="005777D5">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85%</w:t>
            </w:r>
          </w:p>
        </w:tc>
        <w:tc>
          <w:tcPr>
            <w:tcW w:w="2777" w:type="dxa"/>
            <w:tcBorders>
              <w:top w:val="nil"/>
              <w:left w:val="nil"/>
              <w:bottom w:val="nil"/>
              <w:right w:val="nil"/>
            </w:tcBorders>
            <w:shd w:val="clear" w:color="auto" w:fill="auto"/>
            <w:noWrap/>
            <w:vAlign w:val="bottom"/>
            <w:hideMark/>
          </w:tcPr>
          <w:p w14:paraId="1CC6888B" w14:textId="77777777"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5.1%</w:t>
            </w:r>
          </w:p>
        </w:tc>
      </w:tr>
      <w:tr w:rsidR="00844D26" w:rsidRPr="005777D5" w14:paraId="64982A9F" w14:textId="77777777" w:rsidTr="00BA39F0">
        <w:trPr>
          <w:trHeight w:val="227"/>
        </w:trPr>
        <w:tc>
          <w:tcPr>
            <w:tcW w:w="1418" w:type="dxa"/>
            <w:tcBorders>
              <w:top w:val="nil"/>
              <w:left w:val="nil"/>
              <w:bottom w:val="nil"/>
              <w:right w:val="nil"/>
            </w:tcBorders>
            <w:shd w:val="clear" w:color="auto" w:fill="auto"/>
            <w:noWrap/>
            <w:vAlign w:val="bottom"/>
            <w:hideMark/>
          </w:tcPr>
          <w:p w14:paraId="153F77C6" w14:textId="672F3116" w:rsidR="005777D5" w:rsidRPr="003C34F2" w:rsidRDefault="005777D5" w:rsidP="006F6793">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3</w:t>
            </w:r>
            <w:r w:rsidR="00C23B6F">
              <w:rPr>
                <w:rFonts w:ascii="Tahoma" w:eastAsia="Times New Roman" w:hAnsi="Tahoma" w:cs="Tahoma"/>
                <w:color w:val="000000"/>
                <w:sz w:val="18"/>
                <w:szCs w:val="18"/>
                <w:lang w:eastAsia="nl-NL"/>
              </w:rPr>
              <w:t>5</w:t>
            </w:r>
            <w:r w:rsidRPr="003C34F2">
              <w:rPr>
                <w:rFonts w:ascii="Tahoma" w:eastAsia="Times New Roman" w:hAnsi="Tahoma" w:cs="Tahoma"/>
                <w:color w:val="000000"/>
                <w:sz w:val="18"/>
                <w:szCs w:val="18"/>
                <w:lang w:eastAsia="nl-NL"/>
              </w:rPr>
              <w:t>-54</w:t>
            </w:r>
          </w:p>
        </w:tc>
        <w:tc>
          <w:tcPr>
            <w:tcW w:w="2776" w:type="dxa"/>
            <w:tcBorders>
              <w:top w:val="nil"/>
              <w:left w:val="nil"/>
              <w:bottom w:val="nil"/>
              <w:right w:val="nil"/>
            </w:tcBorders>
            <w:shd w:val="clear" w:color="auto" w:fill="auto"/>
            <w:noWrap/>
            <w:vAlign w:val="bottom"/>
            <w:hideMark/>
          </w:tcPr>
          <w:p w14:paraId="3EE2B18F" w14:textId="67E4C4B8"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6% [1]</w:t>
            </w:r>
          </w:p>
        </w:tc>
        <w:tc>
          <w:tcPr>
            <w:tcW w:w="2777" w:type="dxa"/>
            <w:tcBorders>
              <w:top w:val="nil"/>
              <w:left w:val="nil"/>
              <w:bottom w:val="nil"/>
              <w:right w:val="nil"/>
            </w:tcBorders>
            <w:vAlign w:val="bottom"/>
          </w:tcPr>
          <w:p w14:paraId="585460BE" w14:textId="0DE245A6" w:rsidR="005777D5" w:rsidRPr="003C34F2" w:rsidRDefault="005777D5" w:rsidP="005777D5">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85%</w:t>
            </w:r>
          </w:p>
        </w:tc>
        <w:tc>
          <w:tcPr>
            <w:tcW w:w="2777" w:type="dxa"/>
            <w:tcBorders>
              <w:top w:val="nil"/>
              <w:left w:val="nil"/>
              <w:bottom w:val="nil"/>
              <w:right w:val="nil"/>
            </w:tcBorders>
            <w:shd w:val="clear" w:color="auto" w:fill="auto"/>
            <w:noWrap/>
            <w:vAlign w:val="bottom"/>
            <w:hideMark/>
          </w:tcPr>
          <w:p w14:paraId="38104E49" w14:textId="77777777"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5.1%</w:t>
            </w:r>
          </w:p>
        </w:tc>
      </w:tr>
      <w:tr w:rsidR="00844D26" w:rsidRPr="005777D5" w14:paraId="16DFC665" w14:textId="77777777" w:rsidTr="00BA39F0">
        <w:trPr>
          <w:trHeight w:val="227"/>
        </w:trPr>
        <w:tc>
          <w:tcPr>
            <w:tcW w:w="1418" w:type="dxa"/>
            <w:tcBorders>
              <w:top w:val="nil"/>
              <w:left w:val="nil"/>
              <w:bottom w:val="nil"/>
              <w:right w:val="nil"/>
            </w:tcBorders>
            <w:shd w:val="clear" w:color="auto" w:fill="auto"/>
            <w:noWrap/>
            <w:vAlign w:val="bottom"/>
            <w:hideMark/>
          </w:tcPr>
          <w:p w14:paraId="3CA80960" w14:textId="77777777" w:rsidR="005777D5" w:rsidRPr="003C34F2" w:rsidRDefault="005777D5" w:rsidP="006F6793">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55-69</w:t>
            </w:r>
          </w:p>
        </w:tc>
        <w:tc>
          <w:tcPr>
            <w:tcW w:w="2776" w:type="dxa"/>
            <w:tcBorders>
              <w:top w:val="nil"/>
              <w:left w:val="nil"/>
              <w:bottom w:val="nil"/>
              <w:right w:val="nil"/>
            </w:tcBorders>
            <w:shd w:val="clear" w:color="auto" w:fill="auto"/>
            <w:noWrap/>
            <w:vAlign w:val="bottom"/>
            <w:hideMark/>
          </w:tcPr>
          <w:p w14:paraId="157C8C22" w14:textId="2E8BD017"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6% [1]</w:t>
            </w:r>
          </w:p>
        </w:tc>
        <w:tc>
          <w:tcPr>
            <w:tcW w:w="2777" w:type="dxa"/>
            <w:tcBorders>
              <w:top w:val="nil"/>
              <w:left w:val="nil"/>
              <w:bottom w:val="nil"/>
              <w:right w:val="nil"/>
            </w:tcBorders>
            <w:vAlign w:val="bottom"/>
          </w:tcPr>
          <w:p w14:paraId="5B1EFF5C" w14:textId="17B7C122" w:rsidR="005777D5" w:rsidRPr="003C34F2" w:rsidRDefault="005777D5" w:rsidP="005777D5">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75%</w:t>
            </w:r>
          </w:p>
        </w:tc>
        <w:tc>
          <w:tcPr>
            <w:tcW w:w="2777" w:type="dxa"/>
            <w:tcBorders>
              <w:top w:val="nil"/>
              <w:left w:val="nil"/>
              <w:bottom w:val="nil"/>
              <w:right w:val="nil"/>
            </w:tcBorders>
            <w:shd w:val="clear" w:color="auto" w:fill="auto"/>
            <w:noWrap/>
            <w:vAlign w:val="bottom"/>
            <w:hideMark/>
          </w:tcPr>
          <w:p w14:paraId="4F37485C" w14:textId="77777777"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4.5%</w:t>
            </w:r>
          </w:p>
        </w:tc>
      </w:tr>
      <w:tr w:rsidR="00844D26" w:rsidRPr="005777D5" w14:paraId="68A7D195" w14:textId="77777777" w:rsidTr="00BA39F0">
        <w:trPr>
          <w:trHeight w:val="227"/>
        </w:trPr>
        <w:tc>
          <w:tcPr>
            <w:tcW w:w="1418" w:type="dxa"/>
            <w:tcBorders>
              <w:top w:val="nil"/>
              <w:left w:val="nil"/>
              <w:right w:val="nil"/>
            </w:tcBorders>
            <w:shd w:val="clear" w:color="auto" w:fill="auto"/>
            <w:noWrap/>
            <w:vAlign w:val="bottom"/>
            <w:hideMark/>
          </w:tcPr>
          <w:p w14:paraId="21CAC36C" w14:textId="77777777" w:rsidR="005777D5" w:rsidRPr="003C34F2" w:rsidRDefault="005777D5" w:rsidP="006F6793">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70-74</w:t>
            </w:r>
          </w:p>
        </w:tc>
        <w:tc>
          <w:tcPr>
            <w:tcW w:w="2776" w:type="dxa"/>
            <w:tcBorders>
              <w:top w:val="nil"/>
              <w:left w:val="nil"/>
              <w:right w:val="nil"/>
            </w:tcBorders>
            <w:shd w:val="clear" w:color="auto" w:fill="auto"/>
            <w:noWrap/>
            <w:vAlign w:val="bottom"/>
            <w:hideMark/>
          </w:tcPr>
          <w:p w14:paraId="7AB7B895" w14:textId="77777777"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5%</w:t>
            </w:r>
          </w:p>
        </w:tc>
        <w:tc>
          <w:tcPr>
            <w:tcW w:w="2777" w:type="dxa"/>
            <w:tcBorders>
              <w:top w:val="nil"/>
              <w:left w:val="nil"/>
              <w:right w:val="nil"/>
            </w:tcBorders>
            <w:vAlign w:val="bottom"/>
          </w:tcPr>
          <w:p w14:paraId="7ADA867C" w14:textId="1D7ECEE8" w:rsidR="005777D5" w:rsidRPr="003C34F2" w:rsidRDefault="005777D5" w:rsidP="005777D5">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60%</w:t>
            </w:r>
          </w:p>
        </w:tc>
        <w:tc>
          <w:tcPr>
            <w:tcW w:w="2777" w:type="dxa"/>
            <w:tcBorders>
              <w:top w:val="nil"/>
              <w:left w:val="nil"/>
              <w:right w:val="nil"/>
            </w:tcBorders>
            <w:shd w:val="clear" w:color="auto" w:fill="auto"/>
            <w:noWrap/>
            <w:vAlign w:val="bottom"/>
            <w:hideMark/>
          </w:tcPr>
          <w:p w14:paraId="2C66390F" w14:textId="77777777"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3.0%</w:t>
            </w:r>
          </w:p>
        </w:tc>
      </w:tr>
      <w:tr w:rsidR="00844D26" w:rsidRPr="005777D5" w14:paraId="07D55446" w14:textId="77777777" w:rsidTr="00BA39F0">
        <w:trPr>
          <w:trHeight w:val="227"/>
        </w:trPr>
        <w:tc>
          <w:tcPr>
            <w:tcW w:w="1418" w:type="dxa"/>
            <w:tcBorders>
              <w:top w:val="nil"/>
              <w:left w:val="nil"/>
              <w:bottom w:val="single" w:sz="4" w:space="0" w:color="auto"/>
              <w:right w:val="nil"/>
            </w:tcBorders>
            <w:shd w:val="clear" w:color="auto" w:fill="auto"/>
            <w:noWrap/>
            <w:vAlign w:val="bottom"/>
            <w:hideMark/>
          </w:tcPr>
          <w:p w14:paraId="092038DE" w14:textId="77777777" w:rsidR="005777D5" w:rsidRPr="003C34F2" w:rsidRDefault="005777D5" w:rsidP="006F6793">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75-80</w:t>
            </w:r>
          </w:p>
        </w:tc>
        <w:tc>
          <w:tcPr>
            <w:tcW w:w="2776" w:type="dxa"/>
            <w:tcBorders>
              <w:top w:val="nil"/>
              <w:left w:val="nil"/>
              <w:bottom w:val="single" w:sz="4" w:space="0" w:color="auto"/>
              <w:right w:val="nil"/>
            </w:tcBorders>
            <w:shd w:val="clear" w:color="auto" w:fill="auto"/>
            <w:noWrap/>
            <w:vAlign w:val="bottom"/>
            <w:hideMark/>
          </w:tcPr>
          <w:p w14:paraId="34325A2A" w14:textId="77777777"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5%</w:t>
            </w:r>
          </w:p>
        </w:tc>
        <w:tc>
          <w:tcPr>
            <w:tcW w:w="2777" w:type="dxa"/>
            <w:tcBorders>
              <w:top w:val="nil"/>
              <w:left w:val="nil"/>
              <w:bottom w:val="single" w:sz="4" w:space="0" w:color="auto"/>
              <w:right w:val="nil"/>
            </w:tcBorders>
            <w:vAlign w:val="bottom"/>
          </w:tcPr>
          <w:p w14:paraId="1738835A" w14:textId="53EB0B47" w:rsidR="005777D5" w:rsidRPr="003C34F2" w:rsidRDefault="005777D5" w:rsidP="005777D5">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50%</w:t>
            </w:r>
          </w:p>
        </w:tc>
        <w:tc>
          <w:tcPr>
            <w:tcW w:w="2777" w:type="dxa"/>
            <w:tcBorders>
              <w:top w:val="nil"/>
              <w:left w:val="nil"/>
              <w:bottom w:val="single" w:sz="4" w:space="0" w:color="auto"/>
              <w:right w:val="nil"/>
            </w:tcBorders>
            <w:shd w:val="clear" w:color="auto" w:fill="auto"/>
            <w:noWrap/>
            <w:vAlign w:val="bottom"/>
            <w:hideMark/>
          </w:tcPr>
          <w:p w14:paraId="6E13C765" w14:textId="77777777" w:rsidR="005777D5" w:rsidRPr="003C34F2" w:rsidRDefault="005777D5" w:rsidP="006F6793">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2.5%</w:t>
            </w:r>
          </w:p>
        </w:tc>
      </w:tr>
    </w:tbl>
    <w:p w14:paraId="596718F6" w14:textId="77777777" w:rsidR="00BD7FCF" w:rsidRPr="00174033" w:rsidRDefault="00BD7FCF" w:rsidP="00BD7FCF">
      <w:pPr>
        <w:spacing w:after="0" w:line="240" w:lineRule="auto"/>
        <w:rPr>
          <w:rFonts w:ascii="Tahoma" w:hAnsi="Tahoma" w:cs="Tahoma"/>
          <w:sz w:val="20"/>
          <w:szCs w:val="20"/>
          <w:lang w:val="en-GB"/>
        </w:rPr>
      </w:pPr>
    </w:p>
    <w:p w14:paraId="63357E7D" w14:textId="77777777" w:rsidR="00BD7FCF" w:rsidRPr="00D635C6" w:rsidRDefault="00BD7FCF" w:rsidP="00BD7FCF">
      <w:pPr>
        <w:spacing w:after="0" w:line="240" w:lineRule="auto"/>
        <w:rPr>
          <w:rFonts w:ascii="Tahoma" w:hAnsi="Tahoma" w:cs="Tahoma"/>
          <w:b/>
          <w:bCs/>
          <w:sz w:val="20"/>
          <w:szCs w:val="20"/>
          <w:lang w:val="en-GB"/>
        </w:rPr>
      </w:pPr>
      <w:r w:rsidRPr="00D635C6">
        <w:rPr>
          <w:rFonts w:ascii="Tahoma" w:hAnsi="Tahoma" w:cs="Tahoma"/>
          <w:b/>
          <w:bCs/>
          <w:sz w:val="20"/>
          <w:szCs w:val="20"/>
          <w:lang w:val="en-GB"/>
        </w:rPr>
        <w:t>Size of the sexually active adult GBMSM population in the Netherlands</w:t>
      </w:r>
    </w:p>
    <w:p w14:paraId="16427B8C" w14:textId="0133CAEC" w:rsidR="00BD7FCF" w:rsidRDefault="00BD7FCF" w:rsidP="00BD7FCF">
      <w:pPr>
        <w:spacing w:after="0" w:line="240" w:lineRule="auto"/>
        <w:rPr>
          <w:rFonts w:ascii="Tahoma" w:hAnsi="Tahoma" w:cs="Tahoma"/>
          <w:sz w:val="20"/>
          <w:szCs w:val="20"/>
          <w:lang w:val="en-GB"/>
        </w:rPr>
      </w:pPr>
      <w:r w:rsidRPr="00174033">
        <w:rPr>
          <w:rFonts w:ascii="Tahoma" w:hAnsi="Tahoma" w:cs="Tahoma"/>
          <w:sz w:val="20"/>
          <w:szCs w:val="20"/>
          <w:lang w:val="en-GB"/>
        </w:rPr>
        <w:t xml:space="preserve">By extrapolating the corrected estimates for the proportion of </w:t>
      </w:r>
      <w:r>
        <w:rPr>
          <w:rFonts w:ascii="Tahoma" w:hAnsi="Tahoma" w:cs="Tahoma"/>
          <w:sz w:val="20"/>
          <w:szCs w:val="20"/>
          <w:lang w:val="en-GB"/>
        </w:rPr>
        <w:t xml:space="preserve">sexually active </w:t>
      </w:r>
      <w:r w:rsidRPr="00174033">
        <w:rPr>
          <w:rFonts w:ascii="Tahoma" w:hAnsi="Tahoma" w:cs="Tahoma"/>
          <w:sz w:val="20"/>
          <w:szCs w:val="20"/>
          <w:lang w:val="en-GB"/>
        </w:rPr>
        <w:t xml:space="preserve">adult GBMSM by age group to the </w:t>
      </w:r>
      <w:r>
        <w:rPr>
          <w:rFonts w:ascii="Tahoma" w:hAnsi="Tahoma" w:cs="Tahoma"/>
          <w:sz w:val="20"/>
          <w:szCs w:val="20"/>
          <w:lang w:val="en-GB"/>
        </w:rPr>
        <w:t xml:space="preserve">estimated </w:t>
      </w:r>
      <w:r w:rsidRPr="00174033">
        <w:rPr>
          <w:rFonts w:ascii="Tahoma" w:hAnsi="Tahoma" w:cs="Tahoma"/>
          <w:sz w:val="20"/>
          <w:szCs w:val="20"/>
          <w:lang w:val="en-GB"/>
        </w:rPr>
        <w:t xml:space="preserve">size of each of these age groups within the male population 18-80 years old in the Netherlands in 2022 (see Table 2), we estimated that there would be 312,918 males who were attracted to men, recently had sex with men, and self-identified as gay or bisexual out of a total population of 6,760,000 males </w:t>
      </w:r>
      <w:r w:rsidRPr="00D635C6">
        <w:rPr>
          <w:rFonts w:ascii="Tahoma" w:hAnsi="Tahoma" w:cs="Tahoma"/>
          <w:sz w:val="20"/>
          <w:szCs w:val="20"/>
          <w:lang w:val="en-GB"/>
        </w:rPr>
        <w:t xml:space="preserve">aged </w:t>
      </w:r>
      <w:r w:rsidRPr="00174033">
        <w:rPr>
          <w:rFonts w:ascii="Tahoma" w:hAnsi="Tahoma" w:cs="Tahoma"/>
          <w:sz w:val="20"/>
          <w:szCs w:val="20"/>
          <w:lang w:val="en-GB"/>
        </w:rPr>
        <w:t>18-80 years old in the Netherlands.</w:t>
      </w:r>
    </w:p>
    <w:p w14:paraId="3AFC7EC0" w14:textId="77777777" w:rsidR="00E274C2" w:rsidRPr="00D635C6" w:rsidRDefault="00E274C2" w:rsidP="00BD7FCF">
      <w:pPr>
        <w:spacing w:after="0" w:line="240" w:lineRule="auto"/>
        <w:rPr>
          <w:rFonts w:ascii="Tahoma" w:hAnsi="Tahoma" w:cs="Tahoma"/>
          <w:strike/>
          <w:sz w:val="20"/>
          <w:szCs w:val="20"/>
          <w:lang w:val="en-GB"/>
        </w:rPr>
      </w:pPr>
    </w:p>
    <w:p w14:paraId="42C04AB8" w14:textId="3B111A58" w:rsidR="007531CA" w:rsidRPr="00174033" w:rsidRDefault="007531CA" w:rsidP="000142D6">
      <w:pPr>
        <w:spacing w:after="0" w:line="240" w:lineRule="auto"/>
        <w:rPr>
          <w:rFonts w:ascii="Tahoma" w:hAnsi="Tahoma" w:cs="Tahoma"/>
          <w:sz w:val="20"/>
          <w:szCs w:val="20"/>
          <w:lang w:val="en-GB"/>
        </w:rPr>
      </w:pPr>
      <w:r w:rsidRPr="00174033">
        <w:rPr>
          <w:rFonts w:ascii="Tahoma" w:hAnsi="Tahoma" w:cs="Tahoma"/>
          <w:sz w:val="20"/>
          <w:szCs w:val="20"/>
          <w:lang w:val="en-GB"/>
        </w:rPr>
        <w:t>Table S2: Size of the sexually active GBM</w:t>
      </w:r>
      <w:r w:rsidR="00B3366D" w:rsidRPr="00174033">
        <w:rPr>
          <w:rFonts w:ascii="Tahoma" w:hAnsi="Tahoma" w:cs="Tahoma"/>
          <w:sz w:val="20"/>
          <w:szCs w:val="20"/>
          <w:lang w:val="en-GB"/>
        </w:rPr>
        <w:t>SM</w:t>
      </w:r>
      <w:r w:rsidRPr="00174033">
        <w:rPr>
          <w:rFonts w:ascii="Tahoma" w:hAnsi="Tahoma" w:cs="Tahoma"/>
          <w:sz w:val="20"/>
          <w:szCs w:val="20"/>
          <w:lang w:val="en-GB"/>
        </w:rPr>
        <w:t xml:space="preserve"> population per age group.</w:t>
      </w:r>
    </w:p>
    <w:tbl>
      <w:tblPr>
        <w:tblW w:w="9214" w:type="dxa"/>
        <w:tblCellMar>
          <w:left w:w="70" w:type="dxa"/>
          <w:right w:w="70" w:type="dxa"/>
        </w:tblCellMar>
        <w:tblLook w:val="04A0" w:firstRow="1" w:lastRow="0" w:firstColumn="1" w:lastColumn="0" w:noHBand="0" w:noVBand="1"/>
      </w:tblPr>
      <w:tblGrid>
        <w:gridCol w:w="1266"/>
        <w:gridCol w:w="3270"/>
        <w:gridCol w:w="2825"/>
        <w:gridCol w:w="1853"/>
      </w:tblGrid>
      <w:tr w:rsidR="007531CA" w:rsidRPr="00BA39F0" w14:paraId="4A8B45DB" w14:textId="77777777" w:rsidTr="00051C9B">
        <w:trPr>
          <w:trHeight w:val="288"/>
        </w:trPr>
        <w:tc>
          <w:tcPr>
            <w:tcW w:w="1266" w:type="dxa"/>
            <w:vMerge w:val="restart"/>
            <w:tcBorders>
              <w:top w:val="single" w:sz="4" w:space="0" w:color="auto"/>
              <w:bottom w:val="single" w:sz="4" w:space="0" w:color="auto"/>
              <w:right w:val="nil"/>
            </w:tcBorders>
            <w:shd w:val="clear" w:color="auto" w:fill="auto"/>
            <w:noWrap/>
            <w:vAlign w:val="bottom"/>
          </w:tcPr>
          <w:p w14:paraId="65FF4132" w14:textId="5F6290FC" w:rsidR="007531CA" w:rsidRPr="003C34F2" w:rsidRDefault="007531CA" w:rsidP="00644F16">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Age group</w:t>
            </w:r>
          </w:p>
          <w:p w14:paraId="0C74F887" w14:textId="77777777" w:rsidR="007531CA" w:rsidRPr="003C34F2" w:rsidRDefault="007531CA" w:rsidP="00644F16">
            <w:pPr>
              <w:spacing w:after="0" w:line="240" w:lineRule="auto"/>
              <w:rPr>
                <w:rFonts w:ascii="Tahoma" w:eastAsia="Times New Roman" w:hAnsi="Tahoma" w:cs="Tahoma"/>
                <w:color w:val="000000"/>
                <w:sz w:val="18"/>
                <w:szCs w:val="18"/>
                <w:lang w:eastAsia="nl-NL"/>
              </w:rPr>
            </w:pPr>
          </w:p>
        </w:tc>
        <w:tc>
          <w:tcPr>
            <w:tcW w:w="3270" w:type="dxa"/>
            <w:vMerge w:val="restart"/>
            <w:tcBorders>
              <w:top w:val="single" w:sz="4" w:space="0" w:color="auto"/>
              <w:left w:val="nil"/>
              <w:right w:val="nil"/>
            </w:tcBorders>
            <w:shd w:val="clear" w:color="auto" w:fill="auto"/>
            <w:noWrap/>
            <w:vAlign w:val="bottom"/>
          </w:tcPr>
          <w:p w14:paraId="2696EC03" w14:textId="77777777" w:rsidR="00256B16" w:rsidRPr="003C34F2" w:rsidRDefault="007531CA" w:rsidP="00644F16">
            <w:pPr>
              <w:spacing w:after="0" w:line="240" w:lineRule="auto"/>
              <w:jc w:val="center"/>
              <w:rPr>
                <w:rFonts w:ascii="Tahoma" w:eastAsia="Times New Roman" w:hAnsi="Tahoma" w:cs="Tahoma"/>
                <w:color w:val="000000"/>
                <w:sz w:val="18"/>
                <w:szCs w:val="18"/>
                <w:lang w:val="en-GB" w:eastAsia="nl-NL"/>
              </w:rPr>
            </w:pPr>
            <w:r w:rsidRPr="003C34F2">
              <w:rPr>
                <w:rFonts w:ascii="Tahoma" w:eastAsia="Times New Roman" w:hAnsi="Tahoma" w:cs="Tahoma"/>
                <w:color w:val="000000"/>
                <w:sz w:val="18"/>
                <w:szCs w:val="18"/>
                <w:lang w:val="en-GB" w:eastAsia="nl-NL"/>
              </w:rPr>
              <w:t>Number of males</w:t>
            </w:r>
            <w:r w:rsidR="00256B16" w:rsidRPr="003C34F2">
              <w:rPr>
                <w:rFonts w:ascii="Tahoma" w:eastAsia="Times New Roman" w:hAnsi="Tahoma" w:cs="Tahoma"/>
                <w:color w:val="000000"/>
                <w:sz w:val="18"/>
                <w:szCs w:val="18"/>
                <w:lang w:val="en-GB" w:eastAsia="nl-NL"/>
              </w:rPr>
              <w:t xml:space="preserve"> </w:t>
            </w:r>
          </w:p>
          <w:p w14:paraId="06371886" w14:textId="04E32CC0" w:rsidR="007531CA" w:rsidRPr="003C34F2" w:rsidRDefault="00256B16" w:rsidP="00E274C2">
            <w:pPr>
              <w:spacing w:after="0" w:line="240" w:lineRule="auto"/>
              <w:jc w:val="center"/>
              <w:rPr>
                <w:rFonts w:ascii="Tahoma" w:eastAsia="Times New Roman" w:hAnsi="Tahoma" w:cs="Tahoma"/>
                <w:color w:val="000000"/>
                <w:sz w:val="18"/>
                <w:szCs w:val="18"/>
                <w:lang w:val="en-GB" w:eastAsia="nl-NL"/>
              </w:rPr>
            </w:pPr>
            <w:r w:rsidRPr="003C34F2">
              <w:rPr>
                <w:rFonts w:ascii="Tahoma" w:eastAsia="Times New Roman" w:hAnsi="Tahoma" w:cs="Tahoma"/>
                <w:color w:val="000000"/>
                <w:sz w:val="18"/>
                <w:szCs w:val="18"/>
                <w:lang w:val="en-GB" w:eastAsia="nl-NL"/>
              </w:rPr>
              <w:t>in the general population</w:t>
            </w:r>
            <w:r w:rsidR="00E274C2" w:rsidRPr="003C34F2">
              <w:rPr>
                <w:rFonts w:ascii="Tahoma" w:eastAsia="Times New Roman" w:hAnsi="Tahoma" w:cs="Tahoma"/>
                <w:color w:val="000000"/>
                <w:sz w:val="18"/>
                <w:szCs w:val="18"/>
                <w:lang w:val="en-GB" w:eastAsia="nl-NL"/>
              </w:rPr>
              <w:t xml:space="preserve"> [</w:t>
            </w:r>
            <w:r w:rsidR="00E24A6B">
              <w:rPr>
                <w:rFonts w:ascii="Tahoma" w:eastAsia="Times New Roman" w:hAnsi="Tahoma" w:cs="Tahoma"/>
                <w:color w:val="000000"/>
                <w:sz w:val="18"/>
                <w:szCs w:val="18"/>
                <w:lang w:val="en-GB" w:eastAsia="nl-NL"/>
              </w:rPr>
              <w:t>6</w:t>
            </w:r>
            <w:r w:rsidR="00E274C2" w:rsidRPr="003C34F2">
              <w:rPr>
                <w:rFonts w:ascii="Tahoma" w:eastAsia="Times New Roman" w:hAnsi="Tahoma" w:cs="Tahoma"/>
                <w:color w:val="000000"/>
                <w:sz w:val="18"/>
                <w:szCs w:val="18"/>
                <w:lang w:val="en-GB" w:eastAsia="nl-NL"/>
              </w:rPr>
              <w:t>]</w:t>
            </w:r>
          </w:p>
        </w:tc>
        <w:tc>
          <w:tcPr>
            <w:tcW w:w="4678" w:type="dxa"/>
            <w:gridSpan w:val="2"/>
            <w:tcBorders>
              <w:top w:val="single" w:sz="4" w:space="0" w:color="auto"/>
              <w:left w:val="nil"/>
              <w:bottom w:val="single" w:sz="4" w:space="0" w:color="auto"/>
              <w:right w:val="nil"/>
            </w:tcBorders>
            <w:shd w:val="clear" w:color="auto" w:fill="auto"/>
            <w:noWrap/>
            <w:vAlign w:val="bottom"/>
          </w:tcPr>
          <w:p w14:paraId="0AB48627" w14:textId="03D4B650" w:rsidR="007531CA" w:rsidRPr="003C34F2" w:rsidRDefault="00B3366D" w:rsidP="00644F16">
            <w:pPr>
              <w:spacing w:after="0" w:line="240" w:lineRule="auto"/>
              <w:jc w:val="center"/>
              <w:rPr>
                <w:rFonts w:ascii="Tahoma" w:eastAsia="Times New Roman" w:hAnsi="Tahoma" w:cs="Tahoma"/>
                <w:color w:val="000000"/>
                <w:sz w:val="18"/>
                <w:szCs w:val="18"/>
                <w:lang w:val="en-GB" w:eastAsia="nl-NL"/>
              </w:rPr>
            </w:pPr>
            <w:r w:rsidRPr="003C34F2">
              <w:rPr>
                <w:rFonts w:ascii="Tahoma" w:eastAsia="Times New Roman" w:hAnsi="Tahoma" w:cs="Tahoma"/>
                <w:color w:val="000000"/>
                <w:sz w:val="18"/>
                <w:szCs w:val="18"/>
                <w:lang w:val="en-GB" w:eastAsia="nl-NL"/>
              </w:rPr>
              <w:t xml:space="preserve">Recently sexually active </w:t>
            </w:r>
            <w:r w:rsidR="007531CA" w:rsidRPr="003C34F2">
              <w:rPr>
                <w:rFonts w:ascii="Tahoma" w:eastAsia="Times New Roman" w:hAnsi="Tahoma" w:cs="Tahoma"/>
                <w:color w:val="000000"/>
                <w:sz w:val="18"/>
                <w:szCs w:val="18"/>
                <w:lang w:val="en-GB" w:eastAsia="nl-NL"/>
              </w:rPr>
              <w:t>GBM</w:t>
            </w:r>
            <w:r w:rsidRPr="003C34F2">
              <w:rPr>
                <w:rFonts w:ascii="Tahoma" w:eastAsia="Times New Roman" w:hAnsi="Tahoma" w:cs="Tahoma"/>
                <w:color w:val="000000"/>
                <w:sz w:val="18"/>
                <w:szCs w:val="18"/>
                <w:lang w:val="en-GB" w:eastAsia="nl-NL"/>
              </w:rPr>
              <w:t>SM</w:t>
            </w:r>
          </w:p>
        </w:tc>
      </w:tr>
      <w:tr w:rsidR="007531CA" w:rsidRPr="00BA39F0" w14:paraId="41AAC21C" w14:textId="77777777" w:rsidTr="007531CA">
        <w:trPr>
          <w:trHeight w:val="288"/>
        </w:trPr>
        <w:tc>
          <w:tcPr>
            <w:tcW w:w="1266" w:type="dxa"/>
            <w:vMerge/>
            <w:tcBorders>
              <w:top w:val="single" w:sz="4" w:space="0" w:color="auto"/>
              <w:bottom w:val="single" w:sz="4" w:space="0" w:color="auto"/>
              <w:right w:val="nil"/>
            </w:tcBorders>
            <w:shd w:val="clear" w:color="auto" w:fill="auto"/>
            <w:noWrap/>
            <w:vAlign w:val="bottom"/>
          </w:tcPr>
          <w:p w14:paraId="5C03CB88" w14:textId="77777777" w:rsidR="007531CA" w:rsidRPr="003C34F2" w:rsidRDefault="007531CA" w:rsidP="00644F16">
            <w:pPr>
              <w:spacing w:after="0" w:line="240" w:lineRule="auto"/>
              <w:rPr>
                <w:rFonts w:ascii="Tahoma" w:eastAsia="Times New Roman" w:hAnsi="Tahoma" w:cs="Tahoma"/>
                <w:color w:val="000000"/>
                <w:sz w:val="18"/>
                <w:szCs w:val="18"/>
                <w:lang w:val="en-GB" w:eastAsia="nl-NL"/>
              </w:rPr>
            </w:pPr>
          </w:p>
        </w:tc>
        <w:tc>
          <w:tcPr>
            <w:tcW w:w="3270" w:type="dxa"/>
            <w:vMerge/>
            <w:tcBorders>
              <w:left w:val="nil"/>
              <w:bottom w:val="single" w:sz="4" w:space="0" w:color="auto"/>
              <w:right w:val="nil"/>
            </w:tcBorders>
            <w:shd w:val="clear" w:color="auto" w:fill="auto"/>
            <w:noWrap/>
            <w:vAlign w:val="bottom"/>
          </w:tcPr>
          <w:p w14:paraId="18A40C9B" w14:textId="77777777" w:rsidR="007531CA" w:rsidRPr="003C34F2" w:rsidRDefault="007531CA" w:rsidP="00644F16">
            <w:pPr>
              <w:spacing w:after="0" w:line="240" w:lineRule="auto"/>
              <w:jc w:val="center"/>
              <w:rPr>
                <w:rFonts w:ascii="Tahoma" w:eastAsia="Times New Roman" w:hAnsi="Tahoma" w:cs="Tahoma"/>
                <w:color w:val="000000"/>
                <w:sz w:val="18"/>
                <w:szCs w:val="18"/>
                <w:lang w:val="en-GB" w:eastAsia="nl-NL"/>
              </w:rPr>
            </w:pPr>
          </w:p>
        </w:tc>
        <w:tc>
          <w:tcPr>
            <w:tcW w:w="2825" w:type="dxa"/>
            <w:tcBorders>
              <w:top w:val="single" w:sz="4" w:space="0" w:color="auto"/>
              <w:left w:val="nil"/>
              <w:bottom w:val="single" w:sz="4" w:space="0" w:color="auto"/>
              <w:right w:val="nil"/>
            </w:tcBorders>
            <w:shd w:val="clear" w:color="auto" w:fill="auto"/>
            <w:noWrap/>
            <w:vAlign w:val="bottom"/>
          </w:tcPr>
          <w:p w14:paraId="688454DF" w14:textId="1262CACC" w:rsidR="007531CA" w:rsidRPr="003C34F2" w:rsidRDefault="00B3366D"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Proportion</w:t>
            </w:r>
          </w:p>
        </w:tc>
        <w:tc>
          <w:tcPr>
            <w:tcW w:w="1853" w:type="dxa"/>
            <w:tcBorders>
              <w:top w:val="single" w:sz="4" w:space="0" w:color="auto"/>
              <w:left w:val="nil"/>
              <w:bottom w:val="single" w:sz="4" w:space="0" w:color="auto"/>
              <w:right w:val="nil"/>
            </w:tcBorders>
            <w:shd w:val="clear" w:color="auto" w:fill="auto"/>
            <w:noWrap/>
            <w:vAlign w:val="bottom"/>
          </w:tcPr>
          <w:p w14:paraId="37B8E28D"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Number</w:t>
            </w:r>
          </w:p>
        </w:tc>
      </w:tr>
      <w:tr w:rsidR="007531CA" w:rsidRPr="00BA39F0" w14:paraId="3A24FA41" w14:textId="77777777" w:rsidTr="00051C9B">
        <w:trPr>
          <w:trHeight w:val="288"/>
        </w:trPr>
        <w:tc>
          <w:tcPr>
            <w:tcW w:w="1266" w:type="dxa"/>
            <w:tcBorders>
              <w:top w:val="single" w:sz="4" w:space="0" w:color="auto"/>
              <w:bottom w:val="nil"/>
              <w:right w:val="nil"/>
            </w:tcBorders>
            <w:shd w:val="clear" w:color="auto" w:fill="auto"/>
            <w:noWrap/>
            <w:vAlign w:val="bottom"/>
            <w:hideMark/>
          </w:tcPr>
          <w:p w14:paraId="5F311289" w14:textId="039E8B54" w:rsidR="007531CA" w:rsidRPr="003C34F2" w:rsidRDefault="007531CA" w:rsidP="00644F16">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18</w:t>
            </w:r>
          </w:p>
        </w:tc>
        <w:tc>
          <w:tcPr>
            <w:tcW w:w="3270" w:type="dxa"/>
            <w:tcBorders>
              <w:top w:val="single" w:sz="4" w:space="0" w:color="auto"/>
              <w:left w:val="nil"/>
              <w:bottom w:val="nil"/>
              <w:right w:val="nil"/>
            </w:tcBorders>
            <w:shd w:val="clear" w:color="auto" w:fill="auto"/>
            <w:noWrap/>
            <w:vAlign w:val="bottom"/>
            <w:hideMark/>
          </w:tcPr>
          <w:p w14:paraId="78A0ED67" w14:textId="42510893"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108</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000</w:t>
            </w:r>
          </w:p>
        </w:tc>
        <w:tc>
          <w:tcPr>
            <w:tcW w:w="2825" w:type="dxa"/>
            <w:tcBorders>
              <w:top w:val="single" w:sz="4" w:space="0" w:color="auto"/>
              <w:left w:val="nil"/>
              <w:bottom w:val="nil"/>
              <w:right w:val="nil"/>
            </w:tcBorders>
            <w:shd w:val="clear" w:color="auto" w:fill="auto"/>
            <w:noWrap/>
            <w:vAlign w:val="bottom"/>
            <w:hideMark/>
          </w:tcPr>
          <w:p w14:paraId="50C08E3D"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3.40%</w:t>
            </w:r>
          </w:p>
        </w:tc>
        <w:tc>
          <w:tcPr>
            <w:tcW w:w="1853" w:type="dxa"/>
            <w:tcBorders>
              <w:top w:val="single" w:sz="4" w:space="0" w:color="auto"/>
              <w:left w:val="nil"/>
              <w:bottom w:val="nil"/>
              <w:right w:val="nil"/>
            </w:tcBorders>
            <w:shd w:val="clear" w:color="auto" w:fill="auto"/>
            <w:noWrap/>
            <w:vAlign w:val="bottom"/>
            <w:hideMark/>
          </w:tcPr>
          <w:p w14:paraId="061DA3E3"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3672</w:t>
            </w:r>
          </w:p>
        </w:tc>
      </w:tr>
      <w:tr w:rsidR="007531CA" w:rsidRPr="00BA39F0" w14:paraId="1E259CFF" w14:textId="77777777" w:rsidTr="00051C9B">
        <w:trPr>
          <w:trHeight w:val="288"/>
        </w:trPr>
        <w:tc>
          <w:tcPr>
            <w:tcW w:w="1266" w:type="dxa"/>
            <w:tcBorders>
              <w:top w:val="nil"/>
              <w:bottom w:val="nil"/>
              <w:right w:val="nil"/>
            </w:tcBorders>
            <w:shd w:val="clear" w:color="auto" w:fill="auto"/>
            <w:noWrap/>
            <w:vAlign w:val="bottom"/>
            <w:hideMark/>
          </w:tcPr>
          <w:p w14:paraId="37A171B2" w14:textId="3829B9B1" w:rsidR="007531CA" w:rsidRPr="003C34F2" w:rsidRDefault="007531CA" w:rsidP="00644F16">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19-34</w:t>
            </w:r>
          </w:p>
        </w:tc>
        <w:tc>
          <w:tcPr>
            <w:tcW w:w="3270" w:type="dxa"/>
            <w:tcBorders>
              <w:top w:val="nil"/>
              <w:left w:val="nil"/>
              <w:bottom w:val="nil"/>
              <w:right w:val="nil"/>
            </w:tcBorders>
            <w:shd w:val="clear" w:color="auto" w:fill="auto"/>
            <w:noWrap/>
            <w:vAlign w:val="bottom"/>
            <w:hideMark/>
          </w:tcPr>
          <w:p w14:paraId="47938A96" w14:textId="28D7302F"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1</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845</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000</w:t>
            </w:r>
          </w:p>
        </w:tc>
        <w:tc>
          <w:tcPr>
            <w:tcW w:w="2825" w:type="dxa"/>
            <w:tcBorders>
              <w:top w:val="nil"/>
              <w:left w:val="nil"/>
              <w:bottom w:val="nil"/>
              <w:right w:val="nil"/>
            </w:tcBorders>
            <w:shd w:val="clear" w:color="auto" w:fill="auto"/>
            <w:noWrap/>
            <w:vAlign w:val="bottom"/>
            <w:hideMark/>
          </w:tcPr>
          <w:p w14:paraId="02387CEE"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5.10%</w:t>
            </w:r>
          </w:p>
        </w:tc>
        <w:tc>
          <w:tcPr>
            <w:tcW w:w="1853" w:type="dxa"/>
            <w:tcBorders>
              <w:top w:val="nil"/>
              <w:left w:val="nil"/>
              <w:bottom w:val="nil"/>
              <w:right w:val="nil"/>
            </w:tcBorders>
            <w:shd w:val="clear" w:color="auto" w:fill="auto"/>
            <w:noWrap/>
            <w:vAlign w:val="bottom"/>
            <w:hideMark/>
          </w:tcPr>
          <w:p w14:paraId="4C1D612B"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94095</w:t>
            </w:r>
          </w:p>
        </w:tc>
      </w:tr>
      <w:tr w:rsidR="007531CA" w:rsidRPr="00BA39F0" w14:paraId="7CDBD4E4" w14:textId="77777777" w:rsidTr="00051C9B">
        <w:trPr>
          <w:trHeight w:val="288"/>
        </w:trPr>
        <w:tc>
          <w:tcPr>
            <w:tcW w:w="1266" w:type="dxa"/>
            <w:tcBorders>
              <w:top w:val="nil"/>
              <w:bottom w:val="nil"/>
              <w:right w:val="nil"/>
            </w:tcBorders>
            <w:shd w:val="clear" w:color="auto" w:fill="auto"/>
            <w:noWrap/>
            <w:vAlign w:val="bottom"/>
            <w:hideMark/>
          </w:tcPr>
          <w:p w14:paraId="24049C1C" w14:textId="19F81EC7" w:rsidR="007531CA" w:rsidRPr="003C34F2" w:rsidRDefault="007531CA" w:rsidP="00644F16">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35-54</w:t>
            </w:r>
          </w:p>
        </w:tc>
        <w:tc>
          <w:tcPr>
            <w:tcW w:w="3270" w:type="dxa"/>
            <w:tcBorders>
              <w:top w:val="nil"/>
              <w:left w:val="nil"/>
              <w:bottom w:val="nil"/>
              <w:right w:val="nil"/>
            </w:tcBorders>
            <w:shd w:val="clear" w:color="auto" w:fill="auto"/>
            <w:noWrap/>
            <w:vAlign w:val="bottom"/>
            <w:hideMark/>
          </w:tcPr>
          <w:p w14:paraId="5FE59DDC" w14:textId="2DEE0D83"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2</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246</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000</w:t>
            </w:r>
          </w:p>
        </w:tc>
        <w:tc>
          <w:tcPr>
            <w:tcW w:w="2825" w:type="dxa"/>
            <w:tcBorders>
              <w:top w:val="nil"/>
              <w:left w:val="nil"/>
              <w:bottom w:val="nil"/>
              <w:right w:val="nil"/>
            </w:tcBorders>
            <w:shd w:val="clear" w:color="auto" w:fill="auto"/>
            <w:noWrap/>
            <w:vAlign w:val="bottom"/>
            <w:hideMark/>
          </w:tcPr>
          <w:p w14:paraId="06E5E9E6"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5.10%</w:t>
            </w:r>
          </w:p>
        </w:tc>
        <w:tc>
          <w:tcPr>
            <w:tcW w:w="1853" w:type="dxa"/>
            <w:tcBorders>
              <w:top w:val="nil"/>
              <w:left w:val="nil"/>
              <w:bottom w:val="nil"/>
              <w:right w:val="nil"/>
            </w:tcBorders>
            <w:shd w:val="clear" w:color="auto" w:fill="auto"/>
            <w:noWrap/>
            <w:vAlign w:val="bottom"/>
            <w:hideMark/>
          </w:tcPr>
          <w:p w14:paraId="3D4AE263"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114546</w:t>
            </w:r>
          </w:p>
        </w:tc>
      </w:tr>
      <w:tr w:rsidR="007531CA" w:rsidRPr="00BA39F0" w14:paraId="36CA1F04" w14:textId="77777777" w:rsidTr="00051C9B">
        <w:trPr>
          <w:trHeight w:val="288"/>
        </w:trPr>
        <w:tc>
          <w:tcPr>
            <w:tcW w:w="1266" w:type="dxa"/>
            <w:tcBorders>
              <w:top w:val="nil"/>
              <w:bottom w:val="nil"/>
              <w:right w:val="nil"/>
            </w:tcBorders>
            <w:shd w:val="clear" w:color="auto" w:fill="auto"/>
            <w:noWrap/>
            <w:vAlign w:val="bottom"/>
            <w:hideMark/>
          </w:tcPr>
          <w:p w14:paraId="1883225F" w14:textId="7DC540AD" w:rsidR="007531CA" w:rsidRPr="003C34F2" w:rsidRDefault="007531CA" w:rsidP="00644F16">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55-69</w:t>
            </w:r>
          </w:p>
        </w:tc>
        <w:tc>
          <w:tcPr>
            <w:tcW w:w="3270" w:type="dxa"/>
            <w:tcBorders>
              <w:top w:val="nil"/>
              <w:left w:val="nil"/>
              <w:bottom w:val="nil"/>
              <w:right w:val="nil"/>
            </w:tcBorders>
            <w:shd w:val="clear" w:color="auto" w:fill="auto"/>
            <w:noWrap/>
            <w:vAlign w:val="bottom"/>
            <w:hideMark/>
          </w:tcPr>
          <w:p w14:paraId="79CA4D95" w14:textId="600338D3"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1</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714</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000</w:t>
            </w:r>
          </w:p>
        </w:tc>
        <w:tc>
          <w:tcPr>
            <w:tcW w:w="2825" w:type="dxa"/>
            <w:tcBorders>
              <w:top w:val="nil"/>
              <w:left w:val="nil"/>
              <w:bottom w:val="nil"/>
              <w:right w:val="nil"/>
            </w:tcBorders>
            <w:shd w:val="clear" w:color="auto" w:fill="auto"/>
            <w:noWrap/>
            <w:vAlign w:val="bottom"/>
            <w:hideMark/>
          </w:tcPr>
          <w:p w14:paraId="610F3A5F"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4.50%</w:t>
            </w:r>
          </w:p>
        </w:tc>
        <w:tc>
          <w:tcPr>
            <w:tcW w:w="1853" w:type="dxa"/>
            <w:tcBorders>
              <w:top w:val="nil"/>
              <w:left w:val="nil"/>
              <w:bottom w:val="nil"/>
              <w:right w:val="nil"/>
            </w:tcBorders>
            <w:shd w:val="clear" w:color="auto" w:fill="auto"/>
            <w:noWrap/>
            <w:vAlign w:val="bottom"/>
            <w:hideMark/>
          </w:tcPr>
          <w:p w14:paraId="203F486C"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77130</w:t>
            </w:r>
          </w:p>
        </w:tc>
      </w:tr>
      <w:tr w:rsidR="007531CA" w:rsidRPr="00BA39F0" w14:paraId="1BACD371" w14:textId="77777777" w:rsidTr="00051C9B">
        <w:trPr>
          <w:trHeight w:val="288"/>
        </w:trPr>
        <w:tc>
          <w:tcPr>
            <w:tcW w:w="1266" w:type="dxa"/>
            <w:tcBorders>
              <w:top w:val="nil"/>
              <w:right w:val="nil"/>
            </w:tcBorders>
            <w:shd w:val="clear" w:color="auto" w:fill="auto"/>
            <w:noWrap/>
            <w:vAlign w:val="bottom"/>
            <w:hideMark/>
          </w:tcPr>
          <w:p w14:paraId="0314B6BF" w14:textId="5E43B1EE" w:rsidR="007531CA" w:rsidRPr="003C34F2" w:rsidRDefault="007531CA" w:rsidP="00644F16">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70-74</w:t>
            </w:r>
          </w:p>
        </w:tc>
        <w:tc>
          <w:tcPr>
            <w:tcW w:w="3270" w:type="dxa"/>
            <w:tcBorders>
              <w:top w:val="nil"/>
              <w:left w:val="nil"/>
              <w:right w:val="nil"/>
            </w:tcBorders>
            <w:shd w:val="clear" w:color="auto" w:fill="auto"/>
            <w:noWrap/>
            <w:vAlign w:val="bottom"/>
            <w:hideMark/>
          </w:tcPr>
          <w:p w14:paraId="4CB36C24" w14:textId="22AF9EA1"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460</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000</w:t>
            </w:r>
          </w:p>
        </w:tc>
        <w:tc>
          <w:tcPr>
            <w:tcW w:w="2825" w:type="dxa"/>
            <w:tcBorders>
              <w:top w:val="nil"/>
              <w:left w:val="nil"/>
              <w:right w:val="nil"/>
            </w:tcBorders>
            <w:shd w:val="clear" w:color="auto" w:fill="auto"/>
            <w:noWrap/>
            <w:vAlign w:val="bottom"/>
            <w:hideMark/>
          </w:tcPr>
          <w:p w14:paraId="1A48881C"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3.00%</w:t>
            </w:r>
          </w:p>
        </w:tc>
        <w:tc>
          <w:tcPr>
            <w:tcW w:w="1853" w:type="dxa"/>
            <w:tcBorders>
              <w:top w:val="nil"/>
              <w:left w:val="nil"/>
              <w:right w:val="nil"/>
            </w:tcBorders>
            <w:shd w:val="clear" w:color="auto" w:fill="auto"/>
            <w:noWrap/>
            <w:vAlign w:val="bottom"/>
            <w:hideMark/>
          </w:tcPr>
          <w:p w14:paraId="6B9A5B48"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13800</w:t>
            </w:r>
          </w:p>
        </w:tc>
      </w:tr>
      <w:tr w:rsidR="007531CA" w:rsidRPr="00BA39F0" w14:paraId="2CFA1992" w14:textId="77777777" w:rsidTr="00051C9B">
        <w:trPr>
          <w:trHeight w:val="288"/>
        </w:trPr>
        <w:tc>
          <w:tcPr>
            <w:tcW w:w="1266" w:type="dxa"/>
            <w:tcBorders>
              <w:top w:val="nil"/>
              <w:bottom w:val="single" w:sz="4" w:space="0" w:color="auto"/>
              <w:right w:val="nil"/>
            </w:tcBorders>
            <w:shd w:val="clear" w:color="auto" w:fill="auto"/>
            <w:noWrap/>
            <w:vAlign w:val="bottom"/>
            <w:hideMark/>
          </w:tcPr>
          <w:p w14:paraId="50385A4F" w14:textId="260EEBA5" w:rsidR="007531CA" w:rsidRPr="003C34F2" w:rsidRDefault="007531CA" w:rsidP="00644F16">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75-80</w:t>
            </w:r>
          </w:p>
        </w:tc>
        <w:tc>
          <w:tcPr>
            <w:tcW w:w="3270" w:type="dxa"/>
            <w:tcBorders>
              <w:top w:val="nil"/>
              <w:left w:val="nil"/>
              <w:bottom w:val="single" w:sz="4" w:space="0" w:color="auto"/>
              <w:right w:val="nil"/>
            </w:tcBorders>
            <w:shd w:val="clear" w:color="auto" w:fill="auto"/>
            <w:noWrap/>
            <w:vAlign w:val="bottom"/>
            <w:hideMark/>
          </w:tcPr>
          <w:p w14:paraId="1CED74C0" w14:textId="4B2081E3"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387</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000</w:t>
            </w:r>
          </w:p>
        </w:tc>
        <w:tc>
          <w:tcPr>
            <w:tcW w:w="2825" w:type="dxa"/>
            <w:tcBorders>
              <w:top w:val="nil"/>
              <w:left w:val="nil"/>
              <w:bottom w:val="single" w:sz="4" w:space="0" w:color="auto"/>
              <w:right w:val="nil"/>
            </w:tcBorders>
            <w:shd w:val="clear" w:color="auto" w:fill="auto"/>
            <w:noWrap/>
            <w:vAlign w:val="bottom"/>
            <w:hideMark/>
          </w:tcPr>
          <w:p w14:paraId="5CA49A61"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2.50%</w:t>
            </w:r>
          </w:p>
        </w:tc>
        <w:tc>
          <w:tcPr>
            <w:tcW w:w="1853" w:type="dxa"/>
            <w:tcBorders>
              <w:top w:val="nil"/>
              <w:left w:val="nil"/>
              <w:bottom w:val="single" w:sz="4" w:space="0" w:color="auto"/>
              <w:right w:val="nil"/>
            </w:tcBorders>
            <w:shd w:val="clear" w:color="auto" w:fill="auto"/>
            <w:noWrap/>
            <w:vAlign w:val="bottom"/>
            <w:hideMark/>
          </w:tcPr>
          <w:p w14:paraId="31C350A8"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9675</w:t>
            </w:r>
          </w:p>
        </w:tc>
      </w:tr>
      <w:tr w:rsidR="007531CA" w:rsidRPr="00BA39F0" w14:paraId="02A24E17" w14:textId="77777777" w:rsidTr="00051C9B">
        <w:trPr>
          <w:trHeight w:val="288"/>
        </w:trPr>
        <w:tc>
          <w:tcPr>
            <w:tcW w:w="1266" w:type="dxa"/>
            <w:tcBorders>
              <w:top w:val="single" w:sz="4" w:space="0" w:color="auto"/>
              <w:bottom w:val="single" w:sz="4" w:space="0" w:color="auto"/>
              <w:right w:val="nil"/>
            </w:tcBorders>
            <w:shd w:val="clear" w:color="auto" w:fill="auto"/>
            <w:noWrap/>
            <w:vAlign w:val="bottom"/>
          </w:tcPr>
          <w:p w14:paraId="11B3B608" w14:textId="77777777" w:rsidR="007531CA" w:rsidRPr="003C34F2" w:rsidRDefault="007531CA" w:rsidP="00644F16">
            <w:pPr>
              <w:spacing w:after="0" w:line="240" w:lineRule="auto"/>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Total</w:t>
            </w:r>
          </w:p>
        </w:tc>
        <w:tc>
          <w:tcPr>
            <w:tcW w:w="3270" w:type="dxa"/>
            <w:tcBorders>
              <w:top w:val="single" w:sz="4" w:space="0" w:color="auto"/>
              <w:left w:val="nil"/>
              <w:bottom w:val="single" w:sz="4" w:space="0" w:color="auto"/>
              <w:right w:val="nil"/>
            </w:tcBorders>
            <w:shd w:val="clear" w:color="auto" w:fill="auto"/>
            <w:noWrap/>
            <w:vAlign w:val="bottom"/>
          </w:tcPr>
          <w:p w14:paraId="365B0907" w14:textId="6C93F934"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6</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760</w:t>
            </w:r>
            <w:r w:rsidR="004F4B47">
              <w:rPr>
                <w:rFonts w:ascii="Tahoma" w:eastAsia="Times New Roman" w:hAnsi="Tahoma" w:cs="Tahoma"/>
                <w:color w:val="000000"/>
                <w:sz w:val="18"/>
                <w:szCs w:val="18"/>
                <w:lang w:eastAsia="nl-NL"/>
              </w:rPr>
              <w:t>,</w:t>
            </w:r>
            <w:r w:rsidRPr="003C34F2">
              <w:rPr>
                <w:rFonts w:ascii="Tahoma" w:eastAsia="Times New Roman" w:hAnsi="Tahoma" w:cs="Tahoma"/>
                <w:color w:val="000000"/>
                <w:sz w:val="18"/>
                <w:szCs w:val="18"/>
                <w:lang w:eastAsia="nl-NL"/>
              </w:rPr>
              <w:t>000</w:t>
            </w:r>
          </w:p>
        </w:tc>
        <w:tc>
          <w:tcPr>
            <w:tcW w:w="2825" w:type="dxa"/>
            <w:tcBorders>
              <w:top w:val="single" w:sz="4" w:space="0" w:color="auto"/>
              <w:left w:val="nil"/>
              <w:bottom w:val="single" w:sz="4" w:space="0" w:color="auto"/>
              <w:right w:val="nil"/>
            </w:tcBorders>
            <w:shd w:val="clear" w:color="auto" w:fill="auto"/>
            <w:noWrap/>
            <w:vAlign w:val="bottom"/>
          </w:tcPr>
          <w:p w14:paraId="5D762D41"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4.63%</w:t>
            </w:r>
          </w:p>
        </w:tc>
        <w:tc>
          <w:tcPr>
            <w:tcW w:w="1853" w:type="dxa"/>
            <w:tcBorders>
              <w:top w:val="single" w:sz="4" w:space="0" w:color="auto"/>
              <w:left w:val="nil"/>
              <w:bottom w:val="single" w:sz="4" w:space="0" w:color="auto"/>
              <w:right w:val="nil"/>
            </w:tcBorders>
            <w:shd w:val="clear" w:color="auto" w:fill="auto"/>
            <w:noWrap/>
            <w:vAlign w:val="bottom"/>
          </w:tcPr>
          <w:p w14:paraId="19B2FD0B" w14:textId="77777777" w:rsidR="007531CA" w:rsidRPr="003C34F2" w:rsidRDefault="007531CA" w:rsidP="00644F16">
            <w:pPr>
              <w:spacing w:after="0" w:line="240" w:lineRule="auto"/>
              <w:jc w:val="center"/>
              <w:rPr>
                <w:rFonts w:ascii="Tahoma" w:eastAsia="Times New Roman" w:hAnsi="Tahoma" w:cs="Tahoma"/>
                <w:color w:val="000000"/>
                <w:sz w:val="18"/>
                <w:szCs w:val="18"/>
                <w:lang w:eastAsia="nl-NL"/>
              </w:rPr>
            </w:pPr>
            <w:r w:rsidRPr="003C34F2">
              <w:rPr>
                <w:rFonts w:ascii="Tahoma" w:eastAsia="Times New Roman" w:hAnsi="Tahoma" w:cs="Tahoma"/>
                <w:color w:val="000000"/>
                <w:sz w:val="18"/>
                <w:szCs w:val="18"/>
                <w:lang w:eastAsia="nl-NL"/>
              </w:rPr>
              <w:t>312918</w:t>
            </w:r>
          </w:p>
        </w:tc>
      </w:tr>
    </w:tbl>
    <w:p w14:paraId="4097FF6D" w14:textId="77777777" w:rsidR="002258E4" w:rsidRDefault="002258E4" w:rsidP="000142D6">
      <w:pPr>
        <w:spacing w:after="0" w:line="240" w:lineRule="auto"/>
        <w:rPr>
          <w:rFonts w:ascii="Tahoma" w:hAnsi="Tahoma" w:cs="Tahoma"/>
          <w:b/>
          <w:bCs/>
          <w:sz w:val="20"/>
          <w:szCs w:val="20"/>
        </w:rPr>
      </w:pPr>
    </w:p>
    <w:p w14:paraId="347121DF" w14:textId="77777777" w:rsidR="003C34F2" w:rsidRDefault="003C34F2" w:rsidP="000142D6">
      <w:pPr>
        <w:spacing w:after="0" w:line="240" w:lineRule="auto"/>
        <w:rPr>
          <w:rFonts w:ascii="Tahoma" w:hAnsi="Tahoma" w:cs="Tahoma"/>
          <w:b/>
          <w:bCs/>
          <w:sz w:val="20"/>
          <w:szCs w:val="20"/>
        </w:rPr>
      </w:pPr>
    </w:p>
    <w:p w14:paraId="5F0B4483" w14:textId="627B6F7E" w:rsidR="00B075B4" w:rsidRPr="000142D6" w:rsidRDefault="008841F3" w:rsidP="000142D6">
      <w:pPr>
        <w:spacing w:after="0" w:line="240" w:lineRule="auto"/>
        <w:rPr>
          <w:rFonts w:ascii="Tahoma" w:hAnsi="Tahoma" w:cs="Tahoma"/>
          <w:b/>
          <w:bCs/>
          <w:sz w:val="20"/>
          <w:szCs w:val="20"/>
        </w:rPr>
      </w:pPr>
      <w:r w:rsidRPr="000142D6">
        <w:rPr>
          <w:rFonts w:ascii="Tahoma" w:hAnsi="Tahoma" w:cs="Tahoma"/>
          <w:b/>
          <w:bCs/>
          <w:sz w:val="20"/>
          <w:szCs w:val="20"/>
        </w:rPr>
        <w:t>References</w:t>
      </w:r>
    </w:p>
    <w:p w14:paraId="7102F1EF" w14:textId="0F06F47F" w:rsidR="0055270B" w:rsidRPr="00E24A6B" w:rsidRDefault="003B7C49" w:rsidP="000142D6">
      <w:pPr>
        <w:tabs>
          <w:tab w:val="left" w:pos="284"/>
        </w:tabs>
        <w:spacing w:after="0" w:line="240" w:lineRule="auto"/>
        <w:ind w:left="284" w:hanging="284"/>
        <w:rPr>
          <w:rStyle w:val="Hyperlink"/>
          <w:rFonts w:ascii="Tahoma" w:hAnsi="Tahoma" w:cs="Tahoma"/>
          <w:sz w:val="20"/>
          <w:szCs w:val="20"/>
          <w:lang w:val="en-US"/>
        </w:rPr>
      </w:pPr>
      <w:r w:rsidRPr="00BA39F0">
        <w:rPr>
          <w:rFonts w:ascii="Tahoma" w:hAnsi="Tahoma" w:cs="Tahoma"/>
          <w:sz w:val="20"/>
          <w:szCs w:val="20"/>
        </w:rPr>
        <w:t>1.</w:t>
      </w:r>
      <w:r w:rsidRPr="00174033">
        <w:rPr>
          <w:rFonts w:ascii="Tahoma" w:hAnsi="Tahoma" w:cs="Tahoma"/>
          <w:sz w:val="20"/>
          <w:szCs w:val="20"/>
        </w:rPr>
        <w:tab/>
        <w:t xml:space="preserve">Kuyper L. Seksualiteit en seksuele gezondheid bij homo- en biseksuelen. </w:t>
      </w:r>
      <w:r w:rsidRPr="000142D6">
        <w:rPr>
          <w:rFonts w:ascii="Tahoma" w:hAnsi="Tahoma" w:cs="Tahoma"/>
          <w:sz w:val="20"/>
          <w:szCs w:val="20"/>
          <w:lang w:val="en-US"/>
        </w:rPr>
        <w:t>[Sexuality and sexual health of gay and bisexual persons</w:t>
      </w:r>
      <w:r w:rsidR="0055270B" w:rsidRPr="000142D6">
        <w:rPr>
          <w:rFonts w:ascii="Tahoma" w:hAnsi="Tahoma" w:cs="Tahoma"/>
          <w:sz w:val="20"/>
          <w:szCs w:val="20"/>
          <w:lang w:val="en-US"/>
        </w:rPr>
        <w:t>.</w:t>
      </w:r>
      <w:r w:rsidRPr="000142D6">
        <w:rPr>
          <w:rFonts w:ascii="Tahoma" w:hAnsi="Tahoma" w:cs="Tahoma"/>
          <w:sz w:val="20"/>
          <w:szCs w:val="20"/>
          <w:lang w:val="en-US"/>
        </w:rPr>
        <w:t>] In: Bakker F</w:t>
      </w:r>
      <w:r w:rsidR="00195213" w:rsidRPr="000142D6">
        <w:rPr>
          <w:rFonts w:ascii="Tahoma" w:hAnsi="Tahoma" w:cs="Tahoma"/>
          <w:sz w:val="20"/>
          <w:szCs w:val="20"/>
          <w:lang w:val="en-US"/>
        </w:rPr>
        <w:t>,</w:t>
      </w:r>
      <w:r w:rsidRPr="000142D6">
        <w:rPr>
          <w:rFonts w:ascii="Tahoma" w:hAnsi="Tahoma" w:cs="Tahoma"/>
          <w:sz w:val="20"/>
          <w:szCs w:val="20"/>
          <w:lang w:val="en-US"/>
        </w:rPr>
        <w:t xml:space="preserve"> &amp; Vanwesenbeeck I</w:t>
      </w:r>
      <w:r w:rsidR="00195213" w:rsidRPr="000142D6">
        <w:rPr>
          <w:rFonts w:ascii="Tahoma" w:hAnsi="Tahoma" w:cs="Tahoma"/>
          <w:sz w:val="20"/>
          <w:szCs w:val="20"/>
          <w:lang w:val="en-US"/>
        </w:rPr>
        <w:t>, editors</w:t>
      </w:r>
      <w:r w:rsidRPr="000142D6">
        <w:rPr>
          <w:rFonts w:ascii="Tahoma" w:hAnsi="Tahoma" w:cs="Tahoma"/>
          <w:sz w:val="20"/>
          <w:szCs w:val="20"/>
          <w:lang w:val="en-US"/>
        </w:rPr>
        <w:t xml:space="preserve">. </w:t>
      </w:r>
      <w:r w:rsidRPr="00174033">
        <w:rPr>
          <w:rFonts w:ascii="Tahoma" w:hAnsi="Tahoma" w:cs="Tahoma"/>
          <w:sz w:val="20"/>
          <w:szCs w:val="20"/>
        </w:rPr>
        <w:t xml:space="preserve">Seksuele </w:t>
      </w:r>
      <w:r w:rsidRPr="00E24A6B">
        <w:rPr>
          <w:rFonts w:ascii="Tahoma" w:hAnsi="Tahoma" w:cs="Tahoma"/>
          <w:sz w:val="20"/>
          <w:szCs w:val="20"/>
        </w:rPr>
        <w:t>gezondheid in Nederland 2006. Delft, the Netherlands: Eburon</w:t>
      </w:r>
      <w:r w:rsidR="006346D9" w:rsidRPr="00E24A6B">
        <w:rPr>
          <w:rFonts w:ascii="Tahoma" w:hAnsi="Tahoma" w:cs="Tahoma"/>
          <w:sz w:val="20"/>
          <w:szCs w:val="20"/>
        </w:rPr>
        <w:t>; 2006.</w:t>
      </w:r>
      <w:r w:rsidRPr="00E24A6B">
        <w:rPr>
          <w:rFonts w:ascii="Tahoma" w:hAnsi="Tahoma" w:cs="Tahoma"/>
          <w:sz w:val="20"/>
          <w:szCs w:val="20"/>
        </w:rPr>
        <w:t xml:space="preserve"> pp. 167-188. Dutch. </w:t>
      </w:r>
      <w:r w:rsidR="006346D9" w:rsidRPr="00E24A6B">
        <w:rPr>
          <w:rFonts w:ascii="Tahoma" w:hAnsi="Tahoma" w:cs="Tahoma"/>
          <w:sz w:val="20"/>
          <w:szCs w:val="20"/>
          <w:lang w:val="en-US"/>
        </w:rPr>
        <w:t xml:space="preserve">Available from: </w:t>
      </w:r>
      <w:r w:rsidR="00E24A6B" w:rsidRPr="00E24A6B">
        <w:rPr>
          <w:rFonts w:ascii="Tahoma" w:hAnsi="Tahoma" w:cs="Tahoma"/>
          <w:sz w:val="20"/>
          <w:szCs w:val="20"/>
          <w:lang w:val="en-US"/>
        </w:rPr>
        <w:t>https://shop.rutgers.nl/651860.pdf</w:t>
      </w:r>
    </w:p>
    <w:p w14:paraId="59ACA1AC" w14:textId="017EB4C5" w:rsidR="008D380B" w:rsidRPr="008D380B" w:rsidRDefault="00936993" w:rsidP="00E24A6B">
      <w:pPr>
        <w:tabs>
          <w:tab w:val="left" w:pos="284"/>
        </w:tabs>
        <w:spacing w:after="0" w:line="240" w:lineRule="auto"/>
        <w:ind w:left="284" w:hanging="284"/>
        <w:rPr>
          <w:rFonts w:ascii="Tahoma" w:hAnsi="Tahoma" w:cs="Tahoma"/>
          <w:color w:val="000000" w:themeColor="text1"/>
          <w:sz w:val="20"/>
          <w:szCs w:val="20"/>
          <w:lang w:val="en-GB"/>
        </w:rPr>
      </w:pPr>
      <w:r w:rsidRPr="00E24A6B">
        <w:rPr>
          <w:rFonts w:ascii="Tahoma" w:hAnsi="Tahoma" w:cs="Tahoma"/>
          <w:sz w:val="20"/>
          <w:szCs w:val="20"/>
          <w:lang w:val="en-US"/>
        </w:rPr>
        <w:t>2.</w:t>
      </w:r>
      <w:r w:rsidRPr="00E24A6B">
        <w:rPr>
          <w:rFonts w:ascii="Tahoma" w:hAnsi="Tahoma" w:cs="Tahoma"/>
          <w:sz w:val="20"/>
          <w:szCs w:val="20"/>
          <w:lang w:val="en-US"/>
        </w:rPr>
        <w:tab/>
      </w:r>
      <w:r w:rsidR="009C617A" w:rsidRPr="009C617A">
        <w:rPr>
          <w:rFonts w:ascii="Tahoma" w:hAnsi="Tahoma" w:cs="Tahoma"/>
          <w:sz w:val="20"/>
          <w:szCs w:val="20"/>
          <w:lang w:val="en-US"/>
        </w:rPr>
        <w:t xml:space="preserve">National Institute for Public Health and the Environment [Internet]. Bilthoven, the Netherlands: National Institute for Public Health and the Environment. Mpox; 2023 Feb 16 [cited 2023 Feb 24]; [about 8 screens]. </w:t>
      </w:r>
      <w:r w:rsidR="009C617A" w:rsidRPr="009C617A">
        <w:rPr>
          <w:rFonts w:ascii="Tahoma" w:hAnsi="Tahoma" w:cs="Tahoma"/>
          <w:sz w:val="20"/>
          <w:szCs w:val="20"/>
          <w:lang w:val="en-GB"/>
        </w:rPr>
        <w:t xml:space="preserve">Available from: </w:t>
      </w:r>
      <w:hyperlink r:id="rId11" w:history="1">
        <w:r w:rsidR="009C617A" w:rsidRPr="009C617A">
          <w:rPr>
            <w:rStyle w:val="Hyperlink"/>
            <w:rFonts w:ascii="Tahoma" w:hAnsi="Tahoma" w:cs="Tahoma"/>
            <w:sz w:val="20"/>
            <w:szCs w:val="20"/>
            <w:lang w:val="en-GB"/>
          </w:rPr>
          <w:t>https://www.rivm.nl/en/monkeypox</w:t>
        </w:r>
      </w:hyperlink>
      <w:r w:rsidR="009C617A">
        <w:rPr>
          <w:rFonts w:ascii="Tahoma" w:hAnsi="Tahoma" w:cs="Tahoma"/>
          <w:sz w:val="20"/>
          <w:szCs w:val="20"/>
          <w:lang w:val="en-US"/>
        </w:rPr>
        <w:t xml:space="preserve">. </w:t>
      </w:r>
      <w:r w:rsidR="008D380B" w:rsidRPr="008D380B">
        <w:rPr>
          <w:rStyle w:val="Hyperlink"/>
          <w:rFonts w:ascii="Tahoma" w:hAnsi="Tahoma" w:cs="Tahoma"/>
          <w:color w:val="000000" w:themeColor="text1"/>
          <w:sz w:val="20"/>
          <w:szCs w:val="20"/>
          <w:u w:val="none"/>
          <w:lang w:val="en-GB"/>
        </w:rPr>
        <w:t>Additional data were retrieved from the registry (not publicly available).</w:t>
      </w:r>
    </w:p>
    <w:p w14:paraId="50480681" w14:textId="1B005DB9" w:rsidR="00E24A6B" w:rsidRPr="00E24A6B" w:rsidRDefault="005777D5" w:rsidP="000142D6">
      <w:pPr>
        <w:tabs>
          <w:tab w:val="left" w:pos="284"/>
        </w:tabs>
        <w:spacing w:after="0" w:line="240" w:lineRule="auto"/>
        <w:ind w:left="284" w:hanging="284"/>
        <w:rPr>
          <w:rFonts w:ascii="Tahoma" w:hAnsi="Tahoma" w:cs="Tahoma"/>
          <w:sz w:val="20"/>
          <w:szCs w:val="20"/>
          <w:lang w:val="en-US"/>
        </w:rPr>
      </w:pPr>
      <w:r w:rsidRPr="00E24A6B">
        <w:rPr>
          <w:rFonts w:ascii="Tahoma" w:hAnsi="Tahoma" w:cs="Tahoma"/>
          <w:sz w:val="20"/>
          <w:szCs w:val="20"/>
        </w:rPr>
        <w:lastRenderedPageBreak/>
        <w:t>3.</w:t>
      </w:r>
      <w:r w:rsidRPr="00E24A6B">
        <w:rPr>
          <w:rFonts w:ascii="Tahoma" w:hAnsi="Tahoma" w:cs="Tahoma"/>
          <w:sz w:val="20"/>
          <w:szCs w:val="20"/>
        </w:rPr>
        <w:tab/>
      </w:r>
      <w:r w:rsidR="0055270B" w:rsidRPr="00E24A6B">
        <w:rPr>
          <w:rFonts w:ascii="Tahoma" w:hAnsi="Tahoma" w:cs="Tahoma"/>
          <w:sz w:val="20"/>
          <w:szCs w:val="20"/>
        </w:rPr>
        <w:t>de Graaf H, van den Borne M., Nikkelen S, Twisk D, Meijer S. Seks onder je 25</w:t>
      </w:r>
      <w:r w:rsidR="0055270B" w:rsidRPr="00E24A6B">
        <w:rPr>
          <w:rFonts w:ascii="Tahoma" w:hAnsi="Tahoma" w:cs="Tahoma"/>
          <w:sz w:val="20"/>
          <w:szCs w:val="20"/>
          <w:vertAlign w:val="superscript"/>
        </w:rPr>
        <w:t>e</w:t>
      </w:r>
      <w:r w:rsidR="0055270B" w:rsidRPr="00E24A6B">
        <w:rPr>
          <w:rFonts w:ascii="Tahoma" w:hAnsi="Tahoma" w:cs="Tahoma"/>
          <w:sz w:val="20"/>
          <w:szCs w:val="20"/>
        </w:rPr>
        <w:t>. Seksuele gezondheid van jongeren in Nederland anno 2017. [Se</w:t>
      </w:r>
      <w:r w:rsidR="004F3AE2" w:rsidRPr="00E24A6B">
        <w:rPr>
          <w:rFonts w:ascii="Tahoma" w:hAnsi="Tahoma" w:cs="Tahoma"/>
          <w:sz w:val="20"/>
          <w:szCs w:val="20"/>
        </w:rPr>
        <w:t>x</w:t>
      </w:r>
      <w:r w:rsidR="0055270B" w:rsidRPr="00E24A6B">
        <w:rPr>
          <w:rFonts w:ascii="Tahoma" w:hAnsi="Tahoma" w:cs="Tahoma"/>
          <w:sz w:val="20"/>
          <w:szCs w:val="20"/>
        </w:rPr>
        <w:t xml:space="preserve"> under </w:t>
      </w:r>
      <w:r w:rsidR="002C4773" w:rsidRPr="00E24A6B">
        <w:rPr>
          <w:rFonts w:ascii="Tahoma" w:hAnsi="Tahoma" w:cs="Tahoma"/>
          <w:sz w:val="20"/>
          <w:szCs w:val="20"/>
        </w:rPr>
        <w:t>th</w:t>
      </w:r>
      <w:r w:rsidR="0055270B" w:rsidRPr="00E24A6B">
        <w:rPr>
          <w:rFonts w:ascii="Tahoma" w:hAnsi="Tahoma" w:cs="Tahoma"/>
          <w:sz w:val="20"/>
          <w:szCs w:val="20"/>
        </w:rPr>
        <w:t xml:space="preserve">e age of 25. </w:t>
      </w:r>
      <w:r w:rsidR="0055270B" w:rsidRPr="00E24A6B">
        <w:rPr>
          <w:rFonts w:ascii="Tahoma" w:hAnsi="Tahoma" w:cs="Tahoma"/>
          <w:sz w:val="20"/>
          <w:szCs w:val="20"/>
          <w:lang w:val="en-US"/>
        </w:rPr>
        <w:t xml:space="preserve">Sexual health of young people in the Netherlands in 2017.]. </w:t>
      </w:r>
      <w:r w:rsidR="0055270B" w:rsidRPr="00E24A6B">
        <w:rPr>
          <w:rFonts w:ascii="Tahoma" w:hAnsi="Tahoma" w:cs="Tahoma"/>
          <w:sz w:val="20"/>
          <w:szCs w:val="20"/>
          <w:lang w:val="en-GB"/>
        </w:rPr>
        <w:t xml:space="preserve">Utrecht/Amsterdam, the Netherlands: Rutgers/Soa Aids Nederland; 2017. </w:t>
      </w:r>
      <w:r w:rsidR="0055270B" w:rsidRPr="00E24A6B">
        <w:rPr>
          <w:rFonts w:ascii="Tahoma" w:hAnsi="Tahoma" w:cs="Tahoma"/>
          <w:sz w:val="20"/>
          <w:szCs w:val="20"/>
          <w:lang w:val="en-US"/>
        </w:rPr>
        <w:t xml:space="preserve">251p. Available from: </w:t>
      </w:r>
      <w:hyperlink r:id="rId12" w:tgtFrame="_blank" w:history="1">
        <w:r w:rsidR="00E24A6B" w:rsidRPr="008D380B">
          <w:rPr>
            <w:rStyle w:val="Hyperlink"/>
            <w:rFonts w:ascii="Tahoma" w:hAnsi="Tahoma" w:cs="Tahoma"/>
            <w:sz w:val="20"/>
            <w:szCs w:val="20"/>
            <w:lang w:val="en-US"/>
          </w:rPr>
          <w:t>https://shop.rutgers.nl/641118.pdf</w:t>
        </w:r>
      </w:hyperlink>
    </w:p>
    <w:p w14:paraId="42394311" w14:textId="62985F82" w:rsidR="00850C47" w:rsidRPr="00E24A6B" w:rsidRDefault="00E24A6B" w:rsidP="009C617A">
      <w:pPr>
        <w:tabs>
          <w:tab w:val="left" w:pos="284"/>
        </w:tabs>
        <w:spacing w:after="0" w:line="240" w:lineRule="auto"/>
        <w:ind w:left="284" w:hanging="284"/>
        <w:rPr>
          <w:rFonts w:ascii="Tahoma" w:hAnsi="Tahoma" w:cs="Tahoma"/>
          <w:sz w:val="20"/>
          <w:szCs w:val="20"/>
          <w:lang w:val="en-GB"/>
        </w:rPr>
      </w:pPr>
      <w:r w:rsidRPr="00E24A6B">
        <w:rPr>
          <w:rFonts w:ascii="Tahoma" w:hAnsi="Tahoma" w:cs="Tahoma"/>
          <w:sz w:val="20"/>
          <w:szCs w:val="20"/>
          <w:lang w:val="en-GB"/>
        </w:rPr>
        <w:t>4.</w:t>
      </w:r>
      <w:r w:rsidR="009C617A">
        <w:rPr>
          <w:rFonts w:ascii="Tahoma" w:hAnsi="Tahoma" w:cs="Tahoma"/>
          <w:sz w:val="20"/>
          <w:szCs w:val="20"/>
          <w:lang w:val="en-GB"/>
        </w:rPr>
        <w:tab/>
      </w:r>
      <w:r w:rsidR="00850C47" w:rsidRPr="00E24A6B">
        <w:rPr>
          <w:rFonts w:ascii="Tahoma" w:hAnsi="Tahoma" w:cs="Tahoma"/>
          <w:sz w:val="20"/>
          <w:szCs w:val="20"/>
          <w:lang w:val="en-GB"/>
        </w:rPr>
        <w:t xml:space="preserve">Rutgers </w:t>
      </w:r>
      <w:r w:rsidR="009C617A">
        <w:rPr>
          <w:rFonts w:ascii="Tahoma" w:hAnsi="Tahoma" w:cs="Tahoma"/>
          <w:sz w:val="20"/>
          <w:szCs w:val="20"/>
          <w:lang w:val="en-GB"/>
        </w:rPr>
        <w:t>[Internet]. Utrecht, the Netherlands: Rutgers.</w:t>
      </w:r>
      <w:r w:rsidR="00850C47" w:rsidRPr="00E24A6B">
        <w:rPr>
          <w:rFonts w:ascii="Tahoma" w:hAnsi="Tahoma" w:cs="Tahoma"/>
          <w:sz w:val="20"/>
          <w:szCs w:val="20"/>
          <w:lang w:val="en-GB"/>
        </w:rPr>
        <w:t xml:space="preserve"> Young people in the Netherlands start having sex at a later age</w:t>
      </w:r>
      <w:r w:rsidR="009C617A" w:rsidRPr="009C617A">
        <w:rPr>
          <w:rFonts w:ascii="Tahoma" w:hAnsi="Tahoma" w:cs="Tahoma"/>
          <w:sz w:val="20"/>
          <w:szCs w:val="20"/>
          <w:lang w:val="en-US"/>
        </w:rPr>
        <w:t>; 20</w:t>
      </w:r>
      <w:r w:rsidR="009C617A">
        <w:rPr>
          <w:rFonts w:ascii="Tahoma" w:hAnsi="Tahoma" w:cs="Tahoma"/>
          <w:sz w:val="20"/>
          <w:szCs w:val="20"/>
          <w:lang w:val="en-US"/>
        </w:rPr>
        <w:t>17</w:t>
      </w:r>
      <w:r w:rsidR="009C617A" w:rsidRPr="009C617A">
        <w:rPr>
          <w:rFonts w:ascii="Tahoma" w:hAnsi="Tahoma" w:cs="Tahoma"/>
          <w:sz w:val="20"/>
          <w:szCs w:val="20"/>
          <w:lang w:val="en-US"/>
        </w:rPr>
        <w:t xml:space="preserve"> </w:t>
      </w:r>
      <w:r w:rsidR="009C617A">
        <w:rPr>
          <w:rFonts w:ascii="Tahoma" w:hAnsi="Tahoma" w:cs="Tahoma"/>
          <w:sz w:val="20"/>
          <w:szCs w:val="20"/>
          <w:lang w:val="en-US"/>
        </w:rPr>
        <w:t>Jun</w:t>
      </w:r>
      <w:r w:rsidR="009C617A" w:rsidRPr="009C617A">
        <w:rPr>
          <w:rFonts w:ascii="Tahoma" w:hAnsi="Tahoma" w:cs="Tahoma"/>
          <w:sz w:val="20"/>
          <w:szCs w:val="20"/>
          <w:lang w:val="en-US"/>
        </w:rPr>
        <w:t xml:space="preserve"> 1</w:t>
      </w:r>
      <w:r w:rsidR="009C617A">
        <w:rPr>
          <w:rFonts w:ascii="Tahoma" w:hAnsi="Tahoma" w:cs="Tahoma"/>
          <w:sz w:val="20"/>
          <w:szCs w:val="20"/>
          <w:lang w:val="en-US"/>
        </w:rPr>
        <w:t>7</w:t>
      </w:r>
      <w:r w:rsidR="009C617A" w:rsidRPr="009C617A">
        <w:rPr>
          <w:rFonts w:ascii="Tahoma" w:hAnsi="Tahoma" w:cs="Tahoma"/>
          <w:sz w:val="20"/>
          <w:szCs w:val="20"/>
          <w:lang w:val="en-US"/>
        </w:rPr>
        <w:t xml:space="preserve"> [cited 2023 Feb 24]; [about </w:t>
      </w:r>
      <w:r w:rsidR="009C617A">
        <w:rPr>
          <w:rFonts w:ascii="Tahoma" w:hAnsi="Tahoma" w:cs="Tahoma"/>
          <w:sz w:val="20"/>
          <w:szCs w:val="20"/>
          <w:lang w:val="en-US"/>
        </w:rPr>
        <w:t>5</w:t>
      </w:r>
      <w:r w:rsidR="009C617A" w:rsidRPr="009C617A">
        <w:rPr>
          <w:rFonts w:ascii="Tahoma" w:hAnsi="Tahoma" w:cs="Tahoma"/>
          <w:sz w:val="20"/>
          <w:szCs w:val="20"/>
          <w:lang w:val="en-US"/>
        </w:rPr>
        <w:t xml:space="preserve"> screens].</w:t>
      </w:r>
    </w:p>
    <w:p w14:paraId="77269774" w14:textId="13510F42" w:rsidR="00850C47" w:rsidRPr="00E24A6B" w:rsidRDefault="00000000" w:rsidP="00E24A6B">
      <w:pPr>
        <w:spacing w:after="0" w:line="240" w:lineRule="auto"/>
        <w:ind w:left="284"/>
        <w:rPr>
          <w:rFonts w:ascii="Tahoma" w:hAnsi="Tahoma" w:cs="Tahoma"/>
          <w:sz w:val="20"/>
          <w:szCs w:val="20"/>
          <w:lang w:val="en-GB"/>
        </w:rPr>
      </w:pPr>
      <w:hyperlink r:id="rId13" w:history="1">
        <w:r w:rsidR="00E24A6B" w:rsidRPr="00E24A6B">
          <w:rPr>
            <w:rStyle w:val="Hyperlink"/>
            <w:rFonts w:ascii="Tahoma" w:hAnsi="Tahoma" w:cs="Tahoma"/>
            <w:sz w:val="20"/>
            <w:szCs w:val="20"/>
            <w:lang w:val="en-GB"/>
          </w:rPr>
          <w:t>https://rutgers.international/news/young-people-in-the-netherlands-start-having-sex-at-a-later-age/</w:t>
        </w:r>
      </w:hyperlink>
      <w:r w:rsidR="00850C47" w:rsidRPr="00E24A6B">
        <w:rPr>
          <w:rFonts w:ascii="Tahoma" w:hAnsi="Tahoma" w:cs="Tahoma"/>
          <w:sz w:val="20"/>
          <w:szCs w:val="20"/>
          <w:lang w:val="en-GB"/>
        </w:rPr>
        <w:t xml:space="preserve"> (Retrieved 21/12/2022)</w:t>
      </w:r>
    </w:p>
    <w:p w14:paraId="7D5386A6" w14:textId="179E4FE7" w:rsidR="002258E4" w:rsidRPr="00E24A6B" w:rsidRDefault="00E24A6B" w:rsidP="002258E4">
      <w:pPr>
        <w:tabs>
          <w:tab w:val="left" w:pos="284"/>
        </w:tabs>
        <w:spacing w:after="0" w:line="240" w:lineRule="auto"/>
        <w:ind w:left="284" w:hanging="284"/>
        <w:rPr>
          <w:rStyle w:val="Hyperlink"/>
          <w:rFonts w:ascii="Tahoma" w:hAnsi="Tahoma" w:cs="Tahoma"/>
          <w:sz w:val="20"/>
          <w:szCs w:val="20"/>
          <w:lang w:val="en-US"/>
        </w:rPr>
      </w:pPr>
      <w:r w:rsidRPr="00E24A6B">
        <w:rPr>
          <w:rFonts w:ascii="Tahoma" w:hAnsi="Tahoma" w:cs="Tahoma"/>
          <w:sz w:val="20"/>
          <w:szCs w:val="20"/>
          <w:lang w:val="en-US"/>
        </w:rPr>
        <w:t>5</w:t>
      </w:r>
      <w:r w:rsidR="002258E4" w:rsidRPr="00E24A6B">
        <w:rPr>
          <w:rFonts w:ascii="Tahoma" w:hAnsi="Tahoma" w:cs="Tahoma"/>
          <w:sz w:val="20"/>
          <w:szCs w:val="20"/>
          <w:lang w:val="en-US"/>
        </w:rPr>
        <w:t>.</w:t>
      </w:r>
      <w:r w:rsidR="002258E4" w:rsidRPr="00E24A6B">
        <w:rPr>
          <w:rFonts w:ascii="Tahoma" w:hAnsi="Tahoma" w:cs="Tahoma"/>
          <w:sz w:val="20"/>
          <w:szCs w:val="20"/>
          <w:lang w:val="en-US"/>
        </w:rPr>
        <w:tab/>
      </w:r>
      <w:r w:rsidR="002258E4" w:rsidRPr="00E24A6B">
        <w:rPr>
          <w:rFonts w:ascii="Tahoma" w:eastAsia="Times New Roman" w:hAnsi="Tahoma" w:cs="Tahoma"/>
          <w:color w:val="000000" w:themeColor="text1"/>
          <w:sz w:val="20"/>
          <w:szCs w:val="20"/>
          <w:lang w:val="en-GB" w:eastAsia="nl-NL"/>
        </w:rPr>
        <w:t>Kuyper L, Vanwesenbeeck I. High levels of same-sex experiences in the Netherlands:</w:t>
      </w:r>
      <w:r w:rsidR="002258E4" w:rsidRPr="00E24A6B">
        <w:rPr>
          <w:rFonts w:ascii="Tahoma" w:eastAsia="Times New Roman" w:hAnsi="Tahoma" w:cs="Tahoma"/>
          <w:sz w:val="20"/>
          <w:szCs w:val="20"/>
          <w:lang w:val="en-GB" w:eastAsia="nl-NL"/>
        </w:rPr>
        <w:t xml:space="preserve"> Prevalences of same-sex experiences in historical and international perspective. </w:t>
      </w:r>
      <w:r w:rsidR="002258E4" w:rsidRPr="00E24A6B">
        <w:rPr>
          <w:rFonts w:ascii="Tahoma" w:hAnsi="Tahoma" w:cs="Tahoma"/>
          <w:sz w:val="20"/>
          <w:szCs w:val="20"/>
          <w:shd w:val="clear" w:color="auto" w:fill="FFFFFF"/>
          <w:lang w:val="en-GB"/>
        </w:rPr>
        <w:t>J Homosex. 2009;</w:t>
      </w:r>
      <w:r w:rsidR="002258E4" w:rsidRPr="00E24A6B">
        <w:rPr>
          <w:rFonts w:ascii="Tahoma" w:eastAsia="Times New Roman" w:hAnsi="Tahoma" w:cs="Tahoma"/>
          <w:sz w:val="20"/>
          <w:szCs w:val="20"/>
          <w:lang w:val="en-GB" w:eastAsia="nl-NL"/>
        </w:rPr>
        <w:t xml:space="preserve">56(8):993–1010. </w:t>
      </w:r>
      <w:hyperlink r:id="rId14" w:history="1">
        <w:r w:rsidR="002258E4" w:rsidRPr="00E24A6B">
          <w:rPr>
            <w:rStyle w:val="Hyperlink"/>
            <w:rFonts w:ascii="Tahoma" w:hAnsi="Tahoma" w:cs="Tahoma"/>
            <w:sz w:val="20"/>
            <w:szCs w:val="20"/>
            <w:lang w:val="en-US"/>
          </w:rPr>
          <w:t>https://doi.org/10.1080/00918360903275401</w:t>
        </w:r>
      </w:hyperlink>
    </w:p>
    <w:p w14:paraId="2646BA61" w14:textId="01B15F06" w:rsidR="0073079D" w:rsidRPr="00E24A6B" w:rsidRDefault="00E24A6B" w:rsidP="000142D6">
      <w:pPr>
        <w:tabs>
          <w:tab w:val="left" w:pos="284"/>
        </w:tabs>
        <w:spacing w:after="0" w:line="240" w:lineRule="auto"/>
        <w:ind w:left="284" w:hanging="284"/>
        <w:rPr>
          <w:rFonts w:ascii="Tahoma" w:hAnsi="Tahoma" w:cs="Tahoma"/>
          <w:sz w:val="20"/>
          <w:szCs w:val="20"/>
          <w:lang w:val="en-US"/>
        </w:rPr>
      </w:pPr>
      <w:r w:rsidRPr="00E24A6B">
        <w:rPr>
          <w:rFonts w:ascii="Tahoma" w:hAnsi="Tahoma" w:cs="Tahoma"/>
          <w:sz w:val="20"/>
          <w:szCs w:val="20"/>
          <w:lang w:val="en-US"/>
        </w:rPr>
        <w:t>6</w:t>
      </w:r>
      <w:r w:rsidR="000142D6" w:rsidRPr="00E24A6B">
        <w:rPr>
          <w:rFonts w:ascii="Tahoma" w:hAnsi="Tahoma" w:cs="Tahoma"/>
          <w:sz w:val="20"/>
          <w:szCs w:val="20"/>
          <w:lang w:val="en-US"/>
        </w:rPr>
        <w:t>.</w:t>
      </w:r>
      <w:r w:rsidR="000142D6" w:rsidRPr="00E24A6B">
        <w:rPr>
          <w:rFonts w:ascii="Tahoma" w:hAnsi="Tahoma" w:cs="Tahoma"/>
          <w:sz w:val="20"/>
          <w:szCs w:val="20"/>
          <w:lang w:val="en-US"/>
        </w:rPr>
        <w:tab/>
        <w:t xml:space="preserve">Statline [Internet]. Den Haag, the Netherlands: Statistics Netherlands c2023. Bevolking; kerncijfers [Population; key numbers]; 2022 Aug 22 [cited 2023 Feb 26]; [about 1 screen]. Available from: </w:t>
      </w:r>
      <w:hyperlink r:id="rId15" w:anchor="/CBS/nl/dataset/37296ned/table?ts=1677400975218" w:history="1">
        <w:r w:rsidR="000142D6" w:rsidRPr="00E24A6B">
          <w:rPr>
            <w:rStyle w:val="Hyperlink"/>
            <w:rFonts w:ascii="Tahoma" w:hAnsi="Tahoma" w:cs="Tahoma"/>
            <w:sz w:val="20"/>
            <w:szCs w:val="20"/>
            <w:lang w:val="en-US"/>
          </w:rPr>
          <w:t>https://opendata.cbs.nl/statline/#/CBS/nl/dataset/37296ned/table?ts=1677400975218</w:t>
        </w:r>
      </w:hyperlink>
    </w:p>
    <w:p w14:paraId="41CB3E9E" w14:textId="77777777" w:rsidR="0087604A" w:rsidRPr="00BA39F0" w:rsidRDefault="0087604A" w:rsidP="009A2710">
      <w:pPr>
        <w:spacing w:after="0" w:line="480" w:lineRule="auto"/>
        <w:rPr>
          <w:rFonts w:ascii="Tahoma" w:hAnsi="Tahoma" w:cs="Tahoma"/>
          <w:sz w:val="20"/>
          <w:szCs w:val="20"/>
          <w:lang w:val="en-GB"/>
        </w:rPr>
      </w:pPr>
    </w:p>
    <w:sectPr w:rsidR="0087604A" w:rsidRPr="00BA39F0" w:rsidSect="008E296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9CFF" w14:textId="77777777" w:rsidR="00D4283D" w:rsidRDefault="00D4283D" w:rsidP="00A94E27">
      <w:pPr>
        <w:spacing w:after="0" w:line="240" w:lineRule="auto"/>
      </w:pPr>
      <w:r>
        <w:separator/>
      </w:r>
    </w:p>
  </w:endnote>
  <w:endnote w:type="continuationSeparator" w:id="0">
    <w:p w14:paraId="240D5CBD" w14:textId="77777777" w:rsidR="00D4283D" w:rsidRDefault="00D4283D" w:rsidP="00A9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FE3E" w14:textId="77777777" w:rsidR="00A94E27" w:rsidRDefault="00A9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656087"/>
      <w:docPartObj>
        <w:docPartGallery w:val="Page Numbers (Bottom of Page)"/>
        <w:docPartUnique/>
      </w:docPartObj>
    </w:sdtPr>
    <w:sdtContent>
      <w:p w14:paraId="48014A92" w14:textId="513E1336" w:rsidR="00A94E27" w:rsidRDefault="00A94E27">
        <w:pPr>
          <w:pStyle w:val="Footer"/>
          <w:jc w:val="right"/>
        </w:pPr>
        <w:r>
          <w:fldChar w:fldCharType="begin"/>
        </w:r>
        <w:r>
          <w:instrText>PAGE   \* MERGEFORMAT</w:instrText>
        </w:r>
        <w:r>
          <w:fldChar w:fldCharType="separate"/>
        </w:r>
        <w:r>
          <w:t>2</w:t>
        </w:r>
        <w:r>
          <w:fldChar w:fldCharType="end"/>
        </w:r>
      </w:p>
    </w:sdtContent>
  </w:sdt>
  <w:p w14:paraId="05A53F6F" w14:textId="77777777" w:rsidR="00A94E27" w:rsidRDefault="00A94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31E4" w14:textId="77777777" w:rsidR="00A94E27" w:rsidRDefault="00A94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4C78" w14:textId="77777777" w:rsidR="00D4283D" w:rsidRDefault="00D4283D" w:rsidP="00A94E27">
      <w:pPr>
        <w:spacing w:after="0" w:line="240" w:lineRule="auto"/>
      </w:pPr>
      <w:r>
        <w:separator/>
      </w:r>
    </w:p>
  </w:footnote>
  <w:footnote w:type="continuationSeparator" w:id="0">
    <w:p w14:paraId="45101F93" w14:textId="77777777" w:rsidR="00D4283D" w:rsidRDefault="00D4283D" w:rsidP="00A94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AFDB" w14:textId="77777777" w:rsidR="00A94E27" w:rsidRDefault="00A94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8CF6" w14:textId="77777777" w:rsidR="00A94E27" w:rsidRDefault="00A94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C212" w14:textId="77777777" w:rsidR="00A94E27" w:rsidRDefault="00A94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D7D97"/>
    <w:multiLevelType w:val="hybridMultilevel"/>
    <w:tmpl w:val="A6521DA4"/>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766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NDcyMbc0sjAyNTNW0lEKTi0uzszPAykwNqkFAMHwsgwtAAAA"/>
  </w:docVars>
  <w:rsids>
    <w:rsidRoot w:val="00C04043"/>
    <w:rsid w:val="0000270A"/>
    <w:rsid w:val="00005B6C"/>
    <w:rsid w:val="000142D6"/>
    <w:rsid w:val="000209BD"/>
    <w:rsid w:val="00033B63"/>
    <w:rsid w:val="00034A20"/>
    <w:rsid w:val="00037072"/>
    <w:rsid w:val="00051C9B"/>
    <w:rsid w:val="00060643"/>
    <w:rsid w:val="000770F4"/>
    <w:rsid w:val="00091528"/>
    <w:rsid w:val="000A2834"/>
    <w:rsid w:val="000A79DD"/>
    <w:rsid w:val="000D5360"/>
    <w:rsid w:val="000E16DC"/>
    <w:rsid w:val="001068F9"/>
    <w:rsid w:val="00153B49"/>
    <w:rsid w:val="00174033"/>
    <w:rsid w:val="00195213"/>
    <w:rsid w:val="001A2FB6"/>
    <w:rsid w:val="001B5C21"/>
    <w:rsid w:val="001C7CA4"/>
    <w:rsid w:val="001E3966"/>
    <w:rsid w:val="00203AFD"/>
    <w:rsid w:val="00206039"/>
    <w:rsid w:val="002135F0"/>
    <w:rsid w:val="0022476C"/>
    <w:rsid w:val="0022541A"/>
    <w:rsid w:val="002258E4"/>
    <w:rsid w:val="00243158"/>
    <w:rsid w:val="00243387"/>
    <w:rsid w:val="002470F2"/>
    <w:rsid w:val="00251113"/>
    <w:rsid w:val="002517EC"/>
    <w:rsid w:val="00256B16"/>
    <w:rsid w:val="002571D5"/>
    <w:rsid w:val="00262C8A"/>
    <w:rsid w:val="00267371"/>
    <w:rsid w:val="002707D3"/>
    <w:rsid w:val="0027575C"/>
    <w:rsid w:val="00284B5C"/>
    <w:rsid w:val="002875A2"/>
    <w:rsid w:val="002947DC"/>
    <w:rsid w:val="002962DC"/>
    <w:rsid w:val="002A11BA"/>
    <w:rsid w:val="002A42FD"/>
    <w:rsid w:val="002C4773"/>
    <w:rsid w:val="002D4757"/>
    <w:rsid w:val="002D5EAF"/>
    <w:rsid w:val="002D6FAC"/>
    <w:rsid w:val="002E1B55"/>
    <w:rsid w:val="002E67F3"/>
    <w:rsid w:val="002F358D"/>
    <w:rsid w:val="002F45A2"/>
    <w:rsid w:val="00327A8A"/>
    <w:rsid w:val="00333A47"/>
    <w:rsid w:val="003425FE"/>
    <w:rsid w:val="00371647"/>
    <w:rsid w:val="00376054"/>
    <w:rsid w:val="00385160"/>
    <w:rsid w:val="0038524D"/>
    <w:rsid w:val="00395C84"/>
    <w:rsid w:val="003B7C49"/>
    <w:rsid w:val="003B7F0D"/>
    <w:rsid w:val="003C34F2"/>
    <w:rsid w:val="003C5F20"/>
    <w:rsid w:val="003D6A4E"/>
    <w:rsid w:val="003E1742"/>
    <w:rsid w:val="003E1A1F"/>
    <w:rsid w:val="003E712A"/>
    <w:rsid w:val="003F1E29"/>
    <w:rsid w:val="003F6AEA"/>
    <w:rsid w:val="00401B64"/>
    <w:rsid w:val="00411664"/>
    <w:rsid w:val="00426521"/>
    <w:rsid w:val="00437E41"/>
    <w:rsid w:val="00441936"/>
    <w:rsid w:val="0046182F"/>
    <w:rsid w:val="00484FF2"/>
    <w:rsid w:val="00485CAF"/>
    <w:rsid w:val="00493EA2"/>
    <w:rsid w:val="004B1681"/>
    <w:rsid w:val="004B469B"/>
    <w:rsid w:val="004E5681"/>
    <w:rsid w:val="004E67C5"/>
    <w:rsid w:val="004F3AE2"/>
    <w:rsid w:val="004F4B47"/>
    <w:rsid w:val="00501576"/>
    <w:rsid w:val="00503AC1"/>
    <w:rsid w:val="00512D55"/>
    <w:rsid w:val="00513C4C"/>
    <w:rsid w:val="00522B93"/>
    <w:rsid w:val="005340BC"/>
    <w:rsid w:val="0055270B"/>
    <w:rsid w:val="00556929"/>
    <w:rsid w:val="005738C3"/>
    <w:rsid w:val="00576BC0"/>
    <w:rsid w:val="005777D5"/>
    <w:rsid w:val="005839F4"/>
    <w:rsid w:val="005A2D3C"/>
    <w:rsid w:val="005E1165"/>
    <w:rsid w:val="005E63C0"/>
    <w:rsid w:val="005F1187"/>
    <w:rsid w:val="005F27AB"/>
    <w:rsid w:val="005F3E96"/>
    <w:rsid w:val="00602F8F"/>
    <w:rsid w:val="00604221"/>
    <w:rsid w:val="0060698D"/>
    <w:rsid w:val="00610F12"/>
    <w:rsid w:val="00620E0C"/>
    <w:rsid w:val="006346D9"/>
    <w:rsid w:val="00635E24"/>
    <w:rsid w:val="00644F16"/>
    <w:rsid w:val="0064730D"/>
    <w:rsid w:val="00652B98"/>
    <w:rsid w:val="00654759"/>
    <w:rsid w:val="00655182"/>
    <w:rsid w:val="00665EC9"/>
    <w:rsid w:val="00683894"/>
    <w:rsid w:val="006A0054"/>
    <w:rsid w:val="006A1CA1"/>
    <w:rsid w:val="006A6F04"/>
    <w:rsid w:val="006C1B0E"/>
    <w:rsid w:val="007050B1"/>
    <w:rsid w:val="00707224"/>
    <w:rsid w:val="007174AA"/>
    <w:rsid w:val="0073079D"/>
    <w:rsid w:val="0074087C"/>
    <w:rsid w:val="00752D9F"/>
    <w:rsid w:val="007531CA"/>
    <w:rsid w:val="007754F9"/>
    <w:rsid w:val="00797867"/>
    <w:rsid w:val="007A7A4F"/>
    <w:rsid w:val="007A7BD2"/>
    <w:rsid w:val="007B00D3"/>
    <w:rsid w:val="007B57D6"/>
    <w:rsid w:val="007C5D45"/>
    <w:rsid w:val="007C699C"/>
    <w:rsid w:val="007C7B6A"/>
    <w:rsid w:val="007F7A15"/>
    <w:rsid w:val="008013F1"/>
    <w:rsid w:val="00814D4E"/>
    <w:rsid w:val="008428A3"/>
    <w:rsid w:val="00844D26"/>
    <w:rsid w:val="00850C47"/>
    <w:rsid w:val="008565C4"/>
    <w:rsid w:val="0087604A"/>
    <w:rsid w:val="00880171"/>
    <w:rsid w:val="00880DA3"/>
    <w:rsid w:val="008841F3"/>
    <w:rsid w:val="008B3E8D"/>
    <w:rsid w:val="008C05C7"/>
    <w:rsid w:val="008D1473"/>
    <w:rsid w:val="008D25CC"/>
    <w:rsid w:val="008D380B"/>
    <w:rsid w:val="008E25FF"/>
    <w:rsid w:val="008E2966"/>
    <w:rsid w:val="008E69DD"/>
    <w:rsid w:val="008F36E6"/>
    <w:rsid w:val="009013B7"/>
    <w:rsid w:val="009123C0"/>
    <w:rsid w:val="00922AFF"/>
    <w:rsid w:val="0092479E"/>
    <w:rsid w:val="00936993"/>
    <w:rsid w:val="00940CF5"/>
    <w:rsid w:val="00940EF1"/>
    <w:rsid w:val="00954D9F"/>
    <w:rsid w:val="0097155D"/>
    <w:rsid w:val="0097417B"/>
    <w:rsid w:val="0097583E"/>
    <w:rsid w:val="0098131C"/>
    <w:rsid w:val="0098642E"/>
    <w:rsid w:val="00995A03"/>
    <w:rsid w:val="009A2710"/>
    <w:rsid w:val="009C617A"/>
    <w:rsid w:val="009D401A"/>
    <w:rsid w:val="009F7C62"/>
    <w:rsid w:val="00A17CD0"/>
    <w:rsid w:val="00A37C19"/>
    <w:rsid w:val="00A42311"/>
    <w:rsid w:val="00A86B00"/>
    <w:rsid w:val="00A94494"/>
    <w:rsid w:val="00A94E27"/>
    <w:rsid w:val="00A9720A"/>
    <w:rsid w:val="00AA770D"/>
    <w:rsid w:val="00AD3722"/>
    <w:rsid w:val="00AE3F82"/>
    <w:rsid w:val="00B075B4"/>
    <w:rsid w:val="00B22619"/>
    <w:rsid w:val="00B3366D"/>
    <w:rsid w:val="00B66FF8"/>
    <w:rsid w:val="00B7059F"/>
    <w:rsid w:val="00BA39F0"/>
    <w:rsid w:val="00BD34B4"/>
    <w:rsid w:val="00BD47EE"/>
    <w:rsid w:val="00BD5E07"/>
    <w:rsid w:val="00BD7FCF"/>
    <w:rsid w:val="00BE2FEE"/>
    <w:rsid w:val="00C02578"/>
    <w:rsid w:val="00C04043"/>
    <w:rsid w:val="00C04229"/>
    <w:rsid w:val="00C1477D"/>
    <w:rsid w:val="00C148CB"/>
    <w:rsid w:val="00C16C65"/>
    <w:rsid w:val="00C23B6F"/>
    <w:rsid w:val="00C26063"/>
    <w:rsid w:val="00C5177D"/>
    <w:rsid w:val="00C90DD4"/>
    <w:rsid w:val="00CB0877"/>
    <w:rsid w:val="00CD1E29"/>
    <w:rsid w:val="00CE0567"/>
    <w:rsid w:val="00CF4C72"/>
    <w:rsid w:val="00D31F31"/>
    <w:rsid w:val="00D4283D"/>
    <w:rsid w:val="00D8399D"/>
    <w:rsid w:val="00D90F8F"/>
    <w:rsid w:val="00D91580"/>
    <w:rsid w:val="00DA1DE9"/>
    <w:rsid w:val="00DA23DD"/>
    <w:rsid w:val="00DA3195"/>
    <w:rsid w:val="00DF6D13"/>
    <w:rsid w:val="00E0403E"/>
    <w:rsid w:val="00E07829"/>
    <w:rsid w:val="00E24695"/>
    <w:rsid w:val="00E24A6B"/>
    <w:rsid w:val="00E274C2"/>
    <w:rsid w:val="00E34B42"/>
    <w:rsid w:val="00E536B8"/>
    <w:rsid w:val="00E730E2"/>
    <w:rsid w:val="00E77ECB"/>
    <w:rsid w:val="00E87889"/>
    <w:rsid w:val="00EB7F09"/>
    <w:rsid w:val="00ED4DDC"/>
    <w:rsid w:val="00F06C43"/>
    <w:rsid w:val="00F80F79"/>
    <w:rsid w:val="00F971CF"/>
    <w:rsid w:val="00FA2AAF"/>
    <w:rsid w:val="00FA40E9"/>
    <w:rsid w:val="00FC2411"/>
    <w:rsid w:val="00FD5F32"/>
    <w:rsid w:val="00FE3F5E"/>
    <w:rsid w:val="00FE6D97"/>
    <w:rsid w:val="00FF68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69F4"/>
  <w15:chartTrackingRefBased/>
  <w15:docId w15:val="{33C80D00-8792-4FE5-8100-F6FDB429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B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0404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5">
    <w:name w:val="heading 5"/>
    <w:basedOn w:val="Normal"/>
    <w:next w:val="Normal"/>
    <w:link w:val="Heading5Char"/>
    <w:uiPriority w:val="9"/>
    <w:semiHidden/>
    <w:unhideWhenUsed/>
    <w:qFormat/>
    <w:rsid w:val="00C040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043"/>
    <w:rPr>
      <w:rFonts w:ascii="Times New Roman" w:eastAsia="Times New Roman" w:hAnsi="Times New Roman" w:cs="Times New Roman"/>
      <w:b/>
      <w:bCs/>
      <w:sz w:val="36"/>
      <w:szCs w:val="36"/>
      <w:lang w:eastAsia="nl-NL"/>
    </w:rPr>
  </w:style>
  <w:style w:type="character" w:customStyle="1" w:styleId="Heading5Char">
    <w:name w:val="Heading 5 Char"/>
    <w:basedOn w:val="DefaultParagraphFont"/>
    <w:link w:val="Heading5"/>
    <w:uiPriority w:val="9"/>
    <w:semiHidden/>
    <w:rsid w:val="00C04043"/>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C0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43"/>
    <w:rPr>
      <w:sz w:val="16"/>
      <w:szCs w:val="16"/>
    </w:rPr>
  </w:style>
  <w:style w:type="paragraph" w:styleId="CommentText">
    <w:name w:val="annotation text"/>
    <w:basedOn w:val="Normal"/>
    <w:link w:val="CommentTextChar"/>
    <w:uiPriority w:val="99"/>
    <w:unhideWhenUsed/>
    <w:rsid w:val="00C04043"/>
    <w:pPr>
      <w:spacing w:line="240" w:lineRule="auto"/>
    </w:pPr>
    <w:rPr>
      <w:sz w:val="20"/>
      <w:szCs w:val="20"/>
    </w:rPr>
  </w:style>
  <w:style w:type="character" w:customStyle="1" w:styleId="CommentTextChar">
    <w:name w:val="Comment Text Char"/>
    <w:basedOn w:val="DefaultParagraphFont"/>
    <w:link w:val="CommentText"/>
    <w:uiPriority w:val="99"/>
    <w:rsid w:val="00C04043"/>
    <w:rPr>
      <w:sz w:val="20"/>
      <w:szCs w:val="20"/>
    </w:rPr>
  </w:style>
  <w:style w:type="character" w:styleId="Hyperlink">
    <w:name w:val="Hyperlink"/>
    <w:basedOn w:val="DefaultParagraphFont"/>
    <w:uiPriority w:val="99"/>
    <w:unhideWhenUsed/>
    <w:rsid w:val="00C0404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D401A"/>
    <w:rPr>
      <w:b/>
      <w:bCs/>
    </w:rPr>
  </w:style>
  <w:style w:type="character" w:customStyle="1" w:styleId="CommentSubjectChar">
    <w:name w:val="Comment Subject Char"/>
    <w:basedOn w:val="CommentTextChar"/>
    <w:link w:val="CommentSubject"/>
    <w:uiPriority w:val="99"/>
    <w:semiHidden/>
    <w:rsid w:val="009D401A"/>
    <w:rPr>
      <w:b/>
      <w:bCs/>
      <w:sz w:val="20"/>
      <w:szCs w:val="20"/>
    </w:rPr>
  </w:style>
  <w:style w:type="paragraph" w:styleId="Revision">
    <w:name w:val="Revision"/>
    <w:hidden/>
    <w:uiPriority w:val="99"/>
    <w:semiHidden/>
    <w:rsid w:val="00E0403E"/>
    <w:pPr>
      <w:spacing w:after="0" w:line="240" w:lineRule="auto"/>
    </w:pPr>
  </w:style>
  <w:style w:type="character" w:customStyle="1" w:styleId="Heading1Char">
    <w:name w:val="Heading 1 Char"/>
    <w:basedOn w:val="DefaultParagraphFont"/>
    <w:link w:val="Heading1"/>
    <w:uiPriority w:val="9"/>
    <w:rsid w:val="00005B6C"/>
    <w:rPr>
      <w:rFonts w:asciiTheme="majorHAnsi" w:eastAsiaTheme="majorEastAsia" w:hAnsiTheme="majorHAnsi" w:cstheme="majorBidi"/>
      <w:color w:val="2F5496" w:themeColor="accent1" w:themeShade="BF"/>
      <w:sz w:val="32"/>
      <w:szCs w:val="32"/>
    </w:rPr>
  </w:style>
  <w:style w:type="character" w:customStyle="1" w:styleId="contentauthor--name">
    <w:name w:val="content__author--name"/>
    <w:basedOn w:val="DefaultParagraphFont"/>
    <w:rsid w:val="00005B6C"/>
  </w:style>
  <w:style w:type="character" w:customStyle="1" w:styleId="contentauthor--date">
    <w:name w:val="content__author--date"/>
    <w:basedOn w:val="DefaultParagraphFont"/>
    <w:rsid w:val="00005B6C"/>
  </w:style>
  <w:style w:type="character" w:styleId="UnresolvedMention">
    <w:name w:val="Unresolved Mention"/>
    <w:basedOn w:val="DefaultParagraphFont"/>
    <w:uiPriority w:val="99"/>
    <w:semiHidden/>
    <w:unhideWhenUsed/>
    <w:rsid w:val="00005B6C"/>
    <w:rPr>
      <w:color w:val="605E5C"/>
      <w:shd w:val="clear" w:color="auto" w:fill="E1DFDD"/>
    </w:rPr>
  </w:style>
  <w:style w:type="character" w:styleId="FollowedHyperlink">
    <w:name w:val="FollowedHyperlink"/>
    <w:basedOn w:val="DefaultParagraphFont"/>
    <w:uiPriority w:val="99"/>
    <w:semiHidden/>
    <w:unhideWhenUsed/>
    <w:rsid w:val="005A2D3C"/>
    <w:rPr>
      <w:color w:val="954F72" w:themeColor="followedHyperlink"/>
      <w:u w:val="single"/>
    </w:rPr>
  </w:style>
  <w:style w:type="paragraph" w:styleId="Header">
    <w:name w:val="header"/>
    <w:basedOn w:val="Normal"/>
    <w:link w:val="HeaderChar"/>
    <w:uiPriority w:val="99"/>
    <w:unhideWhenUsed/>
    <w:rsid w:val="00A94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E27"/>
  </w:style>
  <w:style w:type="paragraph" w:styleId="Footer">
    <w:name w:val="footer"/>
    <w:basedOn w:val="Normal"/>
    <w:link w:val="FooterChar"/>
    <w:uiPriority w:val="99"/>
    <w:unhideWhenUsed/>
    <w:rsid w:val="00A94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E27"/>
  </w:style>
  <w:style w:type="paragraph" w:styleId="NormalWeb">
    <w:name w:val="Normal (Web)"/>
    <w:basedOn w:val="Normal"/>
    <w:uiPriority w:val="99"/>
    <w:unhideWhenUsed/>
    <w:rsid w:val="002254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22541A"/>
    <w:rPr>
      <w:i/>
      <w:iCs/>
    </w:rPr>
  </w:style>
  <w:style w:type="character" w:customStyle="1" w:styleId="y2iqfc">
    <w:name w:val="y2iqfc"/>
    <w:basedOn w:val="DefaultParagraphFont"/>
    <w:rsid w:val="009A2710"/>
  </w:style>
  <w:style w:type="paragraph" w:styleId="ListParagraph">
    <w:name w:val="List Paragraph"/>
    <w:basedOn w:val="Normal"/>
    <w:uiPriority w:val="34"/>
    <w:qFormat/>
    <w:rsid w:val="009A2710"/>
    <w:pPr>
      <w:ind w:left="720"/>
      <w:contextualSpacing/>
    </w:pPr>
  </w:style>
  <w:style w:type="paragraph" w:customStyle="1" w:styleId="EndNoteBibliography">
    <w:name w:val="EndNote Bibliography"/>
    <w:basedOn w:val="Normal"/>
    <w:link w:val="EndNoteBibliographyChar"/>
    <w:rsid w:val="002571D5"/>
    <w:pPr>
      <w:spacing w:after="0" w:line="480" w:lineRule="auto"/>
    </w:pPr>
    <w:rPr>
      <w:rFonts w:ascii="Verdana" w:eastAsia="Times New Roman" w:hAnsi="Verdana" w:cs="Times New Roman"/>
      <w:noProof/>
      <w:sz w:val="20"/>
      <w:szCs w:val="24"/>
      <w:lang w:eastAsia="nl-NL"/>
    </w:rPr>
  </w:style>
  <w:style w:type="character" w:customStyle="1" w:styleId="EndNoteBibliographyChar">
    <w:name w:val="EndNote Bibliography Char"/>
    <w:basedOn w:val="DefaultParagraphFont"/>
    <w:link w:val="EndNoteBibliography"/>
    <w:rsid w:val="002571D5"/>
    <w:rPr>
      <w:rFonts w:ascii="Verdana" w:eastAsia="Times New Roman" w:hAnsi="Verdana" w:cs="Times New Roman"/>
      <w:noProof/>
      <w:sz w:val="20"/>
      <w:szCs w:val="24"/>
      <w:lang w:eastAsia="nl-NL"/>
    </w:rPr>
  </w:style>
  <w:style w:type="character" w:customStyle="1" w:styleId="il">
    <w:name w:val="il"/>
    <w:basedOn w:val="DefaultParagraphFont"/>
    <w:rsid w:val="005340BC"/>
  </w:style>
  <w:style w:type="character" w:customStyle="1" w:styleId="meta-value">
    <w:name w:val="meta-value"/>
    <w:basedOn w:val="DefaultParagraphFont"/>
    <w:rsid w:val="00B075B4"/>
  </w:style>
  <w:style w:type="character" w:customStyle="1" w:styleId="cf01">
    <w:name w:val="cf01"/>
    <w:basedOn w:val="DefaultParagraphFont"/>
    <w:rsid w:val="00B075B4"/>
    <w:rPr>
      <w:rFonts w:ascii="Segoe UI" w:hAnsi="Segoe UI" w:cs="Segoe UI" w:hint="default"/>
      <w:sz w:val="18"/>
      <w:szCs w:val="18"/>
    </w:rPr>
  </w:style>
  <w:style w:type="paragraph" w:styleId="HTMLPreformatted">
    <w:name w:val="HTML Preformatted"/>
    <w:basedOn w:val="Normal"/>
    <w:link w:val="HTMLPreformattedChar"/>
    <w:uiPriority w:val="99"/>
    <w:unhideWhenUsed/>
    <w:rsid w:val="00B0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rsid w:val="00B075B4"/>
    <w:rPr>
      <w:rFonts w:ascii="Courier New" w:eastAsia="Times New Roman" w:hAnsi="Courier New" w:cs="Courier New"/>
      <w:sz w:val="20"/>
      <w:szCs w:val="20"/>
      <w:lang w:eastAsia="nl-NL"/>
    </w:rPr>
  </w:style>
  <w:style w:type="paragraph" w:customStyle="1" w:styleId="pf0">
    <w:name w:val="pf0"/>
    <w:basedOn w:val="Normal"/>
    <w:rsid w:val="00E24A6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40578">
      <w:bodyDiv w:val="1"/>
      <w:marLeft w:val="0"/>
      <w:marRight w:val="0"/>
      <w:marTop w:val="0"/>
      <w:marBottom w:val="0"/>
      <w:divBdr>
        <w:top w:val="none" w:sz="0" w:space="0" w:color="auto"/>
        <w:left w:val="none" w:sz="0" w:space="0" w:color="auto"/>
        <w:bottom w:val="none" w:sz="0" w:space="0" w:color="auto"/>
        <w:right w:val="none" w:sz="0" w:space="0" w:color="auto"/>
      </w:divBdr>
      <w:divsChild>
        <w:div w:id="91150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18521">
      <w:bodyDiv w:val="1"/>
      <w:marLeft w:val="0"/>
      <w:marRight w:val="0"/>
      <w:marTop w:val="0"/>
      <w:marBottom w:val="0"/>
      <w:divBdr>
        <w:top w:val="none" w:sz="0" w:space="0" w:color="auto"/>
        <w:left w:val="none" w:sz="0" w:space="0" w:color="auto"/>
        <w:bottom w:val="none" w:sz="0" w:space="0" w:color="auto"/>
        <w:right w:val="none" w:sz="0" w:space="0" w:color="auto"/>
      </w:divBdr>
      <w:divsChild>
        <w:div w:id="382290888">
          <w:marLeft w:val="0"/>
          <w:marRight w:val="0"/>
          <w:marTop w:val="0"/>
          <w:marBottom w:val="0"/>
          <w:divBdr>
            <w:top w:val="none" w:sz="0" w:space="0" w:color="auto"/>
            <w:left w:val="none" w:sz="0" w:space="0" w:color="auto"/>
            <w:bottom w:val="none" w:sz="0" w:space="0" w:color="auto"/>
            <w:right w:val="none" w:sz="0" w:space="0" w:color="auto"/>
          </w:divBdr>
        </w:div>
        <w:div w:id="468058914">
          <w:marLeft w:val="0"/>
          <w:marRight w:val="0"/>
          <w:marTop w:val="0"/>
          <w:marBottom w:val="0"/>
          <w:divBdr>
            <w:top w:val="none" w:sz="0" w:space="0" w:color="auto"/>
            <w:left w:val="none" w:sz="0" w:space="0" w:color="auto"/>
            <w:bottom w:val="none" w:sz="0" w:space="0" w:color="auto"/>
            <w:right w:val="none" w:sz="0" w:space="0" w:color="auto"/>
          </w:divBdr>
          <w:divsChild>
            <w:div w:id="11692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263-9187" TargetMode="External"/><Relationship Id="rId13" Type="http://schemas.openxmlformats.org/officeDocument/2006/relationships/hyperlink" Target="https://rutgers.international/news/young-people-in-the-netherlands-start-having-sex-at-a-later-ag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orcid.org/0000-0002-8979-7372?lang=en" TargetMode="External"/><Relationship Id="rId12" Type="http://schemas.openxmlformats.org/officeDocument/2006/relationships/hyperlink" Target="https://shop.rutgers.nl/641118.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vm.nl/en/monkeypox" TargetMode="External"/><Relationship Id="rId5" Type="http://schemas.openxmlformats.org/officeDocument/2006/relationships/footnotes" Target="footnotes.xml"/><Relationship Id="rId15" Type="http://schemas.openxmlformats.org/officeDocument/2006/relationships/hyperlink" Target="https://opendata.cbs.nl/statline/" TargetMode="External"/><Relationship Id="rId23" Type="http://schemas.openxmlformats.org/officeDocument/2006/relationships/theme" Target="theme/theme1.xml"/><Relationship Id="rId10" Type="http://schemas.openxmlformats.org/officeDocument/2006/relationships/hyperlink" Target="https://orcid.org/0000-0002-5895-793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5257-4503" TargetMode="External"/><Relationship Id="rId14" Type="http://schemas.openxmlformats.org/officeDocument/2006/relationships/hyperlink" Target="https://doi.org/10.1080/009183609032754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8008</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Adam</dc:creator>
  <cp:keywords/>
  <dc:description/>
  <cp:lastModifiedBy>Philippe Adam</cp:lastModifiedBy>
  <cp:revision>4</cp:revision>
  <cp:lastPrinted>2023-11-16T07:44:00Z</cp:lastPrinted>
  <dcterms:created xsi:type="dcterms:W3CDTF">2023-11-16T07:43:00Z</dcterms:created>
  <dcterms:modified xsi:type="dcterms:W3CDTF">2023-11-16T07:45:00Z</dcterms:modified>
</cp:coreProperties>
</file>