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2EDF" w14:textId="737EB0F3" w:rsidR="00265C07" w:rsidRPr="0082632E" w:rsidRDefault="007773EF" w:rsidP="00265C07">
      <w:pPr>
        <w:rPr>
          <w:lang w:val="en-US"/>
        </w:rPr>
      </w:pPr>
      <w:r>
        <w:rPr>
          <w:lang w:val="en-US"/>
        </w:rPr>
        <w:t>ESM</w:t>
      </w:r>
      <w:r w:rsidR="00265C07">
        <w:rPr>
          <w:lang w:val="en-US"/>
        </w:rPr>
        <w:t xml:space="preserve"> Supplemental</w:t>
      </w:r>
      <w:r>
        <w:rPr>
          <w:lang w:val="en-US"/>
        </w:rPr>
        <w:t xml:space="preserve"> Methods</w:t>
      </w:r>
    </w:p>
    <w:p w14:paraId="357A8F04" w14:textId="2F4D6E94" w:rsidR="00265C07" w:rsidRPr="00265C07" w:rsidRDefault="00265C07" w:rsidP="00265C07">
      <w:pPr>
        <w:rPr>
          <w:rFonts w:cs="Arial"/>
          <w:bCs/>
          <w:szCs w:val="24"/>
          <w:u w:val="single"/>
        </w:rPr>
      </w:pPr>
      <w:r w:rsidRPr="00FB57D8">
        <w:rPr>
          <w:rFonts w:cs="Arial"/>
          <w:bCs/>
          <w:szCs w:val="24"/>
          <w:u w:val="single"/>
        </w:rPr>
        <w:t>Measurement of GADA IgG subclass</w:t>
      </w:r>
      <w:r>
        <w:rPr>
          <w:rFonts w:cs="Arial"/>
          <w:bCs/>
          <w:szCs w:val="24"/>
          <w:u w:val="single"/>
        </w:rPr>
        <w:t xml:space="preserve"> response</w:t>
      </w:r>
      <w:r w:rsidRPr="00FB57D8">
        <w:rPr>
          <w:rFonts w:cs="Arial"/>
          <w:bCs/>
          <w:szCs w:val="24"/>
          <w:u w:val="single"/>
        </w:rPr>
        <w:t xml:space="preserve"> to full-length GAD65(1-585)</w:t>
      </w:r>
    </w:p>
    <w:p w14:paraId="64E8E38C" w14:textId="077EE300" w:rsidR="00265C07" w:rsidRDefault="00265C07" w:rsidP="00265C07">
      <w:r>
        <w:t>GADA IgG subclasses were determined using</w:t>
      </w:r>
      <w:r w:rsidRPr="00A23864">
        <w:t xml:space="preserve"> [35S]</w:t>
      </w:r>
      <w:r>
        <w:t>-</w:t>
      </w:r>
      <w:r w:rsidRPr="00A23864">
        <w:t xml:space="preserve">methionine-labelled </w:t>
      </w:r>
      <w:r>
        <w:t xml:space="preserve">GAD65 and </w:t>
      </w:r>
      <w:r w:rsidRPr="006F6F37">
        <w:t>biotinylated IgG subclass-specific mouse anti-human monoclonal antibodies bound by Streptavidin-Sepharose beads (Sigma Aldrich, Dorset, UK). Mouse anti-human IgG subclass antibodies used were IgG1 (clone G17-1), IgG2 (clone G18-21), IgG3 (clone HP6047), and IgG4 (clone JDC-14)</w:t>
      </w:r>
      <w:r>
        <w:t xml:space="preserve">. All were provided by </w:t>
      </w:r>
      <w:r w:rsidRPr="006F6F37">
        <w:t xml:space="preserve">BD Biosciences, </w:t>
      </w:r>
      <w:r>
        <w:t>SD</w:t>
      </w:r>
      <w:r w:rsidRPr="006F6F37">
        <w:t>, USA</w:t>
      </w:r>
      <w:r>
        <w:t xml:space="preserve">, other than IgG3 (clone HP6047) provided by </w:t>
      </w:r>
      <w:r w:rsidRPr="006F6F37">
        <w:t xml:space="preserve">Invitrogen, </w:t>
      </w:r>
      <w:proofErr w:type="spellStart"/>
      <w:r w:rsidRPr="006F6F37">
        <w:t>ThermoFisher</w:t>
      </w:r>
      <w:proofErr w:type="spellEnd"/>
      <w:r w:rsidRPr="006F6F37">
        <w:t>, CA, USA</w:t>
      </w:r>
      <w:r>
        <w:t xml:space="preserve">). Non-specific binding was </w:t>
      </w:r>
      <w:r w:rsidRPr="006F6F37">
        <w:t xml:space="preserve">determined </w:t>
      </w:r>
      <w:r>
        <w:t xml:space="preserve">using </w:t>
      </w:r>
      <w:r w:rsidRPr="006F6F37">
        <w:t xml:space="preserve">a mouse anti-rat IgM monoclonal antibody (clone G53-238*) </w:t>
      </w:r>
      <w:r>
        <w:t xml:space="preserve">and all results were expressed in </w:t>
      </w:r>
      <w:r w:rsidRPr="006F6F37">
        <w:t xml:space="preserve">delta </w:t>
      </w:r>
      <w:r>
        <w:t>counts per minute (</w:t>
      </w:r>
      <w:r w:rsidRPr="006F6F37">
        <w:t>∆</w:t>
      </w:r>
      <w:r>
        <w:t xml:space="preserve">CPM) and converted to a SD score (SDS) </w:t>
      </w:r>
      <w:r w:rsidRPr="00FB57D8">
        <w:fldChar w:fldCharType="begin"/>
      </w:r>
      <w:r w:rsidR="003F4704">
        <w:instrText xml:space="preserve"> ADDIN EN.CITE &lt;EndNote&gt;&lt;Cite&gt;&lt;Author&gt;Bonifacio&lt;/Author&gt;&lt;Year&gt;1999&lt;/Year&gt;&lt;RecNum&gt;203&lt;/RecNum&gt;&lt;DisplayText&gt;(1)&lt;/DisplayText&gt;&lt;record&gt;&lt;rec-number&gt;203&lt;/rec-number&gt;&lt;foreign-keys&gt;&lt;key app="EN" db-id="dvtr90z5bvedxie250up5rp309z0d5vferw9" timestamp="1597158848"&gt;203&lt;/key&gt;&lt;/foreign-keys&gt;&lt;ref-type name="Journal Article"&gt;17&lt;/ref-type&gt;&lt;contributors&gt;&lt;authors&gt;&lt;author&gt;Bonifacio, Ezio&lt;/author&gt;&lt;author&gt;Scirpoli, Miriam&lt;/author&gt;&lt;author&gt;Kredel, Katharina&lt;/author&gt;&lt;author&gt;Füchtenbusch, Martin&lt;/author&gt;&lt;author&gt;Ziegler, Anette- G.&lt;/author&gt;&lt;/authors&gt;&lt;/contributors&gt;&lt;titles&gt;&lt;title&gt;Early Autoantibody Responses in Prediabetes Are IgG1 Dominated and Suggest Antigen-Specific Regulation&lt;/title&gt;&lt;secondary-title&gt;The Journal of Immunology&lt;/secondary-title&gt;&lt;/titles&gt;&lt;periodical&gt;&lt;full-title&gt;The Journal of Immunology&lt;/full-title&gt;&lt;/periodical&gt;&lt;pages&gt;525&lt;/pages&gt;&lt;volume&gt;163&lt;/volume&gt;&lt;number&gt;1&lt;/number&gt;&lt;dates&gt;&lt;year&gt;1999&lt;/year&gt;&lt;/dates&gt;&lt;urls&gt;&lt;related-urls&gt;&lt;url&gt;http://www.jimmunol.org/content/163/1/525.abstract&lt;/url&gt;&lt;/related-urls&gt;&lt;/urls&gt;&lt;/record&gt;&lt;/Cite&gt;&lt;/EndNote&gt;</w:instrText>
      </w:r>
      <w:r w:rsidRPr="00FB57D8">
        <w:fldChar w:fldCharType="separate"/>
      </w:r>
      <w:r w:rsidR="003F4704">
        <w:rPr>
          <w:noProof/>
        </w:rPr>
        <w:t>(1)</w:t>
      </w:r>
      <w:r w:rsidRPr="00FB57D8">
        <w:fldChar w:fldCharType="end"/>
      </w:r>
      <w:r w:rsidRPr="00FB57D8">
        <w:t>.</w:t>
      </w:r>
      <w:r>
        <w:t xml:space="preserve"> The SDS in the present study was based on 49 healthy schoolchildren; an SDS </w:t>
      </w:r>
      <w:r>
        <w:rPr>
          <w:rFonts w:cs="Arial"/>
        </w:rPr>
        <w:t>≥</w:t>
      </w:r>
      <w:r>
        <w:t xml:space="preserve">3 was considered positive. To assess assay performance, a series of quality control (QC) measures were previously developed (C.L.W, Bristol, U.K.) and run in all assays alongside samples in the present study: 1) 50% suspension of Ethanolamine-blocked Protein G Sepharose in </w:t>
      </w:r>
      <w:r w:rsidRPr="00FB57D8">
        <w:t>Tris buffered saline with Tween-20 buffer (TBST; 20 mM Tris, 150 mM NaCl, pH 7.4 + 0.5% Tween-20)</w:t>
      </w:r>
      <w:r>
        <w:t xml:space="preserve"> was used as a total IgG positive QC, 2) pooled patient sera was used to develop two </w:t>
      </w:r>
      <w:r w:rsidRPr="009D60FB">
        <w:t xml:space="preserve">composite IgG subclass </w:t>
      </w:r>
      <w:r>
        <w:t xml:space="preserve">positive QCs (IgG1/IgG2 and IgG1/IgG3/IgG4; </w:t>
      </w:r>
      <w:r>
        <w:rPr>
          <w:rFonts w:cs="Arial"/>
        </w:rPr>
        <w:t>≥</w:t>
      </w:r>
      <w:r>
        <w:t>3 SDS for present IgG subclass), and 3) sera from a healthy adult was used as a negative QC (&lt;3 SDS</w:t>
      </w:r>
      <w:r w:rsidRPr="00B65258">
        <w:t>).</w:t>
      </w:r>
      <w:r>
        <w:t xml:space="preserve"> </w:t>
      </w:r>
    </w:p>
    <w:p w14:paraId="1986A3CD" w14:textId="67940373" w:rsidR="00265C07" w:rsidRDefault="00265C07" w:rsidP="00265C07">
      <w:pPr>
        <w:rPr>
          <w:u w:val="single"/>
        </w:rPr>
      </w:pPr>
      <w:r>
        <w:rPr>
          <w:u w:val="single"/>
        </w:rPr>
        <w:t>Measurement of GADA affinity to full-length GAD65(1-585)</w:t>
      </w:r>
    </w:p>
    <w:p w14:paraId="257164C0" w14:textId="718D8B5D" w:rsidR="00265C07" w:rsidRPr="00265C07" w:rsidRDefault="00265C07" w:rsidP="00265C07">
      <w:r w:rsidRPr="003D20CF">
        <w:t>Briefly, serum (2µl</w:t>
      </w:r>
      <w:r>
        <w:t xml:space="preserve"> in duplicate</w:t>
      </w:r>
      <w:r w:rsidRPr="003D20CF">
        <w:t>) was plated and incubated for 24 hours at 4°C with 25µl/well of [</w:t>
      </w:r>
      <w:r w:rsidRPr="003D20CF">
        <w:rPr>
          <w:vertAlign w:val="superscript"/>
        </w:rPr>
        <w:t>125</w:t>
      </w:r>
      <w:r w:rsidRPr="003D20CF">
        <w:t>I]-recombinant human GAD65 (1.88x10</w:t>
      </w:r>
      <w:r w:rsidRPr="003D20CF">
        <w:rPr>
          <w:vertAlign w:val="superscript"/>
        </w:rPr>
        <w:t>-10</w:t>
      </w:r>
      <w:r w:rsidRPr="003D20CF">
        <w:t xml:space="preserve"> mol/l</w:t>
      </w:r>
      <w:r>
        <w:t xml:space="preserve">; </w:t>
      </w:r>
      <w:r w:rsidRPr="0071123A">
        <w:t>RSR Limited, Cardiff, U.K</w:t>
      </w:r>
      <w:r>
        <w:t>.</w:t>
      </w:r>
      <w:r w:rsidRPr="003D20CF">
        <w:t xml:space="preserve">) at five increasing quantities of unlabelled human GAD65 diluted in TBST </w:t>
      </w:r>
      <w:r>
        <w:t>(</w:t>
      </w:r>
      <w:r w:rsidRPr="003D20CF">
        <w:t>1.5x10</w:t>
      </w:r>
      <w:r w:rsidRPr="003D20CF">
        <w:rPr>
          <w:vertAlign w:val="superscript"/>
        </w:rPr>
        <w:t>-15</w:t>
      </w:r>
      <w:r w:rsidRPr="003D20CF">
        <w:t>, 1.5x10</w:t>
      </w:r>
      <w:r w:rsidRPr="003D20CF">
        <w:rPr>
          <w:vertAlign w:val="superscript"/>
        </w:rPr>
        <w:t>-14</w:t>
      </w:r>
      <w:r w:rsidRPr="003D20CF">
        <w:t>, 1.5x10</w:t>
      </w:r>
      <w:r w:rsidRPr="003D20CF">
        <w:rPr>
          <w:vertAlign w:val="superscript"/>
        </w:rPr>
        <w:t>-13</w:t>
      </w:r>
      <w:r w:rsidRPr="003D20CF">
        <w:t>, 1.5x10</w:t>
      </w:r>
      <w:r w:rsidRPr="003D20CF">
        <w:rPr>
          <w:vertAlign w:val="superscript"/>
        </w:rPr>
        <w:t>-12</w:t>
      </w:r>
      <w:r w:rsidRPr="003D20CF">
        <w:t>, and 1x10</w:t>
      </w:r>
      <w:r w:rsidRPr="003D20CF">
        <w:rPr>
          <w:vertAlign w:val="superscript"/>
        </w:rPr>
        <w:t>-11</w:t>
      </w:r>
      <w:r w:rsidRPr="003D20CF">
        <w:t xml:space="preserve"> mol/well</w:t>
      </w:r>
      <w:r>
        <w:t>)</w:t>
      </w:r>
      <w:r w:rsidRPr="003D20CF">
        <w:t xml:space="preserve">  or TBST only. Immunocomplexes were precipitated for 1</w:t>
      </w:r>
      <w:r>
        <w:t xml:space="preserve"> </w:t>
      </w:r>
      <w:r w:rsidRPr="003D20CF">
        <w:t>h</w:t>
      </w:r>
      <w:r>
        <w:t>ou</w:t>
      </w:r>
      <w:r w:rsidRPr="003D20CF">
        <w:t>r (orbital shaking ~700rpm at 4°C) with 12.5µl/well PAS (PAS suspension washed four times in TBST buffer). After incubation, excess unbound [</w:t>
      </w:r>
      <w:r w:rsidRPr="003D20CF">
        <w:rPr>
          <w:vertAlign w:val="superscript"/>
        </w:rPr>
        <w:t>125</w:t>
      </w:r>
      <w:r w:rsidRPr="003D20CF">
        <w:t>I]-recombinant human GAD65 was excluded by centrifugation (</w:t>
      </w:r>
      <w:r>
        <w:t>503xg</w:t>
      </w:r>
      <w:r w:rsidRPr="003D20CF">
        <w:t xml:space="preserve"> at 4°C for 3 mins) and five serial washes with TBST, transferred to microtubes (STARLABS, Milton Keynes, U.K.), and measured using a </w:t>
      </w:r>
      <w:proofErr w:type="spellStart"/>
      <w:r w:rsidRPr="003D20CF">
        <w:t>TopCount</w:t>
      </w:r>
      <w:proofErr w:type="spellEnd"/>
      <w:r w:rsidRPr="003D20CF">
        <w:t xml:space="preserve"> gamma counter (Perkin Elmer</w:t>
      </w:r>
      <w:r>
        <w:t xml:space="preserve">, </w:t>
      </w:r>
      <w:r w:rsidRPr="00FD62C9">
        <w:t>Waltham, MA, USA</w:t>
      </w:r>
      <w:r w:rsidRPr="003D20CF">
        <w:t>)</w:t>
      </w:r>
      <w:r>
        <w:t>; the results were expressed as mean CPM.</w:t>
      </w:r>
      <w:r w:rsidR="003F4704">
        <w:t xml:space="preserve"> </w:t>
      </w:r>
      <w:r w:rsidR="003F4704">
        <w:t>IC</w:t>
      </w:r>
      <w:r w:rsidR="003F4704">
        <w:rPr>
          <w:vertAlign w:val="subscript"/>
        </w:rPr>
        <w:t>50</w:t>
      </w:r>
      <w:r w:rsidR="003F4704">
        <w:t xml:space="preserve"> and </w:t>
      </w:r>
      <w:proofErr w:type="spellStart"/>
      <w:r w:rsidR="003F4704">
        <w:rPr>
          <w:i/>
        </w:rPr>
        <w:t>K</w:t>
      </w:r>
      <w:r w:rsidR="003F4704">
        <w:rPr>
          <w:vertAlign w:val="subscript"/>
        </w:rPr>
        <w:t>d</w:t>
      </w:r>
      <w:proofErr w:type="spellEnd"/>
      <w:r w:rsidR="003F4704">
        <w:t xml:space="preserve"> values were calculated by non-linear regression analysis using a one-site model (</w:t>
      </w:r>
      <w:r w:rsidR="003F4704">
        <w:rPr>
          <w:i/>
        </w:rPr>
        <w:t>R</w:t>
      </w:r>
      <w:r w:rsidR="003F4704">
        <w:rPr>
          <w:i/>
          <w:vertAlign w:val="superscript"/>
        </w:rPr>
        <w:t>2</w:t>
      </w:r>
      <w:r w:rsidR="003F4704">
        <w:t xml:space="preserve"> &gt;0.90), assuming equal antibody binding by labelled and unlabelled GAD65, on GraphPad Prism3 (GraphPad Software, San Diego, CA, USA) </w:t>
      </w:r>
      <w:r w:rsidR="003F4704">
        <w:fldChar w:fldCharType="begin">
          <w:fldData xml:space="preserve">PEVuZE5vdGU+PENpdGU+PEF1dGhvcj5DdXJub2NrPC9BdXRob3I+PFllYXI+MjAxMjwvWWVhcj48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</w:fldData>
        </w:fldChar>
      </w:r>
      <w:r w:rsidR="003F4704">
        <w:instrText xml:space="preserve"> ADDIN EN.CITE </w:instrText>
      </w:r>
      <w:r w:rsidR="003F4704">
        <w:fldChar w:fldCharType="begin">
          <w:fldData xml:space="preserve">PEVuZE5vdGU+PENpdGU+PEF1dGhvcj5DdXJub2NrPC9BdXRob3I+PFllYXI+MjAxMjwvWWVhcj48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</w:fldData>
        </w:fldChar>
      </w:r>
      <w:r w:rsidR="003F4704">
        <w:instrText xml:space="preserve"> ADDIN EN.CITE.DATA </w:instrText>
      </w:r>
      <w:r w:rsidR="003F4704">
        <w:fldChar w:fldCharType="end"/>
      </w:r>
      <w:r w:rsidR="003F4704">
        <w:fldChar w:fldCharType="separate"/>
      </w:r>
      <w:r w:rsidR="003F4704">
        <w:rPr>
          <w:noProof/>
        </w:rPr>
        <w:t>(2)</w:t>
      </w:r>
      <w:r w:rsidR="003F4704">
        <w:fldChar w:fldCharType="end"/>
      </w:r>
      <w:r w:rsidR="003F4704">
        <w:t xml:space="preserve">. The f-GADA affinity of each sample was expressed as the reciprocal </w:t>
      </w:r>
      <w:proofErr w:type="spellStart"/>
      <w:r w:rsidR="003F4704">
        <w:rPr>
          <w:i/>
        </w:rPr>
        <w:t>K</w:t>
      </w:r>
      <w:r w:rsidR="003F4704">
        <w:rPr>
          <w:vertAlign w:val="subscript"/>
        </w:rPr>
        <w:t>d</w:t>
      </w:r>
      <w:proofErr w:type="spellEnd"/>
      <w:r w:rsidR="003F4704">
        <w:t xml:space="preserve"> value (l/mol). Samples not fully competed (and therefore a non-linear regression was not fitted) were diluted 1:5 or 1:10 in TBST buffer and reanalysed for accurate f-GADA affinity assessment.</w:t>
      </w:r>
    </w:p>
    <w:p w14:paraId="65CF6D5F" w14:textId="77777777" w:rsidR="00265C07" w:rsidRPr="00265C07" w:rsidRDefault="00265C07"/>
    <w:p w14:paraId="4CC1597D" w14:textId="77777777" w:rsidR="003F4704" w:rsidRDefault="003F4704">
      <w:pPr>
        <w:rPr>
          <w:lang w:val="en-US"/>
        </w:rPr>
      </w:pPr>
    </w:p>
    <w:p w14:paraId="10A9F9FC" w14:textId="77777777" w:rsidR="003F4704" w:rsidRDefault="003F4704">
      <w:pPr>
        <w:rPr>
          <w:lang w:val="en-US"/>
        </w:rPr>
      </w:pPr>
    </w:p>
    <w:p w14:paraId="2E023C3C" w14:textId="77777777" w:rsidR="003F4704" w:rsidRPr="003F4704" w:rsidRDefault="003F4704" w:rsidP="003F4704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F4704">
        <w:t>1.</w:t>
      </w:r>
      <w:r w:rsidRPr="003F4704">
        <w:tab/>
        <w:t>Bonifacio E, Scirpoli M, Kredel K, Füchtenbusch M, Ziegler A-G. Early Autoantibody Responses in Prediabetes Are IgG1 Dominated and Suggest Antigen-Specific Regulation. The Journal of Immunology. 1999;163(1):525.</w:t>
      </w:r>
    </w:p>
    <w:p w14:paraId="6CCE6389" w14:textId="77777777" w:rsidR="003F4704" w:rsidRPr="003F4704" w:rsidRDefault="003F4704" w:rsidP="003F4704">
      <w:pPr>
        <w:pStyle w:val="EndNoteBibliography"/>
      </w:pPr>
      <w:r w:rsidRPr="003F4704">
        <w:t>2.</w:t>
      </w:r>
      <w:r w:rsidRPr="003F4704">
        <w:tab/>
        <w:t>Curnock RM, Reed CR, Rokni S, Broadhurst JW, Bingley PJ, Williams AJK. Insulin autoantibody affinity measurement using a single concentration of unlabelled insulin competitor discriminates risk in relatives of patients with type 1 diabetes. Clin Exp Immunol. 2012;167(1):67-72.</w:t>
      </w:r>
    </w:p>
    <w:p w14:paraId="74B1E213" w14:textId="38BE04E4" w:rsidR="007773EF" w:rsidRPr="007773EF" w:rsidRDefault="003F4704">
      <w:pPr>
        <w:rPr>
          <w:lang w:val="en-US"/>
        </w:rPr>
      </w:pPr>
      <w:r>
        <w:rPr>
          <w:lang w:val="en-US"/>
        </w:rPr>
        <w:fldChar w:fldCharType="end"/>
      </w:r>
    </w:p>
    <w:sectPr w:rsidR="007773EF" w:rsidRPr="0077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tr90z5bvedxie250up5rp309z0d5vferw9&quot;&gt;Sian PhD Library-Converted&lt;record-ids&gt;&lt;item&gt;107&lt;/item&gt;&lt;item&gt;203&lt;/item&gt;&lt;/record-ids&gt;&lt;/item&gt;&lt;/Libraries&gt;"/>
  </w:docVars>
  <w:rsids>
    <w:rsidRoot w:val="007773EF"/>
    <w:rsid w:val="001C3221"/>
    <w:rsid w:val="00265C07"/>
    <w:rsid w:val="003F4704"/>
    <w:rsid w:val="004F22EA"/>
    <w:rsid w:val="0067336F"/>
    <w:rsid w:val="007773EF"/>
    <w:rsid w:val="0078153D"/>
    <w:rsid w:val="0082632E"/>
    <w:rsid w:val="0089630F"/>
    <w:rsid w:val="00AF5037"/>
    <w:rsid w:val="00C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6F5A"/>
  <w15:chartTrackingRefBased/>
  <w15:docId w15:val="{DD85CBFB-696A-4454-898A-FD402A6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C07"/>
    <w:pPr>
      <w:spacing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C07"/>
    <w:rPr>
      <w:rFonts w:ascii="Arial" w:hAnsi="Arial"/>
      <w:kern w:val="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3F470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470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470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470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Grace</dc:creator>
  <cp:keywords/>
  <dc:description/>
  <cp:lastModifiedBy>Sian Grace</cp:lastModifiedBy>
  <cp:revision>3</cp:revision>
  <dcterms:created xsi:type="dcterms:W3CDTF">2023-11-22T09:37:00Z</dcterms:created>
  <dcterms:modified xsi:type="dcterms:W3CDTF">2023-11-28T11:54:00Z</dcterms:modified>
</cp:coreProperties>
</file>