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2E5121" w14:textId="56409244" w:rsidR="00403FDA" w:rsidRPr="00410AE8" w:rsidRDefault="00994A3D" w:rsidP="00410AE8">
      <w:pPr>
        <w:pStyle w:val="Heading2"/>
        <w:numPr>
          <w:ilvl w:val="0"/>
          <w:numId w:val="20"/>
        </w:numPr>
      </w:pPr>
      <w:r w:rsidRPr="0001436A">
        <w:t>Supplementary</w:t>
      </w:r>
      <w:r w:rsidRPr="001549D3">
        <w:t xml:space="preserve"> Figures</w:t>
      </w:r>
    </w:p>
    <w:p w14:paraId="6B7952F1" w14:textId="77777777" w:rsidR="00403FDA" w:rsidRPr="00471A97" w:rsidRDefault="00403FDA" w:rsidP="00403FDA">
      <w:pPr>
        <w:rPr>
          <w:szCs w:val="24"/>
        </w:rPr>
      </w:pPr>
      <w:r w:rsidRPr="00471A97">
        <w:rPr>
          <w:noProof/>
          <w:szCs w:val="24"/>
        </w:rPr>
        <w:drawing>
          <wp:inline distT="0" distB="0" distL="0" distR="0" wp14:anchorId="1CA6B332" wp14:editId="42353F15">
            <wp:extent cx="5943600" cy="3342622"/>
            <wp:effectExtent l="0" t="0" r="0" b="0"/>
            <wp:docPr id="9" name="Picture 9" descr="C:\Users\evan.barrios\Desktop\Additional Fil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n.barrios\Desktop\Additional File 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D0D4" w14:textId="55256F86" w:rsidR="00403FDA" w:rsidRPr="00471A97" w:rsidRDefault="00410AE8" w:rsidP="00403FDA">
      <w:pPr>
        <w:jc w:val="both"/>
        <w:rPr>
          <w:bCs/>
          <w:szCs w:val="24"/>
        </w:rPr>
      </w:pPr>
      <w:r>
        <w:rPr>
          <w:b/>
          <w:szCs w:val="24"/>
        </w:rPr>
        <w:t>Supplementary Figure 1</w:t>
      </w:r>
      <w:r w:rsidR="00403FDA" w:rsidRPr="00471A97">
        <w:rPr>
          <w:b/>
          <w:bCs/>
          <w:szCs w:val="24"/>
        </w:rPr>
        <w:t>.</w:t>
      </w:r>
      <w:r w:rsidR="00403FDA" w:rsidRPr="00471A97">
        <w:rPr>
          <w:b/>
          <w:szCs w:val="24"/>
        </w:rPr>
        <w:t xml:space="preserve"> </w:t>
      </w:r>
      <w:r w:rsidR="00403FDA" w:rsidRPr="00471A97">
        <w:rPr>
          <w:b/>
          <w:bCs/>
          <w:szCs w:val="24"/>
        </w:rPr>
        <w:t>Identification of MDSC phenotypes via flow cytometry with the cell surface markers CD14, CD15, and CD66b.</w:t>
      </w:r>
      <w:r w:rsidR="00403FDA" w:rsidRPr="00471A97">
        <w:rPr>
          <w:bCs/>
          <w:szCs w:val="24"/>
        </w:rPr>
        <w:t xml:space="preserve"> </w:t>
      </w:r>
      <w:r w:rsidR="00403FDA" w:rsidRPr="00471A97">
        <w:rPr>
          <w:b/>
          <w:bCs/>
          <w:szCs w:val="24"/>
        </w:rPr>
        <w:t>(A)</w:t>
      </w:r>
      <w:r w:rsidR="00403FDA" w:rsidRPr="00471A97">
        <w:rPr>
          <w:bCs/>
          <w:szCs w:val="24"/>
        </w:rPr>
        <w:t xml:space="preserve"> Cells were initially gated for doublet exclusion, then viable cells were determined using </w:t>
      </w:r>
      <w:proofErr w:type="spellStart"/>
      <w:r w:rsidR="00403FDA" w:rsidRPr="00471A97">
        <w:rPr>
          <w:bCs/>
          <w:szCs w:val="24"/>
        </w:rPr>
        <w:t>Sytox</w:t>
      </w:r>
      <w:proofErr w:type="spellEnd"/>
      <w:r w:rsidR="00403FDA" w:rsidRPr="00471A97">
        <w:rPr>
          <w:bCs/>
          <w:szCs w:val="24"/>
        </w:rPr>
        <w:t xml:space="preserve"> Live/Dead stain. Subsequently, the CD11b</w:t>
      </w:r>
      <w:r w:rsidR="00403FDA" w:rsidRPr="00471A97">
        <w:rPr>
          <w:bCs/>
          <w:szCs w:val="24"/>
          <w:vertAlign w:val="superscript"/>
        </w:rPr>
        <w:t>+</w:t>
      </w:r>
      <w:r w:rsidR="00403FDA" w:rsidRPr="00471A97">
        <w:rPr>
          <w:bCs/>
          <w:szCs w:val="24"/>
        </w:rPr>
        <w:t xml:space="preserve"> and CD33</w:t>
      </w:r>
      <w:r w:rsidR="00403FDA" w:rsidRPr="00471A97">
        <w:rPr>
          <w:bCs/>
          <w:szCs w:val="24"/>
          <w:vertAlign w:val="superscript"/>
        </w:rPr>
        <w:t>+</w:t>
      </w:r>
      <w:r w:rsidR="00403FDA" w:rsidRPr="00471A97">
        <w:rPr>
          <w:bCs/>
          <w:szCs w:val="24"/>
        </w:rPr>
        <w:t xml:space="preserve"> cells were gated. </w:t>
      </w:r>
      <w:r w:rsidR="00403FDA" w:rsidRPr="00471A97">
        <w:rPr>
          <w:b/>
          <w:bCs/>
          <w:szCs w:val="24"/>
        </w:rPr>
        <w:t>(B)</w:t>
      </w:r>
      <w:r w:rsidR="00403FDA" w:rsidRPr="00471A97">
        <w:rPr>
          <w:bCs/>
          <w:szCs w:val="24"/>
        </w:rPr>
        <w:t xml:space="preserve"> HLA-</w:t>
      </w:r>
      <w:proofErr w:type="spellStart"/>
      <w:r w:rsidR="00403FDA" w:rsidRPr="00471A97">
        <w:rPr>
          <w:bCs/>
          <w:szCs w:val="24"/>
        </w:rPr>
        <w:t>DR</w:t>
      </w:r>
      <w:r w:rsidR="00403FDA" w:rsidRPr="00471A97">
        <w:rPr>
          <w:bCs/>
          <w:szCs w:val="24"/>
          <w:vertAlign w:val="superscript"/>
        </w:rPr>
        <w:t>low</w:t>
      </w:r>
      <w:proofErr w:type="spellEnd"/>
      <w:r w:rsidR="00403FDA" w:rsidRPr="00471A97">
        <w:rPr>
          <w:bCs/>
          <w:szCs w:val="24"/>
        </w:rPr>
        <w:t xml:space="preserve"> cells were selected to capture the total MDSC population (CD11b</w:t>
      </w:r>
      <w:r w:rsidR="00403FDA" w:rsidRPr="00471A97">
        <w:rPr>
          <w:bCs/>
          <w:szCs w:val="24"/>
          <w:vertAlign w:val="superscript"/>
        </w:rPr>
        <w:t>+</w:t>
      </w:r>
      <w:r w:rsidR="00403FDA" w:rsidRPr="00471A97">
        <w:rPr>
          <w:bCs/>
          <w:szCs w:val="24"/>
        </w:rPr>
        <w:t xml:space="preserve"> CD33</w:t>
      </w:r>
      <w:r w:rsidR="00403FDA" w:rsidRPr="00471A97">
        <w:rPr>
          <w:bCs/>
          <w:szCs w:val="24"/>
          <w:vertAlign w:val="superscript"/>
        </w:rPr>
        <w:t>+</w:t>
      </w:r>
      <w:r w:rsidR="00403FDA" w:rsidRPr="00471A97">
        <w:rPr>
          <w:bCs/>
          <w:szCs w:val="24"/>
        </w:rPr>
        <w:t xml:space="preserve"> HLA-</w:t>
      </w:r>
      <w:proofErr w:type="spellStart"/>
      <w:r w:rsidR="00403FDA" w:rsidRPr="00471A97">
        <w:rPr>
          <w:bCs/>
          <w:szCs w:val="24"/>
        </w:rPr>
        <w:t>DR</w:t>
      </w:r>
      <w:r w:rsidR="00403FDA" w:rsidRPr="00471A97">
        <w:rPr>
          <w:bCs/>
          <w:szCs w:val="24"/>
          <w:vertAlign w:val="superscript"/>
        </w:rPr>
        <w:t>low</w:t>
      </w:r>
      <w:proofErr w:type="spellEnd"/>
      <w:r w:rsidR="00403FDA" w:rsidRPr="00471A97">
        <w:rPr>
          <w:bCs/>
          <w:szCs w:val="24"/>
        </w:rPr>
        <w:t xml:space="preserve">). </w:t>
      </w:r>
      <w:r w:rsidR="00403FDA" w:rsidRPr="00471A97">
        <w:rPr>
          <w:b/>
          <w:bCs/>
          <w:szCs w:val="24"/>
        </w:rPr>
        <w:t>(C)</w:t>
      </w:r>
      <w:r w:rsidR="00403FDA" w:rsidRPr="00471A97">
        <w:rPr>
          <w:bCs/>
          <w:szCs w:val="24"/>
        </w:rPr>
        <w:t xml:space="preserve"> Initially, CD14 and CD15 were used to isolate MDSC subpopulations (bottom panel); however, it was found that CD66b selection provided better discrimination (top panel). </w:t>
      </w:r>
      <w:r w:rsidR="00403FDA" w:rsidRPr="00471A97">
        <w:rPr>
          <w:b/>
          <w:bCs/>
          <w:szCs w:val="24"/>
        </w:rPr>
        <w:t>(D)</w:t>
      </w:r>
      <w:r w:rsidR="00403FDA" w:rsidRPr="00471A97">
        <w:rPr>
          <w:bCs/>
          <w:szCs w:val="24"/>
        </w:rPr>
        <w:t xml:space="preserve"> From the total MDSC population, the E-MDSC (CD14</w:t>
      </w:r>
      <w:r w:rsidR="00403FDA" w:rsidRPr="00471A97">
        <w:rPr>
          <w:bCs/>
          <w:szCs w:val="24"/>
          <w:vertAlign w:val="superscript"/>
        </w:rPr>
        <w:t>-</w:t>
      </w:r>
      <w:r w:rsidR="00403FDA" w:rsidRPr="00471A97">
        <w:rPr>
          <w:bCs/>
          <w:szCs w:val="24"/>
        </w:rPr>
        <w:t xml:space="preserve"> CD15</w:t>
      </w:r>
      <w:r w:rsidR="00403FDA" w:rsidRPr="00471A97">
        <w:rPr>
          <w:bCs/>
          <w:szCs w:val="24"/>
          <w:vertAlign w:val="superscript"/>
        </w:rPr>
        <w:t>-</w:t>
      </w:r>
      <w:r w:rsidR="00403FDA" w:rsidRPr="00471A97">
        <w:rPr>
          <w:bCs/>
          <w:szCs w:val="24"/>
        </w:rPr>
        <w:t xml:space="preserve"> CD66b</w:t>
      </w:r>
      <w:r w:rsidR="00403FDA" w:rsidRPr="00471A97">
        <w:rPr>
          <w:bCs/>
          <w:szCs w:val="24"/>
          <w:vertAlign w:val="superscript"/>
        </w:rPr>
        <w:t>-</w:t>
      </w:r>
      <w:r w:rsidR="00403FDA" w:rsidRPr="00471A97">
        <w:rPr>
          <w:bCs/>
          <w:szCs w:val="24"/>
        </w:rPr>
        <w:t>), M-MDSC (CD14</w:t>
      </w:r>
      <w:r w:rsidR="00403FDA" w:rsidRPr="00471A97">
        <w:rPr>
          <w:bCs/>
          <w:szCs w:val="24"/>
          <w:vertAlign w:val="superscript"/>
        </w:rPr>
        <w:t>+</w:t>
      </w:r>
      <w:r w:rsidR="00403FDA" w:rsidRPr="00471A97">
        <w:rPr>
          <w:bCs/>
          <w:szCs w:val="24"/>
        </w:rPr>
        <w:t xml:space="preserve"> CD66b</w:t>
      </w:r>
      <w:r w:rsidR="00403FDA" w:rsidRPr="00471A97">
        <w:rPr>
          <w:bCs/>
          <w:szCs w:val="24"/>
          <w:vertAlign w:val="superscript"/>
        </w:rPr>
        <w:t>low</w:t>
      </w:r>
      <w:r w:rsidR="00403FDA" w:rsidRPr="00471A97">
        <w:rPr>
          <w:bCs/>
          <w:szCs w:val="24"/>
        </w:rPr>
        <w:t>), and PMN-MDSC (CD15</w:t>
      </w:r>
      <w:r w:rsidR="00403FDA" w:rsidRPr="00471A97">
        <w:rPr>
          <w:bCs/>
          <w:szCs w:val="24"/>
          <w:vertAlign w:val="superscript"/>
        </w:rPr>
        <w:t>+</w:t>
      </w:r>
      <w:r w:rsidR="00403FDA" w:rsidRPr="00471A97">
        <w:rPr>
          <w:bCs/>
          <w:szCs w:val="24"/>
        </w:rPr>
        <w:t xml:space="preserve"> CD66b</w:t>
      </w:r>
      <w:r w:rsidR="00403FDA" w:rsidRPr="00471A97">
        <w:rPr>
          <w:bCs/>
          <w:szCs w:val="24"/>
          <w:vertAlign w:val="superscript"/>
        </w:rPr>
        <w:t>high</w:t>
      </w:r>
      <w:r w:rsidR="00403FDA" w:rsidRPr="00471A97">
        <w:rPr>
          <w:bCs/>
          <w:szCs w:val="24"/>
        </w:rPr>
        <w:t>) subpopulations are determined.</w:t>
      </w:r>
    </w:p>
    <w:p w14:paraId="64AB106F" w14:textId="77777777" w:rsidR="00403FDA" w:rsidRPr="00471A97" w:rsidRDefault="00403FDA" w:rsidP="00403FDA">
      <w:pPr>
        <w:spacing w:after="160"/>
        <w:rPr>
          <w:b/>
          <w:bCs/>
          <w:szCs w:val="24"/>
        </w:rPr>
      </w:pPr>
      <w:r w:rsidRPr="00471A97">
        <w:rPr>
          <w:b/>
          <w:bCs/>
          <w:szCs w:val="24"/>
        </w:rPr>
        <w:br w:type="page"/>
      </w:r>
    </w:p>
    <w:p w14:paraId="11A24DBD" w14:textId="77777777" w:rsidR="00403FDA" w:rsidRPr="00471A97" w:rsidRDefault="00403FDA" w:rsidP="00403FDA">
      <w:pPr>
        <w:jc w:val="both"/>
        <w:rPr>
          <w:bCs/>
          <w:szCs w:val="24"/>
        </w:rPr>
      </w:pPr>
      <w:r w:rsidRPr="00471A97">
        <w:rPr>
          <w:bCs/>
          <w:noProof/>
          <w:szCs w:val="24"/>
        </w:rPr>
        <w:lastRenderedPageBreak/>
        <w:drawing>
          <wp:inline distT="0" distB="0" distL="0" distR="0" wp14:anchorId="0FC1F222" wp14:editId="1E72AC3D">
            <wp:extent cx="5943600" cy="3342622"/>
            <wp:effectExtent l="0" t="0" r="0" b="0"/>
            <wp:docPr id="10" name="Picture 10" descr="C:\Users\evan.barrios\Desktop\Additional Fil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n.barrios\Desktop\Additional File 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D1637" w14:textId="011F031E" w:rsidR="00403FDA" w:rsidRPr="00471A97" w:rsidRDefault="00410AE8" w:rsidP="00403FDA">
      <w:pPr>
        <w:jc w:val="both"/>
        <w:rPr>
          <w:b/>
          <w:bCs/>
          <w:szCs w:val="24"/>
        </w:rPr>
      </w:pPr>
      <w:bookmarkStart w:id="0" w:name="OLE_LINK1"/>
      <w:r>
        <w:rPr>
          <w:b/>
          <w:szCs w:val="24"/>
        </w:rPr>
        <w:t>Supplementary Figure 2</w:t>
      </w:r>
      <w:r w:rsidR="00403FDA" w:rsidRPr="00471A97">
        <w:rPr>
          <w:b/>
          <w:bCs/>
          <w:szCs w:val="24"/>
        </w:rPr>
        <w:t>. Isolation of CD66b</w:t>
      </w:r>
      <w:r w:rsidR="00403FDA" w:rsidRPr="00471A97">
        <w:rPr>
          <w:b/>
          <w:bCs/>
          <w:szCs w:val="24"/>
          <w:vertAlign w:val="superscript"/>
        </w:rPr>
        <w:t>+</w:t>
      </w:r>
      <w:r w:rsidR="00403FDA" w:rsidRPr="00471A97">
        <w:rPr>
          <w:b/>
          <w:bCs/>
          <w:szCs w:val="24"/>
        </w:rPr>
        <w:t xml:space="preserve"> cells from the PBMC layer in a septic patient. (A)</w:t>
      </w:r>
      <w:r w:rsidR="00403FDA" w:rsidRPr="00471A97">
        <w:rPr>
          <w:bCs/>
          <w:szCs w:val="24"/>
        </w:rPr>
        <w:t xml:space="preserve"> CD66b</w:t>
      </w:r>
      <w:r w:rsidR="00403FDA" w:rsidRPr="00471A97">
        <w:rPr>
          <w:bCs/>
          <w:szCs w:val="24"/>
          <w:vertAlign w:val="superscript"/>
        </w:rPr>
        <w:t>+</w:t>
      </w:r>
      <w:r w:rsidR="00403FDA" w:rsidRPr="00471A97">
        <w:rPr>
          <w:bCs/>
          <w:szCs w:val="24"/>
        </w:rPr>
        <w:t xml:space="preserve"> cells were isolated from the peripheral blood mononuclear cell (PBMC) layer via STEMCELL positive selection kit. Populations of CD66b</w:t>
      </w:r>
      <w:r w:rsidR="00403FDA" w:rsidRPr="00471A97">
        <w:rPr>
          <w:bCs/>
          <w:szCs w:val="24"/>
          <w:vertAlign w:val="superscript"/>
        </w:rPr>
        <w:t>low</w:t>
      </w:r>
      <w:r w:rsidR="00403FDA" w:rsidRPr="00471A97">
        <w:rPr>
          <w:bCs/>
          <w:szCs w:val="24"/>
        </w:rPr>
        <w:t xml:space="preserve"> and CD66b</w:t>
      </w:r>
      <w:r w:rsidR="00403FDA" w:rsidRPr="00471A97">
        <w:rPr>
          <w:bCs/>
          <w:szCs w:val="24"/>
          <w:vertAlign w:val="superscript"/>
        </w:rPr>
        <w:t>high</w:t>
      </w:r>
      <w:r w:rsidR="00403FDA" w:rsidRPr="00471A97">
        <w:rPr>
          <w:bCs/>
          <w:szCs w:val="24"/>
        </w:rPr>
        <w:t xml:space="preserve"> were visualized. </w:t>
      </w:r>
      <w:r w:rsidR="00403FDA" w:rsidRPr="00471A97">
        <w:rPr>
          <w:b/>
          <w:bCs/>
          <w:szCs w:val="24"/>
        </w:rPr>
        <w:t>(B)</w:t>
      </w:r>
      <w:r w:rsidR="00403FDA" w:rsidRPr="00471A97">
        <w:rPr>
          <w:bCs/>
          <w:szCs w:val="24"/>
        </w:rPr>
        <w:t xml:space="preserve"> M-MDSCs are CD66b</w:t>
      </w:r>
      <w:r w:rsidR="00403FDA" w:rsidRPr="00471A97">
        <w:rPr>
          <w:bCs/>
          <w:szCs w:val="24"/>
          <w:vertAlign w:val="superscript"/>
        </w:rPr>
        <w:t>low</w:t>
      </w:r>
      <w:r w:rsidR="00403FDA" w:rsidRPr="00471A97">
        <w:rPr>
          <w:bCs/>
          <w:szCs w:val="24"/>
        </w:rPr>
        <w:t xml:space="preserve"> and PMN-MDSCs are CD66b</w:t>
      </w:r>
      <w:r w:rsidR="00403FDA" w:rsidRPr="00471A97">
        <w:rPr>
          <w:bCs/>
          <w:szCs w:val="24"/>
          <w:vertAlign w:val="superscript"/>
        </w:rPr>
        <w:t>high</w:t>
      </w:r>
      <w:r w:rsidR="00403FDA" w:rsidRPr="00471A97">
        <w:rPr>
          <w:bCs/>
          <w:szCs w:val="24"/>
        </w:rPr>
        <w:t>. Both were present in the CD66b</w:t>
      </w:r>
      <w:r w:rsidR="00403FDA" w:rsidRPr="00471A97">
        <w:rPr>
          <w:bCs/>
          <w:szCs w:val="24"/>
          <w:vertAlign w:val="superscript"/>
        </w:rPr>
        <w:t>+</w:t>
      </w:r>
      <w:r w:rsidR="00403FDA" w:rsidRPr="00471A97">
        <w:rPr>
          <w:bCs/>
          <w:szCs w:val="24"/>
        </w:rPr>
        <w:t xml:space="preserve"> isolation, which should just be PMN-MDSCs (CD66b</w:t>
      </w:r>
      <w:r w:rsidR="00403FDA" w:rsidRPr="00471A97">
        <w:rPr>
          <w:bCs/>
          <w:szCs w:val="24"/>
          <w:vertAlign w:val="superscript"/>
        </w:rPr>
        <w:t>high</w:t>
      </w:r>
      <w:r w:rsidR="00403FDA" w:rsidRPr="00471A97">
        <w:rPr>
          <w:bCs/>
          <w:szCs w:val="24"/>
        </w:rPr>
        <w:t>).</w:t>
      </w:r>
    </w:p>
    <w:bookmarkEnd w:id="0"/>
    <w:p w14:paraId="319A0B8E" w14:textId="77777777" w:rsidR="00403FDA" w:rsidRPr="00471A97" w:rsidRDefault="00403FDA" w:rsidP="00403FDA">
      <w:pPr>
        <w:spacing w:after="160"/>
        <w:rPr>
          <w:b/>
          <w:bCs/>
          <w:szCs w:val="24"/>
        </w:rPr>
      </w:pPr>
      <w:r w:rsidRPr="00471A97">
        <w:rPr>
          <w:b/>
          <w:bCs/>
          <w:szCs w:val="24"/>
        </w:rPr>
        <w:br w:type="page"/>
      </w:r>
    </w:p>
    <w:p w14:paraId="7DBA1CAD" w14:textId="77777777" w:rsidR="00403FDA" w:rsidRPr="00471A97" w:rsidRDefault="00403FDA" w:rsidP="00403FDA">
      <w:pPr>
        <w:jc w:val="both"/>
        <w:rPr>
          <w:b/>
          <w:bCs/>
          <w:szCs w:val="24"/>
        </w:rPr>
      </w:pPr>
      <w:r w:rsidRPr="00471A97">
        <w:rPr>
          <w:b/>
          <w:bCs/>
          <w:noProof/>
          <w:szCs w:val="24"/>
        </w:rPr>
        <w:lastRenderedPageBreak/>
        <w:drawing>
          <wp:inline distT="0" distB="0" distL="0" distR="0" wp14:anchorId="3046683E" wp14:editId="1819E253">
            <wp:extent cx="5943600" cy="4457700"/>
            <wp:effectExtent l="0" t="0" r="0" b="0"/>
            <wp:docPr id="17" name="Picture 17" descr="C:\Users\evan.barrios\Desktop\Updated Proliferation Figure 6 NEW 1128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n.barrios\Desktop\Updated Proliferation Figure 6 NEW 112823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B0DBC" w14:textId="5502EC86" w:rsidR="00403FDA" w:rsidRPr="00471A97" w:rsidRDefault="00410AE8" w:rsidP="00403FDA">
      <w:pPr>
        <w:jc w:val="both"/>
        <w:rPr>
          <w:szCs w:val="24"/>
        </w:rPr>
      </w:pPr>
      <w:bookmarkStart w:id="1" w:name="OLE_LINK2"/>
      <w:r>
        <w:rPr>
          <w:b/>
          <w:szCs w:val="24"/>
        </w:rPr>
        <w:t>Supplementary Figure 3</w:t>
      </w:r>
      <w:r w:rsidR="00403FDA" w:rsidRPr="00471A97">
        <w:rPr>
          <w:b/>
          <w:szCs w:val="24"/>
        </w:rPr>
        <w:t>.</w:t>
      </w:r>
      <w:r w:rsidR="00403FDA" w:rsidRPr="00471A97">
        <w:rPr>
          <w:bCs/>
          <w:szCs w:val="24"/>
        </w:rPr>
        <w:t xml:space="preserve"> </w:t>
      </w:r>
      <w:r w:rsidR="00403FDA" w:rsidRPr="00471A97">
        <w:rPr>
          <w:b/>
          <w:szCs w:val="24"/>
        </w:rPr>
        <w:t>Proliferation index and cytokine production of CD4</w:t>
      </w:r>
      <w:r w:rsidR="00403FDA" w:rsidRPr="00471A97">
        <w:rPr>
          <w:b/>
          <w:szCs w:val="24"/>
          <w:vertAlign w:val="superscript"/>
        </w:rPr>
        <w:t>+</w:t>
      </w:r>
      <w:r w:rsidR="00403FDA" w:rsidRPr="00471A97">
        <w:rPr>
          <w:b/>
          <w:szCs w:val="24"/>
        </w:rPr>
        <w:t xml:space="preserve"> and CD8</w:t>
      </w:r>
      <w:r w:rsidR="00403FDA" w:rsidRPr="00471A97">
        <w:rPr>
          <w:b/>
          <w:szCs w:val="24"/>
          <w:vertAlign w:val="superscript"/>
        </w:rPr>
        <w:t xml:space="preserve">+ </w:t>
      </w:r>
      <w:r w:rsidR="00403FDA" w:rsidRPr="00471A97">
        <w:rPr>
          <w:b/>
          <w:szCs w:val="24"/>
        </w:rPr>
        <w:t xml:space="preserve">T cells in septic patients and healthy subjects. </w:t>
      </w:r>
      <w:r w:rsidR="00403FDA" w:rsidRPr="00471A97">
        <w:rPr>
          <w:szCs w:val="24"/>
        </w:rPr>
        <w:t>Level of cytokine production by CD4</w:t>
      </w:r>
      <w:r w:rsidR="00403FDA" w:rsidRPr="00471A97">
        <w:rPr>
          <w:szCs w:val="24"/>
          <w:vertAlign w:val="superscript"/>
        </w:rPr>
        <w:t>+</w:t>
      </w:r>
      <w:r w:rsidR="00403FDA" w:rsidRPr="00471A97">
        <w:rPr>
          <w:szCs w:val="24"/>
        </w:rPr>
        <w:t xml:space="preserve"> and CD8</w:t>
      </w:r>
      <w:r w:rsidR="00403FDA" w:rsidRPr="00471A97">
        <w:rPr>
          <w:szCs w:val="24"/>
          <w:vertAlign w:val="superscript"/>
        </w:rPr>
        <w:t>+</w:t>
      </w:r>
      <w:r w:rsidR="00403FDA" w:rsidRPr="00471A97">
        <w:rPr>
          <w:szCs w:val="24"/>
        </w:rPr>
        <w:t xml:space="preserve"> lymphocytes in 10 healthy subjects (“Healthy”), 18 acutely septic patients (“Sepsis D4”), and 8 septic patients at day 14-21 (“Sepsis D14-21”). T lymphocytes plated and stimulated with soluble anti-CD3/CD28 antibodies or without (control). CD66b</w:t>
      </w:r>
      <w:r w:rsidR="00403FDA" w:rsidRPr="00471A97">
        <w:rPr>
          <w:szCs w:val="24"/>
          <w:vertAlign w:val="superscript"/>
        </w:rPr>
        <w:t>+</w:t>
      </w:r>
      <w:r w:rsidR="00403FDA" w:rsidRPr="00471A97">
        <w:rPr>
          <w:szCs w:val="24"/>
        </w:rPr>
        <w:t xml:space="preserve"> cells also isolated from the PBMC fraction via positive selection kit. Cells co-cultured with stimulated T cells in a 1:1 ratio. Supernatants after culture were obtained for cytokine analysis. The Kruskal-Wallis test was used for analysis of medians between groups. CD4: CD4</w:t>
      </w:r>
      <w:r w:rsidR="00403FDA" w:rsidRPr="00471A97">
        <w:rPr>
          <w:szCs w:val="24"/>
          <w:vertAlign w:val="superscript"/>
        </w:rPr>
        <w:t>+</w:t>
      </w:r>
      <w:r w:rsidR="00403FDA" w:rsidRPr="00471A97">
        <w:rPr>
          <w:szCs w:val="24"/>
        </w:rPr>
        <w:t xml:space="preserve"> lymphocytes, CD8: CD8</w:t>
      </w:r>
      <w:r w:rsidR="00403FDA" w:rsidRPr="00471A97">
        <w:rPr>
          <w:szCs w:val="24"/>
          <w:vertAlign w:val="superscript"/>
        </w:rPr>
        <w:t>+</w:t>
      </w:r>
      <w:r w:rsidR="00403FDA" w:rsidRPr="00471A97">
        <w:rPr>
          <w:szCs w:val="24"/>
        </w:rPr>
        <w:t xml:space="preserve"> lymphocytes. *: </w:t>
      </w:r>
      <w:r w:rsidR="00403FDA" w:rsidRPr="00471A97">
        <w:rPr>
          <w:i/>
          <w:szCs w:val="24"/>
        </w:rPr>
        <w:t>p</w:t>
      </w:r>
      <w:r w:rsidR="00403FDA" w:rsidRPr="00471A97">
        <w:rPr>
          <w:szCs w:val="24"/>
        </w:rPr>
        <w:t xml:space="preserve">&lt;0.05, **: </w:t>
      </w:r>
      <w:r w:rsidR="00403FDA" w:rsidRPr="00471A97">
        <w:rPr>
          <w:i/>
          <w:szCs w:val="24"/>
        </w:rPr>
        <w:t>p</w:t>
      </w:r>
      <w:r w:rsidR="00403FDA" w:rsidRPr="00471A97">
        <w:rPr>
          <w:szCs w:val="24"/>
        </w:rPr>
        <w:t xml:space="preserve">&lt;0.01, ***: </w:t>
      </w:r>
      <w:r w:rsidR="00403FDA" w:rsidRPr="00471A97">
        <w:rPr>
          <w:i/>
          <w:szCs w:val="24"/>
        </w:rPr>
        <w:t>p</w:t>
      </w:r>
      <w:r w:rsidR="00403FDA" w:rsidRPr="00471A97">
        <w:rPr>
          <w:szCs w:val="24"/>
        </w:rPr>
        <w:t xml:space="preserve">&lt;0.001, ****: </w:t>
      </w:r>
      <w:r w:rsidR="00403FDA" w:rsidRPr="00471A97">
        <w:rPr>
          <w:i/>
          <w:szCs w:val="24"/>
        </w:rPr>
        <w:t>p</w:t>
      </w:r>
      <w:r w:rsidR="00403FDA" w:rsidRPr="00471A97">
        <w:rPr>
          <w:szCs w:val="24"/>
        </w:rPr>
        <w:t>&lt;0.0001.</w:t>
      </w:r>
      <w:bookmarkStart w:id="2" w:name="_GoBack"/>
      <w:bookmarkEnd w:id="2"/>
    </w:p>
    <w:bookmarkEnd w:id="1"/>
    <w:p w14:paraId="3F7ACCEC" w14:textId="77777777" w:rsidR="00403FDA" w:rsidRPr="00471A97" w:rsidRDefault="00403FDA" w:rsidP="00403FDA">
      <w:pPr>
        <w:jc w:val="both"/>
        <w:rPr>
          <w:b/>
          <w:szCs w:val="24"/>
        </w:rPr>
      </w:pPr>
      <w:r w:rsidRPr="00471A97">
        <w:rPr>
          <w:b/>
          <w:bCs/>
          <w:noProof/>
          <w:szCs w:val="24"/>
        </w:rPr>
        <w:lastRenderedPageBreak/>
        <w:drawing>
          <wp:inline distT="0" distB="0" distL="0" distR="0" wp14:anchorId="340C4ECA" wp14:editId="57375D8B">
            <wp:extent cx="5943600" cy="3343275"/>
            <wp:effectExtent l="0" t="0" r="0" b="9525"/>
            <wp:docPr id="11" name="Picture 11" descr="C:\Users\evan.barrios\Desktop\NEW Figure 5 for scRNAseq Manuscript TCell prolif 1128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.barrios\Desktop\NEW Figure 5 for scRNAseq Manuscript TCell prolif 112823.t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45B97" w14:textId="16242CBD" w:rsidR="00403FDA" w:rsidRPr="00471A97" w:rsidRDefault="00410AE8" w:rsidP="00403FDA">
      <w:pPr>
        <w:jc w:val="both"/>
        <w:rPr>
          <w:szCs w:val="24"/>
        </w:rPr>
      </w:pPr>
      <w:bookmarkStart w:id="3" w:name="OLE_LINK3"/>
      <w:r>
        <w:rPr>
          <w:b/>
          <w:szCs w:val="24"/>
        </w:rPr>
        <w:t>Supplementary Figure 4</w:t>
      </w:r>
      <w:r w:rsidR="00403FDA" w:rsidRPr="00471A97">
        <w:rPr>
          <w:b/>
          <w:szCs w:val="24"/>
        </w:rPr>
        <w:t>.</w:t>
      </w:r>
      <w:r w:rsidR="00403FDA" w:rsidRPr="00471A97">
        <w:rPr>
          <w:bCs/>
          <w:szCs w:val="24"/>
        </w:rPr>
        <w:t xml:space="preserve"> </w:t>
      </w:r>
      <w:r w:rsidR="00403FDA" w:rsidRPr="00471A97">
        <w:rPr>
          <w:b/>
          <w:szCs w:val="24"/>
        </w:rPr>
        <w:t>Proliferation index of CD4</w:t>
      </w:r>
      <w:r w:rsidR="00403FDA" w:rsidRPr="00471A97">
        <w:rPr>
          <w:b/>
          <w:szCs w:val="24"/>
          <w:vertAlign w:val="superscript"/>
        </w:rPr>
        <w:t>+</w:t>
      </w:r>
      <w:r w:rsidR="00403FDA" w:rsidRPr="00471A97">
        <w:rPr>
          <w:b/>
          <w:szCs w:val="24"/>
        </w:rPr>
        <w:t xml:space="preserve"> and CD8</w:t>
      </w:r>
      <w:r w:rsidR="00403FDA" w:rsidRPr="00471A97">
        <w:rPr>
          <w:b/>
          <w:szCs w:val="24"/>
          <w:vertAlign w:val="superscript"/>
        </w:rPr>
        <w:t xml:space="preserve">+ </w:t>
      </w:r>
      <w:r w:rsidR="00403FDA" w:rsidRPr="00471A97">
        <w:rPr>
          <w:b/>
          <w:szCs w:val="24"/>
        </w:rPr>
        <w:t xml:space="preserve">T cells in septic patients and healthy subjects. </w:t>
      </w:r>
      <w:r w:rsidR="00403FDA" w:rsidRPr="00471A97">
        <w:rPr>
          <w:szCs w:val="24"/>
        </w:rPr>
        <w:t xml:space="preserve">T cells isolated from peripheral blood mononuclear cell (PBMC) suspension from 10 healthy subjects (“Healthy”), 18 septic patients at day 4 (“Sepsis D4”), and 7 septic patients at day 14-21 (“Sepsis D14-21”) using the same techniques as patients whose samples underwent processing and </w:t>
      </w:r>
      <w:proofErr w:type="spellStart"/>
      <w:r w:rsidR="00403FDA" w:rsidRPr="00471A97">
        <w:rPr>
          <w:szCs w:val="24"/>
        </w:rPr>
        <w:t>scRNA</w:t>
      </w:r>
      <w:proofErr w:type="spellEnd"/>
      <w:r w:rsidR="00403FDA" w:rsidRPr="00471A97">
        <w:rPr>
          <w:szCs w:val="24"/>
        </w:rPr>
        <w:t>-seq. T lymphocytes plated and stimulated with soluble anti-CD3/CD28 antibodies or without (control). CD66b</w:t>
      </w:r>
      <w:r w:rsidR="00403FDA" w:rsidRPr="00471A97">
        <w:rPr>
          <w:szCs w:val="24"/>
          <w:vertAlign w:val="superscript"/>
        </w:rPr>
        <w:t>+</w:t>
      </w:r>
      <w:r w:rsidR="00403FDA" w:rsidRPr="00471A97">
        <w:rPr>
          <w:szCs w:val="24"/>
        </w:rPr>
        <w:t xml:space="preserve"> cells also isolated from the PBMC fraction via positive selection kit. Cells co-cultured with stimulated T cells in a 1:1 ratio. Proliferation indices calculated as the total number of cell divisions divided by the number of cells that went into division. The Kruskal-Wallis test was used for analysis of medians between groups. CD4: CD4</w:t>
      </w:r>
      <w:r w:rsidR="00403FDA" w:rsidRPr="00471A97">
        <w:rPr>
          <w:szCs w:val="24"/>
          <w:vertAlign w:val="superscript"/>
        </w:rPr>
        <w:t>+</w:t>
      </w:r>
      <w:r w:rsidR="00403FDA" w:rsidRPr="00471A97">
        <w:rPr>
          <w:szCs w:val="24"/>
        </w:rPr>
        <w:t xml:space="preserve"> lymphocytes, CD8: CD8</w:t>
      </w:r>
      <w:r w:rsidR="00403FDA" w:rsidRPr="00471A97">
        <w:rPr>
          <w:szCs w:val="24"/>
          <w:vertAlign w:val="superscript"/>
        </w:rPr>
        <w:t>+</w:t>
      </w:r>
      <w:r w:rsidR="00403FDA" w:rsidRPr="00471A97">
        <w:rPr>
          <w:szCs w:val="24"/>
        </w:rPr>
        <w:t xml:space="preserve"> lymphocytes. *: </w:t>
      </w:r>
      <w:r w:rsidR="00403FDA" w:rsidRPr="00471A97">
        <w:rPr>
          <w:i/>
          <w:szCs w:val="24"/>
        </w:rPr>
        <w:t>p</w:t>
      </w:r>
      <w:r w:rsidR="00403FDA" w:rsidRPr="00471A97">
        <w:rPr>
          <w:szCs w:val="24"/>
        </w:rPr>
        <w:t xml:space="preserve">&lt;0.05, **: </w:t>
      </w:r>
      <w:r w:rsidR="00403FDA" w:rsidRPr="00471A97">
        <w:rPr>
          <w:i/>
          <w:szCs w:val="24"/>
        </w:rPr>
        <w:t>p</w:t>
      </w:r>
      <w:r w:rsidR="00403FDA" w:rsidRPr="00471A97">
        <w:rPr>
          <w:szCs w:val="24"/>
        </w:rPr>
        <w:t xml:space="preserve">&lt;0.01, ***: </w:t>
      </w:r>
      <w:r w:rsidR="00403FDA" w:rsidRPr="00471A97">
        <w:rPr>
          <w:i/>
          <w:szCs w:val="24"/>
        </w:rPr>
        <w:t>p</w:t>
      </w:r>
      <w:r w:rsidR="00403FDA" w:rsidRPr="00471A97">
        <w:rPr>
          <w:szCs w:val="24"/>
        </w:rPr>
        <w:t xml:space="preserve">&lt;0.001, ****: </w:t>
      </w:r>
      <w:r w:rsidR="00403FDA" w:rsidRPr="00471A97">
        <w:rPr>
          <w:i/>
          <w:szCs w:val="24"/>
        </w:rPr>
        <w:t>p</w:t>
      </w:r>
      <w:r w:rsidR="00403FDA" w:rsidRPr="00471A97">
        <w:rPr>
          <w:szCs w:val="24"/>
        </w:rPr>
        <w:t>&lt;0.0001.</w:t>
      </w:r>
    </w:p>
    <w:bookmarkEnd w:id="3"/>
    <w:p w14:paraId="590A923C" w14:textId="77777777" w:rsidR="00403FDA" w:rsidRPr="00471A97" w:rsidRDefault="00403FDA" w:rsidP="00403FDA">
      <w:pPr>
        <w:spacing w:after="160"/>
        <w:rPr>
          <w:b/>
          <w:bCs/>
          <w:szCs w:val="24"/>
        </w:rPr>
      </w:pPr>
      <w:r w:rsidRPr="00471A97">
        <w:rPr>
          <w:b/>
          <w:bCs/>
          <w:szCs w:val="24"/>
        </w:rPr>
        <w:br w:type="page"/>
      </w:r>
    </w:p>
    <w:p w14:paraId="0598F499" w14:textId="77777777" w:rsidR="00403FDA" w:rsidRPr="00471A97" w:rsidRDefault="00403FDA" w:rsidP="00403FDA">
      <w:pPr>
        <w:jc w:val="both"/>
        <w:rPr>
          <w:bCs/>
          <w:szCs w:val="24"/>
        </w:rPr>
      </w:pPr>
      <w:r w:rsidRPr="00471A97">
        <w:rPr>
          <w:bCs/>
          <w:noProof/>
          <w:szCs w:val="24"/>
        </w:rPr>
        <w:lastRenderedPageBreak/>
        <w:drawing>
          <wp:inline distT="0" distB="0" distL="0" distR="0" wp14:anchorId="020C8640" wp14:editId="3586F62E">
            <wp:extent cx="2695575" cy="4495800"/>
            <wp:effectExtent l="0" t="0" r="0" b="0"/>
            <wp:docPr id="13" name="Picture 13" descr="C:\Users\evan.barrios\Desktop\Additional File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an.barrios\Desktop\Additional File 4.t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C3B2B" w14:textId="20F2EF41" w:rsidR="00403FDA" w:rsidRPr="00471A97" w:rsidRDefault="00410AE8" w:rsidP="00403FDA">
      <w:pPr>
        <w:jc w:val="both"/>
        <w:rPr>
          <w:bCs/>
          <w:szCs w:val="24"/>
        </w:rPr>
      </w:pPr>
      <w:bookmarkStart w:id="4" w:name="OLE_LINK4"/>
      <w:r>
        <w:rPr>
          <w:b/>
          <w:szCs w:val="24"/>
        </w:rPr>
        <w:t>Supplementary Figure 5</w:t>
      </w:r>
      <w:r w:rsidR="00403FDA" w:rsidRPr="00471A97">
        <w:rPr>
          <w:b/>
          <w:bCs/>
          <w:szCs w:val="24"/>
        </w:rPr>
        <w:t>.</w:t>
      </w:r>
      <w:r w:rsidR="00403FDA" w:rsidRPr="00471A97">
        <w:rPr>
          <w:szCs w:val="24"/>
        </w:rPr>
        <w:t xml:space="preserve"> </w:t>
      </w:r>
      <w:r w:rsidR="00403FDA" w:rsidRPr="00471A97">
        <w:rPr>
          <w:b/>
          <w:bCs/>
          <w:szCs w:val="24"/>
        </w:rPr>
        <w:t xml:space="preserve">IFN-γ expression in stimulated T cells between acute and sub-acute sepsis patients. </w:t>
      </w:r>
      <w:r w:rsidR="00403FDA" w:rsidRPr="00471A97">
        <w:rPr>
          <w:bCs/>
          <w:szCs w:val="24"/>
        </w:rPr>
        <w:t>CD4</w:t>
      </w:r>
      <w:r w:rsidR="00403FDA" w:rsidRPr="00471A97">
        <w:rPr>
          <w:bCs/>
          <w:szCs w:val="24"/>
          <w:vertAlign w:val="superscript"/>
        </w:rPr>
        <w:t>+</w:t>
      </w:r>
      <w:r w:rsidR="00403FDA" w:rsidRPr="00471A97">
        <w:rPr>
          <w:bCs/>
          <w:szCs w:val="24"/>
        </w:rPr>
        <w:t xml:space="preserve"> and CD8</w:t>
      </w:r>
      <w:r w:rsidR="00403FDA" w:rsidRPr="00471A97">
        <w:rPr>
          <w:bCs/>
          <w:szCs w:val="24"/>
          <w:vertAlign w:val="superscript"/>
        </w:rPr>
        <w:t>+</w:t>
      </w:r>
      <w:r w:rsidR="00403FDA" w:rsidRPr="00471A97">
        <w:rPr>
          <w:bCs/>
          <w:szCs w:val="24"/>
        </w:rPr>
        <w:t xml:space="preserve"> T cells were isolated from PBMC suspension. They were stimulated with soluble anti-CD3/CD28 antibodies and cultured. After 4 days, cells were harvested and supernatants analyzed for expression of IFN-γ. Groups were stimulated T cells from patients with acute sepsis at day 4 (n=18) and stimulated T cells from patient samples 14-21 days after sepsis onset (n=8). Difference assessed via unpaired non-parametric Mann-Whitney test. *: </w:t>
      </w:r>
      <w:r w:rsidR="00403FDA" w:rsidRPr="00471A97">
        <w:rPr>
          <w:bCs/>
          <w:i/>
          <w:szCs w:val="24"/>
        </w:rPr>
        <w:t>p</w:t>
      </w:r>
      <w:r w:rsidR="00403FDA" w:rsidRPr="00471A97">
        <w:rPr>
          <w:bCs/>
          <w:szCs w:val="24"/>
        </w:rPr>
        <w:t>&lt;0.05.</w:t>
      </w:r>
    </w:p>
    <w:bookmarkEnd w:id="4"/>
    <w:p w14:paraId="3B020E77" w14:textId="78DD55B7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 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7"/>
      <w:footerReference w:type="even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5B5A7" w14:textId="77777777" w:rsidR="00493C7B" w:rsidRDefault="00493C7B" w:rsidP="00117666">
      <w:pPr>
        <w:spacing w:after="0"/>
      </w:pPr>
      <w:r>
        <w:separator/>
      </w:r>
    </w:p>
  </w:endnote>
  <w:endnote w:type="continuationSeparator" w:id="0">
    <w:p w14:paraId="366B4CB1" w14:textId="77777777" w:rsidR="00493C7B" w:rsidRDefault="00493C7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37F0764E" w:rsidR="00995F6A" w:rsidRPr="00577C4C" w:rsidRDefault="00493C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37F0764E" w:rsidR="00995F6A" w:rsidRPr="00577C4C" w:rsidRDefault="00493C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AA319" w14:textId="77777777" w:rsidR="00493C7B" w:rsidRDefault="00493C7B" w:rsidP="00117666">
      <w:pPr>
        <w:spacing w:after="0"/>
      </w:pPr>
      <w:r>
        <w:separator/>
      </w:r>
    </w:p>
  </w:footnote>
  <w:footnote w:type="continuationSeparator" w:id="0">
    <w:p w14:paraId="3136D07D" w14:textId="77777777" w:rsidR="00493C7B" w:rsidRDefault="00493C7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09BB2C9E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FB4000A"/>
    <w:multiLevelType w:val="hybridMultilevel"/>
    <w:tmpl w:val="6DD60C92"/>
    <w:lvl w:ilvl="0" w:tplc="2C8ECB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C3D7B"/>
    <w:rsid w:val="003D2D47"/>
    <w:rsid w:val="003D2F2D"/>
    <w:rsid w:val="00401590"/>
    <w:rsid w:val="00403FDA"/>
    <w:rsid w:val="00410AE8"/>
    <w:rsid w:val="00447801"/>
    <w:rsid w:val="00452E9C"/>
    <w:rsid w:val="004735C8"/>
    <w:rsid w:val="00493C7B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3E45"/>
    <w:rsid w:val="006B7D14"/>
    <w:rsid w:val="00701727"/>
    <w:rsid w:val="0070566C"/>
    <w:rsid w:val="00714C50"/>
    <w:rsid w:val="00725A7D"/>
    <w:rsid w:val="00745AEE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316E4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64EA6"/>
    <w:rsid w:val="00F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tif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tif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tiff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AF8DDC-4B5F-4DEE-9179-FD2B9835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5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Barrios,Evan Louis</cp:lastModifiedBy>
  <cp:revision>3</cp:revision>
  <cp:lastPrinted>2013-10-03T12:51:00Z</cp:lastPrinted>
  <dcterms:created xsi:type="dcterms:W3CDTF">2024-01-05T19:04:00Z</dcterms:created>
  <dcterms:modified xsi:type="dcterms:W3CDTF">2024-01-05T19:04:00Z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