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04CA" w14:textId="7BECC1FC" w:rsidR="002E3F3D" w:rsidRPr="00235B47" w:rsidRDefault="00827105">
      <w:pPr>
        <w:rPr>
          <w:rFonts w:cstheme="minorHAnsi"/>
          <w:b/>
          <w:bCs/>
          <w:kern w:val="0"/>
          <w:sz w:val="32"/>
          <w:szCs w:val="32"/>
        </w:rPr>
      </w:pPr>
      <w:r w:rsidRPr="00235B47">
        <w:rPr>
          <w:rFonts w:cstheme="minorHAnsi"/>
          <w:b/>
          <w:bCs/>
          <w:kern w:val="0"/>
          <w:sz w:val="32"/>
          <w:szCs w:val="32"/>
        </w:rPr>
        <w:t>Supplementa</w:t>
      </w:r>
      <w:r w:rsidR="001416FC">
        <w:rPr>
          <w:rFonts w:cstheme="minorHAnsi"/>
          <w:b/>
          <w:bCs/>
          <w:kern w:val="0"/>
          <w:sz w:val="32"/>
          <w:szCs w:val="32"/>
        </w:rPr>
        <w:t>ry</w:t>
      </w:r>
      <w:r w:rsidRPr="00235B47">
        <w:rPr>
          <w:rFonts w:cstheme="minorHAnsi"/>
          <w:b/>
          <w:bCs/>
          <w:kern w:val="0"/>
          <w:sz w:val="32"/>
          <w:szCs w:val="32"/>
        </w:rPr>
        <w:t xml:space="preserve"> Materials</w:t>
      </w:r>
    </w:p>
    <w:p w14:paraId="67FFDCEF" w14:textId="234497BC" w:rsidR="00827105" w:rsidRPr="00235B47" w:rsidRDefault="00827105" w:rsidP="00827105">
      <w:pPr>
        <w:rPr>
          <w:rFonts w:cstheme="minorHAnsi"/>
          <w:b/>
          <w:bCs/>
        </w:rPr>
      </w:pPr>
      <w:r w:rsidRPr="00235B47">
        <w:rPr>
          <w:rFonts w:cstheme="minorHAnsi"/>
          <w:b/>
          <w:bCs/>
        </w:rPr>
        <w:t>SUPPLEMENTA</w:t>
      </w:r>
      <w:r w:rsidR="001416FC">
        <w:rPr>
          <w:rFonts w:cstheme="minorHAnsi"/>
          <w:b/>
          <w:bCs/>
        </w:rPr>
        <w:t>RY</w:t>
      </w:r>
      <w:r w:rsidRPr="00235B47">
        <w:rPr>
          <w:rFonts w:cstheme="minorHAnsi"/>
          <w:b/>
          <w:bCs/>
        </w:rPr>
        <w:t xml:space="preserve"> METHODS</w:t>
      </w:r>
    </w:p>
    <w:p w14:paraId="5DCBBE39" w14:textId="23977ACC" w:rsidR="00827105" w:rsidRPr="007D13CB" w:rsidRDefault="0072359F" w:rsidP="00827105">
      <w:pPr>
        <w:rPr>
          <w:rFonts w:cstheme="minorHAnsi"/>
          <w:b/>
          <w:bCs/>
        </w:rPr>
      </w:pPr>
      <w:r w:rsidRPr="007D13CB">
        <w:rPr>
          <w:rFonts w:cstheme="minorHAnsi"/>
          <w:b/>
          <w:bCs/>
        </w:rPr>
        <w:t>Participating Studies</w:t>
      </w:r>
    </w:p>
    <w:p w14:paraId="09A63B07" w14:textId="2FEC07A1" w:rsidR="00827105" w:rsidRDefault="00827105" w:rsidP="00827105">
      <w:pPr>
        <w:rPr>
          <w:rFonts w:cstheme="minorHAnsi"/>
        </w:rPr>
      </w:pPr>
      <w:r w:rsidRPr="00235B47">
        <w:rPr>
          <w:rFonts w:cstheme="minorHAnsi"/>
        </w:rPr>
        <w:t xml:space="preserve">The current cross-ancestry </w:t>
      </w:r>
      <w:r w:rsidR="00235B47">
        <w:rPr>
          <w:rFonts w:cstheme="minorHAnsi"/>
        </w:rPr>
        <w:t>PRS validation study</w:t>
      </w:r>
      <w:r w:rsidRPr="00235B47">
        <w:rPr>
          <w:rFonts w:cstheme="minorHAnsi"/>
        </w:rPr>
        <w:t xml:space="preserve"> is comprised of new analyses of data from </w:t>
      </w:r>
      <w:r w:rsidR="00AF1155">
        <w:rPr>
          <w:rFonts w:cstheme="minorHAnsi"/>
        </w:rPr>
        <w:t>5</w:t>
      </w:r>
      <w:r w:rsidRPr="00235B47">
        <w:rPr>
          <w:rFonts w:cstheme="minorHAnsi"/>
        </w:rPr>
        <w:t xml:space="preserve"> studies,</w:t>
      </w:r>
      <w:r w:rsidR="00AA2BEE">
        <w:rPr>
          <w:rFonts w:cstheme="minorHAnsi"/>
        </w:rPr>
        <w:t xml:space="preserve"> </w:t>
      </w:r>
      <w:r w:rsidRPr="00235B47">
        <w:rPr>
          <w:rFonts w:cstheme="minorHAnsi"/>
        </w:rPr>
        <w:t xml:space="preserve">including the </w:t>
      </w:r>
      <w:r w:rsidR="00C54549" w:rsidRPr="00C54549">
        <w:rPr>
          <w:rFonts w:cstheme="minorHAnsi"/>
        </w:rPr>
        <w:t>Nurses’ Health Study I and II (NHS and NHSII</w:t>
      </w:r>
      <w:r w:rsidR="00235EAE" w:rsidRPr="00235EAE">
        <w:rPr>
          <w:rFonts w:cstheme="minorHAnsi"/>
        </w:rPr>
        <w:t>) and Health Professional Follow-up Study (HPFS)</w:t>
      </w:r>
      <w:r w:rsidR="00AA2BEE">
        <w:rPr>
          <w:rFonts w:cstheme="minorHAnsi"/>
        </w:rPr>
        <w:t xml:space="preserve">, </w:t>
      </w:r>
      <w:r w:rsidR="007E3ACE" w:rsidRPr="00235EAE">
        <w:rPr>
          <w:rFonts w:cstheme="minorHAnsi"/>
        </w:rPr>
        <w:t>Michigan Genomics Initiative (MGI)</w:t>
      </w:r>
      <w:r w:rsidR="007E3ACE">
        <w:rPr>
          <w:rFonts w:cstheme="minorHAnsi"/>
        </w:rPr>
        <w:t xml:space="preserve">, </w:t>
      </w:r>
      <w:r w:rsidR="007E3ACE" w:rsidRPr="00AA2BEE">
        <w:rPr>
          <w:rFonts w:cstheme="minorHAnsi"/>
        </w:rPr>
        <w:t>UCLA Precision Health Biobank (UCLA), Penn Medicine Biobank (PMBB), and Lifelines</w:t>
      </w:r>
      <w:r w:rsidR="007E3ACE">
        <w:rPr>
          <w:rFonts w:cstheme="minorHAnsi"/>
        </w:rPr>
        <w:t xml:space="preserve"> </w:t>
      </w:r>
      <w:r w:rsidRPr="00235B47">
        <w:rPr>
          <w:rFonts w:cstheme="minorHAnsi"/>
        </w:rPr>
        <w:t>as well as previously published data from the INVENT consortium, a</w:t>
      </w:r>
      <w:r w:rsidR="00AF1155">
        <w:rPr>
          <w:rFonts w:cstheme="minorHAnsi"/>
        </w:rPr>
        <w:t xml:space="preserve"> </w:t>
      </w:r>
      <w:r w:rsidRPr="00235B47">
        <w:rPr>
          <w:rFonts w:cstheme="minorHAnsi"/>
        </w:rPr>
        <w:t>17 study analysis of prospective cohorts and case-control data (designated INVENT-2019)</w:t>
      </w:r>
      <w:r w:rsidR="00AF1155">
        <w:rPr>
          <w:rFonts w:cstheme="minorHAnsi"/>
        </w:rPr>
        <w:t xml:space="preserve"> </w:t>
      </w:r>
      <w:r w:rsidR="00893319">
        <w:rPr>
          <w:rFonts w:cstheme="minorHAnsi"/>
        </w:rPr>
        <w:fldChar w:fldCharType="begin"/>
      </w:r>
      <w:r w:rsidR="00893319">
        <w:rPr>
          <w:rFonts w:cstheme="minorHAnsi"/>
        </w:rPr>
        <w:instrText xml:space="preserve"> ADDIN ZOTERO_ITEM CSL_CITATION {"citationID":"NzvhVq4r","properties":{"formattedCitation":"\\super 1\\nosupersub{}","plainCitation":"1","noteIndex":0},"citationItems":[{"id":122,"uris":["http://zotero.org/users/9030084/items/BSXRHELR"],"itemData":{"id":122,"type":"article-journal","abstract":"Background:\n\nVenous thromboembolism (VTE) is a life-threatening vascular event with environmental and genetic determinants. Recent VTE genome-wide association studies (GWAS) meta-analyses involved nearly 30 000 VTE cases and identified up to 40 genetic loci associated with VTE risk, including loci not previously suspected to play a role in hemostasis. The aim of our research was to expand discovery of new genetic loci associated with VTE by using cross-ancestry genomic resources.\n\nMethods:\n\nWe present new cross-ancestry meta-analyzed GWAS results involving up to 81 669 VTE cases from 30 studies, with replication of novel loci in independent populations and loci characterization through in silico genomic interrogations.\n\nResults:\n\nIn our genetic discovery effort that included 55 330 participants with VTE (47 822 European, 6320 African, and 1188 Hispanic ancestry), we identified 48 novel associations, of which 34 replicated after correction for multiple testing. In our combined discovery-replication analysis (81 669 VTE participants) and ancestry-stratified meta-analyses (European, African, and Hispanic), we identified another 44 novel associations, which are new candidate VTE-associated loci requiring replication. In total, across all GWAS meta-analyses, we identified 135 independent genomic loci significantly associated with VTE risk. A genetic risk score of the significantly associated loci in Europeans identified a 6-fold increase in risk for those in the top 1% of scores compared with those with average scores. We also identified 31 novel transcript associations in transcriptome-wide association studies and 8 novel candidate genes with protein quantitative-trait locus Mendelian randomization analyses. In silico interrogations of hemostasis and hematology traits and a large phenome-wide association analysis of the 135 GWAS loci provided insights to biological pathways contributing to VTE, with some loci contributing to VTE through well-characterized coagulation pathways and others providing new data on the role of hematology traits, particularly platelet function. Many of the replicated loci are outside of known or currently hypothesized pathways to thrombosis.\n\nConclusions:\n\nOur cross-ancestry GWAS meta-analyses identified new loci associated with VTE. These findings highlight new pathways to thrombosis and provide novel molecules that may be useful in the development of improved antithrombosis treatments.","container-title":"Circulation","DOI":"10.1161/CIRCULATIONAHA.122.059675","issue":"0","note":"publisher: American Heart Association","page":"10.1161/CIRCULATIONAHA.122.059675","source":"ahajournals.org (Atypon)","title":"Cross-Ancestry Investigation of Venous Thromboembolism Genomic Predictors","volume":"0","author":[{"family":"Thibord","given":"Florian"},{"family":"Klarin","given":"Derek"},{"family":"Brody","given":"Jennifer A."},{"family":"Chen","given":"Ming-Huei"},{"family":"Levin","given":"Michael G."},{"family":"Chasman","given":"Daniel I."},{"family":"Goode","given":"Ellen L."},{"family":"Hveem","given":"Kristian"},{"family":"Teder-Laving","given":"Maris"},{"family":"Martinez-Perez","given":"Angel"},{"family":"Aïssi","given":"Dylan"},{"family":"Daian-Bacq","given":"Delphine"},{"family":"Ito","given":"Kaoru"},{"family":"Natarajan","given":"Pradeep"},{"family":"Lutsey","given":"Pamela L."},{"family":"Nadkarni","given":"Girish N."},{"family":"Vries","given":"Paul S.","non-dropping-particle":"de"},{"family":"Cuellar-Partida","given":"Gabriel"},{"family":"Wolford","given":"Brooke N."},{"family":"Pattee","given":"Jack W."},{"family":"Kooperberg","given":"Charles"},{"family":"Braekkan","given":"Sigrid K."},{"family":"Li-Gao","given":"Ruifang"},{"family":"Saut","given":"Noemie"},{"family":"Sept","given":"Corriene"},{"family":"Germain","given":"Marine"},{"family":"Judy","given":"Renae L."},{"family":"Wiggins","given":"Kerri L."},{"family":"Ko","given":"Darae"},{"family":"O’Donnell","given":"Christopher J."},{"family":"Taylor","given":"Kent D."},{"family":"Giulianini","given":"Franco"},{"family":"De Andrade","given":"Mariza"},{"family":"Nøst","given":"Therese H."},{"family":"Boland","given":"Anne"},{"family":"Empana","given":"Jean-Philippe"},{"family":"Koyama","given":"Satoshi"},{"family":"Gilliland","given":"Thomas"},{"family":"Do","given":"Ron"},{"family":"Huffman","given":"Jennifer E."},{"family":"Wang","given":"Xin"},{"family":"Zhou","given":"Wei"},{"family":"Manuel Soria","given":"Jose"},{"family":"Carlos Souto","given":"Juan"},{"family":"Pankratz","given":"Nathan"},{"family":"Haessler","given":"Jeffery"},{"family":"Hindberg","given":"Kristian"},{"family":"Rosendaal","given":"Frits R."},{"family":"Turman","given":"Constance"},{"family":"Olaso","given":"Robert"},{"family":"Kember","given":"Rachel L."},{"family":"Bartz","given":"Traci M."},{"family":"Lynch","given":"Julie A."},{"family":"Heckbert","given":"Susan R."},{"family":"Armasu","given":"Sebastian M."},{"family":"Brumpton","given":"Ben"},{"family":"Smadja","given":"David M."},{"family":"Jouven","given":"Xavier"},{"family":"Komuro","given":"Issei"},{"family":"Clapham","given":"Katharine R."},{"family":"Loos","given":"Ruth J.F."},{"family":"Willer","given":"Cristen J."},{"family":"Sabater-Lleal","given":"Maria"},{"family":"Pankow","given":"James S."},{"family":"Reiner","given":"Alexander P."},{"family":"Morelli","given":"Vania M."},{"family":"Ridker","given":"Paul M"},{"family":"Vlieg","given":"Astrid van Hylckama"},{"family":"Deleuze","given":"Jean-François"},{"family":"Kraft","given":"Peter"},{"family":"Rader","given":"Daniel J."},{"family":"null","given":"null"},{"family":"Min Lee","given":"Kyung"},{"family":"Psaty","given":"Bruce M."},{"family":"Heidi Skogholt","given":"Anne"},{"family":"Emmerich","given":"Joseph"},{"family":"Suchon","given":"Pierre"},{"family":"Rich","given":"Stephen S."},{"family":"Vy","given":"Ha My T."},{"family":"Tang","given":"Weihong"},{"family":"Jackson","given":"Rebecca D."},{"family":"Hansen","given":"John-Bjarne"},{"family":"Morange","given":"Pierre-Emmanuel"},{"family":"Kabrhel","given":"Christopher"},{"family":"Trégouët","given":"David-Alexandre"},{"family":"Damrauer","given":"Scott M."},{"family":"Johnson","given":"Andrew D."},{"family":"Smith","given":"Nicholas L."}]}}],"schema":"https://github.com/citation-style-language/schema/raw/master/csl-citation.json"} </w:instrText>
      </w:r>
      <w:r w:rsidR="00893319">
        <w:rPr>
          <w:rFonts w:cstheme="minorHAnsi"/>
        </w:rPr>
        <w:fldChar w:fldCharType="separate"/>
      </w:r>
      <w:r w:rsidR="00893319" w:rsidRPr="00893319">
        <w:rPr>
          <w:rFonts w:ascii="Calibri" w:hAnsi="Calibri" w:cs="Calibri"/>
          <w:kern w:val="0"/>
          <w:szCs w:val="24"/>
          <w:vertAlign w:val="superscript"/>
        </w:rPr>
        <w:t>1</w:t>
      </w:r>
      <w:r w:rsidR="00893319">
        <w:rPr>
          <w:rFonts w:cstheme="minorHAnsi"/>
        </w:rPr>
        <w:fldChar w:fldCharType="end"/>
      </w:r>
      <w:r w:rsidRPr="00235B47">
        <w:rPr>
          <w:rFonts w:cstheme="minorHAnsi"/>
        </w:rPr>
        <w:t>.</w:t>
      </w:r>
    </w:p>
    <w:p w14:paraId="3C83A913" w14:textId="77777777" w:rsidR="0072359F" w:rsidRPr="00F3189D" w:rsidRDefault="0072359F" w:rsidP="0072359F">
      <w:pPr>
        <w:rPr>
          <w:rFonts w:cstheme="minorHAnsi"/>
          <w:b/>
          <w:bCs/>
        </w:rPr>
      </w:pPr>
      <w:r w:rsidRPr="00F3189D">
        <w:rPr>
          <w:rFonts w:cstheme="minorHAnsi"/>
          <w:b/>
          <w:bCs/>
        </w:rPr>
        <w:t>Genotyping and Imputation</w:t>
      </w:r>
    </w:p>
    <w:p w14:paraId="36EB7B32" w14:textId="3346E9F0" w:rsidR="0072359F" w:rsidRDefault="0072359F" w:rsidP="0072359F">
      <w:pPr>
        <w:rPr>
          <w:rFonts w:cstheme="minorHAnsi"/>
        </w:rPr>
      </w:pPr>
      <w:r w:rsidRPr="0072359F">
        <w:rPr>
          <w:rFonts w:cstheme="minorHAnsi"/>
        </w:rPr>
        <w:t>Genotyping was performed with high-density genome-wide arrays for all studies. Genotype data were imputed to the 1000 Genomes Project reference dataset</w:t>
      </w:r>
      <w:r w:rsidR="007D13CB">
        <w:rPr>
          <w:rFonts w:cstheme="minorHAnsi"/>
        </w:rPr>
        <w:t>.</w:t>
      </w:r>
    </w:p>
    <w:p w14:paraId="147726DE" w14:textId="77777777" w:rsidR="0047112C" w:rsidRPr="001B7999" w:rsidRDefault="0047112C" w:rsidP="0047112C">
      <w:pPr>
        <w:spacing w:after="0" w:line="240" w:lineRule="auto"/>
        <w:rPr>
          <w:rFonts w:ascii="Calibri" w:eastAsia="Times New Roman" w:hAnsi="Calibri" w:cs="Calibri"/>
          <w:b/>
          <w:bCs/>
          <w:color w:val="000000"/>
        </w:rPr>
      </w:pPr>
      <w:r w:rsidRPr="001B7999">
        <w:rPr>
          <w:rFonts w:ascii="Calibri" w:eastAsia="Times New Roman" w:hAnsi="Calibri" w:cs="Calibri"/>
          <w:b/>
          <w:bCs/>
          <w:color w:val="000000"/>
        </w:rPr>
        <w:t xml:space="preserve">Phenotype definitions (recommended by </w:t>
      </w:r>
      <w:hyperlink r:id="rId7" w:history="1">
        <w:r w:rsidRPr="00887F34">
          <w:rPr>
            <w:rStyle w:val="Hyperlink"/>
            <w:rFonts w:ascii="Calibri" w:eastAsia="Times New Roman" w:hAnsi="Calibri" w:cs="Calibri"/>
            <w:b/>
            <w:bCs/>
          </w:rPr>
          <w:t>GBMI</w:t>
        </w:r>
      </w:hyperlink>
      <w:r w:rsidRPr="001B7999">
        <w:rPr>
          <w:rFonts w:ascii="Calibri" w:eastAsia="Times New Roman" w:hAnsi="Calibri" w:cs="Calibri"/>
          <w:b/>
          <w:bCs/>
          <w:color w:val="000000"/>
        </w:rPr>
        <w:t>):</w:t>
      </w:r>
    </w:p>
    <w:p w14:paraId="3A1AE166" w14:textId="77777777" w:rsidR="0047112C" w:rsidRPr="001B7999" w:rsidRDefault="0047112C" w:rsidP="0047112C">
      <w:pPr>
        <w:pStyle w:val="ListParagraph"/>
        <w:numPr>
          <w:ilvl w:val="0"/>
          <w:numId w:val="5"/>
        </w:numPr>
        <w:spacing w:after="0" w:line="240" w:lineRule="auto"/>
        <w:rPr>
          <w:rFonts w:ascii="Calibri" w:eastAsia="Times New Roman" w:hAnsi="Calibri" w:cs="Calibri"/>
          <w:color w:val="000000"/>
        </w:rPr>
      </w:pPr>
      <w:r w:rsidRPr="001B7999">
        <w:rPr>
          <w:rFonts w:ascii="Calibri" w:eastAsia="Times New Roman" w:hAnsi="Calibri" w:cs="Calibri"/>
          <w:color w:val="000000"/>
        </w:rPr>
        <w:t>Controls (subjects with these ICD codes are excluded from controls): I81, I82.0, I80.0, I80.3, I80.8, I80.9, D68, 452,453.0,451.0,451.89,451.9,</w:t>
      </w:r>
      <w:proofErr w:type="gramStart"/>
      <w:r w:rsidRPr="001B7999">
        <w:rPr>
          <w:rFonts w:ascii="Calibri" w:eastAsia="Times New Roman" w:hAnsi="Calibri" w:cs="Calibri"/>
          <w:color w:val="000000"/>
        </w:rPr>
        <w:t>286</w:t>
      </w:r>
      <w:proofErr w:type="gramEnd"/>
      <w:r w:rsidRPr="001B7999">
        <w:rPr>
          <w:rFonts w:ascii="Calibri" w:eastAsia="Times New Roman" w:hAnsi="Calibri" w:cs="Calibri"/>
          <w:color w:val="000000"/>
        </w:rPr>
        <w:tab/>
      </w:r>
    </w:p>
    <w:p w14:paraId="3445DC39" w14:textId="77777777" w:rsidR="0047112C" w:rsidRPr="001B7999" w:rsidRDefault="0047112C" w:rsidP="0047112C">
      <w:pPr>
        <w:pStyle w:val="ListParagraph"/>
        <w:numPr>
          <w:ilvl w:val="0"/>
          <w:numId w:val="5"/>
        </w:numPr>
        <w:spacing w:after="0" w:line="240" w:lineRule="auto"/>
        <w:rPr>
          <w:rFonts w:ascii="Calibri" w:eastAsia="Times New Roman" w:hAnsi="Calibri" w:cs="Calibri"/>
          <w:color w:val="000000"/>
        </w:rPr>
      </w:pPr>
      <w:r w:rsidRPr="001B7999">
        <w:rPr>
          <w:rFonts w:ascii="Calibri" w:eastAsia="Times New Roman" w:hAnsi="Calibri" w:cs="Calibri"/>
          <w:color w:val="000000"/>
        </w:rPr>
        <w:t>Cases: I80.1, I80.2, I82.2, I26.0, I26.9, 451.11, 453.40, 453.2, 453.77, 453.87, 415.1</w:t>
      </w:r>
      <w:r w:rsidRPr="001B7999">
        <w:rPr>
          <w:rFonts w:ascii="Calibri" w:eastAsia="Times New Roman" w:hAnsi="Calibri" w:cs="Calibri"/>
          <w:color w:val="000000"/>
        </w:rPr>
        <w:tab/>
      </w:r>
    </w:p>
    <w:p w14:paraId="771E4C32" w14:textId="77777777" w:rsidR="0047112C" w:rsidRPr="001B7999" w:rsidRDefault="0047112C" w:rsidP="0047112C">
      <w:pPr>
        <w:pStyle w:val="ListParagraph"/>
        <w:numPr>
          <w:ilvl w:val="0"/>
          <w:numId w:val="5"/>
        </w:numPr>
        <w:spacing w:after="0" w:line="240" w:lineRule="auto"/>
        <w:rPr>
          <w:rFonts w:ascii="Calibri" w:eastAsia="Times New Roman" w:hAnsi="Calibri" w:cs="Calibri"/>
          <w:color w:val="000000"/>
        </w:rPr>
      </w:pPr>
      <w:r w:rsidRPr="001B7999">
        <w:rPr>
          <w:rFonts w:ascii="Calibri" w:eastAsia="Times New Roman" w:hAnsi="Calibri" w:cs="Calibri"/>
          <w:color w:val="000000"/>
        </w:rPr>
        <w:t>OPCS codes to define cases: L79.1, L90.2</w:t>
      </w:r>
    </w:p>
    <w:p w14:paraId="605E2408" w14:textId="77777777" w:rsidR="0047112C" w:rsidRDefault="0047112C" w:rsidP="0047112C">
      <w:pPr>
        <w:rPr>
          <w:rFonts w:ascii="Calibri" w:hAnsi="Calibri" w:cs="Calibri"/>
          <w:szCs w:val="20"/>
        </w:rPr>
      </w:pPr>
    </w:p>
    <w:p w14:paraId="22ACFE8B" w14:textId="77777777" w:rsidR="0007624A" w:rsidRPr="00694FAC" w:rsidRDefault="0007624A" w:rsidP="0007624A">
      <w:pPr>
        <w:spacing w:line="240" w:lineRule="auto"/>
        <w:rPr>
          <w:rFonts w:cstheme="minorHAnsi"/>
          <w:b/>
          <w:bCs/>
        </w:rPr>
      </w:pPr>
      <w:r w:rsidRPr="00694FAC">
        <w:rPr>
          <w:rFonts w:cstheme="minorHAnsi"/>
          <w:b/>
          <w:bCs/>
        </w:rPr>
        <w:t xml:space="preserve">PRS </w:t>
      </w:r>
      <w:r>
        <w:rPr>
          <w:rFonts w:cstheme="minorHAnsi"/>
          <w:b/>
          <w:bCs/>
        </w:rPr>
        <w:t>with additional five genome-wide significant variants</w:t>
      </w:r>
    </w:p>
    <w:p w14:paraId="61ADD2EA" w14:textId="368885B4" w:rsidR="0007624A" w:rsidRPr="00694FAC" w:rsidRDefault="0007624A" w:rsidP="0007624A">
      <w:pPr>
        <w:spacing w:line="240" w:lineRule="auto"/>
        <w:rPr>
          <w:rFonts w:cstheme="minorHAnsi"/>
        </w:rPr>
      </w:pPr>
      <w:r w:rsidRPr="00694FAC">
        <w:rPr>
          <w:rFonts w:cstheme="minorHAnsi"/>
        </w:rPr>
        <w:t>Previously reported genome-wide significant SNPs</w:t>
      </w:r>
      <w:r w:rsidRPr="00694FAC">
        <w:rPr>
          <w:rFonts w:cstheme="minorHAnsi"/>
        </w:rPr>
        <w:fldChar w:fldCharType="begin"/>
      </w:r>
      <w:r w:rsidR="00893319">
        <w:rPr>
          <w:rFonts w:cstheme="minorHAnsi"/>
        </w:rPr>
        <w:instrText xml:space="preserve"> ADDIN ZOTERO_ITEM CSL_CITATION {"citationID":"8qYJA0h7","properties":{"formattedCitation":"\\super 2\\nosupersub{}","plainCitation":"2","noteIndex":0},"citationItems":[{"id":186,"uris":["http://zotero.org/users/9030084/items/P3SUGS9W"],"itemData":{"id":186,"type":"article-journal","abstract":"Venous thromboembolism (VTE) is a significant contributor to morbidity and mortality. To advance our understanding of the biology contributing to VTE, we conducted a genome-wide association study (GWAS) of VTE and a transcriptome-wide association study (TWAS) based on imputed gene expression from whole blood and liver. We meta-analyzed GWAS data from 18 studies for 30 234 VTE cases and 172 122 controls and assessed the association between 12 923 718 genetic variants and VTE. We generated variant prediction scores of gene expression from whole blood and liver tissue and assessed them for association with VTE. Mendelian randomization analyses were conducted for traits genetically associated with novel VTE loci. We identified 34 independent genetic signals for VTE risk from GWAS meta-analysis, of which 14 are newly reported associations. This included 11 newly associated genetic loci (C1orf198, PLEK, OSMR-AS1, NUGGC/SCARA5, GRK5, MPHOSPH9, ARID4A, PLCG2, SMG6, EIF5A, and STX10) of which 6 replicated, and 3 new independent signals in 3 known genes. Further, TWAS identified 5 additional genetic loci with imputed gene expression levels differing between cases and controls in whole blood (SH2B3, SPSB1, RP11-747H7.3, RP4-737E23.2) and in liver (ERAP1). At some GWAS loci, we found suggestive evidence that the VTE association signal for novel and previously known regions colocalized with expression quantitative trait locus signals. Mendelian randomization analyses suggested that blood traits may contribute to the underlying risk of VTE. To conclude, we identified 16 novel susceptibility loci for VTE; for some loci, the association signals are likely mediated through gene expression of nearby genes.","container-title":"Blood","DOI":"10.1182/blood.2019000435","ISSN":"1528-0020","issue":"19","journalAbbreviation":"Blood","language":"eng","note":"PMID: 31420334\nPMCID: PMC6871304","page":"1645-1657","source":"PubMed","title":"Genomic and transcriptomic association studies identify 16 novel susceptibility loci for venous thromboembolism","volume":"134","author":[{"family":"Lindström","given":"Sara"},{"family":"Wang","given":"Lu"},{"family":"Smith","given":"Erin N."},{"family":"Gordon","given":"William"},{"family":"Hylckama Vlieg","given":"Astrid","non-dropping-particle":"van"},{"family":"Andrade","given":"Mariza","non-dropping-particle":"de"},{"family":"Brody","given":"Jennifer A."},{"family":"Pattee","given":"Jack W."},{"family":"Haessler","given":"Jeffrey"},{"family":"Brumpton","given":"Ben M."},{"family":"Chasman","given":"Daniel I."},{"family":"Suchon","given":"Pierre"},{"family":"Chen","given":"Ming-Huei"},{"family":"Turman","given":"Constance"},{"family":"Germain","given":"Marine"},{"family":"Wiggins","given":"Kerri L."},{"family":"MacDonald","given":"James"},{"family":"Braekkan","given":"Sigrid K."},{"family":"Armasu","given":"Sebastian M."},{"family":"Pankratz","given":"Nathan"},{"family":"Jackson","given":"Rebecca D."},{"family":"Nielsen","given":"Jonas B."},{"family":"Giulianini","given":"Franco"},{"family":"Puurunen","given":"Marja K."},{"family":"Ibrahim","given":"Manal"},{"family":"Heckbert","given":"Susan R."},{"family":"Damrauer","given":"Scott M."},{"family":"Natarajan","given":"Pradeep"},{"family":"Klarin","given":"Derek"},{"literal":"Million Veteran Program"},{"family":"Vries","given":"Paul S.","non-dropping-particle":"de"},{"family":"Sabater-Lleal","given":"Maria"},{"family":"Huffman","given":"Jennifer E."},{"literal":"CHARGE Hemostasis Working Group"},{"family":"Bammler","given":"Theo K."},{"family":"Frazer","given":"Kelly A."},{"family":"McCauley","given":"Bryan M."},{"family":"Taylor","given":"Kent"},{"family":"Pankow","given":"James S."},{"family":"Reiner","given":"Alexander P."},{"family":"Gabrielsen","given":"Maiken E."},{"family":"Deleuze","given":"Jean-François"},{"family":"O'Donnell","given":"Chris J."},{"family":"Kim","given":"Jihye"},{"family":"McKnight","given":"Barbara"},{"family":"Kraft","given":"Peter"},{"family":"Hansen","given":"John-Bjarne"},{"family":"Rosendaal","given":"Frits R."},{"family":"Heit","given":"John A."},{"family":"Psaty","given":"Bruce M."},{"family":"Tang","given":"Weihong"},{"family":"Kooperberg","given":"Charles"},{"family":"Hveem","given":"Kristian"},{"family":"Ridker","given":"Paul M."},{"family":"Morange","given":"Pierre-Emmanuel"},{"family":"Johnson","given":"Andrew D."},{"family":"Kabrhel","given":"Christopher"},{"family":"Trégouët","given":"David-Alexandre"},{"family":"Smith","given":"Nicholas L."}],"issued":{"date-parts":[["2019",11,7]]}}}],"schema":"https://github.com/citation-style-language/schema/raw/master/csl-citation.json"} </w:instrText>
      </w:r>
      <w:r w:rsidRPr="00694FAC">
        <w:rPr>
          <w:rFonts w:cstheme="minorHAnsi"/>
        </w:rPr>
        <w:fldChar w:fldCharType="separate"/>
      </w:r>
      <w:r w:rsidR="00893319" w:rsidRPr="00893319">
        <w:rPr>
          <w:rFonts w:ascii="Calibri" w:hAnsi="Calibri" w:cs="Calibri"/>
          <w:kern w:val="0"/>
          <w:szCs w:val="24"/>
          <w:vertAlign w:val="superscript"/>
        </w:rPr>
        <w:t>2</w:t>
      </w:r>
      <w:r w:rsidRPr="00694FAC">
        <w:rPr>
          <w:rFonts w:cstheme="minorHAnsi"/>
        </w:rPr>
        <w:fldChar w:fldCharType="end"/>
      </w:r>
      <w:r w:rsidRPr="00694FAC">
        <w:rPr>
          <w:rFonts w:cstheme="minorHAnsi"/>
        </w:rPr>
        <w:t xml:space="preserve"> that are not included in the PRS and not in LD with the SNPs in the PRS </w:t>
      </w:r>
      <w:r w:rsidR="00151207">
        <w:rPr>
          <w:rFonts w:cstheme="minorHAnsi"/>
        </w:rPr>
        <w:t>were</w:t>
      </w:r>
      <w:r w:rsidRPr="00694FAC">
        <w:rPr>
          <w:rFonts w:cstheme="minorHAnsi"/>
        </w:rPr>
        <w:t xml:space="preserve"> additionally included using weights from INVENT GWAS. The final PRSs were obtained by the linear combination of the original PRS (-temp) and additional SNPs (_ADD) where the coefficients for each term (b1, b2) were tuned in the independent ancestry-specific samples. </w:t>
      </w:r>
    </w:p>
    <w:p w14:paraId="64815297" w14:textId="77777777" w:rsidR="0007624A" w:rsidRPr="00694FAC" w:rsidRDefault="0007624A" w:rsidP="0007624A">
      <w:pPr>
        <w:spacing w:line="240" w:lineRule="auto"/>
        <w:rPr>
          <w:rFonts w:cstheme="minorHAnsi"/>
        </w:rPr>
      </w:pPr>
      <w:r w:rsidRPr="00694FAC">
        <w:rPr>
          <w:rFonts w:cstheme="minorHAnsi"/>
        </w:rPr>
        <w:t>Step 1. Compute “population-specific PRS-temp” under the pre-specified quality control (SNPs with imputation R</w:t>
      </w:r>
      <w:r w:rsidRPr="00694FAC">
        <w:rPr>
          <w:rFonts w:cstheme="minorHAnsi"/>
          <w:vertAlign w:val="superscript"/>
        </w:rPr>
        <w:t>2</w:t>
      </w:r>
      <w:r w:rsidRPr="00694FAC">
        <w:rPr>
          <w:rFonts w:cstheme="minorHAnsi"/>
        </w:rPr>
        <w:t xml:space="preserve"> &gt; 0.9)</w:t>
      </w:r>
    </w:p>
    <w:p w14:paraId="504A6729" w14:textId="77777777" w:rsidR="0007624A" w:rsidRPr="00173614" w:rsidRDefault="0007624A" w:rsidP="0007624A">
      <w:pPr>
        <w:pStyle w:val="ListParagraph"/>
        <w:numPr>
          <w:ilvl w:val="0"/>
          <w:numId w:val="2"/>
        </w:numPr>
        <w:spacing w:line="240" w:lineRule="auto"/>
        <w:rPr>
          <w:rFonts w:cstheme="minorHAnsi"/>
        </w:rPr>
      </w:pPr>
      <m:oMath>
        <m:r>
          <w:rPr>
            <w:rFonts w:ascii="Cambria Math" w:hAnsi="Cambria Math" w:cstheme="minorHAnsi"/>
          </w:rPr>
          <m:t>PR</m:t>
        </m:r>
        <m:sSub>
          <m:sSubPr>
            <m:ctrlPr>
              <w:rPr>
                <w:rFonts w:ascii="Cambria Math" w:hAnsi="Cambria Math" w:cstheme="minorHAnsi"/>
                <w:i/>
                <w:iCs/>
              </w:rPr>
            </m:ctrlPr>
          </m:sSub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EUR</m:t>
                </m:r>
              </m:sub>
            </m:sSub>
          </m:e>
          <m:sub>
            <m:r>
              <w:rPr>
                <w:rFonts w:ascii="Cambria Math" w:hAnsi="Cambria Math" w:cstheme="minorHAnsi"/>
              </w:rPr>
              <m:t>i</m:t>
            </m:r>
          </m:sub>
        </m:sSub>
        <m:r>
          <w:rPr>
            <w:rFonts w:ascii="Cambria Math" w:hAnsi="Cambria Math" w:cstheme="minorHAnsi"/>
          </w:rPr>
          <m:t>= </m:t>
        </m:r>
        <m:nary>
          <m:naryPr>
            <m:chr m:val="∑"/>
            <m:subHide m:val="1"/>
            <m:supHide m:val="1"/>
            <m:ctrlPr>
              <w:rPr>
                <w:rFonts w:ascii="Cambria Math" w:hAnsi="Cambria Math" w:cstheme="minorHAnsi"/>
                <w:i/>
                <w:iCs/>
              </w:rPr>
            </m:ctrlPr>
          </m:naryPr>
          <m:sub/>
          <m:sup/>
          <m:e>
            <m:sSub>
              <m:sSubPr>
                <m:ctrlPr>
                  <w:rPr>
                    <w:rFonts w:ascii="Cambria Math" w:hAnsi="Cambria Math" w:cstheme="minorHAnsi"/>
                    <w:i/>
                    <w:iCs/>
                  </w:rPr>
                </m:ctrlPr>
              </m:sSubPr>
              <m:e>
                <m:r>
                  <w:rPr>
                    <w:rFonts w:ascii="Cambria Math" w:hAnsi="Cambria Math" w:cstheme="minorHAnsi"/>
                  </w:rPr>
                  <m:t>β</m:t>
                </m:r>
              </m:e>
              <m:sub>
                <m:r>
                  <w:rPr>
                    <w:rFonts w:ascii="Cambria Math" w:hAnsi="Cambria Math" w:cstheme="minorHAnsi"/>
                  </w:rPr>
                  <m:t>k</m:t>
                </m:r>
              </m:sub>
            </m:sSub>
            <m:sSub>
              <m:sSubPr>
                <m:ctrlPr>
                  <w:rPr>
                    <w:rFonts w:ascii="Cambria Math" w:hAnsi="Cambria Math" w:cstheme="minorHAnsi"/>
                    <w:i/>
                    <w:iCs/>
                  </w:rPr>
                </m:ctrlPr>
              </m:sSubPr>
              <m:e>
                <m:r>
                  <w:rPr>
                    <w:rFonts w:ascii="Cambria Math" w:hAnsi="Cambria Math" w:cstheme="minorHAnsi"/>
                  </w:rPr>
                  <m:t>x</m:t>
                </m:r>
              </m:e>
              <m:sub>
                <m:r>
                  <w:rPr>
                    <w:rFonts w:ascii="Cambria Math" w:hAnsi="Cambria Math" w:cstheme="minorHAnsi"/>
                  </w:rPr>
                  <m:t>ik</m:t>
                </m:r>
              </m:sub>
            </m:sSub>
          </m:e>
        </m:nary>
      </m:oMath>
      <w:r w:rsidRPr="00173614">
        <w:rPr>
          <w:rFonts w:cstheme="minorHAnsi"/>
          <w:iCs/>
        </w:rPr>
        <w:t xml:space="preserve"> and </w:t>
      </w:r>
      <m:oMath>
        <m:r>
          <w:rPr>
            <w:rFonts w:ascii="Cambria Math" w:hAnsi="Cambria Math" w:cstheme="minorHAnsi"/>
          </w:rPr>
          <m:t>PR</m:t>
        </m:r>
        <m:sSub>
          <m:sSubPr>
            <m:ctrlPr>
              <w:rPr>
                <w:rFonts w:ascii="Cambria Math" w:hAnsi="Cambria Math" w:cstheme="minorHAnsi"/>
                <w:i/>
                <w:iCs/>
              </w:rPr>
            </m:ctrlPr>
          </m:sSub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AFR</m:t>
                </m:r>
              </m:sub>
            </m:sSub>
          </m:e>
          <m:sub>
            <m:r>
              <w:rPr>
                <w:rFonts w:ascii="Cambria Math" w:hAnsi="Cambria Math" w:cstheme="minorHAnsi"/>
              </w:rPr>
              <m:t>j</m:t>
            </m:r>
          </m:sub>
        </m:sSub>
        <m:r>
          <w:rPr>
            <w:rFonts w:ascii="Cambria Math" w:hAnsi="Cambria Math" w:cstheme="minorHAnsi"/>
          </w:rPr>
          <m:t>= </m:t>
        </m:r>
        <m:nary>
          <m:naryPr>
            <m:chr m:val="∑"/>
            <m:subHide m:val="1"/>
            <m:supHide m:val="1"/>
            <m:ctrlPr>
              <w:rPr>
                <w:rFonts w:ascii="Cambria Math" w:hAnsi="Cambria Math" w:cstheme="minorHAnsi"/>
                <w:i/>
                <w:iCs/>
              </w:rPr>
            </m:ctrlPr>
          </m:naryPr>
          <m:sub/>
          <m:sup/>
          <m:e>
            <m:sSub>
              <m:sSubPr>
                <m:ctrlPr>
                  <w:rPr>
                    <w:rFonts w:ascii="Cambria Math" w:hAnsi="Cambria Math" w:cstheme="minorHAnsi"/>
                    <w:i/>
                    <w:iCs/>
                  </w:rPr>
                </m:ctrlPr>
              </m:sSubPr>
              <m:e>
                <m:r>
                  <w:rPr>
                    <w:rFonts w:ascii="Cambria Math" w:hAnsi="Cambria Math" w:cstheme="minorHAnsi"/>
                  </w:rPr>
                  <m:t>α</m:t>
                </m:r>
              </m:e>
              <m:sub>
                <m:r>
                  <w:rPr>
                    <w:rFonts w:ascii="Cambria Math" w:hAnsi="Cambria Math" w:cstheme="minorHAnsi"/>
                  </w:rPr>
                  <m:t>k</m:t>
                </m:r>
              </m:sub>
            </m:sSub>
            <m:sSub>
              <m:sSubPr>
                <m:ctrlPr>
                  <w:rPr>
                    <w:rFonts w:ascii="Cambria Math" w:hAnsi="Cambria Math" w:cstheme="minorHAnsi"/>
                    <w:i/>
                    <w:iCs/>
                  </w:rPr>
                </m:ctrlPr>
              </m:sSubPr>
              <m:e>
                <m:r>
                  <w:rPr>
                    <w:rFonts w:ascii="Cambria Math" w:hAnsi="Cambria Math" w:cstheme="minorHAnsi"/>
                  </w:rPr>
                  <m:t>y</m:t>
                </m:r>
              </m:e>
              <m:sub>
                <m:r>
                  <w:rPr>
                    <w:rFonts w:ascii="Cambria Math" w:hAnsi="Cambria Math" w:cstheme="minorHAnsi"/>
                  </w:rPr>
                  <m:t>jk</m:t>
                </m:r>
              </m:sub>
            </m:sSub>
          </m:e>
        </m:nary>
      </m:oMath>
      <w:r w:rsidRPr="00173614">
        <w:rPr>
          <w:rFonts w:cstheme="minorHAnsi"/>
          <w:i/>
          <w:iCs/>
        </w:rPr>
        <w:t xml:space="preserve">, </w:t>
      </w:r>
    </w:p>
    <w:p w14:paraId="516476D8" w14:textId="77777777" w:rsidR="0007624A" w:rsidRPr="00173614" w:rsidRDefault="0007624A" w:rsidP="0007624A">
      <w:pPr>
        <w:pStyle w:val="ListParagraph"/>
        <w:spacing w:line="240" w:lineRule="auto"/>
        <w:rPr>
          <w:rFonts w:cstheme="minorHAnsi"/>
        </w:rPr>
      </w:pPr>
      <w:r w:rsidRPr="00173614">
        <w:rPr>
          <w:rFonts w:cstheme="minorHAnsi"/>
        </w:rPr>
        <w:t xml:space="preserve">where </w:t>
      </w:r>
      <w:proofErr w:type="spellStart"/>
      <w:r w:rsidRPr="00173614">
        <w:rPr>
          <w:rFonts w:cstheme="minorHAnsi"/>
          <w:i/>
          <w:iCs/>
        </w:rPr>
        <w:t>x</w:t>
      </w:r>
      <w:r w:rsidRPr="00173614">
        <w:rPr>
          <w:rFonts w:cstheme="minorHAnsi"/>
          <w:i/>
          <w:iCs/>
          <w:vertAlign w:val="subscript"/>
        </w:rPr>
        <w:t>ik</w:t>
      </w:r>
      <w:proofErr w:type="spellEnd"/>
      <w:r w:rsidRPr="00173614">
        <w:rPr>
          <w:rFonts w:cstheme="minorHAnsi"/>
        </w:rPr>
        <w:t xml:space="preserve"> and </w:t>
      </w:r>
      <w:proofErr w:type="spellStart"/>
      <w:r w:rsidRPr="00173614">
        <w:rPr>
          <w:rFonts w:cstheme="minorHAnsi"/>
          <w:i/>
          <w:iCs/>
        </w:rPr>
        <w:t>y</w:t>
      </w:r>
      <w:r w:rsidRPr="00173614">
        <w:rPr>
          <w:rFonts w:cstheme="minorHAnsi"/>
          <w:i/>
          <w:iCs/>
          <w:vertAlign w:val="subscript"/>
        </w:rPr>
        <w:t>jk</w:t>
      </w:r>
      <w:proofErr w:type="spellEnd"/>
      <w:r w:rsidRPr="00173614">
        <w:rPr>
          <w:rFonts w:cstheme="minorHAnsi"/>
        </w:rPr>
        <w:t xml:space="preserve"> are the dosage of risk allele (0-2) at SNP </w:t>
      </w:r>
      <w:r w:rsidRPr="00173614">
        <w:rPr>
          <w:rFonts w:cstheme="minorHAnsi"/>
          <w:i/>
          <w:iCs/>
        </w:rPr>
        <w:t xml:space="preserve">k </w:t>
      </w:r>
      <w:r w:rsidRPr="00173614">
        <w:rPr>
          <w:rFonts w:cstheme="minorHAnsi"/>
        </w:rPr>
        <w:t xml:space="preserve">for </w:t>
      </w:r>
      <w:proofErr w:type="gramStart"/>
      <w:r w:rsidRPr="00173614">
        <w:rPr>
          <w:rFonts w:cstheme="minorHAnsi"/>
        </w:rPr>
        <w:t>an</w:t>
      </w:r>
      <w:proofErr w:type="gramEnd"/>
      <w:r w:rsidRPr="00173614">
        <w:rPr>
          <w:rFonts w:cstheme="minorHAnsi"/>
        </w:rPr>
        <w:t xml:space="preserve"> European subject </w:t>
      </w:r>
      <w:proofErr w:type="spellStart"/>
      <w:r w:rsidRPr="00173614">
        <w:rPr>
          <w:rFonts w:cstheme="minorHAnsi"/>
          <w:i/>
          <w:iCs/>
        </w:rPr>
        <w:t>i</w:t>
      </w:r>
      <w:proofErr w:type="spellEnd"/>
      <w:r w:rsidRPr="00173614">
        <w:rPr>
          <w:rFonts w:cstheme="minorHAnsi"/>
        </w:rPr>
        <w:t xml:space="preserve"> and African subject </w:t>
      </w:r>
      <w:r w:rsidRPr="00173614">
        <w:rPr>
          <w:rFonts w:cstheme="minorHAnsi"/>
          <w:i/>
          <w:iCs/>
        </w:rPr>
        <w:t xml:space="preserve">j, </w:t>
      </w:r>
      <w:r w:rsidRPr="00173614">
        <w:rPr>
          <w:rFonts w:cstheme="minorHAnsi"/>
        </w:rPr>
        <w:t>respectively,</w:t>
      </w:r>
      <w:r w:rsidRPr="00173614">
        <w:rPr>
          <w:rFonts w:cstheme="minorHAnsi"/>
          <w:i/>
          <w:iCs/>
        </w:rPr>
        <w:t xml:space="preserve"> </w:t>
      </w:r>
      <m:oMath>
        <m:sSub>
          <m:sSubPr>
            <m:ctrlPr>
              <w:rPr>
                <w:rFonts w:ascii="Cambria Math" w:hAnsi="Cambria Math" w:cstheme="minorHAnsi"/>
                <w:i/>
                <w:iCs/>
              </w:rPr>
            </m:ctrlPr>
          </m:sSubPr>
          <m:e>
            <m:r>
              <w:rPr>
                <w:rFonts w:ascii="Cambria Math" w:hAnsi="Cambria Math" w:cstheme="minorHAnsi"/>
              </w:rPr>
              <m:t>β</m:t>
            </m:r>
          </m:e>
          <m:sub>
            <m:r>
              <w:rPr>
                <w:rFonts w:ascii="Cambria Math" w:hAnsi="Cambria Math" w:cstheme="minorHAnsi"/>
              </w:rPr>
              <m:t>k</m:t>
            </m:r>
          </m:sub>
        </m:sSub>
      </m:oMath>
      <w:r w:rsidRPr="00173614">
        <w:rPr>
          <w:rFonts w:cstheme="minorHAnsi"/>
        </w:rPr>
        <w:t xml:space="preserve"> and </w:t>
      </w:r>
      <m:oMath>
        <m:sSub>
          <m:sSubPr>
            <m:ctrlPr>
              <w:rPr>
                <w:rFonts w:ascii="Cambria Math" w:hAnsi="Cambria Math" w:cstheme="minorHAnsi"/>
                <w:i/>
                <w:iCs/>
              </w:rPr>
            </m:ctrlPr>
          </m:sSubPr>
          <m:e>
            <m:r>
              <w:rPr>
                <w:rFonts w:ascii="Cambria Math" w:hAnsi="Cambria Math" w:cstheme="minorHAnsi"/>
              </w:rPr>
              <m:t>α</m:t>
            </m:r>
          </m:e>
          <m:sub>
            <m:r>
              <w:rPr>
                <w:rFonts w:ascii="Cambria Math" w:hAnsi="Cambria Math" w:cstheme="minorHAnsi"/>
              </w:rPr>
              <m:t>k</m:t>
            </m:r>
          </m:sub>
        </m:sSub>
      </m:oMath>
      <w:r w:rsidRPr="00173614">
        <w:rPr>
          <w:rFonts w:cstheme="minorHAnsi"/>
          <w:iCs/>
        </w:rPr>
        <w:t xml:space="preserve"> are</w:t>
      </w:r>
      <w:r w:rsidRPr="00173614">
        <w:rPr>
          <w:rFonts w:cstheme="minorHAnsi"/>
        </w:rPr>
        <w:t xml:space="preserve"> the corresponding weight in European and African PRS, respectively.</w:t>
      </w:r>
    </w:p>
    <w:p w14:paraId="16302C57" w14:textId="77777777" w:rsidR="0007624A" w:rsidRDefault="0007624A" w:rsidP="0007624A">
      <w:pPr>
        <w:spacing w:line="240" w:lineRule="auto"/>
        <w:rPr>
          <w:rFonts w:cstheme="minorHAnsi"/>
        </w:rPr>
      </w:pPr>
      <w:r w:rsidRPr="00694FAC">
        <w:rPr>
          <w:rFonts w:cstheme="minorHAnsi"/>
        </w:rPr>
        <w:t>Step 2. Compute “PRS-ADD” consisting of SNPs that are either not included or not in LD with the SNPs in the EUR and AFR PRS-temp.</w:t>
      </w:r>
    </w:p>
    <w:p w14:paraId="5121C059" w14:textId="77777777" w:rsidR="0007624A" w:rsidRPr="000D2416" w:rsidRDefault="0007624A" w:rsidP="0007624A">
      <w:pPr>
        <w:spacing w:line="240" w:lineRule="auto"/>
        <w:rPr>
          <w:rFonts w:cstheme="minorHAnsi"/>
          <w:u w:val="single"/>
        </w:rPr>
      </w:pPr>
      <w:r w:rsidRPr="000D2416">
        <w:rPr>
          <w:rFonts w:cstheme="minorHAnsi"/>
          <w:u w:val="single"/>
        </w:rPr>
        <w:t>For biobanks with chromosome X data</w:t>
      </w:r>
    </w:p>
    <w:p w14:paraId="16DCFFC2" w14:textId="77777777" w:rsidR="0007624A" w:rsidRPr="00173614" w:rsidRDefault="0007624A" w:rsidP="0007624A">
      <w:pPr>
        <w:pStyle w:val="ListParagraph"/>
        <w:numPr>
          <w:ilvl w:val="0"/>
          <w:numId w:val="1"/>
        </w:numPr>
        <w:spacing w:line="240" w:lineRule="auto"/>
        <w:rPr>
          <w:rFonts w:cstheme="minorHAnsi"/>
        </w:rPr>
      </w:pPr>
      <w:r w:rsidRPr="00173614">
        <w:rPr>
          <w:rFonts w:cstheme="minorHAnsi"/>
        </w:rPr>
        <w:t>EUR_ADD = 0.6893*rs1799963+0.0637*rs6048+-0.0697*rs143478537</w:t>
      </w:r>
    </w:p>
    <w:p w14:paraId="374C7EC2" w14:textId="77777777" w:rsidR="0007624A" w:rsidRDefault="0007624A" w:rsidP="0007624A">
      <w:pPr>
        <w:pStyle w:val="ListParagraph"/>
        <w:numPr>
          <w:ilvl w:val="0"/>
          <w:numId w:val="1"/>
        </w:numPr>
        <w:spacing w:line="240" w:lineRule="auto"/>
        <w:rPr>
          <w:rFonts w:cstheme="minorHAnsi"/>
        </w:rPr>
      </w:pPr>
      <w:r w:rsidRPr="00173614">
        <w:rPr>
          <w:rFonts w:cstheme="minorHAnsi"/>
        </w:rPr>
        <w:t>AFR_ADD = 1.0864*rs6025+-0.058*rs145470028 + 0.6758*rs1799963 + 0.0943*rs6048+-8e-04*rs143478537</w:t>
      </w:r>
    </w:p>
    <w:p w14:paraId="0CA7A4AF" w14:textId="77777777" w:rsidR="0007624A" w:rsidRDefault="0007624A" w:rsidP="0007624A">
      <w:pPr>
        <w:spacing w:line="240" w:lineRule="auto"/>
        <w:rPr>
          <w:rFonts w:cstheme="minorHAnsi"/>
          <w:u w:val="single"/>
        </w:rPr>
      </w:pPr>
      <w:r w:rsidRPr="000D2416">
        <w:rPr>
          <w:rFonts w:cstheme="minorHAnsi"/>
          <w:u w:val="single"/>
        </w:rPr>
        <w:t>For biobanks with</w:t>
      </w:r>
      <w:r>
        <w:rPr>
          <w:rFonts w:cstheme="minorHAnsi"/>
          <w:u w:val="single"/>
        </w:rPr>
        <w:t xml:space="preserve">out </w:t>
      </w:r>
      <w:r w:rsidRPr="000D2416">
        <w:rPr>
          <w:rFonts w:cstheme="minorHAnsi"/>
          <w:u w:val="single"/>
        </w:rPr>
        <w:t>chromosome X data</w:t>
      </w:r>
    </w:p>
    <w:p w14:paraId="166576A3" w14:textId="77777777" w:rsidR="0007624A" w:rsidRPr="005F2B02" w:rsidRDefault="0007624A" w:rsidP="0007624A">
      <w:pPr>
        <w:pStyle w:val="ListParagraph"/>
        <w:numPr>
          <w:ilvl w:val="0"/>
          <w:numId w:val="7"/>
        </w:numPr>
        <w:spacing w:line="240" w:lineRule="auto"/>
        <w:rPr>
          <w:rFonts w:cstheme="minorHAnsi"/>
        </w:rPr>
      </w:pPr>
      <w:r w:rsidRPr="005F2B02">
        <w:rPr>
          <w:rFonts w:cstheme="minorHAnsi"/>
        </w:rPr>
        <w:t>EUR_ADD = 0.6893*rs1799963</w:t>
      </w:r>
    </w:p>
    <w:p w14:paraId="4D85135F" w14:textId="77777777" w:rsidR="0007624A" w:rsidRPr="005F2B02" w:rsidRDefault="0007624A" w:rsidP="0007624A">
      <w:pPr>
        <w:pStyle w:val="ListParagraph"/>
        <w:numPr>
          <w:ilvl w:val="0"/>
          <w:numId w:val="7"/>
        </w:numPr>
        <w:spacing w:line="240" w:lineRule="auto"/>
        <w:rPr>
          <w:rFonts w:cstheme="minorHAnsi"/>
        </w:rPr>
      </w:pPr>
      <w:r w:rsidRPr="005F2B02">
        <w:rPr>
          <w:rFonts w:cstheme="minorHAnsi"/>
        </w:rPr>
        <w:t>AFR_ADD = 1.0864*rs6025+-0.058*rs145470028 + 0.6758*rs1799963</w:t>
      </w:r>
    </w:p>
    <w:p w14:paraId="0544FA48" w14:textId="77777777" w:rsidR="0007624A" w:rsidRDefault="0007624A" w:rsidP="0007624A">
      <w:pPr>
        <w:spacing w:line="240" w:lineRule="auto"/>
        <w:rPr>
          <w:rFonts w:cstheme="minorHAnsi"/>
        </w:rPr>
      </w:pPr>
      <w:r w:rsidRPr="00694FAC">
        <w:rPr>
          <w:rFonts w:cstheme="minorHAnsi"/>
        </w:rPr>
        <w:lastRenderedPageBreak/>
        <w:t>Step 3. Generate the final population-specific PRS: linear combination of the PRS-temp and PRS-ADD, where the coefficients for each term (b1, b2) were tuned in the independent ancestry-specific samples.</w:t>
      </w:r>
    </w:p>
    <w:p w14:paraId="42425CAB" w14:textId="77777777" w:rsidR="0007624A" w:rsidRPr="005F2B02" w:rsidRDefault="0007624A" w:rsidP="0007624A">
      <w:pPr>
        <w:spacing w:line="240" w:lineRule="auto"/>
        <w:rPr>
          <w:rFonts w:cstheme="minorHAnsi"/>
          <w:u w:val="single"/>
        </w:rPr>
      </w:pPr>
      <w:r w:rsidRPr="000D2416">
        <w:rPr>
          <w:rFonts w:cstheme="minorHAnsi"/>
          <w:u w:val="single"/>
        </w:rPr>
        <w:t>For biobanks with chromosome X data</w:t>
      </w:r>
    </w:p>
    <w:p w14:paraId="06E9F506" w14:textId="77777777" w:rsidR="0007624A" w:rsidRPr="00A7368A" w:rsidRDefault="0007624A" w:rsidP="0007624A">
      <w:pPr>
        <w:pStyle w:val="ListParagraph"/>
        <w:numPr>
          <w:ilvl w:val="0"/>
          <w:numId w:val="3"/>
        </w:numPr>
        <w:spacing w:line="240" w:lineRule="auto"/>
        <w:rPr>
          <w:rFonts w:cstheme="minorHAnsi"/>
        </w:rPr>
      </w:pPr>
      <w:r w:rsidRPr="00A7368A">
        <w:rPr>
          <w:rFonts w:cstheme="minorHAnsi"/>
        </w:rPr>
        <w:t xml:space="preserve">LDPRED2_EUR = LDPRED2_EUR_temp*0.7843475 + EUR_ADD*0.2560768  </w:t>
      </w:r>
    </w:p>
    <w:p w14:paraId="5869A60B" w14:textId="77777777" w:rsidR="0007624A" w:rsidRPr="00A7368A" w:rsidRDefault="0007624A" w:rsidP="0007624A">
      <w:pPr>
        <w:pStyle w:val="ListParagraph"/>
        <w:numPr>
          <w:ilvl w:val="0"/>
          <w:numId w:val="3"/>
        </w:numPr>
        <w:spacing w:line="240" w:lineRule="auto"/>
        <w:rPr>
          <w:rFonts w:cstheme="minorHAnsi"/>
        </w:rPr>
      </w:pPr>
      <w:r w:rsidRPr="00A7368A">
        <w:rPr>
          <w:rFonts w:cstheme="minorHAnsi"/>
        </w:rPr>
        <w:t>LDPRED2_AFR = LDPRED2_AFR_temp*0.6531995 + AFR_ADD*1.0464763</w:t>
      </w:r>
    </w:p>
    <w:p w14:paraId="6813DD0B" w14:textId="77777777" w:rsidR="0007624A" w:rsidRPr="00A7368A" w:rsidRDefault="0007624A" w:rsidP="0007624A">
      <w:pPr>
        <w:pStyle w:val="ListParagraph"/>
        <w:numPr>
          <w:ilvl w:val="0"/>
          <w:numId w:val="3"/>
        </w:numPr>
        <w:spacing w:line="240" w:lineRule="auto"/>
        <w:rPr>
          <w:rFonts w:cstheme="minorHAnsi"/>
        </w:rPr>
      </w:pPr>
      <w:r w:rsidRPr="00A7368A">
        <w:rPr>
          <w:rFonts w:cstheme="minorHAnsi"/>
        </w:rPr>
        <w:t xml:space="preserve">PRSCSX_EUR = </w:t>
      </w:r>
      <w:proofErr w:type="spellStart"/>
      <w:r w:rsidRPr="00A7368A">
        <w:rPr>
          <w:rFonts w:cstheme="minorHAnsi"/>
        </w:rPr>
        <w:t>PRSCSX_EUR_temp</w:t>
      </w:r>
      <w:proofErr w:type="spellEnd"/>
      <w:r w:rsidRPr="00A7368A">
        <w:rPr>
          <w:rFonts w:cstheme="minorHAnsi"/>
        </w:rPr>
        <w:t>*5.2481014 + EUR_ADD*0.3647353</w:t>
      </w:r>
    </w:p>
    <w:p w14:paraId="5D13E229" w14:textId="77777777" w:rsidR="0007624A" w:rsidRPr="005F2B02" w:rsidRDefault="0007624A" w:rsidP="0007624A">
      <w:pPr>
        <w:pStyle w:val="ListParagraph"/>
        <w:numPr>
          <w:ilvl w:val="0"/>
          <w:numId w:val="3"/>
        </w:numPr>
        <w:spacing w:line="240" w:lineRule="auto"/>
        <w:rPr>
          <w:rFonts w:cstheme="minorHAnsi"/>
        </w:rPr>
      </w:pPr>
      <w:r w:rsidRPr="00A7368A">
        <w:rPr>
          <w:rFonts w:cstheme="minorHAnsi"/>
        </w:rPr>
        <w:t xml:space="preserve">PRSCSX_AFR = </w:t>
      </w:r>
      <w:proofErr w:type="spellStart"/>
      <w:r w:rsidRPr="00A7368A">
        <w:rPr>
          <w:rFonts w:cstheme="minorHAnsi"/>
        </w:rPr>
        <w:t>PRSCSX_AFR_temp</w:t>
      </w:r>
      <w:proofErr w:type="spellEnd"/>
      <w:r w:rsidRPr="00A7368A">
        <w:rPr>
          <w:rFonts w:cstheme="minorHAnsi"/>
        </w:rPr>
        <w:t>*1.1766993 + AFR_ADD*0.9679427</w:t>
      </w:r>
    </w:p>
    <w:p w14:paraId="5ED81FB3" w14:textId="77777777" w:rsidR="0007624A" w:rsidRPr="005F2B02" w:rsidRDefault="0007624A" w:rsidP="0007624A">
      <w:pPr>
        <w:spacing w:line="240" w:lineRule="auto"/>
        <w:rPr>
          <w:rFonts w:cstheme="minorHAnsi"/>
          <w:u w:val="single"/>
        </w:rPr>
      </w:pPr>
      <w:r w:rsidRPr="000D2416">
        <w:rPr>
          <w:rFonts w:cstheme="minorHAnsi"/>
          <w:u w:val="single"/>
        </w:rPr>
        <w:t>For biobanks with</w:t>
      </w:r>
      <w:r>
        <w:rPr>
          <w:rFonts w:cstheme="minorHAnsi"/>
          <w:u w:val="single"/>
        </w:rPr>
        <w:t>out</w:t>
      </w:r>
      <w:r w:rsidRPr="000D2416">
        <w:rPr>
          <w:rFonts w:cstheme="minorHAnsi"/>
          <w:u w:val="single"/>
        </w:rPr>
        <w:t xml:space="preserve"> chromosome X data</w:t>
      </w:r>
    </w:p>
    <w:p w14:paraId="244509F2" w14:textId="77777777" w:rsidR="0007624A" w:rsidRPr="00742360" w:rsidRDefault="0007624A" w:rsidP="0007624A">
      <w:pPr>
        <w:pStyle w:val="ListParagraph"/>
        <w:numPr>
          <w:ilvl w:val="0"/>
          <w:numId w:val="3"/>
        </w:numPr>
        <w:spacing w:line="240" w:lineRule="auto"/>
        <w:rPr>
          <w:rFonts w:cstheme="minorHAnsi"/>
        </w:rPr>
      </w:pPr>
      <w:r w:rsidRPr="00742360">
        <w:rPr>
          <w:rFonts w:cstheme="minorHAnsi"/>
        </w:rPr>
        <w:t xml:space="preserve">LDPRED2_EUR_NEW = LDPRED2_EUR_temp*0.7846153 + EUR_ADD*0.3881513  </w:t>
      </w:r>
    </w:p>
    <w:p w14:paraId="079B3C52" w14:textId="77777777" w:rsidR="0007624A" w:rsidRPr="00742360" w:rsidRDefault="0007624A" w:rsidP="0007624A">
      <w:pPr>
        <w:pStyle w:val="ListParagraph"/>
        <w:numPr>
          <w:ilvl w:val="0"/>
          <w:numId w:val="3"/>
        </w:numPr>
        <w:spacing w:line="240" w:lineRule="auto"/>
        <w:rPr>
          <w:rFonts w:cstheme="minorHAnsi"/>
        </w:rPr>
      </w:pPr>
      <w:r w:rsidRPr="00742360">
        <w:rPr>
          <w:rFonts w:cstheme="minorHAnsi"/>
        </w:rPr>
        <w:t>LDPRED2_AFR_NEW = LDPRED2_AFR_temp*0.6243749 + AFR_ADD*1.0810380)</w:t>
      </w:r>
    </w:p>
    <w:p w14:paraId="6965BA21" w14:textId="77777777" w:rsidR="0007624A" w:rsidRPr="00742360" w:rsidRDefault="0007624A" w:rsidP="0007624A">
      <w:pPr>
        <w:pStyle w:val="ListParagraph"/>
        <w:numPr>
          <w:ilvl w:val="0"/>
          <w:numId w:val="3"/>
        </w:numPr>
        <w:spacing w:line="240" w:lineRule="auto"/>
        <w:rPr>
          <w:rFonts w:cstheme="minorHAnsi"/>
        </w:rPr>
      </w:pPr>
      <w:r w:rsidRPr="00742360">
        <w:rPr>
          <w:rFonts w:cstheme="minorHAnsi"/>
        </w:rPr>
        <w:t xml:space="preserve">PRSCSX_EUR_NEW = </w:t>
      </w:r>
      <w:proofErr w:type="spellStart"/>
      <w:r w:rsidRPr="00742360">
        <w:rPr>
          <w:rFonts w:cstheme="minorHAnsi"/>
        </w:rPr>
        <w:t>PRSCSX_EUR_temp</w:t>
      </w:r>
      <w:proofErr w:type="spellEnd"/>
      <w:r w:rsidRPr="00742360">
        <w:rPr>
          <w:rFonts w:cstheme="minorHAnsi"/>
        </w:rPr>
        <w:t>*5.2476172 + EUR_ADD*0.5289784</w:t>
      </w:r>
    </w:p>
    <w:p w14:paraId="7EA2617F" w14:textId="77777777" w:rsidR="0007624A" w:rsidRPr="005F2B02" w:rsidRDefault="0007624A" w:rsidP="0007624A">
      <w:pPr>
        <w:pStyle w:val="ListParagraph"/>
        <w:numPr>
          <w:ilvl w:val="0"/>
          <w:numId w:val="3"/>
        </w:numPr>
        <w:spacing w:line="240" w:lineRule="auto"/>
        <w:rPr>
          <w:rFonts w:cstheme="minorHAnsi"/>
        </w:rPr>
      </w:pPr>
      <w:r w:rsidRPr="00742360">
        <w:rPr>
          <w:rFonts w:cstheme="minorHAnsi"/>
        </w:rPr>
        <w:t xml:space="preserve">PRSCSX_AFR_NEW = </w:t>
      </w:r>
      <w:proofErr w:type="spellStart"/>
      <w:r w:rsidRPr="00742360">
        <w:rPr>
          <w:rFonts w:cstheme="minorHAnsi"/>
        </w:rPr>
        <w:t>PRSCSX_AFR_temp</w:t>
      </w:r>
      <w:proofErr w:type="spellEnd"/>
      <w:r w:rsidRPr="00742360">
        <w:rPr>
          <w:rFonts w:cstheme="minorHAnsi"/>
        </w:rPr>
        <w:t>*1.1475613 + AFR_ADD*0.9967247</w:t>
      </w:r>
    </w:p>
    <w:p w14:paraId="3683395A" w14:textId="77777777" w:rsidR="0007624A" w:rsidRDefault="0007624A" w:rsidP="0007624A">
      <w:pPr>
        <w:spacing w:line="240" w:lineRule="auto"/>
        <w:rPr>
          <w:rFonts w:cstheme="minorHAnsi"/>
        </w:rPr>
      </w:pPr>
      <w:r w:rsidRPr="00694FAC">
        <w:rPr>
          <w:rFonts w:cstheme="minorHAnsi"/>
        </w:rPr>
        <w:t xml:space="preserve">Step 4. Generate the final multi-ancestry PRS: linear combination of population-specific PRS-temp and a weighted sum of SNPs that do not appear in any of the temp PRS in the </w:t>
      </w:r>
      <w:proofErr w:type="gramStart"/>
      <w:r w:rsidRPr="00694FAC">
        <w:rPr>
          <w:rFonts w:cstheme="minorHAnsi"/>
        </w:rPr>
        <w:t>regression</w:t>
      </w:r>
      <w:proofErr w:type="gramEnd"/>
    </w:p>
    <w:p w14:paraId="633C010B" w14:textId="77777777" w:rsidR="0007624A" w:rsidRPr="00AF4856" w:rsidRDefault="0007624A" w:rsidP="0007624A">
      <w:pPr>
        <w:spacing w:line="240" w:lineRule="auto"/>
        <w:rPr>
          <w:rFonts w:cstheme="minorHAnsi"/>
          <w:u w:val="single"/>
        </w:rPr>
      </w:pPr>
      <w:r w:rsidRPr="000D2416">
        <w:rPr>
          <w:rFonts w:cstheme="minorHAnsi"/>
          <w:u w:val="single"/>
        </w:rPr>
        <w:t>For biobanks with chromosome X data</w:t>
      </w:r>
    </w:p>
    <w:p w14:paraId="1000EA8D" w14:textId="77777777" w:rsidR="0007624A" w:rsidRPr="00A7368A" w:rsidRDefault="0007624A" w:rsidP="0007624A">
      <w:pPr>
        <w:pStyle w:val="ListParagraph"/>
        <w:numPr>
          <w:ilvl w:val="0"/>
          <w:numId w:val="4"/>
        </w:numPr>
        <w:spacing w:line="240" w:lineRule="auto"/>
        <w:rPr>
          <w:rFonts w:cstheme="minorHAnsi"/>
        </w:rPr>
      </w:pPr>
      <w:r w:rsidRPr="00A7368A">
        <w:rPr>
          <w:rFonts w:cstheme="minorHAnsi"/>
        </w:rPr>
        <w:t>LDpred2_combined_EUR = LDPRED2_EUR_temp*0.7846796 + LDPRED2_AFR_temp*1.1920742 + EUR_ADD*0.2425207</w:t>
      </w:r>
    </w:p>
    <w:p w14:paraId="0E32D7C0" w14:textId="77777777" w:rsidR="0007624A" w:rsidRPr="00A7368A" w:rsidRDefault="0007624A" w:rsidP="0007624A">
      <w:pPr>
        <w:pStyle w:val="ListParagraph"/>
        <w:numPr>
          <w:ilvl w:val="0"/>
          <w:numId w:val="4"/>
        </w:numPr>
        <w:spacing w:line="240" w:lineRule="auto"/>
        <w:rPr>
          <w:rFonts w:cstheme="minorHAnsi"/>
        </w:rPr>
      </w:pPr>
      <w:r w:rsidRPr="00A7368A">
        <w:rPr>
          <w:rFonts w:cstheme="minorHAnsi"/>
        </w:rPr>
        <w:t xml:space="preserve">LDpred2_combined_AFR = LDPRED2_EUR_temp*0.3815917 + LDPRED2_AFR_temp*0.7126167 + EUR_ADD*(-0.9902129)  </w:t>
      </w:r>
    </w:p>
    <w:p w14:paraId="4F8BA0E3" w14:textId="77777777" w:rsidR="0007624A" w:rsidRPr="00A7368A" w:rsidRDefault="0007624A" w:rsidP="0007624A">
      <w:pPr>
        <w:pStyle w:val="ListParagraph"/>
        <w:numPr>
          <w:ilvl w:val="0"/>
          <w:numId w:val="4"/>
        </w:numPr>
        <w:spacing w:line="240" w:lineRule="auto"/>
        <w:rPr>
          <w:rFonts w:cstheme="minorHAnsi"/>
        </w:rPr>
      </w:pPr>
      <w:proofErr w:type="spellStart"/>
      <w:r w:rsidRPr="00A7368A">
        <w:rPr>
          <w:rFonts w:cstheme="minorHAnsi"/>
        </w:rPr>
        <w:t>PRSCSX_combined_EUR</w:t>
      </w:r>
      <w:proofErr w:type="spellEnd"/>
      <w:r w:rsidRPr="00A7368A">
        <w:rPr>
          <w:rFonts w:cstheme="minorHAnsi"/>
        </w:rPr>
        <w:t xml:space="preserve"> = </w:t>
      </w:r>
      <w:proofErr w:type="spellStart"/>
      <w:r w:rsidRPr="00A7368A">
        <w:rPr>
          <w:rFonts w:cstheme="minorHAnsi"/>
        </w:rPr>
        <w:t>PRSCSX_EUR_temp</w:t>
      </w:r>
      <w:proofErr w:type="spellEnd"/>
      <w:r w:rsidRPr="00A7368A">
        <w:rPr>
          <w:rFonts w:cstheme="minorHAnsi"/>
        </w:rPr>
        <w:t xml:space="preserve">*4.7125752 + </w:t>
      </w:r>
      <w:proofErr w:type="spellStart"/>
      <w:r w:rsidRPr="00A7368A">
        <w:rPr>
          <w:rFonts w:cstheme="minorHAnsi"/>
        </w:rPr>
        <w:t>PRSCSX_AFR_temp</w:t>
      </w:r>
      <w:proofErr w:type="spellEnd"/>
      <w:r w:rsidRPr="00A7368A">
        <w:rPr>
          <w:rFonts w:cstheme="minorHAnsi"/>
        </w:rPr>
        <w:t>*0.6508282 + EUR_ADD*0.3762028</w:t>
      </w:r>
    </w:p>
    <w:p w14:paraId="3AA810E3" w14:textId="77777777" w:rsidR="0007624A" w:rsidRPr="00A7368A" w:rsidRDefault="0007624A" w:rsidP="0007624A">
      <w:pPr>
        <w:pStyle w:val="ListParagraph"/>
        <w:numPr>
          <w:ilvl w:val="0"/>
          <w:numId w:val="4"/>
        </w:numPr>
        <w:spacing w:line="240" w:lineRule="auto"/>
        <w:rPr>
          <w:rFonts w:cstheme="minorHAnsi"/>
        </w:rPr>
      </w:pPr>
      <w:proofErr w:type="spellStart"/>
      <w:r w:rsidRPr="00A7368A">
        <w:rPr>
          <w:rFonts w:cstheme="minorHAnsi"/>
        </w:rPr>
        <w:t>PRSCSX_combined_AFR</w:t>
      </w:r>
      <w:proofErr w:type="spellEnd"/>
      <w:r w:rsidRPr="00A7368A">
        <w:rPr>
          <w:rFonts w:cstheme="minorHAnsi"/>
        </w:rPr>
        <w:t xml:space="preserve"> = </w:t>
      </w:r>
      <w:proofErr w:type="spellStart"/>
      <w:r w:rsidRPr="00A7368A">
        <w:rPr>
          <w:rFonts w:cstheme="minorHAnsi"/>
        </w:rPr>
        <w:t>PRSCSX_EUR_temp</w:t>
      </w:r>
      <w:proofErr w:type="spellEnd"/>
      <w:r w:rsidRPr="00A7368A">
        <w:rPr>
          <w:rFonts w:cstheme="minorHAnsi"/>
        </w:rPr>
        <w:t xml:space="preserve">*2.7844363 + </w:t>
      </w:r>
      <w:proofErr w:type="spellStart"/>
      <w:r w:rsidRPr="00A7368A">
        <w:rPr>
          <w:rFonts w:cstheme="minorHAnsi"/>
        </w:rPr>
        <w:t>PRSCSX_AFR_temp</w:t>
      </w:r>
      <w:proofErr w:type="spellEnd"/>
      <w:r w:rsidRPr="00A7368A">
        <w:rPr>
          <w:rFonts w:cstheme="minorHAnsi"/>
        </w:rPr>
        <w:t>*0.9204827 + EUR_ADD*(-0.8456485)</w:t>
      </w:r>
    </w:p>
    <w:p w14:paraId="5C9CA7EF" w14:textId="77777777" w:rsidR="0007624A" w:rsidRPr="005F2B02" w:rsidRDefault="0007624A" w:rsidP="0007624A">
      <w:pPr>
        <w:spacing w:line="240" w:lineRule="auto"/>
        <w:rPr>
          <w:rFonts w:cstheme="minorHAnsi"/>
          <w:u w:val="single"/>
        </w:rPr>
      </w:pPr>
      <w:r w:rsidRPr="000D2416">
        <w:rPr>
          <w:rFonts w:cstheme="minorHAnsi"/>
          <w:u w:val="single"/>
        </w:rPr>
        <w:t>For biobanks with</w:t>
      </w:r>
      <w:r>
        <w:rPr>
          <w:rFonts w:cstheme="minorHAnsi"/>
          <w:u w:val="single"/>
        </w:rPr>
        <w:t>out</w:t>
      </w:r>
      <w:r w:rsidRPr="000D2416">
        <w:rPr>
          <w:rFonts w:cstheme="minorHAnsi"/>
          <w:u w:val="single"/>
        </w:rPr>
        <w:t xml:space="preserve"> chromosome X data</w:t>
      </w:r>
    </w:p>
    <w:p w14:paraId="00E36301" w14:textId="77777777" w:rsidR="0007624A" w:rsidRPr="00C34DD2" w:rsidRDefault="0007624A" w:rsidP="0007624A">
      <w:pPr>
        <w:pStyle w:val="ListParagraph"/>
        <w:numPr>
          <w:ilvl w:val="0"/>
          <w:numId w:val="8"/>
        </w:numPr>
        <w:spacing w:line="240" w:lineRule="auto"/>
        <w:rPr>
          <w:rFonts w:cstheme="minorHAnsi"/>
        </w:rPr>
      </w:pPr>
      <w:r w:rsidRPr="00C34DD2">
        <w:rPr>
          <w:rFonts w:cstheme="minorHAnsi"/>
        </w:rPr>
        <w:t>LDpred2_combined_EUR_NEW (European weight tuned) = LDPRED2_EUR_temp*0.7849432 + LDPRED2_AFR_temp*1.2121711 + EUR_ADD*0.3816551</w:t>
      </w:r>
    </w:p>
    <w:p w14:paraId="2E59D569" w14:textId="77777777" w:rsidR="0007624A" w:rsidRPr="00C34DD2" w:rsidRDefault="0007624A" w:rsidP="0007624A">
      <w:pPr>
        <w:pStyle w:val="ListParagraph"/>
        <w:numPr>
          <w:ilvl w:val="0"/>
          <w:numId w:val="8"/>
        </w:numPr>
        <w:spacing w:line="240" w:lineRule="auto"/>
        <w:rPr>
          <w:rFonts w:cstheme="minorHAnsi"/>
        </w:rPr>
      </w:pPr>
      <w:r w:rsidRPr="00C34DD2">
        <w:rPr>
          <w:rFonts w:cstheme="minorHAnsi"/>
        </w:rPr>
        <w:t>LDpred2_combined_AFR_NEW (African weight tuned) = LDPRED2_EUR_temp*0.3834051 + LDPRED2_AFR_temp*0.7497259 + EUR_ADD*(-19.0491483)</w:t>
      </w:r>
    </w:p>
    <w:p w14:paraId="475CF1E4" w14:textId="77777777" w:rsidR="0007624A" w:rsidRPr="00C34DD2" w:rsidRDefault="0007624A" w:rsidP="0007624A">
      <w:pPr>
        <w:pStyle w:val="ListParagraph"/>
        <w:numPr>
          <w:ilvl w:val="0"/>
          <w:numId w:val="8"/>
        </w:numPr>
        <w:spacing w:line="240" w:lineRule="auto"/>
        <w:rPr>
          <w:rFonts w:cstheme="minorHAnsi"/>
        </w:rPr>
      </w:pPr>
      <w:proofErr w:type="spellStart"/>
      <w:r w:rsidRPr="00C34DD2">
        <w:rPr>
          <w:rFonts w:cstheme="minorHAnsi"/>
        </w:rPr>
        <w:t>PRSCSX_combined_EUR_NEW</w:t>
      </w:r>
      <w:proofErr w:type="spellEnd"/>
      <w:r w:rsidRPr="00C34DD2">
        <w:rPr>
          <w:rFonts w:cstheme="minorHAnsi"/>
        </w:rPr>
        <w:t xml:space="preserve"> (European weight tuned) = </w:t>
      </w:r>
      <w:proofErr w:type="spellStart"/>
      <w:r w:rsidRPr="00C34DD2">
        <w:rPr>
          <w:rFonts w:cstheme="minorHAnsi"/>
        </w:rPr>
        <w:t>PRSCSX_EUR_temp</w:t>
      </w:r>
      <w:proofErr w:type="spellEnd"/>
      <w:r w:rsidRPr="00C34DD2">
        <w:rPr>
          <w:rFonts w:cstheme="minorHAnsi"/>
        </w:rPr>
        <w:t xml:space="preserve">*4.7118682 + </w:t>
      </w:r>
      <w:proofErr w:type="spellStart"/>
      <w:r w:rsidRPr="00C34DD2">
        <w:rPr>
          <w:rFonts w:cstheme="minorHAnsi"/>
        </w:rPr>
        <w:t>PRSCSX_AFR_temp</w:t>
      </w:r>
      <w:proofErr w:type="spellEnd"/>
      <w:r w:rsidRPr="00C34DD2">
        <w:rPr>
          <w:rFonts w:cstheme="minorHAnsi"/>
        </w:rPr>
        <w:t>*0.6511214 + EUR_ADD*0.5561337</w:t>
      </w:r>
    </w:p>
    <w:p w14:paraId="53B88783" w14:textId="77777777" w:rsidR="0007624A" w:rsidRPr="00C34DD2" w:rsidRDefault="0007624A" w:rsidP="0007624A">
      <w:pPr>
        <w:pStyle w:val="ListParagraph"/>
        <w:numPr>
          <w:ilvl w:val="0"/>
          <w:numId w:val="8"/>
        </w:numPr>
        <w:spacing w:line="240" w:lineRule="auto"/>
        <w:rPr>
          <w:rFonts w:cstheme="minorHAnsi"/>
        </w:rPr>
      </w:pPr>
      <w:proofErr w:type="spellStart"/>
      <w:r w:rsidRPr="00C34DD2">
        <w:rPr>
          <w:rFonts w:cstheme="minorHAnsi"/>
        </w:rPr>
        <w:t>PRSCSX_combined_AFR_NEW</w:t>
      </w:r>
      <w:proofErr w:type="spellEnd"/>
      <w:r w:rsidRPr="00C34DD2">
        <w:rPr>
          <w:rFonts w:cstheme="minorHAnsi"/>
        </w:rPr>
        <w:t xml:space="preserve"> (African weight tuned) = </w:t>
      </w:r>
      <w:proofErr w:type="spellStart"/>
      <w:r w:rsidRPr="00C34DD2">
        <w:rPr>
          <w:rFonts w:cstheme="minorHAnsi"/>
        </w:rPr>
        <w:t>PRSCSX_EUR_temp</w:t>
      </w:r>
      <w:proofErr w:type="spellEnd"/>
      <w:r w:rsidRPr="00C34DD2">
        <w:rPr>
          <w:rFonts w:cstheme="minorHAnsi"/>
        </w:rPr>
        <w:t xml:space="preserve">*2.7621930 + </w:t>
      </w:r>
      <w:proofErr w:type="spellStart"/>
      <w:r w:rsidRPr="00C34DD2">
        <w:rPr>
          <w:rFonts w:cstheme="minorHAnsi"/>
        </w:rPr>
        <w:t>PRSCSX_AFR_temp</w:t>
      </w:r>
      <w:proofErr w:type="spellEnd"/>
      <w:r w:rsidRPr="00C34DD2">
        <w:rPr>
          <w:rFonts w:cstheme="minorHAnsi"/>
        </w:rPr>
        <w:t>*0.9572978 + EUR_ADD*(-18.8000576)</w:t>
      </w:r>
    </w:p>
    <w:p w14:paraId="6933A047" w14:textId="77777777" w:rsidR="0007624A" w:rsidRDefault="0007624A" w:rsidP="0007624A">
      <w:pPr>
        <w:rPr>
          <w:rFonts w:cstheme="minorHAnsi"/>
        </w:rPr>
      </w:pPr>
    </w:p>
    <w:p w14:paraId="5FF059AC" w14:textId="77777777" w:rsidR="0007624A" w:rsidRPr="001B7999" w:rsidRDefault="0007624A" w:rsidP="0047112C">
      <w:pPr>
        <w:rPr>
          <w:rFonts w:ascii="Calibri" w:hAnsi="Calibri" w:cs="Calibri"/>
          <w:szCs w:val="20"/>
        </w:rPr>
      </w:pPr>
    </w:p>
    <w:p w14:paraId="37FCB051" w14:textId="77777777" w:rsidR="00793436" w:rsidRDefault="00793436">
      <w:pPr>
        <w:rPr>
          <w:rFonts w:cstheme="minorHAnsi"/>
          <w:b/>
          <w:bCs/>
        </w:rPr>
      </w:pPr>
      <w:r>
        <w:rPr>
          <w:rFonts w:cstheme="minorHAnsi"/>
          <w:b/>
          <w:bCs/>
        </w:rPr>
        <w:br w:type="page"/>
      </w:r>
    </w:p>
    <w:p w14:paraId="7AD90CBB" w14:textId="391D66C7" w:rsidR="00886463" w:rsidRPr="00886463" w:rsidRDefault="000831CC" w:rsidP="00827105">
      <w:pPr>
        <w:rPr>
          <w:rFonts w:cstheme="minorHAnsi"/>
          <w:b/>
          <w:bCs/>
        </w:rPr>
      </w:pPr>
      <w:r>
        <w:rPr>
          <w:rFonts w:cstheme="minorHAnsi"/>
          <w:b/>
          <w:bCs/>
        </w:rPr>
        <w:lastRenderedPageBreak/>
        <w:t>STUDY DESCRIPTIONS</w:t>
      </w:r>
    </w:p>
    <w:p w14:paraId="6BAD0A25" w14:textId="78B28C6A" w:rsidR="00886463" w:rsidRDefault="00886463" w:rsidP="00886463">
      <w:pPr>
        <w:rPr>
          <w:rFonts w:cstheme="minorHAnsi"/>
        </w:rPr>
      </w:pPr>
      <w:r w:rsidRPr="00886463">
        <w:rPr>
          <w:rFonts w:cstheme="minorHAnsi"/>
        </w:rPr>
        <w:t xml:space="preserve">The </w:t>
      </w:r>
      <w:r w:rsidRPr="005E5B6C">
        <w:rPr>
          <w:rFonts w:cstheme="minorHAnsi"/>
          <w:b/>
          <w:bCs/>
        </w:rPr>
        <w:t>Nurse’s Health Studies (NHS and NHS-II)</w:t>
      </w:r>
      <w:r w:rsidRPr="00886463">
        <w:rPr>
          <w:rFonts w:cstheme="minorHAnsi"/>
        </w:rPr>
        <w:t xml:space="preserve"> These studies have been described previously and additional</w:t>
      </w:r>
      <w:r>
        <w:rPr>
          <w:rFonts w:cstheme="minorHAnsi"/>
        </w:rPr>
        <w:t xml:space="preserve"> </w:t>
      </w:r>
      <w:r w:rsidRPr="00886463">
        <w:rPr>
          <w:rFonts w:cstheme="minorHAnsi"/>
        </w:rPr>
        <w:t xml:space="preserve">information is available at </w:t>
      </w:r>
      <w:hyperlink r:id="rId8" w:history="1">
        <w:r w:rsidR="00F25C2C" w:rsidRPr="00ED7014">
          <w:rPr>
            <w:rStyle w:val="Hyperlink"/>
            <w:rFonts w:cstheme="minorHAnsi"/>
          </w:rPr>
          <w:t>http://www.nurseshealthstudy.org</w:t>
        </w:r>
      </w:hyperlink>
      <w:r w:rsidR="00F25C2C">
        <w:rPr>
          <w:rFonts w:cstheme="minorHAnsi"/>
        </w:rPr>
        <w:t xml:space="preserve"> </w:t>
      </w:r>
      <w:r w:rsidR="00AB53B7">
        <w:rPr>
          <w:rFonts w:cstheme="minorHAnsi"/>
        </w:rPr>
        <w:fldChar w:fldCharType="begin"/>
      </w:r>
      <w:r w:rsidR="00AB53B7">
        <w:rPr>
          <w:rFonts w:cstheme="minorHAnsi"/>
        </w:rPr>
        <w:instrText xml:space="preserve"> ADDIN ZOTERO_ITEM CSL_CITATION {"citationID":"sLI41a3H","properties":{"formattedCitation":"\\super 3,4\\nosupersub{}","plainCitation":"3,4","noteIndex":0},"citationItems":[{"id":280,"uris":["http://zotero.org/users/9030084/items/WP3GIRAX"],"itemData":{"id":280,"type":"article-journal","abstract":"Parity, age at first birth, age at menarche, and a family history of breast cancer have each been associated consistently with breast cancer risk. Whether this increase in risk is mediated, at least in part, through changes in endogenous hormone levels is unclear. We conducted a cross-sectional study of the relationships between these factors and plasma hormone levels in 216 healthy postmenopausal women in the Nurses' Health Study (United States). The hormones evaluated were estradiol, percent and total free estradiol, percent and total bioavailable estradiol, estrone, estrone sulfate, and prolactin. After controlling for age, body mass index (weight/height2), and alcohol use, we observed inverse associations between estrone sulfate and parity (r = -0.15, P = 0.03) and between percent bioavailable estradiol and age at first birth (r = -0.17, P = 0.02). Although women with a family history of breast cancer tended to have higher estrogen levels compared with women without such history, the differences were not statistically significant. Age at menarche was not related significantly to any of the hormones. These data provide some additional evidence that the inverse relationship observed between parity and breast cancer risk may be mediated, at least in part, through decreased estrogen levels. Our data do not support a substantial influence of either family history of breast cancer or age at menarche on postmenopausal estrogen or prolactin levels.","container-title":"Cancer causes &amp; control: CCC","DOI":"10.1007/BF00051793","ISSN":"0957-5243","issue":"3","journalAbbreviation":"Cancer Causes Control","language":"eng","note":"PMID: 7612801","page":"217-224","source":"PubMed","title":"Reproductive factors and family history of breast cancer in relation to plasma estrogen and prolactin levels in postmenopausal women in the Nurses' Health Study (United States)","volume":"6","author":[{"family":"Hankinson","given":"S. E."},{"family":"Colditz","given":"G. A."},{"family":"Hunter","given":"D. J."},{"family":"Manson","given":"J. E."},{"family":"Willett","given":"W. C."},{"family":"Stampfer","given":"M. J."},{"family":"Longcope","given":"C."},{"family":"Speizer","given":"F. E."}],"issued":{"date-parts":[["1995",5]]}},"label":"page"},{"id":282,"uris":["http://zotero.org/users/9030084/items/XEQP8K5A"],"itemData":{"id":282,"type":"article-journal","abstract":"Recent evidence suggests that prolactin may be positively associated with postmenopausal breast cancer risk; however, little data are available in younger women. Therefore, we conducted a prospective, nested case-control study to examine the relationship between plasma prolactin concentrations and breast cancer risk in predominately premenopausal women from the Nurses' Health Study II. Blood samples were collected from 1996 to 1999. The analysis includes 316 cases of breast cancer diagnosed after blood donation and before June 1, 2003, who had two controls matched on age, fasting status, time of day and month of blood collection, race/ethnicity, and timing of blood draw within the menstrual cycle. Sixty-three percent of participants provided a timed follicular and luteal menstrual phase blood sample; other women provided a single untimed sample. When including all women, we observed a positive association between prolactin and breast cancer risk [relative risk (RR), top quartile versus bottom quartile, 1.5; 95% confidence interval (95% CI), 1.0-2.3; P(trend) = 0.03] that was slightly stronger among estrogen receptor-positive/progesterone receptor-positive tumors (comparable RR, 1.9; 95% CI, 1.1-3.3; P(trend) = 0.04). Associations were similar among premenopausal women only. However, we did not find an association between prolactin and breast cancer risk among the subset of women who only provided timed samples (comparable RR, average of timed samples, 1.3; 95% CI, 0.8-2.3; P(trend) = 0.40). The association seemed stronger among women &gt; or = 45 years old and for cases diagnosed within approximately 4 years of blood collection. Our data suggest a modest positive association between prolactin and breast cancer risk among predominately premenopausal women; however, further follow-up is needed to increase power for subgroup analyses.","container-title":"Cancer Research","DOI":"10.1158/0008-5472.CAN-05-3369","ISSN":"0008-5472","issue":"4","journalAbbreviation":"Cancer Res","language":"eng","note":"PMID: 16489055","page":"2476-2482","source":"PubMed","title":"Association between plasma prolactin concentrations and risk of breast cancer among predominately premenopausal women","volume":"66","author":[{"family":"Tworoger","given":"Shelley S."},{"family":"Sluss","given":"Patrick"},{"family":"Hankinson","given":"Susan E."}],"issued":{"date-parts":[["2006",2,15]]}},"label":"page"}],"schema":"https://github.com/citation-style-language/schema/raw/master/csl-citation.json"} </w:instrText>
      </w:r>
      <w:r w:rsidR="00AB53B7">
        <w:rPr>
          <w:rFonts w:cstheme="minorHAnsi"/>
        </w:rPr>
        <w:fldChar w:fldCharType="separate"/>
      </w:r>
      <w:r w:rsidR="00AB53B7" w:rsidRPr="00AB53B7">
        <w:rPr>
          <w:rFonts w:ascii="Calibri" w:hAnsi="Calibri" w:cs="Calibri"/>
          <w:kern w:val="0"/>
          <w:szCs w:val="24"/>
          <w:vertAlign w:val="superscript"/>
        </w:rPr>
        <w:t>3,4</w:t>
      </w:r>
      <w:r w:rsidR="00AB53B7">
        <w:rPr>
          <w:rFonts w:cstheme="minorHAnsi"/>
        </w:rPr>
        <w:fldChar w:fldCharType="end"/>
      </w:r>
      <w:r w:rsidRPr="00886463">
        <w:rPr>
          <w:rFonts w:cstheme="minorHAnsi"/>
        </w:rPr>
        <w:t>.</w:t>
      </w:r>
      <w:r w:rsidR="00F25C2C">
        <w:rPr>
          <w:rFonts w:cstheme="minorHAnsi"/>
        </w:rPr>
        <w:t xml:space="preserve"> </w:t>
      </w:r>
      <w:r w:rsidRPr="00886463">
        <w:rPr>
          <w:rFonts w:cstheme="minorHAnsi"/>
        </w:rPr>
        <w:t>NHS and NHS-II are longitudinal cohort</w:t>
      </w:r>
      <w:r>
        <w:rPr>
          <w:rFonts w:cstheme="minorHAnsi"/>
        </w:rPr>
        <w:t xml:space="preserve"> </w:t>
      </w:r>
      <w:r w:rsidRPr="00886463">
        <w:rPr>
          <w:rFonts w:cstheme="minorHAnsi"/>
        </w:rPr>
        <w:t>studies of female nurses. In 1976, baseline questionnaires were sent to registered nurses from 11 populous</w:t>
      </w:r>
      <w:r>
        <w:rPr>
          <w:rFonts w:cstheme="minorHAnsi"/>
        </w:rPr>
        <w:t xml:space="preserve"> </w:t>
      </w:r>
      <w:r w:rsidRPr="00886463">
        <w:rPr>
          <w:rFonts w:cstheme="minorHAnsi"/>
        </w:rPr>
        <w:t>US states, establishing a cohort of 121,700 women aged 30-55. There were no exclusions by race, but the</w:t>
      </w:r>
      <w:r>
        <w:rPr>
          <w:rFonts w:cstheme="minorHAnsi"/>
        </w:rPr>
        <w:t xml:space="preserve"> </w:t>
      </w:r>
      <w:r w:rsidRPr="00886463">
        <w:rPr>
          <w:rFonts w:cstheme="minorHAnsi"/>
        </w:rPr>
        <w:t xml:space="preserve">majority (96%) were of European </w:t>
      </w:r>
      <w:proofErr w:type="gramStart"/>
      <w:r w:rsidRPr="00886463">
        <w:rPr>
          <w:rFonts w:cstheme="minorHAnsi"/>
        </w:rPr>
        <w:t>ancestry;</w:t>
      </w:r>
      <w:proofErr w:type="gramEnd"/>
      <w:r w:rsidRPr="00886463">
        <w:rPr>
          <w:rFonts w:cstheme="minorHAnsi"/>
        </w:rPr>
        <w:t xml:space="preserve"> corresponding to the demographics of nurses in 1976. NHS</w:t>
      </w:r>
      <w:r>
        <w:rPr>
          <w:rFonts w:cstheme="minorHAnsi"/>
        </w:rPr>
        <w:t xml:space="preserve"> </w:t>
      </w:r>
      <w:r w:rsidRPr="00886463">
        <w:rPr>
          <w:rFonts w:cstheme="minorHAnsi"/>
        </w:rPr>
        <w:t>participants are mailed a questionnaire every two years that assesses risk factor status and interval disease</w:t>
      </w:r>
      <w:r>
        <w:rPr>
          <w:rFonts w:cstheme="minorHAnsi"/>
        </w:rPr>
        <w:t xml:space="preserve"> </w:t>
      </w:r>
      <w:r w:rsidRPr="00886463">
        <w:rPr>
          <w:rFonts w:cstheme="minorHAnsi"/>
        </w:rPr>
        <w:t>events. Physician-diagnosed PE has been asked on every biennial NHS questionnaire since 1982. In NHS, the</w:t>
      </w:r>
      <w:r>
        <w:rPr>
          <w:rFonts w:cstheme="minorHAnsi"/>
        </w:rPr>
        <w:t xml:space="preserve"> </w:t>
      </w:r>
      <w:r w:rsidRPr="00886463">
        <w:rPr>
          <w:rFonts w:cstheme="minorHAnsi"/>
        </w:rPr>
        <w:t>question reads: “Since [year], have you had any of these physician-diagnosed illnesses? ... Pulmonary</w:t>
      </w:r>
      <w:r w:rsidR="005E5B6C">
        <w:rPr>
          <w:rFonts w:cstheme="minorHAnsi"/>
        </w:rPr>
        <w:t xml:space="preserve"> </w:t>
      </w:r>
      <w:r w:rsidRPr="00886463">
        <w:rPr>
          <w:rFonts w:cstheme="minorHAnsi"/>
        </w:rPr>
        <w:t xml:space="preserve">Embolus.” NHS questionnaires also ask whether the nurse had “Any other major diagnosis: ____.” In </w:t>
      </w:r>
      <w:proofErr w:type="gramStart"/>
      <w:r w:rsidRPr="00886463">
        <w:rPr>
          <w:rFonts w:cstheme="minorHAnsi"/>
        </w:rPr>
        <w:t>NHS</w:t>
      </w:r>
      <w:proofErr w:type="gramEnd"/>
      <w:r w:rsidRPr="00886463">
        <w:rPr>
          <w:rFonts w:cstheme="minorHAnsi"/>
        </w:rPr>
        <w:t>,</w:t>
      </w:r>
      <w:r w:rsidR="005E5B6C">
        <w:rPr>
          <w:rFonts w:cstheme="minorHAnsi"/>
        </w:rPr>
        <w:t xml:space="preserve"> </w:t>
      </w:r>
      <w:r w:rsidRPr="00886463">
        <w:rPr>
          <w:rFonts w:cstheme="minorHAnsi"/>
        </w:rPr>
        <w:t>DVT is captured when a nurse answers that she has had phlebitis or thrombophlebitis (ICD-9=453.x).</w:t>
      </w:r>
      <w:r w:rsidR="005E5B6C">
        <w:rPr>
          <w:rFonts w:cstheme="minorHAnsi"/>
        </w:rPr>
        <w:t xml:space="preserve"> </w:t>
      </w:r>
      <w:r w:rsidRPr="00886463">
        <w:rPr>
          <w:rFonts w:cstheme="minorHAnsi"/>
        </w:rPr>
        <w:t>Questionnaire-reported VTE diagnoses have proven to be highly accurate, with &gt;95% validation of VTE</w:t>
      </w:r>
      <w:r w:rsidR="005E5B6C">
        <w:rPr>
          <w:rFonts w:cstheme="minorHAnsi"/>
        </w:rPr>
        <w:t xml:space="preserve"> </w:t>
      </w:r>
      <w:r w:rsidRPr="00886463">
        <w:rPr>
          <w:rFonts w:cstheme="minorHAnsi"/>
        </w:rPr>
        <w:t>events. A physician reviews medical records for all reported PEs, validating diagnoses when medical records</w:t>
      </w:r>
      <w:r w:rsidR="005E5B6C">
        <w:rPr>
          <w:rFonts w:cstheme="minorHAnsi"/>
        </w:rPr>
        <w:t xml:space="preserve"> </w:t>
      </w:r>
      <w:r w:rsidRPr="00886463">
        <w:rPr>
          <w:rFonts w:cstheme="minorHAnsi"/>
        </w:rPr>
        <w:t>include: a positive pulmonary angiogram, a high-probability ventilation/perfusion scan, or a positive CT</w:t>
      </w:r>
      <w:r w:rsidR="005E5B6C">
        <w:rPr>
          <w:rFonts w:cstheme="minorHAnsi"/>
        </w:rPr>
        <w:t xml:space="preserve"> </w:t>
      </w:r>
      <w:r w:rsidRPr="00886463">
        <w:rPr>
          <w:rFonts w:cstheme="minorHAnsi"/>
        </w:rPr>
        <w:t>pulmonary angiogram.</w:t>
      </w:r>
    </w:p>
    <w:p w14:paraId="13A8A4BD" w14:textId="51F8E363" w:rsidR="00790687" w:rsidRDefault="00790687" w:rsidP="00886463">
      <w:pPr>
        <w:rPr>
          <w:rFonts w:cstheme="minorHAnsi"/>
        </w:rPr>
      </w:pPr>
      <w:r w:rsidRPr="00790687">
        <w:rPr>
          <w:rFonts w:cstheme="minorHAnsi"/>
        </w:rPr>
        <w:t xml:space="preserve">The </w:t>
      </w:r>
      <w:r w:rsidRPr="007E3ACE">
        <w:rPr>
          <w:rFonts w:cstheme="minorHAnsi"/>
          <w:b/>
          <w:bCs/>
        </w:rPr>
        <w:t>Health Professional Follow-up Study (HPFS)</w:t>
      </w:r>
      <w:r w:rsidRPr="00790687">
        <w:rPr>
          <w:rFonts w:cstheme="minorHAnsi"/>
        </w:rPr>
        <w:t xml:space="preserve"> has been described previously and additional information is available at </w:t>
      </w:r>
      <w:hyperlink r:id="rId9" w:history="1">
        <w:r w:rsidR="00F25C2C" w:rsidRPr="00ED7014">
          <w:rPr>
            <w:rStyle w:val="Hyperlink"/>
            <w:rFonts w:cstheme="minorHAnsi"/>
          </w:rPr>
          <w:t>https://sites.sph.harvard.edu/hpfs/</w:t>
        </w:r>
      </w:hyperlink>
      <w:r w:rsidR="00F25C2C">
        <w:rPr>
          <w:rFonts w:cstheme="minorHAnsi"/>
        </w:rPr>
        <w:t xml:space="preserve"> </w:t>
      </w:r>
      <w:r w:rsidR="00640706">
        <w:rPr>
          <w:rFonts w:cstheme="minorHAnsi"/>
        </w:rPr>
        <w:fldChar w:fldCharType="begin"/>
      </w:r>
      <w:r w:rsidR="00640706">
        <w:rPr>
          <w:rFonts w:cstheme="minorHAnsi"/>
        </w:rPr>
        <w:instrText xml:space="preserve"> ADDIN ZOTERO_ITEM CSL_CITATION {"citationID":"MD2bApPK","properties":{"formattedCitation":"\\super 5\\nosupersub{}","plainCitation":"5","noteIndex":0},"citationItems":[{"id":285,"uris":["http://zotero.org/users/9030084/items/9GPE9KUF"],"itemData":{"id":285,"type":"article-journal","abstract":"BACKGROUND: Colonoscopy and sigmoidoscopy provide protection against colorectal cancer, but the magnitude and duration of protection, particularly against cancer of the proximal colon, remain uncertain.\nMETHODS: We examined the association of the use of lower endoscopy (updated biennially from 1988 through 2008) with colorectal-cancer incidence (through June 2010) and colorectal-cancer mortality (through June 2012) among participants in the Nurses' Health Study and the Health Professionals Follow-up Study.\nRESULTS: Among 88,902 participants followed over a period of 22 years, we documented 1815 incident colorectal cancers and 474 deaths from colorectal cancer. With endoscopy as compared with no endoscopy, multivariate hazard ratios for colorectal cancer were 0.57 (95% confidence interval [CI], 0.45 to 0.72) after polypectomy, 0.60 (95% CI, 0.53 to 0.68) after negative sigmoidoscopy, and 0.44 (95% CI, 0.38 to 0.52) after negative colonoscopy. Negative colonoscopy was associated with a reduced incidence of proximal colon cancer (multivariate hazard ratio, 0.73; 95% CI, 0.57 to 0.92). Multivariate hazard ratios for death from colorectal cancer were 0.59 (95% CI, 0.45 to 0.76) after screening sigmoidoscopy and 0.32 (95% CI, 0.24 to 0.45) after screening colonoscopy. Reduced mortality from proximal colon cancer was observed after screening colonoscopy (multivariate hazard ratio, 0.47; 95% CI, 0.29 to 0.76) but not after sigmoidoscopy. As compared with colorectal cancers diagnosed in patients more than 5 years after colonoscopy or without any prior endoscopy, those diagnosed in patients within 5 years after colonoscopy were more likely to be characterized by the CpG island methylator phenotype (CIMP) (multivariate odds ratio, 2.19; 95% CI, 1.14 to 4.21) and microsatellite instability (multivariate odds ratio, 2.10; 95% CI, 1.10 to 4.02).\nCONCLUSIONS: Colonoscopy and sigmoidoscopy were associated with a reduced incidence of cancer of the distal colorectum; colonoscopy was also associated with a modest reduction in the incidence of proximal colon cancer. Screening colonoscopy and sigmoidoscopy were associated with reduced colorectal-cancer mortality; only colonoscopy was associated with reduced mortality from proximal colon cancer. Colorectal cancer diagnosed within 5 years after colonoscopy was more likely than cancer diagnosed after that period or without prior endoscopy to have CIMP and microsatellite instability. (Funded by the National Institutes of Health and others.).","container-title":"The New England Journal of Medicine","DOI":"10.1056/NEJMoa1301969","ISSN":"1533-4406","issue":"12","journalAbbreviation":"N Engl J Med","language":"eng","note":"PMID: 24047059\nPMCID: PMC3840160","page":"1095-1105","source":"PubMed","title":"Long-term colorectal-cancer incidence and mortality after lower endoscopy","volume":"369","author":[{"family":"Nishihara","given":"Reiko"},{"family":"Wu","given":"Kana"},{"family":"Lochhead","given":"Paul"},{"family":"Morikawa","given":"Teppei"},{"family":"Liao","given":"Xiaoyun"},{"family":"Qian","given":"Zhi Rong"},{"family":"Inamura","given":"Kentaro"},{"family":"Kim","given":"Sun A."},{"family":"Kuchiba","given":"Aya"},{"family":"Yamauchi","given":"Mai"},{"family":"Imamura","given":"Yu"},{"family":"Willett","given":"Walter C."},{"family":"Rosner","given":"Bernard A."},{"family":"Fuchs","given":"Charles S."},{"family":"Giovannucci","given":"Edward"},{"family":"Ogino","given":"Shuji"},{"family":"Chan","given":"Andrew T."}],"issued":{"date-parts":[["2013",9,19]]}}}],"schema":"https://github.com/citation-style-language/schema/raw/master/csl-citation.json"} </w:instrText>
      </w:r>
      <w:r w:rsidR="00640706">
        <w:rPr>
          <w:rFonts w:cstheme="minorHAnsi"/>
        </w:rPr>
        <w:fldChar w:fldCharType="separate"/>
      </w:r>
      <w:r w:rsidR="00640706" w:rsidRPr="00640706">
        <w:rPr>
          <w:rFonts w:ascii="Calibri" w:hAnsi="Calibri" w:cs="Calibri"/>
          <w:kern w:val="0"/>
          <w:szCs w:val="24"/>
          <w:vertAlign w:val="superscript"/>
        </w:rPr>
        <w:t>5</w:t>
      </w:r>
      <w:r w:rsidR="00640706">
        <w:rPr>
          <w:rFonts w:cstheme="minorHAnsi"/>
        </w:rPr>
        <w:fldChar w:fldCharType="end"/>
      </w:r>
      <w:r w:rsidRPr="00790687">
        <w:rPr>
          <w:rFonts w:cstheme="minorHAnsi"/>
        </w:rPr>
        <w:t>.</w:t>
      </w:r>
      <w:r w:rsidR="00F25C2C">
        <w:rPr>
          <w:rFonts w:cstheme="minorHAnsi"/>
        </w:rPr>
        <w:t xml:space="preserve"> </w:t>
      </w:r>
      <w:r w:rsidRPr="00790687">
        <w:rPr>
          <w:rFonts w:cstheme="minorHAnsi"/>
        </w:rPr>
        <w:t>HPFS was started in</w:t>
      </w:r>
      <w:r w:rsidR="001757EC">
        <w:rPr>
          <w:rFonts w:cstheme="minorHAnsi"/>
        </w:rPr>
        <w:t xml:space="preserve"> </w:t>
      </w:r>
      <w:r w:rsidR="001757EC" w:rsidRPr="001757EC">
        <w:rPr>
          <w:rFonts w:cstheme="minorHAnsi"/>
        </w:rPr>
        <w:t xml:space="preserve">1986 as a companion study to the Nurses’ Health Study, enrolling 51,529 male dentists, optometrists, osteopathic physicians, pharmacists, </w:t>
      </w:r>
      <w:proofErr w:type="gramStart"/>
      <w:r w:rsidR="001757EC" w:rsidRPr="001757EC">
        <w:rPr>
          <w:rFonts w:cstheme="minorHAnsi"/>
        </w:rPr>
        <w:t>podiatrists</w:t>
      </w:r>
      <w:proofErr w:type="gramEnd"/>
      <w:r w:rsidR="001757EC" w:rsidRPr="001757EC">
        <w:rPr>
          <w:rFonts w:cstheme="minorHAnsi"/>
        </w:rPr>
        <w:t xml:space="preserve"> and veterinarians 40-75 years old. There were no exclusions by race, but the majority of participants were of European </w:t>
      </w:r>
      <w:proofErr w:type="gramStart"/>
      <w:r w:rsidR="001757EC" w:rsidRPr="001757EC">
        <w:rPr>
          <w:rFonts w:cstheme="minorHAnsi"/>
        </w:rPr>
        <w:t>ancestry;</w:t>
      </w:r>
      <w:proofErr w:type="gramEnd"/>
      <w:r w:rsidR="001757EC" w:rsidRPr="001757EC">
        <w:rPr>
          <w:rFonts w:cstheme="minorHAnsi"/>
        </w:rPr>
        <w:t xml:space="preserve"> corresponding to the demographics of health professionals in 1986. HPFS participants are mailed a questionnaire every two years that assesses risk factor status and interval disease events. In HPFS, DVT and PE are captured together by the question: “Since [year], have you had any of these physician-diagnosed illnesses? Deep Vein Thrombosis/Pulmonary Embolus”. Questionnaire-reported VTE diagnoses have proven to be highly accurate, with &gt;95% validation of VTE events. A physician reviews medical records for all reported PEs, validating diagnoses when medical records include: a positive pulmonary angiogram, a high-probability ventilation/perfusion scan, or a positive CT pulmonary angiogram.</w:t>
      </w:r>
    </w:p>
    <w:p w14:paraId="481CF985" w14:textId="795091F0" w:rsidR="00B51157" w:rsidRDefault="00B51157" w:rsidP="00886463">
      <w:pPr>
        <w:rPr>
          <w:rFonts w:cstheme="minorHAnsi"/>
        </w:rPr>
      </w:pPr>
      <w:r>
        <w:rPr>
          <w:rFonts w:cstheme="minorHAnsi"/>
        </w:rPr>
        <w:t>The ancestry information fir NHS, NHS-II, and HPFS was obtained by self-reported as European or African ancestry and clustered with other European or African ancestry samples according to principal components.</w:t>
      </w:r>
    </w:p>
    <w:p w14:paraId="4870175F" w14:textId="5D9312C2" w:rsidR="000032E9" w:rsidRDefault="000032E9" w:rsidP="000032E9">
      <w:pPr>
        <w:jc w:val="both"/>
        <w:rPr>
          <w:rFonts w:cstheme="minorHAnsi"/>
        </w:rPr>
      </w:pPr>
      <w:r>
        <w:rPr>
          <w:rFonts w:cstheme="minorHAnsi"/>
        </w:rPr>
        <w:t xml:space="preserve">The </w:t>
      </w:r>
      <w:r w:rsidRPr="000032E9">
        <w:rPr>
          <w:rFonts w:cstheme="minorHAnsi"/>
          <w:b/>
          <w:bCs/>
        </w:rPr>
        <w:t>Michigan Genome Initiative (MGI)</w:t>
      </w:r>
      <w:r>
        <w:rPr>
          <w:rFonts w:cstheme="minorHAnsi"/>
        </w:rPr>
        <w:t xml:space="preserve"> has been described previously</w:t>
      </w:r>
      <w:r w:rsidR="006356D4">
        <w:rPr>
          <w:rFonts w:cstheme="minorHAnsi"/>
        </w:rPr>
        <w:fldChar w:fldCharType="begin"/>
      </w:r>
      <w:r w:rsidR="00640706">
        <w:rPr>
          <w:rFonts w:cstheme="minorHAnsi"/>
        </w:rPr>
        <w:instrText xml:space="preserve"> ADDIN ZOTERO_ITEM CSL_CITATION {"citationID":"2DKZvBLc","properties":{"formattedCitation":"\\super 6\\nosupersub{}","plainCitation":"6","noteIndex":0},"citationItems":[{"id":271,"uris":["http://zotero.org/users/9030084/items/5EVGE5EV"],"itemData":{"id":271,"type":"article-journal","abstract":"Biobanks of linked clinical patient histories and biological samples are an efficient strategy to generate large cohorts for modern genetics research. Biobank recruitment varies by factors such as geographic catchment and sampling strategy, which affect biobank demographics and research utility. Here, we describe the Michigan Genomics Initiative (MGI), a single-health-system biobank currently consisting of &gt;91,000 participants recruited primarily during surgical encounters at Michigan Medicine. The surgical enrollment results in a biobank enriched for many diseases and ideally suited for a disease genetics cohort. Compared with the much larger population-based UK Biobank, MGI has higher prevalence for nearly all diagnosis-code-based phenotypes and larger absolute case counts for many phenotypes. Genome-wide association study (GWAS) results replicate known findings, thereby validating the genetic and clinical data. Our results illustrate that opportunistic biobank sampling within single health systems provides a unique and complementary resource for exploring the genetics of complex diseases.","container-title":"Cell Genomics","DOI":"10.1016/j.xgen.2023.100257","ISSN":"2666-979X","issue":"2","journalAbbreviation":"Cell Genom","language":"eng","note":"PMID: 36819667\nPMCID: PMC9932985","page":"100257","source":"PubMed","title":"The Michigan Genomics Initiative: A biobank linking genotypes and electronic clinical records in Michigan Medicine patients","title-short":"The Michigan Genomics Initiative","volume":"3","author":[{"family":"Zawistowski","given":"Matthew"},{"family":"Fritsche","given":"Lars G."},{"family":"Pandit","given":"Anita"},{"family":"Vanderwerff","given":"Brett"},{"family":"Patil","given":"Snehal"},{"family":"Schmidt","given":"Ellen M."},{"family":"VandeHaar","given":"Peter"},{"family":"Willer","given":"Cristen J."},{"family":"Brummett","given":"Chad M."},{"family":"Kheterpal","given":"Sachin"},{"family":"Zhou","given":"Xiang"},{"family":"Boehnke","given":"Michael"},{"family":"Abecasis","given":"Gonçalo R."},{"family":"Zöllner","given":"Sebastian"}],"issued":{"date-parts":[["2023",2,8]]}}}],"schema":"https://github.com/citation-style-language/schema/raw/master/csl-citation.json"} </w:instrText>
      </w:r>
      <w:r w:rsidR="006356D4">
        <w:rPr>
          <w:rFonts w:cstheme="minorHAnsi"/>
        </w:rPr>
        <w:fldChar w:fldCharType="separate"/>
      </w:r>
      <w:r w:rsidR="00640706" w:rsidRPr="00640706">
        <w:rPr>
          <w:rFonts w:ascii="Calibri" w:hAnsi="Calibri" w:cs="Calibri"/>
          <w:kern w:val="0"/>
          <w:szCs w:val="24"/>
          <w:vertAlign w:val="superscript"/>
        </w:rPr>
        <w:t>6</w:t>
      </w:r>
      <w:r w:rsidR="006356D4">
        <w:rPr>
          <w:rFonts w:cstheme="minorHAnsi"/>
        </w:rPr>
        <w:fldChar w:fldCharType="end"/>
      </w:r>
      <w:r>
        <w:rPr>
          <w:rFonts w:cstheme="minorHAnsi"/>
        </w:rPr>
        <w:t xml:space="preserve"> and additional information is available at </w:t>
      </w:r>
      <w:hyperlink r:id="rId10" w:history="1">
        <w:r w:rsidRPr="0079102D">
          <w:rPr>
            <w:rStyle w:val="Hyperlink"/>
            <w:rFonts w:cstheme="minorHAnsi"/>
          </w:rPr>
          <w:t>https://precisionhealth.umich.edu/our-research/michigangenomics/</w:t>
        </w:r>
      </w:hyperlink>
      <w:r>
        <w:rPr>
          <w:rFonts w:cstheme="minorHAnsi"/>
        </w:rPr>
        <w:t xml:space="preserve">.  MGI is </w:t>
      </w:r>
      <w:r w:rsidRPr="00643F46">
        <w:rPr>
          <w:rFonts w:cstheme="minorHAnsi"/>
        </w:rPr>
        <w:t>a single-health-system biobank consisting of</w:t>
      </w:r>
      <w:r>
        <w:rPr>
          <w:rFonts w:cstheme="minorHAnsi"/>
        </w:rPr>
        <w:t xml:space="preserve"> more than </w:t>
      </w:r>
      <w:r w:rsidRPr="00643F46">
        <w:rPr>
          <w:rFonts w:cstheme="minorHAnsi"/>
        </w:rPr>
        <w:t>91,000 participants</w:t>
      </w:r>
      <w:r>
        <w:rPr>
          <w:rFonts w:cstheme="minorHAnsi"/>
        </w:rPr>
        <w:t xml:space="preserve"> </w:t>
      </w:r>
      <w:r w:rsidRPr="00643F46">
        <w:rPr>
          <w:rFonts w:cstheme="minorHAnsi"/>
        </w:rPr>
        <w:t>recruited primarily during surgical encounters at Michigan Medicine</w:t>
      </w:r>
      <w:r>
        <w:rPr>
          <w:rFonts w:cstheme="minorHAnsi"/>
        </w:rPr>
        <w:t xml:space="preserve">, the University of Michigan’s healthcare system </w:t>
      </w:r>
      <w:r w:rsidR="00D11F45">
        <w:rPr>
          <w:rFonts w:cstheme="minorHAnsi"/>
        </w:rPr>
        <w:fldChar w:fldCharType="begin"/>
      </w:r>
      <w:r w:rsidR="00D11F45">
        <w:rPr>
          <w:rFonts w:cstheme="minorHAnsi"/>
        </w:rPr>
        <w:instrText xml:space="preserve"> ADDIN ZOTERO_ITEM CSL_CITATION {"citationID":"0ue0Na97","properties":{"formattedCitation":"\\super 6\\nosupersub{}","plainCitation":"6","noteIndex":0},"citationItems":[{"id":271,"uris":["http://zotero.org/users/9030084/items/5EVGE5EV"],"itemData":{"id":271,"type":"article-journal","abstract":"Biobanks of linked clinical patient histories and biological samples are an efficient strategy to generate large cohorts for modern genetics research. Biobank recruitment varies by factors such as geographic catchment and sampling strategy, which affect biobank demographics and research utility. Here, we describe the Michigan Genomics Initiative (MGI), a single-health-system biobank currently consisting of &gt;91,000 participants recruited primarily during surgical encounters at Michigan Medicine. The surgical enrollment results in a biobank enriched for many diseases and ideally suited for a disease genetics cohort. Compared with the much larger population-based UK Biobank, MGI has higher prevalence for nearly all diagnosis-code-based phenotypes and larger absolute case counts for many phenotypes. Genome-wide association study (GWAS) results replicate known findings, thereby validating the genetic and clinical data. Our results illustrate that opportunistic biobank sampling within single health systems provides a unique and complementary resource for exploring the genetics of complex diseases.","container-title":"Cell Genomics","DOI":"10.1016/j.xgen.2023.100257","ISSN":"2666-979X","issue":"2","journalAbbreviation":"Cell Genom","language":"eng","note":"PMID: 36819667\nPMCID: PMC9932985","page":"100257","source":"PubMed","title":"The Michigan Genomics Initiative: A biobank linking genotypes and electronic clinical records in Michigan Medicine patients","title-short":"The Michigan Genomics Initiative","volume":"3","author":[{"family":"Zawistowski","given":"Matthew"},{"family":"Fritsche","given":"Lars G."},{"family":"Pandit","given":"Anita"},{"family":"Vanderwerff","given":"Brett"},{"family":"Patil","given":"Snehal"},{"family":"Schmidt","given":"Ellen M."},{"family":"VandeHaar","given":"Peter"},{"family":"Willer","given":"Cristen J."},{"family":"Brummett","given":"Chad M."},{"family":"Kheterpal","given":"Sachin"},{"family":"Zhou","given":"Xiang"},{"family":"Boehnke","given":"Michael"},{"family":"Abecasis","given":"Gonçalo R."},{"family":"Zöllner","given":"Sebastian"}],"issued":{"date-parts":[["2023",2,8]]}}}],"schema":"https://github.com/citation-style-language/schema/raw/master/csl-citation.json"} </w:instrText>
      </w:r>
      <w:r w:rsidR="00D11F45">
        <w:rPr>
          <w:rFonts w:cstheme="minorHAnsi"/>
        </w:rPr>
        <w:fldChar w:fldCharType="separate"/>
      </w:r>
      <w:r w:rsidR="00D11F45" w:rsidRPr="00D11F45">
        <w:rPr>
          <w:rFonts w:ascii="Calibri" w:hAnsi="Calibri" w:cs="Calibri"/>
          <w:kern w:val="0"/>
          <w:szCs w:val="24"/>
          <w:vertAlign w:val="superscript"/>
        </w:rPr>
        <w:t>6</w:t>
      </w:r>
      <w:r w:rsidR="00D11F45">
        <w:rPr>
          <w:rFonts w:cstheme="minorHAnsi"/>
        </w:rPr>
        <w:fldChar w:fldCharType="end"/>
      </w:r>
      <w:r w:rsidRPr="00643F46">
        <w:rPr>
          <w:rFonts w:cstheme="minorHAnsi"/>
        </w:rPr>
        <w:t>.</w:t>
      </w:r>
      <w:r>
        <w:rPr>
          <w:rFonts w:cstheme="minorHAnsi"/>
        </w:rPr>
        <w:t xml:space="preserve"> R</w:t>
      </w:r>
      <w:r w:rsidRPr="008D38B3">
        <w:rPr>
          <w:rFonts w:cstheme="minorHAnsi"/>
        </w:rPr>
        <w:t>ecruitment</w:t>
      </w:r>
      <w:r>
        <w:rPr>
          <w:rFonts w:cstheme="minorHAnsi"/>
        </w:rPr>
        <w:t xml:space="preserve"> for MGI</w:t>
      </w:r>
      <w:r w:rsidRPr="008D38B3">
        <w:rPr>
          <w:rFonts w:cstheme="minorHAnsi"/>
        </w:rPr>
        <w:t xml:space="preserve"> </w:t>
      </w:r>
      <w:r>
        <w:rPr>
          <w:rFonts w:cstheme="minorHAnsi"/>
        </w:rPr>
        <w:t>started</w:t>
      </w:r>
      <w:r w:rsidRPr="008D38B3">
        <w:rPr>
          <w:rFonts w:cstheme="minorHAnsi"/>
        </w:rPr>
        <w:t xml:space="preserve"> in 2012 </w:t>
      </w:r>
      <w:r>
        <w:rPr>
          <w:rFonts w:cstheme="minorHAnsi"/>
        </w:rPr>
        <w:t>and has</w:t>
      </w:r>
      <w:r w:rsidRPr="008D38B3">
        <w:rPr>
          <w:rFonts w:cstheme="minorHAnsi"/>
        </w:rPr>
        <w:t xml:space="preserve"> primarily occurred</w:t>
      </w:r>
      <w:r>
        <w:rPr>
          <w:rFonts w:cstheme="minorHAnsi"/>
        </w:rPr>
        <w:t xml:space="preserve"> </w:t>
      </w:r>
      <w:r w:rsidRPr="008D38B3">
        <w:rPr>
          <w:rFonts w:cstheme="minorHAnsi"/>
        </w:rPr>
        <w:t>through the Department of Anesthesiology during inpatient</w:t>
      </w:r>
      <w:r>
        <w:rPr>
          <w:rFonts w:cstheme="minorHAnsi"/>
        </w:rPr>
        <w:t xml:space="preserve"> </w:t>
      </w:r>
      <w:r w:rsidRPr="008D38B3">
        <w:rPr>
          <w:rFonts w:cstheme="minorHAnsi"/>
        </w:rPr>
        <w:t>surgical procedures at Michigan Medicine. Recruiting during a</w:t>
      </w:r>
      <w:r>
        <w:rPr>
          <w:rFonts w:cstheme="minorHAnsi"/>
        </w:rPr>
        <w:t xml:space="preserve"> </w:t>
      </w:r>
      <w:r w:rsidRPr="008D38B3">
        <w:rPr>
          <w:rFonts w:cstheme="minorHAnsi"/>
        </w:rPr>
        <w:t>surgical encounter provides a convenient opportunity to obtain</w:t>
      </w:r>
      <w:r>
        <w:rPr>
          <w:rFonts w:cstheme="minorHAnsi"/>
        </w:rPr>
        <w:t xml:space="preserve"> </w:t>
      </w:r>
      <w:r w:rsidRPr="008D38B3">
        <w:rPr>
          <w:rFonts w:cstheme="minorHAnsi"/>
        </w:rPr>
        <w:t>patient consent, complete questionnaires, and collect a blood</w:t>
      </w:r>
      <w:r>
        <w:rPr>
          <w:rFonts w:cstheme="minorHAnsi"/>
        </w:rPr>
        <w:t xml:space="preserve"> </w:t>
      </w:r>
      <w:r w:rsidRPr="008D38B3">
        <w:rPr>
          <w:rFonts w:cstheme="minorHAnsi"/>
        </w:rPr>
        <w:t>sample biospecimen</w:t>
      </w:r>
      <w:r>
        <w:rPr>
          <w:rFonts w:cstheme="minorHAnsi"/>
        </w:rPr>
        <w:t xml:space="preserve">. In this analysis, we use the genetic and clinical data for MGI “Freeze 3” (March 23, 2020) comprised of 57,055 participants. Individuals from Freeze 3 were excluded if they had the ICD codes: </w:t>
      </w:r>
      <w:r w:rsidRPr="0079102D">
        <w:rPr>
          <w:rFonts w:cstheme="minorHAnsi"/>
        </w:rPr>
        <w:t>I81, I82.0, I80.0, I80.3, I80.8,</w:t>
      </w:r>
      <w:r>
        <w:rPr>
          <w:rFonts w:cstheme="minorHAnsi"/>
        </w:rPr>
        <w:t xml:space="preserve"> </w:t>
      </w:r>
      <w:r w:rsidRPr="0079102D">
        <w:rPr>
          <w:rFonts w:cstheme="minorHAnsi"/>
        </w:rPr>
        <w:t>I80.9, D68, 452,</w:t>
      </w:r>
      <w:r>
        <w:rPr>
          <w:rFonts w:cstheme="minorHAnsi"/>
        </w:rPr>
        <w:t xml:space="preserve"> </w:t>
      </w:r>
      <w:proofErr w:type="gramStart"/>
      <w:r w:rsidRPr="0079102D">
        <w:rPr>
          <w:rFonts w:cstheme="minorHAnsi"/>
        </w:rPr>
        <w:t>453.0</w:t>
      </w:r>
      <w:proofErr w:type="gramEnd"/>
      <w:r w:rsidRPr="0079102D">
        <w:rPr>
          <w:rFonts w:cstheme="minorHAnsi"/>
        </w:rPr>
        <w:t>,</w:t>
      </w:r>
      <w:r>
        <w:rPr>
          <w:rFonts w:cstheme="minorHAnsi"/>
        </w:rPr>
        <w:t xml:space="preserve"> </w:t>
      </w:r>
      <w:r w:rsidRPr="0079102D">
        <w:rPr>
          <w:rFonts w:cstheme="minorHAnsi"/>
        </w:rPr>
        <w:t>451.0,</w:t>
      </w:r>
      <w:r>
        <w:rPr>
          <w:rFonts w:cstheme="minorHAnsi"/>
        </w:rPr>
        <w:t xml:space="preserve"> </w:t>
      </w:r>
      <w:r w:rsidRPr="0079102D">
        <w:rPr>
          <w:rFonts w:cstheme="minorHAnsi"/>
        </w:rPr>
        <w:t>451.89,</w:t>
      </w:r>
      <w:r>
        <w:rPr>
          <w:rFonts w:cstheme="minorHAnsi"/>
        </w:rPr>
        <w:t xml:space="preserve"> </w:t>
      </w:r>
      <w:r w:rsidRPr="0079102D">
        <w:rPr>
          <w:rFonts w:cstheme="minorHAnsi"/>
        </w:rPr>
        <w:t>451.9,</w:t>
      </w:r>
      <w:r>
        <w:rPr>
          <w:rFonts w:cstheme="minorHAnsi"/>
        </w:rPr>
        <w:t xml:space="preserve"> </w:t>
      </w:r>
      <w:r w:rsidRPr="0079102D">
        <w:rPr>
          <w:rFonts w:cstheme="minorHAnsi"/>
        </w:rPr>
        <w:t>286</w:t>
      </w:r>
      <w:r>
        <w:rPr>
          <w:rFonts w:cstheme="minorHAnsi"/>
        </w:rPr>
        <w:t xml:space="preserve">. This left 55,049 total individuals in the study comprising </w:t>
      </w:r>
      <w:proofErr w:type="gramStart"/>
      <w:r>
        <w:rPr>
          <w:rFonts w:cstheme="minorHAnsi"/>
        </w:rPr>
        <w:t>of  51,222</w:t>
      </w:r>
      <w:proofErr w:type="gramEnd"/>
      <w:r>
        <w:rPr>
          <w:rFonts w:cstheme="minorHAnsi"/>
        </w:rPr>
        <w:t xml:space="preserve"> Europeans and 3,827 African Americans. </w:t>
      </w:r>
    </w:p>
    <w:p w14:paraId="0F3D64C4" w14:textId="77777777" w:rsidR="000032E9" w:rsidRDefault="000032E9" w:rsidP="000032E9">
      <w:pPr>
        <w:jc w:val="both"/>
        <w:rPr>
          <w:rFonts w:cstheme="minorHAnsi"/>
        </w:rPr>
      </w:pPr>
    </w:p>
    <w:p w14:paraId="29913366" w14:textId="101C7868" w:rsidR="00F7205D" w:rsidRDefault="00F7205D" w:rsidP="00F7205D">
      <w:pPr>
        <w:rPr>
          <w:rFonts w:cstheme="minorHAnsi"/>
        </w:rPr>
      </w:pPr>
      <w:r w:rsidRPr="00F7205D">
        <w:rPr>
          <w:rFonts w:cstheme="minorHAnsi"/>
        </w:rPr>
        <w:lastRenderedPageBreak/>
        <w:t xml:space="preserve">The </w:t>
      </w:r>
      <w:r w:rsidRPr="00F7205D">
        <w:rPr>
          <w:rFonts w:cstheme="minorHAnsi"/>
          <w:b/>
          <w:bCs/>
        </w:rPr>
        <w:t>UCLA Precision Health Biobank (UCLA)</w:t>
      </w:r>
      <w:r w:rsidRPr="00F7205D">
        <w:rPr>
          <w:rFonts w:cstheme="minorHAnsi"/>
        </w:rPr>
        <w:t xml:space="preserve"> has been described previously </w:t>
      </w:r>
      <w:r w:rsidR="006356D4">
        <w:rPr>
          <w:rFonts w:cstheme="minorHAnsi"/>
        </w:rPr>
        <w:fldChar w:fldCharType="begin"/>
      </w:r>
      <w:r w:rsidR="00640706">
        <w:rPr>
          <w:rFonts w:cstheme="minorHAnsi"/>
        </w:rPr>
        <w:instrText xml:space="preserve"> ADDIN ZOTERO_ITEM CSL_CITATION {"citationID":"2Z3cmoyq","properties":{"formattedCitation":"\\super 7\\nosupersub{}","plainCitation":"7","noteIndex":0},"citationItems":[{"id":268,"uris":["http://zotero.org/users/9030084/items/ECMT9ZFS"],"itemData":{"id":268,"type":"article-journal","abstract":"The UCLA ATLAS Community Health Initiative (ATLAS) has an initial target to recruit 150,000 participants from across the UCLA Health system with the goal of creating a genomic database to accelerate precision medicine efforts in California. This initiative includes a biobank embedded within the UCLA Health system that comprises de-identified genomic data linked to electronic health records (EHRs). The first freeze of data from September 2020 contains 27,987 genotyped samples imputed to 7.9 million SNPs across the genome and is linked with de-identified versions of the EHRs from UCLA Health. Here, we describe a centralized repository of the genotype data and provide tools and pipelines to perform genome- and phenome-wide association studies across a wide range of EHR-derived phenotypes and genetic ancestry groups. We demonstrate the utility of this resource through the analysis of 7 well-studied traits and recapitulate many previous genetic and phenotypic associations.","container-title":"Cell Genomics","DOI":"10.1016/j.xgen.2022.100243","ISSN":"2666-979X","issue":"1","journalAbbreviation":"Cell Genomics","language":"en","page":"100243","source":"ScienceDirect","title":"The UCLA ATLAS Community Health Initiative: Promoting precision health research in a diverse biobank","title-short":"The UCLA ATLAS Community Health Initiative","volume":"3","author":[{"family":"Johnson","given":"Ruth"},{"family":"Ding","given":"Yi"},{"family":"Bhattacharya","given":"Arjun"},{"family":"Knyazev","given":"Sergey"},{"family":"Chiu","given":"Alec"},{"family":"Lajonchere","given":"Clara"},{"family":"Geschwind","given":"Daniel H."},{"family":"Pasaniuc","given":"Bogdan"}],"issued":{"date-parts":[["2023",1,11]]}}}],"schema":"https://github.com/citation-style-language/schema/raw/master/csl-citation.json"} </w:instrText>
      </w:r>
      <w:r w:rsidR="006356D4">
        <w:rPr>
          <w:rFonts w:cstheme="minorHAnsi"/>
        </w:rPr>
        <w:fldChar w:fldCharType="separate"/>
      </w:r>
      <w:r w:rsidR="00640706" w:rsidRPr="00640706">
        <w:rPr>
          <w:rFonts w:ascii="Calibri" w:hAnsi="Calibri" w:cs="Calibri"/>
          <w:kern w:val="0"/>
          <w:szCs w:val="24"/>
          <w:vertAlign w:val="superscript"/>
        </w:rPr>
        <w:t>7</w:t>
      </w:r>
      <w:r w:rsidR="006356D4">
        <w:rPr>
          <w:rFonts w:cstheme="minorHAnsi"/>
        </w:rPr>
        <w:fldChar w:fldCharType="end"/>
      </w:r>
      <w:r w:rsidR="006356D4">
        <w:rPr>
          <w:rFonts w:cstheme="minorHAnsi"/>
        </w:rPr>
        <w:t xml:space="preserve"> </w:t>
      </w:r>
      <w:r w:rsidRPr="00F7205D">
        <w:rPr>
          <w:rFonts w:cstheme="minorHAnsi"/>
        </w:rPr>
        <w:t xml:space="preserve">and is a biobanking initiative within a larger academic medical center. The UCLA Health system includes 2 hospitals and a total of 210 primary and specialty outpatient locations located primarily in the greater Los Angeles area. The UCLA Health system serves approximately 5% of </w:t>
      </w:r>
      <w:proofErr w:type="gramStart"/>
      <w:r w:rsidRPr="00F7205D">
        <w:rPr>
          <w:rFonts w:cstheme="minorHAnsi"/>
        </w:rPr>
        <w:t>Los</w:t>
      </w:r>
      <w:proofErr w:type="gramEnd"/>
      <w:r w:rsidRPr="00F7205D">
        <w:rPr>
          <w:rFonts w:cstheme="minorHAnsi"/>
        </w:rPr>
        <w:t xml:space="preserve"> Angeles County population. An electronic form of health records was implemented throughout the UCLA Health system in 2013 and a variety of longitudinal clinical </w:t>
      </w:r>
      <w:r w:rsidR="00AF0A36" w:rsidRPr="00F7205D">
        <w:rPr>
          <w:rFonts w:cstheme="minorHAnsi"/>
        </w:rPr>
        <w:t>information has</w:t>
      </w:r>
      <w:r w:rsidRPr="00F7205D">
        <w:rPr>
          <w:rFonts w:cstheme="minorHAnsi"/>
        </w:rPr>
        <w:t xml:space="preserve"> been </w:t>
      </w:r>
      <w:r w:rsidR="00D11F45" w:rsidRPr="00F7205D">
        <w:rPr>
          <w:rFonts w:cstheme="minorHAnsi"/>
        </w:rPr>
        <w:t>identified</w:t>
      </w:r>
      <w:r w:rsidRPr="00F7205D">
        <w:rPr>
          <w:rFonts w:cstheme="minorHAnsi"/>
        </w:rPr>
        <w:t xml:space="preserve"> and made available to researchers. The average age of participants, defined as a participant’s age recorded in the EHR as of September 2021, is 55.6 (SD: 17.2) years with an average medical record length of 11.6 (SD: 8.5) years. Individuals opting </w:t>
      </w:r>
      <w:proofErr w:type="gramStart"/>
      <w:r w:rsidRPr="00F7205D">
        <w:rPr>
          <w:rFonts w:cstheme="minorHAnsi"/>
        </w:rPr>
        <w:t>in to</w:t>
      </w:r>
      <w:proofErr w:type="gramEnd"/>
      <w:r w:rsidRPr="00F7205D">
        <w:rPr>
          <w:rFonts w:cstheme="minorHAnsi"/>
        </w:rPr>
        <w:t xml:space="preserve"> the biobank have more healthcare interactions than the general population as has been previously described.  </w:t>
      </w:r>
    </w:p>
    <w:p w14:paraId="3868862E" w14:textId="5E1DC951" w:rsidR="00793436" w:rsidRPr="00F7205D" w:rsidRDefault="00793436" w:rsidP="00793436">
      <w:pPr>
        <w:rPr>
          <w:rFonts w:cstheme="minorHAnsi"/>
        </w:rPr>
      </w:pPr>
      <w:r w:rsidRPr="00793436">
        <w:rPr>
          <w:rFonts w:cstheme="minorHAnsi"/>
        </w:rPr>
        <w:t>For genetic ancestry determination we used PCA as described in Johnson et al 2023</w:t>
      </w:r>
      <w:r w:rsidR="000C5F2B">
        <w:rPr>
          <w:rFonts w:cstheme="minorHAnsi"/>
        </w:rPr>
        <w:fldChar w:fldCharType="begin"/>
      </w:r>
      <w:r w:rsidR="00640706">
        <w:rPr>
          <w:rFonts w:cstheme="minorHAnsi"/>
        </w:rPr>
        <w:instrText xml:space="preserve"> ADDIN ZOTERO_ITEM CSL_CITATION {"citationID":"VVjO0khn","properties":{"formattedCitation":"\\super 7\\nosupersub{}","plainCitation":"7","noteIndex":0},"citationItems":[{"id":268,"uris":["http://zotero.org/users/9030084/items/ECMT9ZFS"],"itemData":{"id":268,"type":"article-journal","abstract":"The UCLA ATLAS Community Health Initiative (ATLAS) has an initial target to recruit 150,000 participants from across the UCLA Health system with the goal of creating a genomic database to accelerate precision medicine efforts in California. This initiative includes a biobank embedded within the UCLA Health system that comprises de-identified genomic data linked to electronic health records (EHRs). The first freeze of data from September 2020 contains 27,987 genotyped samples imputed to 7.9 million SNPs across the genome and is linked with de-identified versions of the EHRs from UCLA Health. Here, we describe a centralized repository of the genotype data and provide tools and pipelines to perform genome- and phenome-wide association studies across a wide range of EHR-derived phenotypes and genetic ancestry groups. We demonstrate the utility of this resource through the analysis of 7 well-studied traits and recapitulate many previous genetic and phenotypic associations.","container-title":"Cell Genomics","DOI":"10.1016/j.xgen.2022.100243","ISSN":"2666-979X","issue":"1","journalAbbreviation":"Cell Genomics","language":"en","page":"100243","source":"ScienceDirect","title":"The UCLA ATLAS Community Health Initiative: Promoting precision health research in a diverse biobank","title-short":"The UCLA ATLAS Community Health Initiative","volume":"3","author":[{"family":"Johnson","given":"Ruth"},{"family":"Ding","given":"Yi"},{"family":"Bhattacharya","given":"Arjun"},{"family":"Knyazev","given":"Sergey"},{"family":"Chiu","given":"Alec"},{"family":"Lajonchere","given":"Clara"},{"family":"Geschwind","given":"Daniel H."},{"family":"Pasaniuc","given":"Bogdan"}],"issued":{"date-parts":[["2023",1,11]]}}}],"schema":"https://github.com/citation-style-language/schema/raw/master/csl-citation.json"} </w:instrText>
      </w:r>
      <w:r w:rsidR="000C5F2B">
        <w:rPr>
          <w:rFonts w:cstheme="minorHAnsi"/>
        </w:rPr>
        <w:fldChar w:fldCharType="separate"/>
      </w:r>
      <w:r w:rsidR="00640706" w:rsidRPr="00640706">
        <w:rPr>
          <w:rFonts w:ascii="Calibri" w:hAnsi="Calibri" w:cs="Calibri"/>
          <w:kern w:val="0"/>
          <w:szCs w:val="24"/>
          <w:vertAlign w:val="superscript"/>
        </w:rPr>
        <w:t>7</w:t>
      </w:r>
      <w:r w:rsidR="000C5F2B">
        <w:rPr>
          <w:rFonts w:cstheme="minorHAnsi"/>
        </w:rPr>
        <w:fldChar w:fldCharType="end"/>
      </w:r>
      <w:r w:rsidRPr="00793436">
        <w:rPr>
          <w:rFonts w:cstheme="minorHAnsi"/>
        </w:rPr>
        <w:t>:</w:t>
      </w:r>
      <w:r>
        <w:rPr>
          <w:rFonts w:cstheme="minorHAnsi"/>
        </w:rPr>
        <w:t xml:space="preserve"> </w:t>
      </w:r>
      <w:r w:rsidRPr="00793436">
        <w:rPr>
          <w:rFonts w:cstheme="minorHAnsi"/>
        </w:rPr>
        <w:t xml:space="preserve">PCA </w:t>
      </w:r>
      <w:r w:rsidR="00901B4C">
        <w:rPr>
          <w:rFonts w:cstheme="minorHAnsi"/>
        </w:rPr>
        <w:t xml:space="preserve">was performed </w:t>
      </w:r>
      <w:r w:rsidRPr="00793436">
        <w:rPr>
          <w:rFonts w:cstheme="minorHAnsi"/>
        </w:rPr>
        <w:t xml:space="preserve">on a merged dataset consisting of individuals from ATLAS merged with individuals from the 1000 Genomes Project reference panel. This reference panel consists of genotypes from individuals of known European, African, admixed American, East Asian, and South Asian descent. After projecting the PCs into two-dimensional space, the labeled samples </w:t>
      </w:r>
      <w:r w:rsidR="00901B4C">
        <w:rPr>
          <w:rFonts w:cstheme="minorHAnsi"/>
        </w:rPr>
        <w:t xml:space="preserve">were used </w:t>
      </w:r>
      <w:r w:rsidRPr="00793436">
        <w:rPr>
          <w:rFonts w:cstheme="minorHAnsi"/>
        </w:rPr>
        <w:t xml:space="preserve">from 1000 Genomes to define cluster boundaries for individuals in ATLAS corresponding to each continental ancestry group. Cluster thresholds were visually determined by comparing the overlap of the 1000 Genomes reference panel samples with ATLAS samples in PC space. </w:t>
      </w:r>
    </w:p>
    <w:p w14:paraId="013A98FC" w14:textId="097F3DD2" w:rsidR="00AC0E62" w:rsidRDefault="009132DA" w:rsidP="007E3ACE">
      <w:pPr>
        <w:rPr>
          <w:rFonts w:cstheme="minorHAnsi"/>
          <w:b/>
          <w:bCs/>
        </w:rPr>
      </w:pPr>
      <w:r w:rsidRPr="009132DA">
        <w:rPr>
          <w:rFonts w:cstheme="minorHAnsi"/>
        </w:rPr>
        <w:t xml:space="preserve">The </w:t>
      </w:r>
      <w:r w:rsidRPr="009132DA">
        <w:rPr>
          <w:rFonts w:cstheme="minorHAnsi"/>
          <w:b/>
          <w:bCs/>
        </w:rPr>
        <w:t xml:space="preserve">Penn Medicine </w:t>
      </w:r>
      <w:proofErr w:type="spellStart"/>
      <w:r w:rsidRPr="009132DA">
        <w:rPr>
          <w:rFonts w:cstheme="minorHAnsi"/>
          <w:b/>
          <w:bCs/>
        </w:rPr>
        <w:t>BioBank</w:t>
      </w:r>
      <w:proofErr w:type="spellEnd"/>
      <w:r w:rsidRPr="009132DA">
        <w:rPr>
          <w:rFonts w:cstheme="minorHAnsi"/>
          <w:b/>
          <w:bCs/>
        </w:rPr>
        <w:t xml:space="preserve"> (PMBB)</w:t>
      </w:r>
      <w:r w:rsidRPr="009132DA">
        <w:rPr>
          <w:rFonts w:cstheme="minorHAnsi"/>
        </w:rPr>
        <w:t xml:space="preserve"> is a research program that recruits patients from the University of Pennsylvania Health System for genomic and precision medicine research. The PMBB researchers have access to EHR data linked with genetic data from the biobank </w:t>
      </w:r>
      <w:r w:rsidR="00E9343F">
        <w:rPr>
          <w:rFonts w:cstheme="minorHAnsi"/>
        </w:rPr>
        <w:fldChar w:fldCharType="begin"/>
      </w:r>
      <w:r w:rsidR="00640706">
        <w:rPr>
          <w:rFonts w:cstheme="minorHAnsi"/>
        </w:rPr>
        <w:instrText xml:space="preserve"> ADDIN ZOTERO_ITEM CSL_CITATION {"citationID":"evqJhGj7","properties":{"formattedCitation":"\\super 8\\nosupersub{}","plainCitation":"8","noteIndex":0},"citationItems":[{"id":274,"uris":["http://zotero.org/users/9030084/items/QZQXT9HZ"],"itemData":{"id":274,"type":"article-journal","abstract":"The Penn Medicine BioBank (PMBB) is an electronic health record (EHR)-linked biobank at the University of Pennsylvania (Penn Medicine). A large variety of health-related information, ranging from diagnosis codes to laboratory measurements, imaging data and lifestyle information, is integrated with genomic and biomarker data in the PMBB to facilitate discoveries and translational science. To date, 174,712 participants have been enrolled into the PMBB, including approximately 30% of participants of non-European ancestry, making it one of the most diverse medical biobanks. There is a median of seven years of longitudinal data in the EHR available on participants, who also consent to permission to recontact. Herein, we describe the operations and infrastructure of the PMBB, summarize the phenotypic architecture of the enrolled participants, and use body mass index (BMI) as a proof-of-concept quantitative phenotype for PheWAS, LabWAS, and GWAS. The major representation of African-American participants in the PMBB addresses the essential need to expand the diversity in genetic and translational research. There is a critical need for a \"medical biobank consortium\" to facilitate replication, increase power for rare phenotypes and variants, and promote harmonized collaboration to optimize the potential for biological discovery and precision medicine.","container-title":"Journal of Personalized Medicine","DOI":"10.3390/jpm12121974","ISSN":"2075-4426","issue":"12","journalAbbreviation":"J Pers Med","language":"eng","note":"PMID: 36556195\nPMCID: PMC9785650","page":"1974","source":"PubMed","title":"The Penn Medicine BioBank: Towards a Genomics-Enabled Learning Healthcare System to Accelerate Precision Medicine in a Diverse Population","title-short":"The Penn Medicine BioBank","volume":"12","author":[{"family":"Verma","given":"Anurag"},{"family":"Damrauer","given":"Scott M."},{"family":"Naseer","given":"Nawar"},{"family":"Weaver","given":"JoEllen"},{"family":"Kripke","given":"Colleen M."},{"family":"Guare","given":"Lindsay"},{"family":"Sirugo","given":"Giorgio"},{"family":"Kember","given":"Rachel L."},{"family":"Drivas","given":"Theodore G."},{"family":"Dudek","given":"Scott M."},{"family":"Bradford","given":"Yuki"},{"family":"Lucas","given":"Anastasia"},{"family":"Judy","given":"Renae"},{"family":"Verma","given":"Shefali S."},{"family":"Meagher","given":"Emma"},{"family":"Nathanson","given":"Katherine L."},{"family":"Feldman","given":"Michael"},{"family":"Ritchie","given":"Marylyn D."},{"family":"Rader","given":"Daniel J."},{"family":"For The Penn Medicine BioBank","given":"null"}],"issued":{"date-parts":[["2022",11,29]]}}}],"schema":"https://github.com/citation-style-language/schema/raw/master/csl-citation.json"} </w:instrText>
      </w:r>
      <w:r w:rsidR="00E9343F">
        <w:rPr>
          <w:rFonts w:cstheme="minorHAnsi"/>
        </w:rPr>
        <w:fldChar w:fldCharType="separate"/>
      </w:r>
      <w:r w:rsidR="00640706" w:rsidRPr="00640706">
        <w:rPr>
          <w:rFonts w:ascii="Calibri" w:hAnsi="Calibri" w:cs="Calibri"/>
          <w:kern w:val="0"/>
          <w:szCs w:val="24"/>
          <w:vertAlign w:val="superscript"/>
        </w:rPr>
        <w:t>8</w:t>
      </w:r>
      <w:r w:rsidR="00E9343F">
        <w:rPr>
          <w:rFonts w:cstheme="minorHAnsi"/>
        </w:rPr>
        <w:fldChar w:fldCharType="end"/>
      </w:r>
      <w:r w:rsidRPr="009132DA">
        <w:rPr>
          <w:rFonts w:cstheme="minorHAnsi"/>
        </w:rPr>
        <w:t xml:space="preserve">. Currently, the PMBB has over 2,000,000 participants enrolled and whole exome sequencing and genotyping is available on 43,623 patient participants. However, a subset of approximately 6,591 subjects were excluded from this analysis as they were used in previous genome-wide association studies (GWAS) of venous thromboembolism (VTE) from INVENT consortium </w:t>
      </w:r>
      <w:r w:rsidR="00D11F45">
        <w:rPr>
          <w:rFonts w:cstheme="minorHAnsi"/>
        </w:rPr>
        <w:fldChar w:fldCharType="begin"/>
      </w:r>
      <w:r w:rsidR="00D11F45">
        <w:rPr>
          <w:rFonts w:cstheme="minorHAnsi"/>
        </w:rPr>
        <w:instrText xml:space="preserve"> ADDIN ZOTERO_ITEM CSL_CITATION {"citationID":"5EpZ7lvj","properties":{"formattedCitation":"\\super 1\\nosupersub{}","plainCitation":"1","noteIndex":0},"citationItems":[{"id":122,"uris":["http://zotero.org/users/9030084/items/BSXRHELR"],"itemData":{"id":122,"type":"article-journal","abstract":"Background:\n\nVenous thromboembolism (VTE) is a life-threatening vascular event with environmental and genetic determinants. Recent VTE genome-wide association studies (GWAS) meta-analyses involved nearly 30 000 VTE cases and identified up to 40 genetic loci associated with VTE risk, including loci not previously suspected to play a role in hemostasis. The aim of our research was to expand discovery of new genetic loci associated with VTE by using cross-ancestry genomic resources.\n\nMethods:\n\nWe present new cross-ancestry meta-analyzed GWAS results involving up to 81 669 VTE cases from 30 studies, with replication of novel loci in independent populations and loci characterization through in silico genomic interrogations.\n\nResults:\n\nIn our genetic discovery effort that included 55 330 participants with VTE (47 822 European, 6320 African, and 1188 Hispanic ancestry), we identified 48 novel associations, of which 34 replicated after correction for multiple testing. In our combined discovery-replication analysis (81 669 VTE participants) and ancestry-stratified meta-analyses (European, African, and Hispanic), we identified another 44 novel associations, which are new candidate VTE-associated loci requiring replication. In total, across all GWAS meta-analyses, we identified 135 independent genomic loci significantly associated with VTE risk. A genetic risk score of the significantly associated loci in Europeans identified a 6-fold increase in risk for those in the top 1% of scores compared with those with average scores. We also identified 31 novel transcript associations in transcriptome-wide association studies and 8 novel candidate genes with protein quantitative-trait locus Mendelian randomization analyses. In silico interrogations of hemostasis and hematology traits and a large phenome-wide association analysis of the 135 GWAS loci provided insights to biological pathways contributing to VTE, with some loci contributing to VTE through well-characterized coagulation pathways and others providing new data on the role of hematology traits, particularly platelet function. Many of the replicated loci are outside of known or currently hypothesized pathways to thrombosis.\n\nConclusions:\n\nOur cross-ancestry GWAS meta-analyses identified new loci associated with VTE. These findings highlight new pathways to thrombosis and provide novel molecules that may be useful in the development of improved antithrombosis treatments.","container-title":"Circulation","DOI":"10.1161/CIRCULATIONAHA.122.059675","issue":"0","note":"publisher: American Heart Association","page":"10.1161/CIRCULATIONAHA.122.059675","source":"ahajournals.org (Atypon)","title":"Cross-Ancestry Investigation of Venous Thromboembolism Genomic Predictors","volume":"0","author":[{"family":"Thibord","given":"Florian"},{"family":"Klarin","given":"Derek"},{"family":"Brody","given":"Jennifer A."},{"family":"Chen","given":"Ming-Huei"},{"family":"Levin","given":"Michael G."},{"family":"Chasman","given":"Daniel I."},{"family":"Goode","given":"Ellen L."},{"family":"Hveem","given":"Kristian"},{"family":"Teder-Laving","given":"Maris"},{"family":"Martinez-Perez","given":"Angel"},{"family":"Aïssi","given":"Dylan"},{"family":"Daian-Bacq","given":"Delphine"},{"family":"Ito","given":"Kaoru"},{"family":"Natarajan","given":"Pradeep"},{"family":"Lutsey","given":"Pamela L."},{"family":"Nadkarni","given":"Girish N."},{"family":"Vries","given":"Paul S.","non-dropping-particle":"de"},{"family":"Cuellar-Partida","given":"Gabriel"},{"family":"Wolford","given":"Brooke N."},{"family":"Pattee","given":"Jack W."},{"family":"Kooperberg","given":"Charles"},{"family":"Braekkan","given":"Sigrid K."},{"family":"Li-Gao","given":"Ruifang"},{"family":"Saut","given":"Noemie"},{"family":"Sept","given":"Corriene"},{"family":"Germain","given":"Marine"},{"family":"Judy","given":"Renae L."},{"family":"Wiggins","given":"Kerri L."},{"family":"Ko","given":"Darae"},{"family":"O’Donnell","given":"Christopher J."},{"family":"Taylor","given":"Kent D."},{"family":"Giulianini","given":"Franco"},{"family":"De Andrade","given":"Mariza"},{"family":"Nøst","given":"Therese H."},{"family":"Boland","given":"Anne"},{"family":"Empana","given":"Jean-Philippe"},{"family":"Koyama","given":"Satoshi"},{"family":"Gilliland","given":"Thomas"},{"family":"Do","given":"Ron"},{"family":"Huffman","given":"Jennifer E."},{"family":"Wang","given":"Xin"},{"family":"Zhou","given":"Wei"},{"family":"Manuel Soria","given":"Jose"},{"family":"Carlos Souto","given":"Juan"},{"family":"Pankratz","given":"Nathan"},{"family":"Haessler","given":"Jeffery"},{"family":"Hindberg","given":"Kristian"},{"family":"Rosendaal","given":"Frits R."},{"family":"Turman","given":"Constance"},{"family":"Olaso","given":"Robert"},{"family":"Kember","given":"Rachel L."},{"family":"Bartz","given":"Traci M."},{"family":"Lynch","given":"Julie A."},{"family":"Heckbert","given":"Susan R."},{"family":"Armasu","given":"Sebastian M."},{"family":"Brumpton","given":"Ben"},{"family":"Smadja","given":"David M."},{"family":"Jouven","given":"Xavier"},{"family":"Komuro","given":"Issei"},{"family":"Clapham","given":"Katharine R."},{"family":"Loos","given":"Ruth J.F."},{"family":"Willer","given":"Cristen J."},{"family":"Sabater-Lleal","given":"Maria"},{"family":"Pankow","given":"James S."},{"family":"Reiner","given":"Alexander P."},{"family":"Morelli","given":"Vania M."},{"family":"Ridker","given":"Paul M"},{"family":"Vlieg","given":"Astrid van Hylckama"},{"family":"Deleuze","given":"Jean-François"},{"family":"Kraft","given":"Peter"},{"family":"Rader","given":"Daniel J."},{"family":"null","given":"null"},{"family":"Min Lee","given":"Kyung"},{"family":"Psaty","given":"Bruce M."},{"family":"Heidi Skogholt","given":"Anne"},{"family":"Emmerich","given":"Joseph"},{"family":"Suchon","given":"Pierre"},{"family":"Rich","given":"Stephen S."},{"family":"Vy","given":"Ha My T."},{"family":"Tang","given":"Weihong"},{"family":"Jackson","given":"Rebecca D."},{"family":"Hansen","given":"John-Bjarne"},{"family":"Morange","given":"Pierre-Emmanuel"},{"family":"Kabrhel","given":"Christopher"},{"family":"Trégouët","given":"David-Alexandre"},{"family":"Damrauer","given":"Scott M."},{"family":"Johnson","given":"Andrew D."},{"family":"Smith","given":"Nicholas L."}]}}],"schema":"https://github.com/citation-style-language/schema/raw/master/csl-citation.json"} </w:instrText>
      </w:r>
      <w:r w:rsidR="00D11F45">
        <w:rPr>
          <w:rFonts w:cstheme="minorHAnsi"/>
        </w:rPr>
        <w:fldChar w:fldCharType="separate"/>
      </w:r>
      <w:r w:rsidR="00D11F45" w:rsidRPr="00D11F45">
        <w:rPr>
          <w:rFonts w:ascii="Calibri" w:hAnsi="Calibri" w:cs="Calibri"/>
          <w:kern w:val="0"/>
          <w:szCs w:val="24"/>
          <w:vertAlign w:val="superscript"/>
        </w:rPr>
        <w:t>1</w:t>
      </w:r>
      <w:r w:rsidR="00D11F45">
        <w:rPr>
          <w:rFonts w:cstheme="minorHAnsi"/>
        </w:rPr>
        <w:fldChar w:fldCharType="end"/>
      </w:r>
      <w:r w:rsidRPr="009132DA">
        <w:rPr>
          <w:rFonts w:cstheme="minorHAnsi"/>
        </w:rPr>
        <w:t>. The PMBB is one of the most diverse medical biobanks, with approximately 30% of participants of non-European ancestry. The EHR data in the PMBB includes a median of seven years of longitudinal data. This analysis was conducted on 33,1000 samples including 3,399 VTE cases and 29,701 controls. The cases included 1,708 (50.2%) males and 1,691 (49.2%) females while the controls included 14,125 (47.6%) males and 15,566 (52.4%). Ancestry was defined by genetic ancestry whereby patients with PCs mapping to African ancestry and European ancestry defined by the 1000 Genomes Project were denoted as being of African and European ancestry respectively. For the purposes of this study, cases contained 2,000 patients with European ancestry and 1,399 patients with African ancestry, while controls contained 20,460 patients with European ancestry and 10,792 patients with African ancestry.</w:t>
      </w:r>
    </w:p>
    <w:p w14:paraId="6E46ED58" w14:textId="3155047E" w:rsidR="007D0C58" w:rsidRDefault="00793436" w:rsidP="007D0C58">
      <w:pPr>
        <w:jc w:val="both"/>
        <w:rPr>
          <w:rFonts w:cstheme="minorHAnsi"/>
        </w:rPr>
      </w:pPr>
      <w:proofErr w:type="gramStart"/>
      <w:r w:rsidRPr="00793436">
        <w:rPr>
          <w:rFonts w:cstheme="minorHAnsi"/>
        </w:rPr>
        <w:t>The</w:t>
      </w:r>
      <w:r>
        <w:rPr>
          <w:rFonts w:cstheme="minorHAnsi"/>
          <w:b/>
          <w:bCs/>
        </w:rPr>
        <w:t xml:space="preserve"> </w:t>
      </w:r>
      <w:r w:rsidR="007D0C58" w:rsidRPr="00793436">
        <w:rPr>
          <w:rFonts w:cstheme="minorHAnsi"/>
          <w:b/>
          <w:bCs/>
        </w:rPr>
        <w:t>Lifelines</w:t>
      </w:r>
      <w:proofErr w:type="gramEnd"/>
      <w:r w:rsidR="007D0C58" w:rsidRPr="00856FBC">
        <w:rPr>
          <w:rFonts w:cstheme="minorHAnsi"/>
        </w:rPr>
        <w:t xml:space="preserve"> is a multi-disciplinary prospective population-based cohort study examining in a unique three-generation design the health and health-related </w:t>
      </w:r>
      <w:proofErr w:type="spellStart"/>
      <w:r w:rsidR="007D0C58" w:rsidRPr="00856FBC">
        <w:rPr>
          <w:rFonts w:cstheme="minorHAnsi"/>
        </w:rPr>
        <w:t>behaviours</w:t>
      </w:r>
      <w:proofErr w:type="spellEnd"/>
      <w:r w:rsidR="007D0C58" w:rsidRPr="00856FBC">
        <w:rPr>
          <w:rFonts w:cstheme="minorHAnsi"/>
        </w:rPr>
        <w:t xml:space="preserve"> of 167,729 persons living in the North of Netherlands. It employs a broad range of investigative procedures in assessing the biomedical, socio-demographic, </w:t>
      </w:r>
      <w:proofErr w:type="spellStart"/>
      <w:r w:rsidR="007D0C58" w:rsidRPr="00856FBC">
        <w:rPr>
          <w:rFonts w:cstheme="minorHAnsi"/>
        </w:rPr>
        <w:t>behavioural</w:t>
      </w:r>
      <w:proofErr w:type="spellEnd"/>
      <w:r w:rsidR="007D0C58" w:rsidRPr="00856FBC">
        <w:rPr>
          <w:rFonts w:cstheme="minorHAnsi"/>
        </w:rPr>
        <w:t xml:space="preserve">, </w:t>
      </w:r>
      <w:proofErr w:type="gramStart"/>
      <w:r w:rsidR="007D0C58" w:rsidRPr="00856FBC">
        <w:rPr>
          <w:rFonts w:cstheme="minorHAnsi"/>
        </w:rPr>
        <w:t>physical</w:t>
      </w:r>
      <w:proofErr w:type="gramEnd"/>
      <w:r w:rsidR="007D0C58" w:rsidRPr="00856FBC">
        <w:rPr>
          <w:rFonts w:cstheme="minorHAnsi"/>
        </w:rPr>
        <w:t xml:space="preserve"> and psychological factors which contribute to the health and disease of the general population, with a special focus on multi-morbidity and complex genetics. Participants completed questionnaires, underwent physical examinations, and biological samples including DNA were collected</w:t>
      </w:r>
      <w:r w:rsidR="00BA6707">
        <w:rPr>
          <w:rFonts w:cstheme="minorHAnsi"/>
        </w:rPr>
        <w:fldChar w:fldCharType="begin"/>
      </w:r>
      <w:r w:rsidR="00640706">
        <w:rPr>
          <w:rFonts w:cstheme="minorHAnsi"/>
        </w:rPr>
        <w:instrText xml:space="preserve"> ADDIN ZOTERO_ITEM CSL_CITATION {"citationID":"h2JTJdNo","properties":{"formattedCitation":"\\super 9\\nosupersub{}","plainCitation":"9","noteIndex":0},"citationItems":[{"id":277,"uris":["http://zotero.org/users/9030084/items/ZPHT7EAB"],"itemData":{"id":277,"type":"article-journal","abstract":"The LifeLines Cohort Study is a large population-based cohort study and biobank that was established as a resource for research on complex interactions between environmental, phenotypic and genomic factors in the development of chronic diseases and healthy ageing. Between 2006 and 2013, inhabitants of the northern part of The Netherlands and their families were invited to participate, thereby contributing to a three-generation design. Participants visited one of the LifeLines research sites for a physical examination, including lung function, ECG and cognition tests, and completed extensive questionnaires. Baseline data were collected for 167 729 participants, aged from 6 months to 93 years. Follow-up visits are scheduled every 5 years, and in between participants receive follow-up questionnaires. Linkage is being established with medical registries and environmental data. LifeLines contains information on biochemistry, medical history, psychosocial characteristics, lifestyle and more. Genomic data are available including genome-wide genetic data of 15 638 participants. Fasting blood and 24-h urine samples are processed on the day of collection and stored at -80 °C in a fully automated storage facility. The aim of LifeLines is to be a resource for the national and international scientific community. Requests for data and biomaterials can be submitted to the LifeLines Research Office [LLscience@umcg.nl].","container-title":"International Journal of Epidemiology","DOI":"10.1093/ije/dyu229","ISSN":"1464-3685","issue":"4","journalAbbreviation":"Int J Epidemiol","language":"eng","note":"PMID: 25502107","page":"1172-1180","source":"PubMed","title":"Cohort Profile: LifeLines, a three-generation cohort study and biobank","title-short":"Cohort Profile","volume":"44","author":[{"family":"Scholtens","given":"Salome"},{"family":"Smidt","given":"Nynke"},{"family":"Swertz","given":"Morris A."},{"family":"Bakker","given":"Stephan J. L."},{"family":"Dotinga","given":"Aafje"},{"family":"Vonk","given":"Judith M."},{"family":"Dijk","given":"Freerk","non-dropping-particle":"van"},{"family":"Zon","given":"Sander K. R.","non-dropping-particle":"van"},{"family":"Wijmenga","given":"Cisca"},{"family":"Wolffenbuttel","given":"Bruce H. R."},{"family":"Stolk","given":"Ronald P."}],"issued":{"date-parts":[["2015",8]]}}}],"schema":"https://github.com/citation-style-language/schema/raw/master/csl-citation.json"} </w:instrText>
      </w:r>
      <w:r w:rsidR="00BA6707">
        <w:rPr>
          <w:rFonts w:cstheme="minorHAnsi"/>
        </w:rPr>
        <w:fldChar w:fldCharType="separate"/>
      </w:r>
      <w:r w:rsidR="00640706" w:rsidRPr="00640706">
        <w:rPr>
          <w:rFonts w:ascii="Calibri" w:hAnsi="Calibri" w:cs="Calibri"/>
          <w:kern w:val="0"/>
          <w:szCs w:val="24"/>
          <w:vertAlign w:val="superscript"/>
        </w:rPr>
        <w:t>9</w:t>
      </w:r>
      <w:r w:rsidR="00BA6707">
        <w:rPr>
          <w:rFonts w:cstheme="minorHAnsi"/>
        </w:rPr>
        <w:fldChar w:fldCharType="end"/>
      </w:r>
      <w:r w:rsidR="007D0C58" w:rsidRPr="00856FBC">
        <w:rPr>
          <w:rFonts w:cstheme="minorHAnsi"/>
        </w:rPr>
        <w:t>.</w:t>
      </w:r>
      <w:r w:rsidR="007D0C58" w:rsidRPr="005D3734">
        <w:t xml:space="preserve"> </w:t>
      </w:r>
      <w:r w:rsidR="007D0C58" w:rsidRPr="005C0169">
        <w:rPr>
          <w:rFonts w:cstheme="minorHAnsi"/>
        </w:rPr>
        <w:t>The majority (&gt;99%) of Lifelines participants are of European ancestry. Venous thromboembolism (VTE) phenotype was defined using a classification based on questions about self-reported thrombosis events, thrombosis-specific medications, thrombosis-specific complaints</w:t>
      </w:r>
      <w:r w:rsidR="007D0C58">
        <w:rPr>
          <w:rFonts w:cstheme="minorHAnsi"/>
        </w:rPr>
        <w:t xml:space="preserve"> and fo</w:t>
      </w:r>
      <w:r w:rsidR="007D0C58" w:rsidRPr="005C0169">
        <w:rPr>
          <w:rFonts w:cstheme="minorHAnsi"/>
        </w:rPr>
        <w:t xml:space="preserve">r this study, we included those for whom genotyping data were available. </w:t>
      </w:r>
      <w:r w:rsidR="007D0C58">
        <w:rPr>
          <w:rFonts w:cstheme="minorHAnsi"/>
        </w:rPr>
        <w:t>C</w:t>
      </w:r>
      <w:r w:rsidR="007D0C58" w:rsidRPr="005C0169">
        <w:rPr>
          <w:rFonts w:cstheme="minorHAnsi"/>
        </w:rPr>
        <w:t xml:space="preserve">ontrols in this context were those </w:t>
      </w:r>
      <w:r w:rsidR="007D0C58" w:rsidRPr="005C0169">
        <w:rPr>
          <w:rFonts w:cstheme="minorHAnsi"/>
        </w:rPr>
        <w:lastRenderedPageBreak/>
        <w:t>individuals who were classified as being free of thrombosis</w:t>
      </w:r>
      <w:r w:rsidR="007D0C58">
        <w:rPr>
          <w:rFonts w:cstheme="minorHAnsi"/>
        </w:rPr>
        <w:t xml:space="preserve"> and related symptoms,</w:t>
      </w:r>
      <w:r w:rsidR="007D0C58" w:rsidRPr="005C0169">
        <w:rPr>
          <w:rFonts w:cstheme="minorHAnsi"/>
        </w:rPr>
        <w:t xml:space="preserve"> and for whom genotyping data were available.</w:t>
      </w:r>
    </w:p>
    <w:p w14:paraId="320C2D13" w14:textId="77777777" w:rsidR="007D0C58" w:rsidRDefault="007D0C58" w:rsidP="007D0C58">
      <w:pPr>
        <w:jc w:val="both"/>
        <w:rPr>
          <w:rFonts w:cstheme="minorHAnsi"/>
        </w:rPr>
      </w:pPr>
      <w:r w:rsidRPr="00856FBC">
        <w:rPr>
          <w:rFonts w:cstheme="minorHAnsi"/>
        </w:rPr>
        <w:t xml:space="preserve">The Lifelines Biobank initiative has been made possible by funding from the Dutch Ministry of Health, Welfare and Sport, the Dutch Ministry of Economic Affairs, the University Medical Center Groningen (UMCG the Netherlands), University of Groningen and the Northern Provinces of the Netherlands. The generation and management of GWAS genotype data for the Lifelines Cohort Study is supported by the UMCG Genetics Lifelines Initiative (UGLI). UGLI is partly supported by a Spinoza Grant from NWO, awarded to Cisca </w:t>
      </w:r>
      <w:proofErr w:type="spellStart"/>
      <w:r w:rsidRPr="00856FBC">
        <w:rPr>
          <w:rFonts w:cstheme="minorHAnsi"/>
        </w:rPr>
        <w:t>Wijmenga</w:t>
      </w:r>
      <w:proofErr w:type="spellEnd"/>
      <w:r w:rsidRPr="00856FBC">
        <w:rPr>
          <w:rFonts w:cstheme="minorHAnsi"/>
        </w:rPr>
        <w:t>. The authors wish to acknowledge the services of the Lifelines Cohort Study, the contributing research centers delivering data to Lifelines, and all the study participants.</w:t>
      </w:r>
    </w:p>
    <w:p w14:paraId="1829FF28" w14:textId="77777777" w:rsidR="007D0C58" w:rsidRPr="00856FBC" w:rsidRDefault="007D0C58" w:rsidP="007D0C58">
      <w:pPr>
        <w:jc w:val="both"/>
        <w:rPr>
          <w:rFonts w:cstheme="minorHAnsi"/>
        </w:rPr>
      </w:pPr>
      <w:r w:rsidRPr="00C47F15">
        <w:rPr>
          <w:rFonts w:cstheme="minorHAnsi"/>
        </w:rPr>
        <w:t xml:space="preserve">Using genotype data from Lifelines, 1000 Genomes (1000G) and </w:t>
      </w:r>
      <w:proofErr w:type="spellStart"/>
      <w:r w:rsidRPr="00C47F15">
        <w:rPr>
          <w:rFonts w:cstheme="minorHAnsi"/>
        </w:rPr>
        <w:t>GoNL</w:t>
      </w:r>
      <w:proofErr w:type="spellEnd"/>
      <w:r w:rsidRPr="00C47F15">
        <w:rPr>
          <w:rFonts w:cstheme="minorHAnsi"/>
        </w:rPr>
        <w:t xml:space="preserve"> individuals, a combined dataset was created with markers present in all three datasets. SNPs in this combined dataset were filtered by MAF &gt; 10%, call rate &gt; 99% and HLA region removed. This dataset was further pruned. Principal components were then computed using only the participants from the 1000G and </w:t>
      </w:r>
      <w:proofErr w:type="spellStart"/>
      <w:r w:rsidRPr="00C47F15">
        <w:rPr>
          <w:rFonts w:cstheme="minorHAnsi"/>
        </w:rPr>
        <w:t>GoNL</w:t>
      </w:r>
      <w:proofErr w:type="spellEnd"/>
      <w:r w:rsidRPr="00C47F15">
        <w:rPr>
          <w:rFonts w:cstheme="minorHAnsi"/>
        </w:rPr>
        <w:t xml:space="preserve"> datasets and projecting the Lifelines participants into them. Next, the first two PCs were used to flag as European all individuals clustering with </w:t>
      </w:r>
      <w:proofErr w:type="spellStart"/>
      <w:r w:rsidRPr="00C47F15">
        <w:rPr>
          <w:rFonts w:cstheme="minorHAnsi"/>
        </w:rPr>
        <w:t>GoNL</w:t>
      </w:r>
      <w:proofErr w:type="spellEnd"/>
      <w:r w:rsidRPr="00C47F15">
        <w:rPr>
          <w:rFonts w:cstheme="minorHAnsi"/>
        </w:rPr>
        <w:t xml:space="preserve"> or 1000G European populations or no more than 3 SD away from their extremes according to both PC1 and PC2.</w:t>
      </w:r>
    </w:p>
    <w:p w14:paraId="2F00EFC5" w14:textId="77777777" w:rsidR="00C2227B" w:rsidRPr="00E1652E" w:rsidRDefault="00C2227B" w:rsidP="00C2227B">
      <w:pPr>
        <w:rPr>
          <w:bCs/>
          <w:szCs w:val="24"/>
        </w:rPr>
      </w:pPr>
      <w:r w:rsidRPr="00E1652E">
        <w:rPr>
          <w:bCs/>
        </w:rPr>
        <w:t xml:space="preserve">UMCG Genetics Lifelines Initiative (UGLI) </w:t>
      </w:r>
      <w:r w:rsidRPr="00E1652E">
        <w:rPr>
          <w:bCs/>
          <w:szCs w:val="24"/>
        </w:rPr>
        <w:t xml:space="preserve">group author: </w:t>
      </w:r>
      <w:proofErr w:type="spellStart"/>
      <w:r w:rsidRPr="00E1652E">
        <w:rPr>
          <w:bCs/>
          <w:szCs w:val="24"/>
        </w:rPr>
        <w:t>LifeLines</w:t>
      </w:r>
      <w:proofErr w:type="spellEnd"/>
      <w:r w:rsidRPr="00E1652E">
        <w:rPr>
          <w:bCs/>
          <w:szCs w:val="24"/>
        </w:rPr>
        <w:t xml:space="preserve"> Cohort Study</w:t>
      </w:r>
    </w:p>
    <w:p w14:paraId="51FB339A" w14:textId="77777777" w:rsidR="00C2227B" w:rsidRPr="00C62BFF" w:rsidRDefault="00C2227B" w:rsidP="00C2227B">
      <w:pPr>
        <w:rPr>
          <w:szCs w:val="24"/>
        </w:rPr>
      </w:pPr>
      <w:r>
        <w:rPr>
          <w:szCs w:val="24"/>
        </w:rPr>
        <w:t xml:space="preserve">Raul Aguirre-Gamboa (1), Patrick </w:t>
      </w:r>
      <w:proofErr w:type="spellStart"/>
      <w:r>
        <w:rPr>
          <w:szCs w:val="24"/>
        </w:rPr>
        <w:t>Deelen</w:t>
      </w:r>
      <w:proofErr w:type="spellEnd"/>
      <w:r>
        <w:rPr>
          <w:szCs w:val="24"/>
        </w:rPr>
        <w:t xml:space="preserve"> (1), Lude Franke (1), Jan A</w:t>
      </w:r>
      <w:r w:rsidDel="00E02070">
        <w:rPr>
          <w:szCs w:val="24"/>
        </w:rPr>
        <w:t xml:space="preserve"> </w:t>
      </w:r>
      <w:proofErr w:type="spellStart"/>
      <w:r>
        <w:rPr>
          <w:szCs w:val="24"/>
        </w:rPr>
        <w:t>Kuivenhoven</w:t>
      </w:r>
      <w:proofErr w:type="spellEnd"/>
      <w:r>
        <w:rPr>
          <w:szCs w:val="24"/>
        </w:rPr>
        <w:t xml:space="preserve"> (2), Esteban A Lopera Maya (1), Ilja M Nolte (3), Serena Sanna (1), </w:t>
      </w:r>
      <w:r w:rsidRPr="00C62BFF">
        <w:rPr>
          <w:szCs w:val="24"/>
        </w:rPr>
        <w:t xml:space="preserve">Harold </w:t>
      </w:r>
      <w:proofErr w:type="spellStart"/>
      <w:r>
        <w:rPr>
          <w:szCs w:val="24"/>
        </w:rPr>
        <w:t>Snieder</w:t>
      </w:r>
      <w:proofErr w:type="spellEnd"/>
      <w:r>
        <w:rPr>
          <w:szCs w:val="24"/>
        </w:rPr>
        <w:t xml:space="preserve"> (3), </w:t>
      </w:r>
      <w:r w:rsidRPr="00C62BFF">
        <w:rPr>
          <w:szCs w:val="24"/>
        </w:rPr>
        <w:t xml:space="preserve">Morris </w:t>
      </w:r>
      <w:r>
        <w:rPr>
          <w:szCs w:val="24"/>
        </w:rPr>
        <w:t xml:space="preserve">A </w:t>
      </w:r>
      <w:proofErr w:type="spellStart"/>
      <w:r w:rsidRPr="00C62BFF">
        <w:rPr>
          <w:szCs w:val="24"/>
        </w:rPr>
        <w:t>Swertz</w:t>
      </w:r>
      <w:proofErr w:type="spellEnd"/>
      <w:r w:rsidRPr="00C62BFF">
        <w:rPr>
          <w:szCs w:val="24"/>
        </w:rPr>
        <w:t xml:space="preserve"> (</w:t>
      </w:r>
      <w:r>
        <w:rPr>
          <w:szCs w:val="24"/>
        </w:rPr>
        <w:t>1</w:t>
      </w:r>
      <w:r w:rsidRPr="00C62BFF">
        <w:rPr>
          <w:szCs w:val="24"/>
        </w:rPr>
        <w:t xml:space="preserve">), </w:t>
      </w:r>
      <w:r>
        <w:rPr>
          <w:szCs w:val="24"/>
        </w:rPr>
        <w:t xml:space="preserve">Peter M. Visscher (3,4), Judith M Vonk (3), </w:t>
      </w:r>
      <w:r w:rsidRPr="00C62BFF">
        <w:rPr>
          <w:szCs w:val="24"/>
        </w:rPr>
        <w:t xml:space="preserve">Cisca </w:t>
      </w:r>
      <w:proofErr w:type="spellStart"/>
      <w:r w:rsidRPr="00C62BFF">
        <w:rPr>
          <w:szCs w:val="24"/>
        </w:rPr>
        <w:t>Wijmenga</w:t>
      </w:r>
      <w:proofErr w:type="spellEnd"/>
      <w:r w:rsidRPr="00C62BFF">
        <w:rPr>
          <w:szCs w:val="24"/>
        </w:rPr>
        <w:t xml:space="preserve"> (</w:t>
      </w:r>
      <w:r>
        <w:rPr>
          <w:szCs w:val="24"/>
        </w:rPr>
        <w:t>1</w:t>
      </w:r>
      <w:r w:rsidRPr="00C62BFF">
        <w:rPr>
          <w:szCs w:val="24"/>
        </w:rPr>
        <w:t>)</w:t>
      </w:r>
      <w:r>
        <w:rPr>
          <w:szCs w:val="24"/>
        </w:rPr>
        <w:t>, Naomi Wray (4)</w:t>
      </w:r>
    </w:p>
    <w:p w14:paraId="2CF78F63" w14:textId="77777777" w:rsidR="00C2227B" w:rsidRDefault="00C2227B" w:rsidP="00C2227B">
      <w:pPr>
        <w:numPr>
          <w:ilvl w:val="0"/>
          <w:numId w:val="10"/>
        </w:numPr>
        <w:spacing w:after="200" w:line="276" w:lineRule="auto"/>
        <w:rPr>
          <w:i/>
          <w:szCs w:val="24"/>
        </w:rPr>
      </w:pPr>
      <w:r w:rsidRPr="00C62BFF">
        <w:rPr>
          <w:i/>
          <w:szCs w:val="24"/>
        </w:rPr>
        <w:t xml:space="preserve">Department of Genetics, University of Groningen, University Medical Center </w:t>
      </w:r>
      <w:proofErr w:type="gramStart"/>
      <w:r w:rsidRPr="00C62BFF">
        <w:rPr>
          <w:i/>
          <w:szCs w:val="24"/>
        </w:rPr>
        <w:t>Groningen,  The</w:t>
      </w:r>
      <w:proofErr w:type="gramEnd"/>
      <w:r w:rsidRPr="00C62BFF">
        <w:rPr>
          <w:i/>
          <w:szCs w:val="24"/>
        </w:rPr>
        <w:t xml:space="preserve"> Netherlands</w:t>
      </w:r>
      <w:r>
        <w:rPr>
          <w:i/>
          <w:szCs w:val="24"/>
        </w:rPr>
        <w:t xml:space="preserve"> </w:t>
      </w:r>
    </w:p>
    <w:p w14:paraId="304486C8" w14:textId="77777777" w:rsidR="00C2227B" w:rsidRPr="007349BD" w:rsidRDefault="00C2227B" w:rsidP="00C2227B">
      <w:pPr>
        <w:numPr>
          <w:ilvl w:val="0"/>
          <w:numId w:val="10"/>
        </w:numPr>
        <w:spacing w:after="200" w:line="276" w:lineRule="auto"/>
        <w:ind w:left="567" w:hanging="425"/>
        <w:rPr>
          <w:i/>
          <w:szCs w:val="24"/>
        </w:rPr>
      </w:pPr>
      <w:r w:rsidRPr="007349BD">
        <w:rPr>
          <w:i/>
          <w:szCs w:val="24"/>
        </w:rPr>
        <w:t>Department of Pediatrics, University of Groningen, University Medical Center Groningen, The Netherlands</w:t>
      </w:r>
    </w:p>
    <w:p w14:paraId="4FF37AE0" w14:textId="77777777" w:rsidR="00C2227B" w:rsidRDefault="00C2227B" w:rsidP="00C2227B">
      <w:pPr>
        <w:numPr>
          <w:ilvl w:val="0"/>
          <w:numId w:val="10"/>
        </w:numPr>
        <w:spacing w:after="200" w:line="276" w:lineRule="auto"/>
        <w:ind w:left="567" w:hanging="425"/>
        <w:rPr>
          <w:i/>
          <w:szCs w:val="24"/>
        </w:rPr>
      </w:pPr>
      <w:r w:rsidRPr="007349BD">
        <w:rPr>
          <w:i/>
          <w:szCs w:val="24"/>
        </w:rPr>
        <w:t>Department of Epidemiology, University of Groningen, University Medical Center Groningen, The Netherlands</w:t>
      </w:r>
    </w:p>
    <w:p w14:paraId="4ABDC382" w14:textId="77777777" w:rsidR="00C2227B" w:rsidRPr="00AA78BC" w:rsidRDefault="00C2227B" w:rsidP="00C2227B">
      <w:pPr>
        <w:numPr>
          <w:ilvl w:val="0"/>
          <w:numId w:val="10"/>
        </w:numPr>
        <w:spacing w:after="200" w:line="276" w:lineRule="auto"/>
        <w:rPr>
          <w:rFonts w:eastAsia="Calibri" w:cs="Whitney-Book"/>
          <w:i/>
          <w:lang w:eastAsia="nl-NL"/>
        </w:rPr>
      </w:pPr>
      <w:r w:rsidRPr="00AA78BC">
        <w:rPr>
          <w:rFonts w:eastAsia="Calibri" w:cs="Whitney-Book"/>
          <w:i/>
          <w:lang w:eastAsia="nl-NL"/>
        </w:rPr>
        <w:t xml:space="preserve">Institute </w:t>
      </w:r>
      <w:r>
        <w:rPr>
          <w:rFonts w:eastAsia="Calibri" w:cs="Whitney-Book"/>
          <w:i/>
          <w:lang w:eastAsia="nl-NL"/>
        </w:rPr>
        <w:t xml:space="preserve">for </w:t>
      </w:r>
      <w:r w:rsidRPr="00AA78BC">
        <w:rPr>
          <w:rFonts w:eastAsia="Calibri" w:cs="Whitney-Book"/>
          <w:i/>
          <w:lang w:eastAsia="nl-NL"/>
        </w:rPr>
        <w:t>Molecular Bioscience, The University of Queensland, Brisbane, Queensland, Australia.</w:t>
      </w:r>
    </w:p>
    <w:p w14:paraId="56A49C84" w14:textId="77777777" w:rsidR="00E1652E" w:rsidRDefault="00E1652E">
      <w:pPr>
        <w:rPr>
          <w:rFonts w:cstheme="minorHAnsi"/>
          <w:b/>
          <w:bCs/>
        </w:rPr>
      </w:pPr>
      <w:r>
        <w:rPr>
          <w:rFonts w:cstheme="minorHAnsi"/>
          <w:b/>
          <w:bCs/>
        </w:rPr>
        <w:br w:type="page"/>
      </w:r>
    </w:p>
    <w:p w14:paraId="070AB096" w14:textId="695E02F7" w:rsidR="007D0C58" w:rsidRPr="00E979EB" w:rsidRDefault="007D0C58" w:rsidP="00E1652E">
      <w:pPr>
        <w:rPr>
          <w:rFonts w:cstheme="minorHAnsi"/>
          <w:b/>
          <w:bCs/>
        </w:rPr>
      </w:pPr>
      <w:r w:rsidRPr="007D0C58">
        <w:rPr>
          <w:rFonts w:cstheme="minorHAnsi"/>
          <w:b/>
          <w:bCs/>
        </w:rPr>
        <w:lastRenderedPageBreak/>
        <w:t>Reference:</w:t>
      </w:r>
    </w:p>
    <w:p w14:paraId="45CCD2FB" w14:textId="77777777" w:rsidR="003E2845" w:rsidRPr="003E2845" w:rsidRDefault="00E979EB" w:rsidP="003E2845">
      <w:pPr>
        <w:pStyle w:val="Bibliography"/>
        <w:rPr>
          <w:rFonts w:ascii="Calibri" w:hAnsi="Calibri" w:cs="Calibri"/>
        </w:rPr>
      </w:pPr>
      <w:r>
        <w:rPr>
          <w:rFonts w:cstheme="minorHAnsi"/>
        </w:rPr>
        <w:fldChar w:fldCharType="begin"/>
      </w:r>
      <w:r w:rsidR="003E2845">
        <w:rPr>
          <w:rFonts w:cstheme="minorHAnsi"/>
        </w:rPr>
        <w:instrText xml:space="preserve"> ADDIN ZOTERO_BIBL {"uncited":[],"omitted":[],"custom":[]} CSL_BIBLIOGRAPHY </w:instrText>
      </w:r>
      <w:r>
        <w:rPr>
          <w:rFonts w:cstheme="minorHAnsi"/>
        </w:rPr>
        <w:fldChar w:fldCharType="separate"/>
      </w:r>
      <w:r w:rsidR="003E2845" w:rsidRPr="003E2845">
        <w:rPr>
          <w:rFonts w:ascii="Calibri" w:hAnsi="Calibri" w:cs="Calibri"/>
        </w:rPr>
        <w:t xml:space="preserve">1. </w:t>
      </w:r>
      <w:r w:rsidR="003E2845" w:rsidRPr="003E2845">
        <w:rPr>
          <w:rFonts w:ascii="Calibri" w:hAnsi="Calibri" w:cs="Calibri"/>
        </w:rPr>
        <w:tab/>
        <w:t xml:space="preserve">Thibord F, Klarin D, Brody JA, et al. Cross-Ancestry Investigation of Venous Thromboembolism Genomic Predictors. </w:t>
      </w:r>
      <w:r w:rsidR="003E2845" w:rsidRPr="003E2845">
        <w:rPr>
          <w:rFonts w:ascii="Calibri" w:hAnsi="Calibri" w:cs="Calibri"/>
          <w:i/>
          <w:iCs/>
        </w:rPr>
        <w:t>Circulation</w:t>
      </w:r>
      <w:r w:rsidR="003E2845" w:rsidRPr="003E2845">
        <w:rPr>
          <w:rFonts w:ascii="Calibri" w:hAnsi="Calibri" w:cs="Calibri"/>
        </w:rPr>
        <w:t xml:space="preserve">. American Heart Association; </w:t>
      </w:r>
      <w:r w:rsidR="003E2845" w:rsidRPr="003E2845">
        <w:rPr>
          <w:rFonts w:ascii="Calibri" w:hAnsi="Calibri" w:cs="Calibri"/>
          <w:b/>
          <w:bCs/>
        </w:rPr>
        <w:t>0</w:t>
      </w:r>
      <w:r w:rsidR="003E2845" w:rsidRPr="003E2845">
        <w:rPr>
          <w:rFonts w:ascii="Calibri" w:hAnsi="Calibri" w:cs="Calibri"/>
        </w:rPr>
        <w:t xml:space="preserve">(0):10.1161/CIRCULATIONAHA.122.059675. </w:t>
      </w:r>
    </w:p>
    <w:p w14:paraId="5DC6CE6F" w14:textId="77777777" w:rsidR="003E2845" w:rsidRPr="003E2845" w:rsidRDefault="003E2845" w:rsidP="003E2845">
      <w:pPr>
        <w:pStyle w:val="Bibliography"/>
        <w:rPr>
          <w:rFonts w:ascii="Calibri" w:hAnsi="Calibri" w:cs="Calibri"/>
        </w:rPr>
      </w:pPr>
      <w:r w:rsidRPr="003E2845">
        <w:rPr>
          <w:rFonts w:ascii="Calibri" w:hAnsi="Calibri" w:cs="Calibri"/>
        </w:rPr>
        <w:t xml:space="preserve">2. </w:t>
      </w:r>
      <w:r w:rsidRPr="003E2845">
        <w:rPr>
          <w:rFonts w:ascii="Calibri" w:hAnsi="Calibri" w:cs="Calibri"/>
        </w:rPr>
        <w:tab/>
        <w:t xml:space="preserve">Lindström S, Wang L, Smith EN, et al. Genomic and transcriptomic association studies identify 16 novel susceptibility loci for venous thromboembolism. </w:t>
      </w:r>
      <w:r w:rsidRPr="003E2845">
        <w:rPr>
          <w:rFonts w:ascii="Calibri" w:hAnsi="Calibri" w:cs="Calibri"/>
          <w:i/>
          <w:iCs/>
        </w:rPr>
        <w:t>Blood</w:t>
      </w:r>
      <w:r w:rsidRPr="003E2845">
        <w:rPr>
          <w:rFonts w:ascii="Calibri" w:hAnsi="Calibri" w:cs="Calibri"/>
        </w:rPr>
        <w:t>. 2019 Nov 7;</w:t>
      </w:r>
      <w:r w:rsidRPr="003E2845">
        <w:rPr>
          <w:rFonts w:ascii="Calibri" w:hAnsi="Calibri" w:cs="Calibri"/>
          <w:b/>
          <w:bCs/>
        </w:rPr>
        <w:t>134</w:t>
      </w:r>
      <w:r w:rsidRPr="003E2845">
        <w:rPr>
          <w:rFonts w:ascii="Calibri" w:hAnsi="Calibri" w:cs="Calibri"/>
        </w:rPr>
        <w:t xml:space="preserve">(19):1645–1657. </w:t>
      </w:r>
    </w:p>
    <w:p w14:paraId="2EEA5DB4" w14:textId="77777777" w:rsidR="003E2845" w:rsidRPr="003E2845" w:rsidRDefault="003E2845" w:rsidP="003E2845">
      <w:pPr>
        <w:pStyle w:val="Bibliography"/>
        <w:rPr>
          <w:rFonts w:ascii="Calibri" w:hAnsi="Calibri" w:cs="Calibri"/>
        </w:rPr>
      </w:pPr>
      <w:r w:rsidRPr="003E2845">
        <w:rPr>
          <w:rFonts w:ascii="Calibri" w:hAnsi="Calibri" w:cs="Calibri"/>
        </w:rPr>
        <w:t xml:space="preserve">3. </w:t>
      </w:r>
      <w:r w:rsidRPr="003E2845">
        <w:rPr>
          <w:rFonts w:ascii="Calibri" w:hAnsi="Calibri" w:cs="Calibri"/>
        </w:rPr>
        <w:tab/>
        <w:t xml:space="preserve">Hankinson SE, Colditz GA, Hunter DJ, et al. Reproductive factors and family history of breast cancer in relation to plasma estrogen and prolactin levels in postmenopausal women in the Nurses’ Health Study (United States). </w:t>
      </w:r>
      <w:r w:rsidRPr="003E2845">
        <w:rPr>
          <w:rFonts w:ascii="Calibri" w:hAnsi="Calibri" w:cs="Calibri"/>
          <w:i/>
          <w:iCs/>
        </w:rPr>
        <w:t>Cancer Causes Control</w:t>
      </w:r>
      <w:r w:rsidRPr="003E2845">
        <w:rPr>
          <w:rFonts w:ascii="Calibri" w:hAnsi="Calibri" w:cs="Calibri"/>
        </w:rPr>
        <w:t>. 1995 May;</w:t>
      </w:r>
      <w:r w:rsidRPr="003E2845">
        <w:rPr>
          <w:rFonts w:ascii="Calibri" w:hAnsi="Calibri" w:cs="Calibri"/>
          <w:b/>
          <w:bCs/>
        </w:rPr>
        <w:t>6</w:t>
      </w:r>
      <w:r w:rsidRPr="003E2845">
        <w:rPr>
          <w:rFonts w:ascii="Calibri" w:hAnsi="Calibri" w:cs="Calibri"/>
        </w:rPr>
        <w:t xml:space="preserve">(3):217–224. </w:t>
      </w:r>
    </w:p>
    <w:p w14:paraId="70199303" w14:textId="77777777" w:rsidR="003E2845" w:rsidRPr="003E2845" w:rsidRDefault="003E2845" w:rsidP="003E2845">
      <w:pPr>
        <w:pStyle w:val="Bibliography"/>
        <w:rPr>
          <w:rFonts w:ascii="Calibri" w:hAnsi="Calibri" w:cs="Calibri"/>
        </w:rPr>
      </w:pPr>
      <w:r w:rsidRPr="003E2845">
        <w:rPr>
          <w:rFonts w:ascii="Calibri" w:hAnsi="Calibri" w:cs="Calibri"/>
        </w:rPr>
        <w:t xml:space="preserve">4. </w:t>
      </w:r>
      <w:r w:rsidRPr="003E2845">
        <w:rPr>
          <w:rFonts w:ascii="Calibri" w:hAnsi="Calibri" w:cs="Calibri"/>
        </w:rPr>
        <w:tab/>
        <w:t xml:space="preserve">Tworoger SS, Sluss P, Hankinson SE. Association between plasma prolactin concentrations and risk of breast cancer among predominately premenopausal women. </w:t>
      </w:r>
      <w:r w:rsidRPr="003E2845">
        <w:rPr>
          <w:rFonts w:ascii="Calibri" w:hAnsi="Calibri" w:cs="Calibri"/>
          <w:i/>
          <w:iCs/>
        </w:rPr>
        <w:t>Cancer Res</w:t>
      </w:r>
      <w:r w:rsidRPr="003E2845">
        <w:rPr>
          <w:rFonts w:ascii="Calibri" w:hAnsi="Calibri" w:cs="Calibri"/>
        </w:rPr>
        <w:t>. 2006 Feb 15;</w:t>
      </w:r>
      <w:r w:rsidRPr="003E2845">
        <w:rPr>
          <w:rFonts w:ascii="Calibri" w:hAnsi="Calibri" w:cs="Calibri"/>
          <w:b/>
          <w:bCs/>
        </w:rPr>
        <w:t>66</w:t>
      </w:r>
      <w:r w:rsidRPr="003E2845">
        <w:rPr>
          <w:rFonts w:ascii="Calibri" w:hAnsi="Calibri" w:cs="Calibri"/>
        </w:rPr>
        <w:t xml:space="preserve">(4):2476–2482. </w:t>
      </w:r>
    </w:p>
    <w:p w14:paraId="2029C504" w14:textId="77777777" w:rsidR="003E2845" w:rsidRPr="003E2845" w:rsidRDefault="003E2845" w:rsidP="003E2845">
      <w:pPr>
        <w:pStyle w:val="Bibliography"/>
        <w:rPr>
          <w:rFonts w:ascii="Calibri" w:hAnsi="Calibri" w:cs="Calibri"/>
        </w:rPr>
      </w:pPr>
      <w:r w:rsidRPr="003E2845">
        <w:rPr>
          <w:rFonts w:ascii="Calibri" w:hAnsi="Calibri" w:cs="Calibri"/>
        </w:rPr>
        <w:t xml:space="preserve">5. </w:t>
      </w:r>
      <w:r w:rsidRPr="003E2845">
        <w:rPr>
          <w:rFonts w:ascii="Calibri" w:hAnsi="Calibri" w:cs="Calibri"/>
        </w:rPr>
        <w:tab/>
        <w:t xml:space="preserve">Nishihara R, Wu K, Lochhead P, et al. Long-term colorectal-cancer incidence and mortality after lower endoscopy. </w:t>
      </w:r>
      <w:r w:rsidRPr="003E2845">
        <w:rPr>
          <w:rFonts w:ascii="Calibri" w:hAnsi="Calibri" w:cs="Calibri"/>
          <w:i/>
          <w:iCs/>
        </w:rPr>
        <w:t>N Engl J Med</w:t>
      </w:r>
      <w:r w:rsidRPr="003E2845">
        <w:rPr>
          <w:rFonts w:ascii="Calibri" w:hAnsi="Calibri" w:cs="Calibri"/>
        </w:rPr>
        <w:t>. 2013 Sep 19;</w:t>
      </w:r>
      <w:r w:rsidRPr="003E2845">
        <w:rPr>
          <w:rFonts w:ascii="Calibri" w:hAnsi="Calibri" w:cs="Calibri"/>
          <w:b/>
          <w:bCs/>
        </w:rPr>
        <w:t>369</w:t>
      </w:r>
      <w:r w:rsidRPr="003E2845">
        <w:rPr>
          <w:rFonts w:ascii="Calibri" w:hAnsi="Calibri" w:cs="Calibri"/>
        </w:rPr>
        <w:t xml:space="preserve">(12):1095–1105. </w:t>
      </w:r>
    </w:p>
    <w:p w14:paraId="7D77E5B8" w14:textId="77777777" w:rsidR="003E2845" w:rsidRPr="003E2845" w:rsidRDefault="003E2845" w:rsidP="003E2845">
      <w:pPr>
        <w:pStyle w:val="Bibliography"/>
        <w:rPr>
          <w:rFonts w:ascii="Calibri" w:hAnsi="Calibri" w:cs="Calibri"/>
        </w:rPr>
      </w:pPr>
      <w:r w:rsidRPr="003E2845">
        <w:rPr>
          <w:rFonts w:ascii="Calibri" w:hAnsi="Calibri" w:cs="Calibri"/>
        </w:rPr>
        <w:t xml:space="preserve">6. </w:t>
      </w:r>
      <w:r w:rsidRPr="003E2845">
        <w:rPr>
          <w:rFonts w:ascii="Calibri" w:hAnsi="Calibri" w:cs="Calibri"/>
        </w:rPr>
        <w:tab/>
        <w:t xml:space="preserve">Zawistowski M, Fritsche LG, Pandit A, et al. The Michigan Genomics Initiative: A biobank linking genotypes and electronic clinical records in Michigan Medicine patients. </w:t>
      </w:r>
      <w:r w:rsidRPr="003E2845">
        <w:rPr>
          <w:rFonts w:ascii="Calibri" w:hAnsi="Calibri" w:cs="Calibri"/>
          <w:i/>
          <w:iCs/>
        </w:rPr>
        <w:t>Cell Genom</w:t>
      </w:r>
      <w:r w:rsidRPr="003E2845">
        <w:rPr>
          <w:rFonts w:ascii="Calibri" w:hAnsi="Calibri" w:cs="Calibri"/>
        </w:rPr>
        <w:t>. 2023 Feb 8;</w:t>
      </w:r>
      <w:r w:rsidRPr="003E2845">
        <w:rPr>
          <w:rFonts w:ascii="Calibri" w:hAnsi="Calibri" w:cs="Calibri"/>
          <w:b/>
          <w:bCs/>
        </w:rPr>
        <w:t>3</w:t>
      </w:r>
      <w:r w:rsidRPr="003E2845">
        <w:rPr>
          <w:rFonts w:ascii="Calibri" w:hAnsi="Calibri" w:cs="Calibri"/>
        </w:rPr>
        <w:t xml:space="preserve">(2):100257. </w:t>
      </w:r>
    </w:p>
    <w:p w14:paraId="7BB4B7AE" w14:textId="77777777" w:rsidR="003E2845" w:rsidRPr="003E2845" w:rsidRDefault="003E2845" w:rsidP="003E2845">
      <w:pPr>
        <w:pStyle w:val="Bibliography"/>
        <w:rPr>
          <w:rFonts w:ascii="Calibri" w:hAnsi="Calibri" w:cs="Calibri"/>
        </w:rPr>
      </w:pPr>
      <w:r w:rsidRPr="003E2845">
        <w:rPr>
          <w:rFonts w:ascii="Calibri" w:hAnsi="Calibri" w:cs="Calibri"/>
        </w:rPr>
        <w:t xml:space="preserve">7. </w:t>
      </w:r>
      <w:r w:rsidRPr="003E2845">
        <w:rPr>
          <w:rFonts w:ascii="Calibri" w:hAnsi="Calibri" w:cs="Calibri"/>
        </w:rPr>
        <w:tab/>
        <w:t xml:space="preserve">Johnson R, Ding Y, Bhattacharya A, et al. The UCLA ATLAS Community Health Initiative: Promoting precision health research in a diverse biobank. </w:t>
      </w:r>
      <w:r w:rsidRPr="003E2845">
        <w:rPr>
          <w:rFonts w:ascii="Calibri" w:hAnsi="Calibri" w:cs="Calibri"/>
          <w:i/>
          <w:iCs/>
        </w:rPr>
        <w:t>Cell Genomics</w:t>
      </w:r>
      <w:r w:rsidRPr="003E2845">
        <w:rPr>
          <w:rFonts w:ascii="Calibri" w:hAnsi="Calibri" w:cs="Calibri"/>
        </w:rPr>
        <w:t>. 2023 Jan 11;</w:t>
      </w:r>
      <w:r w:rsidRPr="003E2845">
        <w:rPr>
          <w:rFonts w:ascii="Calibri" w:hAnsi="Calibri" w:cs="Calibri"/>
          <w:b/>
          <w:bCs/>
        </w:rPr>
        <w:t>3</w:t>
      </w:r>
      <w:r w:rsidRPr="003E2845">
        <w:rPr>
          <w:rFonts w:ascii="Calibri" w:hAnsi="Calibri" w:cs="Calibri"/>
        </w:rPr>
        <w:t xml:space="preserve">(1):100243. </w:t>
      </w:r>
    </w:p>
    <w:p w14:paraId="5EF78785" w14:textId="77777777" w:rsidR="003E2845" w:rsidRPr="003E2845" w:rsidRDefault="003E2845" w:rsidP="003E2845">
      <w:pPr>
        <w:pStyle w:val="Bibliography"/>
        <w:rPr>
          <w:rFonts w:ascii="Calibri" w:hAnsi="Calibri" w:cs="Calibri"/>
        </w:rPr>
      </w:pPr>
      <w:r w:rsidRPr="003E2845">
        <w:rPr>
          <w:rFonts w:ascii="Calibri" w:hAnsi="Calibri" w:cs="Calibri"/>
        </w:rPr>
        <w:t xml:space="preserve">8. </w:t>
      </w:r>
      <w:r w:rsidRPr="003E2845">
        <w:rPr>
          <w:rFonts w:ascii="Calibri" w:hAnsi="Calibri" w:cs="Calibri"/>
        </w:rPr>
        <w:tab/>
        <w:t xml:space="preserve">Verma A, Damrauer SM, Naseer N, et al. The Penn Medicine BioBank: Towards a Genomics-Enabled Learning Healthcare System to Accelerate Precision Medicine in a Diverse Population. </w:t>
      </w:r>
      <w:r w:rsidRPr="003E2845">
        <w:rPr>
          <w:rFonts w:ascii="Calibri" w:hAnsi="Calibri" w:cs="Calibri"/>
          <w:i/>
          <w:iCs/>
        </w:rPr>
        <w:t>J Pers Med</w:t>
      </w:r>
      <w:r w:rsidRPr="003E2845">
        <w:rPr>
          <w:rFonts w:ascii="Calibri" w:hAnsi="Calibri" w:cs="Calibri"/>
        </w:rPr>
        <w:t>. 2022 Nov 29;</w:t>
      </w:r>
      <w:r w:rsidRPr="003E2845">
        <w:rPr>
          <w:rFonts w:ascii="Calibri" w:hAnsi="Calibri" w:cs="Calibri"/>
          <w:b/>
          <w:bCs/>
        </w:rPr>
        <w:t>12</w:t>
      </w:r>
      <w:r w:rsidRPr="003E2845">
        <w:rPr>
          <w:rFonts w:ascii="Calibri" w:hAnsi="Calibri" w:cs="Calibri"/>
        </w:rPr>
        <w:t xml:space="preserve">(12):1974. </w:t>
      </w:r>
    </w:p>
    <w:p w14:paraId="5916D627" w14:textId="77777777" w:rsidR="003E2845" w:rsidRPr="003E2845" w:rsidRDefault="003E2845" w:rsidP="003E2845">
      <w:pPr>
        <w:pStyle w:val="Bibliography"/>
        <w:rPr>
          <w:rFonts w:ascii="Calibri" w:hAnsi="Calibri" w:cs="Calibri"/>
        </w:rPr>
      </w:pPr>
      <w:r w:rsidRPr="003E2845">
        <w:rPr>
          <w:rFonts w:ascii="Calibri" w:hAnsi="Calibri" w:cs="Calibri"/>
        </w:rPr>
        <w:t xml:space="preserve">9. </w:t>
      </w:r>
      <w:r w:rsidRPr="003E2845">
        <w:rPr>
          <w:rFonts w:ascii="Calibri" w:hAnsi="Calibri" w:cs="Calibri"/>
        </w:rPr>
        <w:tab/>
        <w:t xml:space="preserve">Scholtens S, Smidt N, Swertz MA, et al. Cohort Profile: LifeLines, a three-generation cohort study and biobank. </w:t>
      </w:r>
      <w:r w:rsidRPr="003E2845">
        <w:rPr>
          <w:rFonts w:ascii="Calibri" w:hAnsi="Calibri" w:cs="Calibri"/>
          <w:i/>
          <w:iCs/>
        </w:rPr>
        <w:t>Int J Epidemiol</w:t>
      </w:r>
      <w:r w:rsidRPr="003E2845">
        <w:rPr>
          <w:rFonts w:ascii="Calibri" w:hAnsi="Calibri" w:cs="Calibri"/>
        </w:rPr>
        <w:t>. 2015 Aug;</w:t>
      </w:r>
      <w:r w:rsidRPr="003E2845">
        <w:rPr>
          <w:rFonts w:ascii="Calibri" w:hAnsi="Calibri" w:cs="Calibri"/>
          <w:b/>
          <w:bCs/>
        </w:rPr>
        <w:t>44</w:t>
      </w:r>
      <w:r w:rsidRPr="003E2845">
        <w:rPr>
          <w:rFonts w:ascii="Calibri" w:hAnsi="Calibri" w:cs="Calibri"/>
        </w:rPr>
        <w:t xml:space="preserve">(4):1172–1180. </w:t>
      </w:r>
    </w:p>
    <w:p w14:paraId="70B302B9" w14:textId="307D6AE8" w:rsidR="00891F74" w:rsidRDefault="00E979EB" w:rsidP="00886463">
      <w:pPr>
        <w:rPr>
          <w:rFonts w:cstheme="minorHAnsi"/>
        </w:rPr>
      </w:pPr>
      <w:r>
        <w:rPr>
          <w:rFonts w:cstheme="minorHAnsi"/>
        </w:rPr>
        <w:fldChar w:fldCharType="end"/>
      </w:r>
    </w:p>
    <w:p w14:paraId="18E39FFC" w14:textId="77777777" w:rsidR="007D0C58" w:rsidRDefault="007D0C58">
      <w:pPr>
        <w:rPr>
          <w:rFonts w:cstheme="minorHAnsi"/>
          <w:b/>
          <w:bCs/>
        </w:rPr>
      </w:pPr>
      <w:r>
        <w:rPr>
          <w:rFonts w:cstheme="minorHAnsi"/>
          <w:b/>
          <w:bCs/>
        </w:rPr>
        <w:br w:type="page"/>
      </w:r>
    </w:p>
    <w:p w14:paraId="066CB581" w14:textId="74E539B4" w:rsidR="006E728F" w:rsidRDefault="00757136" w:rsidP="00000DAE">
      <w:pPr>
        <w:rPr>
          <w:rFonts w:cstheme="minorHAnsi"/>
        </w:rPr>
      </w:pPr>
      <w:r>
        <w:rPr>
          <w:rFonts w:cstheme="minorHAnsi"/>
          <w:b/>
          <w:bCs/>
        </w:rPr>
        <w:lastRenderedPageBreak/>
        <w:t xml:space="preserve">Supplementary </w:t>
      </w:r>
      <w:r w:rsidR="00891F74" w:rsidRPr="00891F74">
        <w:rPr>
          <w:rFonts w:cstheme="minorHAnsi"/>
          <w:b/>
          <w:bCs/>
        </w:rPr>
        <w:t>Figure</w:t>
      </w:r>
      <w:r>
        <w:rPr>
          <w:rFonts w:cstheme="minorHAnsi"/>
          <w:b/>
          <w:bCs/>
        </w:rPr>
        <w:t xml:space="preserve"> 1</w:t>
      </w:r>
      <w:r w:rsidR="00891F74">
        <w:rPr>
          <w:rFonts w:cstheme="minorHAnsi"/>
        </w:rPr>
        <w:t xml:space="preserve">. </w:t>
      </w:r>
      <w:r w:rsidR="00891F74" w:rsidRPr="00891F74">
        <w:rPr>
          <w:rFonts w:cstheme="minorHAnsi"/>
        </w:rPr>
        <w:t xml:space="preserve">Association between </w:t>
      </w:r>
      <w:r w:rsidR="00891F74">
        <w:rPr>
          <w:rFonts w:cstheme="minorHAnsi"/>
        </w:rPr>
        <w:t xml:space="preserve">PRS </w:t>
      </w:r>
      <w:r w:rsidR="00891F74" w:rsidRPr="00891F74">
        <w:rPr>
          <w:rFonts w:cstheme="minorHAnsi"/>
        </w:rPr>
        <w:t xml:space="preserve">and </w:t>
      </w:r>
      <w:r w:rsidR="00891F74">
        <w:rPr>
          <w:rFonts w:cstheme="minorHAnsi"/>
        </w:rPr>
        <w:t>VTE</w:t>
      </w:r>
      <w:r w:rsidR="00891F74" w:rsidRPr="00891F74">
        <w:rPr>
          <w:rFonts w:cstheme="minorHAnsi"/>
        </w:rPr>
        <w:t xml:space="preserve"> risk</w:t>
      </w:r>
      <w:r w:rsidR="003A43C5">
        <w:rPr>
          <w:rFonts w:cstheme="minorHAnsi"/>
        </w:rPr>
        <w:t xml:space="preserve"> across participating studies</w:t>
      </w:r>
      <w:r w:rsidR="00891F74" w:rsidRPr="00891F74">
        <w:rPr>
          <w:rFonts w:cstheme="minorHAnsi"/>
        </w:rPr>
        <w:t xml:space="preserve">. </w:t>
      </w:r>
    </w:p>
    <w:p w14:paraId="1AA0A082" w14:textId="6036B1DE" w:rsidR="003D743F" w:rsidRDefault="003D743F" w:rsidP="00000DAE">
      <w:pPr>
        <w:rPr>
          <w:rFonts w:cstheme="minorHAnsi"/>
        </w:rPr>
      </w:pPr>
      <w:r>
        <w:rPr>
          <w:noProof/>
        </w:rPr>
        <w:drawing>
          <wp:inline distT="0" distB="0" distL="0" distR="0" wp14:anchorId="2D526C8A" wp14:editId="63CC00B4">
            <wp:extent cx="5734050" cy="3630341"/>
            <wp:effectExtent l="0" t="0" r="0" b="8255"/>
            <wp:docPr id="1102557118" name="Picture 1" descr="A picture containing text, screenshot, number,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57118" name="Picture 1" descr="A picture containing text, screenshot, number, diagram&#10;&#10;Description automatically generated"/>
                    <pic:cNvPicPr/>
                  </pic:nvPicPr>
                  <pic:blipFill>
                    <a:blip r:embed="rId11"/>
                    <a:stretch>
                      <a:fillRect/>
                    </a:stretch>
                  </pic:blipFill>
                  <pic:spPr>
                    <a:xfrm>
                      <a:off x="0" y="0"/>
                      <a:ext cx="5742944" cy="3635972"/>
                    </a:xfrm>
                    <a:prstGeom prst="rect">
                      <a:avLst/>
                    </a:prstGeom>
                  </pic:spPr>
                </pic:pic>
              </a:graphicData>
            </a:graphic>
          </wp:inline>
        </w:drawing>
      </w:r>
    </w:p>
    <w:p w14:paraId="3C9E224F" w14:textId="66BE76C9" w:rsidR="006D2CA4" w:rsidRDefault="006D2CA4" w:rsidP="00000DAE">
      <w:pPr>
        <w:rPr>
          <w:rFonts w:cstheme="minorHAnsi"/>
        </w:rPr>
      </w:pPr>
      <w:r>
        <w:rPr>
          <w:noProof/>
        </w:rPr>
        <w:drawing>
          <wp:inline distT="0" distB="0" distL="0" distR="0" wp14:anchorId="33DFFCD9" wp14:editId="01C0580F">
            <wp:extent cx="5734050" cy="3640754"/>
            <wp:effectExtent l="0" t="0" r="0" b="0"/>
            <wp:docPr id="1333745746" name="Picture 1" descr="A picture containing text, screenshot, number,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45746" name="Picture 1" descr="A picture containing text, screenshot, number, diagram&#10;&#10;Description automatically generated"/>
                    <pic:cNvPicPr/>
                  </pic:nvPicPr>
                  <pic:blipFill>
                    <a:blip r:embed="rId12"/>
                    <a:stretch>
                      <a:fillRect/>
                    </a:stretch>
                  </pic:blipFill>
                  <pic:spPr>
                    <a:xfrm>
                      <a:off x="0" y="0"/>
                      <a:ext cx="5736332" cy="3642203"/>
                    </a:xfrm>
                    <a:prstGeom prst="rect">
                      <a:avLst/>
                    </a:prstGeom>
                  </pic:spPr>
                </pic:pic>
              </a:graphicData>
            </a:graphic>
          </wp:inline>
        </w:drawing>
      </w:r>
    </w:p>
    <w:p w14:paraId="744A446D" w14:textId="5D53BAC9" w:rsidR="005F650F" w:rsidRDefault="00000DAE" w:rsidP="00000DAE">
      <w:pPr>
        <w:jc w:val="center"/>
        <w:rPr>
          <w:rFonts w:cstheme="minorHAnsi"/>
        </w:rPr>
      </w:pPr>
      <w:r>
        <w:rPr>
          <w:noProof/>
        </w:rPr>
        <w:drawing>
          <wp:inline distT="0" distB="0" distL="0" distR="0" wp14:anchorId="7682DD4E" wp14:editId="5989AF2A">
            <wp:extent cx="3086299" cy="22586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42813" cy="251958"/>
                    </a:xfrm>
                    <a:prstGeom prst="rect">
                      <a:avLst/>
                    </a:prstGeom>
                  </pic:spPr>
                </pic:pic>
              </a:graphicData>
            </a:graphic>
          </wp:inline>
        </w:drawing>
      </w:r>
    </w:p>
    <w:p w14:paraId="4F7F6A09" w14:textId="1E179401" w:rsidR="005F650F" w:rsidRDefault="005F650F" w:rsidP="005F650F">
      <w:pPr>
        <w:rPr>
          <w:rFonts w:cstheme="minorHAnsi"/>
        </w:rPr>
      </w:pPr>
      <w:r>
        <w:rPr>
          <w:rFonts w:cstheme="minorHAnsi"/>
        </w:rPr>
        <w:br w:type="page"/>
      </w:r>
      <w:r>
        <w:rPr>
          <w:rFonts w:cstheme="minorHAnsi"/>
          <w:b/>
          <w:bCs/>
        </w:rPr>
        <w:lastRenderedPageBreak/>
        <w:t xml:space="preserve">Supplementary </w:t>
      </w:r>
      <w:r w:rsidRPr="00891F74">
        <w:rPr>
          <w:rFonts w:cstheme="minorHAnsi"/>
          <w:b/>
          <w:bCs/>
        </w:rPr>
        <w:t>Figure</w:t>
      </w:r>
      <w:r>
        <w:rPr>
          <w:rFonts w:cstheme="minorHAnsi"/>
          <w:b/>
          <w:bCs/>
        </w:rPr>
        <w:t xml:space="preserve"> 2</w:t>
      </w:r>
      <w:r>
        <w:rPr>
          <w:rFonts w:cstheme="minorHAnsi"/>
        </w:rPr>
        <w:t xml:space="preserve">. </w:t>
      </w:r>
      <w:r w:rsidR="00104890" w:rsidRPr="00104890">
        <w:rPr>
          <w:rFonts w:cstheme="minorHAnsi"/>
        </w:rPr>
        <w:t xml:space="preserve">AUC and OR for population-specific and </w:t>
      </w:r>
      <w:proofErr w:type="spellStart"/>
      <w:r w:rsidR="00104890" w:rsidRPr="00104890">
        <w:rPr>
          <w:rFonts w:cstheme="minorHAnsi"/>
        </w:rPr>
        <w:t>multiancestry</w:t>
      </w:r>
      <w:proofErr w:type="spellEnd"/>
      <w:r w:rsidR="00104890" w:rsidRPr="00104890">
        <w:rPr>
          <w:rFonts w:cstheme="minorHAnsi"/>
        </w:rPr>
        <w:t xml:space="preserve"> PRS </w:t>
      </w:r>
      <w:r w:rsidR="00104890">
        <w:rPr>
          <w:rFonts w:cstheme="minorHAnsi"/>
        </w:rPr>
        <w:t xml:space="preserve">with additional </w:t>
      </w:r>
      <w:r w:rsidR="00484B97">
        <w:rPr>
          <w:rFonts w:cstheme="minorHAnsi"/>
        </w:rPr>
        <w:t xml:space="preserve">genome-wide significant variants </w:t>
      </w:r>
      <w:r w:rsidR="00104890" w:rsidRPr="00104890">
        <w:rPr>
          <w:rFonts w:cstheme="minorHAnsi"/>
        </w:rPr>
        <w:t>across populations.</w:t>
      </w:r>
    </w:p>
    <w:p w14:paraId="3FEE7074" w14:textId="63ABB45A" w:rsidR="002D689A" w:rsidRPr="002D689A" w:rsidRDefault="002D689A" w:rsidP="002D689A">
      <w:pPr>
        <w:rPr>
          <w:rFonts w:cstheme="minorHAnsi"/>
          <w:sz w:val="20"/>
          <w:szCs w:val="20"/>
          <w:u w:val="single"/>
        </w:rPr>
      </w:pPr>
      <w:r w:rsidRPr="002D689A">
        <w:rPr>
          <w:rFonts w:cstheme="minorHAnsi"/>
          <w:sz w:val="20"/>
          <w:szCs w:val="20"/>
          <w:u w:val="single"/>
        </w:rPr>
        <w:t>Biobanks with chromosome X</w:t>
      </w:r>
    </w:p>
    <w:p w14:paraId="395CD7C0" w14:textId="7BE30598" w:rsidR="002D689A" w:rsidRPr="002D689A" w:rsidRDefault="002D689A" w:rsidP="002D689A">
      <w:pPr>
        <w:pStyle w:val="ListParagraph"/>
        <w:numPr>
          <w:ilvl w:val="0"/>
          <w:numId w:val="5"/>
        </w:numPr>
        <w:rPr>
          <w:rFonts w:cstheme="minorHAnsi"/>
          <w:sz w:val="20"/>
          <w:szCs w:val="20"/>
        </w:rPr>
      </w:pPr>
      <w:r w:rsidRPr="002D689A">
        <w:rPr>
          <w:rFonts w:cstheme="minorHAnsi"/>
          <w:sz w:val="20"/>
          <w:szCs w:val="20"/>
        </w:rPr>
        <w:t>EUR: Harvard, MGI, Lifelines, PMBB</w:t>
      </w:r>
    </w:p>
    <w:p w14:paraId="5C408A51" w14:textId="405D03A5" w:rsidR="002D689A" w:rsidRPr="002D689A" w:rsidRDefault="002D689A" w:rsidP="002D689A">
      <w:pPr>
        <w:pStyle w:val="ListParagraph"/>
        <w:numPr>
          <w:ilvl w:val="0"/>
          <w:numId w:val="5"/>
        </w:numPr>
        <w:rPr>
          <w:rFonts w:cstheme="minorHAnsi"/>
          <w:sz w:val="20"/>
          <w:szCs w:val="20"/>
        </w:rPr>
      </w:pPr>
      <w:r w:rsidRPr="002D689A">
        <w:rPr>
          <w:rFonts w:cstheme="minorHAnsi"/>
          <w:sz w:val="20"/>
          <w:szCs w:val="20"/>
        </w:rPr>
        <w:t>AFR: MGI (</w:t>
      </w:r>
      <w:proofErr w:type="spellStart"/>
      <w:r w:rsidRPr="002D689A">
        <w:rPr>
          <w:rFonts w:cstheme="minorHAnsi"/>
          <w:sz w:val="20"/>
          <w:szCs w:val="20"/>
        </w:rPr>
        <w:t>EUR_tuned</w:t>
      </w:r>
      <w:proofErr w:type="spellEnd"/>
      <w:r w:rsidRPr="002D689A">
        <w:rPr>
          <w:rFonts w:cstheme="minorHAnsi"/>
          <w:sz w:val="20"/>
          <w:szCs w:val="20"/>
        </w:rPr>
        <w:t>), PMBB</w:t>
      </w:r>
    </w:p>
    <w:p w14:paraId="5E6E80D6" w14:textId="435F5517" w:rsidR="00BA4D21" w:rsidRDefault="00BA4D21" w:rsidP="005F650F">
      <w:pPr>
        <w:rPr>
          <w:rFonts w:cstheme="minorHAnsi"/>
        </w:rPr>
      </w:pPr>
      <w:r w:rsidRPr="00BA4D21">
        <w:rPr>
          <w:rFonts w:cstheme="minorHAnsi"/>
          <w:noProof/>
        </w:rPr>
        <w:drawing>
          <wp:anchor distT="0" distB="0" distL="114300" distR="114300" simplePos="0" relativeHeight="251660288" behindDoc="0" locked="0" layoutInCell="1" allowOverlap="1" wp14:anchorId="42067A60" wp14:editId="21B62837">
            <wp:simplePos x="0" y="0"/>
            <wp:positionH relativeFrom="column">
              <wp:posOffset>2872154</wp:posOffset>
            </wp:positionH>
            <wp:positionV relativeFrom="paragraph">
              <wp:posOffset>86946</wp:posOffset>
            </wp:positionV>
            <wp:extent cx="3466510" cy="2268416"/>
            <wp:effectExtent l="0" t="0" r="635" b="0"/>
            <wp:wrapNone/>
            <wp:docPr id="6" name="Picture 5" descr="A screenshot of a graph&#10;&#10;Description automatically generated with low confidence">
              <a:extLst xmlns:a="http://schemas.openxmlformats.org/drawingml/2006/main">
                <a:ext uri="{FF2B5EF4-FFF2-40B4-BE49-F238E27FC236}">
                  <a16:creationId xmlns:a16="http://schemas.microsoft.com/office/drawing/2014/main" id="{78BF67CC-223A-65A8-88BF-4F44FFEC16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graph&#10;&#10;Description automatically generated with low confidence">
                      <a:extLst>
                        <a:ext uri="{FF2B5EF4-FFF2-40B4-BE49-F238E27FC236}">
                          <a16:creationId xmlns:a16="http://schemas.microsoft.com/office/drawing/2014/main" id="{78BF67CC-223A-65A8-88BF-4F44FFEC161C}"/>
                        </a:ext>
                      </a:extLst>
                    </pic:cNvPr>
                    <pic:cNvPicPr>
                      <a:picLocks noChangeAspect="1"/>
                    </pic:cNvPicPr>
                  </pic:nvPicPr>
                  <pic:blipFill>
                    <a:blip r:embed="rId14"/>
                    <a:stretch>
                      <a:fillRect/>
                    </a:stretch>
                  </pic:blipFill>
                  <pic:spPr>
                    <a:xfrm>
                      <a:off x="0" y="0"/>
                      <a:ext cx="3467525" cy="2269080"/>
                    </a:xfrm>
                    <a:prstGeom prst="rect">
                      <a:avLst/>
                    </a:prstGeom>
                  </pic:spPr>
                </pic:pic>
              </a:graphicData>
            </a:graphic>
            <wp14:sizeRelH relativeFrom="margin">
              <wp14:pctWidth>0</wp14:pctWidth>
            </wp14:sizeRelH>
            <wp14:sizeRelV relativeFrom="margin">
              <wp14:pctHeight>0</wp14:pctHeight>
            </wp14:sizeRelV>
          </wp:anchor>
        </w:drawing>
      </w:r>
      <w:r w:rsidRPr="00BA4D21">
        <w:rPr>
          <w:rFonts w:cstheme="minorHAnsi"/>
          <w:noProof/>
        </w:rPr>
        <w:drawing>
          <wp:anchor distT="0" distB="0" distL="114300" distR="114300" simplePos="0" relativeHeight="251659264" behindDoc="0" locked="0" layoutInCell="1" allowOverlap="1" wp14:anchorId="1819BBC8" wp14:editId="6C883F3A">
            <wp:simplePos x="0" y="0"/>
            <wp:positionH relativeFrom="margin">
              <wp:align>left</wp:align>
            </wp:positionH>
            <wp:positionV relativeFrom="paragraph">
              <wp:posOffset>85271</wp:posOffset>
            </wp:positionV>
            <wp:extent cx="3443700" cy="2253343"/>
            <wp:effectExtent l="0" t="0" r="4445" b="0"/>
            <wp:wrapNone/>
            <wp:docPr id="1276186094" name="Picture 1276186094" descr="A screenshot of a graph&#10;&#10;Description automatically generated with low confidence">
              <a:extLst xmlns:a="http://schemas.openxmlformats.org/drawingml/2006/main">
                <a:ext uri="{FF2B5EF4-FFF2-40B4-BE49-F238E27FC236}">
                  <a16:creationId xmlns:a16="http://schemas.microsoft.com/office/drawing/2014/main" id="{B06106CC-29B8-427D-4E31-16690CA042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186094" name="Picture 1276186094" descr="A screenshot of a graph&#10;&#10;Description automatically generated with low confidence">
                      <a:extLst>
                        <a:ext uri="{FF2B5EF4-FFF2-40B4-BE49-F238E27FC236}">
                          <a16:creationId xmlns:a16="http://schemas.microsoft.com/office/drawing/2014/main" id="{B06106CC-29B8-427D-4E31-16690CA042ED}"/>
                        </a:ext>
                      </a:extLst>
                    </pic:cNvPr>
                    <pic:cNvPicPr>
                      <a:picLocks noChangeAspect="1"/>
                    </pic:cNvPicPr>
                  </pic:nvPicPr>
                  <pic:blipFill>
                    <a:blip r:embed="rId15"/>
                    <a:stretch>
                      <a:fillRect/>
                    </a:stretch>
                  </pic:blipFill>
                  <pic:spPr>
                    <a:xfrm>
                      <a:off x="0" y="0"/>
                      <a:ext cx="3443700" cy="2253343"/>
                    </a:xfrm>
                    <a:prstGeom prst="rect">
                      <a:avLst/>
                    </a:prstGeom>
                  </pic:spPr>
                </pic:pic>
              </a:graphicData>
            </a:graphic>
            <wp14:sizeRelH relativeFrom="margin">
              <wp14:pctWidth>0</wp14:pctWidth>
            </wp14:sizeRelH>
            <wp14:sizeRelV relativeFrom="margin">
              <wp14:pctHeight>0</wp14:pctHeight>
            </wp14:sizeRelV>
          </wp:anchor>
        </w:drawing>
      </w:r>
    </w:p>
    <w:p w14:paraId="64A65D3C" w14:textId="318AD251" w:rsidR="00EA1EBF" w:rsidRDefault="00EA1EBF" w:rsidP="005F650F">
      <w:pPr>
        <w:rPr>
          <w:rFonts w:cstheme="minorHAnsi"/>
        </w:rPr>
      </w:pPr>
    </w:p>
    <w:p w14:paraId="7C6381AA" w14:textId="77777777" w:rsidR="002D689A" w:rsidRDefault="002D689A" w:rsidP="005F650F">
      <w:pPr>
        <w:rPr>
          <w:rFonts w:cstheme="minorHAnsi"/>
        </w:rPr>
      </w:pPr>
    </w:p>
    <w:p w14:paraId="0E08E6E9" w14:textId="77777777" w:rsidR="002D689A" w:rsidRDefault="002D689A" w:rsidP="005F650F">
      <w:pPr>
        <w:rPr>
          <w:rFonts w:cstheme="minorHAnsi"/>
        </w:rPr>
      </w:pPr>
    </w:p>
    <w:p w14:paraId="3DB09207" w14:textId="77777777" w:rsidR="002D689A" w:rsidRDefault="002D689A" w:rsidP="005F650F">
      <w:pPr>
        <w:rPr>
          <w:rFonts w:cstheme="minorHAnsi"/>
        </w:rPr>
      </w:pPr>
    </w:p>
    <w:p w14:paraId="3A1481A0" w14:textId="77777777" w:rsidR="002D689A" w:rsidRDefault="002D689A" w:rsidP="005F650F">
      <w:pPr>
        <w:rPr>
          <w:rFonts w:cstheme="minorHAnsi"/>
        </w:rPr>
      </w:pPr>
    </w:p>
    <w:p w14:paraId="6B2C660C" w14:textId="77777777" w:rsidR="002D689A" w:rsidRDefault="002D689A" w:rsidP="005F650F">
      <w:pPr>
        <w:rPr>
          <w:rFonts w:cstheme="minorHAnsi"/>
        </w:rPr>
      </w:pPr>
    </w:p>
    <w:p w14:paraId="263A176A" w14:textId="77777777" w:rsidR="002D689A" w:rsidRDefault="002D689A" w:rsidP="005F650F">
      <w:pPr>
        <w:rPr>
          <w:rFonts w:cstheme="minorHAnsi"/>
        </w:rPr>
      </w:pPr>
    </w:p>
    <w:p w14:paraId="42D0DF24" w14:textId="77777777" w:rsidR="002D689A" w:rsidRDefault="002D689A" w:rsidP="005F650F">
      <w:pPr>
        <w:rPr>
          <w:rFonts w:cstheme="minorHAnsi"/>
        </w:rPr>
      </w:pPr>
    </w:p>
    <w:p w14:paraId="06B5FAC7" w14:textId="58479042" w:rsidR="002D689A" w:rsidRPr="002D689A" w:rsidRDefault="002D689A" w:rsidP="002D689A">
      <w:pPr>
        <w:rPr>
          <w:rFonts w:cstheme="minorHAnsi"/>
          <w:sz w:val="20"/>
          <w:szCs w:val="20"/>
          <w:u w:val="single"/>
        </w:rPr>
      </w:pPr>
      <w:r w:rsidRPr="002D689A">
        <w:rPr>
          <w:rFonts w:cstheme="minorHAnsi"/>
          <w:sz w:val="20"/>
          <w:szCs w:val="20"/>
          <w:u w:val="single"/>
        </w:rPr>
        <w:t>Biobanks with</w:t>
      </w:r>
      <w:r>
        <w:rPr>
          <w:rFonts w:cstheme="minorHAnsi"/>
          <w:sz w:val="20"/>
          <w:szCs w:val="20"/>
          <w:u w:val="single"/>
        </w:rPr>
        <w:t>out</w:t>
      </w:r>
      <w:r w:rsidRPr="002D689A">
        <w:rPr>
          <w:rFonts w:cstheme="minorHAnsi"/>
          <w:sz w:val="20"/>
          <w:szCs w:val="20"/>
          <w:u w:val="single"/>
        </w:rPr>
        <w:t xml:space="preserve"> chromosome X</w:t>
      </w:r>
    </w:p>
    <w:p w14:paraId="1C0F8B73" w14:textId="77777777" w:rsidR="00022CE1" w:rsidRDefault="00022CE1" w:rsidP="00022CE1">
      <w:pPr>
        <w:pStyle w:val="ListParagraph"/>
        <w:numPr>
          <w:ilvl w:val="0"/>
          <w:numId w:val="5"/>
        </w:numPr>
        <w:rPr>
          <w:rFonts w:cstheme="minorHAnsi"/>
          <w:sz w:val="20"/>
          <w:szCs w:val="20"/>
        </w:rPr>
      </w:pPr>
      <w:r w:rsidRPr="00022CE1">
        <w:rPr>
          <w:rFonts w:cstheme="minorHAnsi"/>
          <w:sz w:val="20"/>
          <w:szCs w:val="20"/>
        </w:rPr>
        <w:t>EUR: Harvard, MGI, Lifelines, PMBB, UCLA</w:t>
      </w:r>
    </w:p>
    <w:p w14:paraId="314D8A0E" w14:textId="297236E4" w:rsidR="002D689A" w:rsidRDefault="00022CE1" w:rsidP="00022CE1">
      <w:pPr>
        <w:pStyle w:val="ListParagraph"/>
        <w:numPr>
          <w:ilvl w:val="0"/>
          <w:numId w:val="5"/>
        </w:numPr>
        <w:rPr>
          <w:rFonts w:cstheme="minorHAnsi"/>
          <w:sz w:val="20"/>
          <w:szCs w:val="20"/>
        </w:rPr>
      </w:pPr>
      <w:r w:rsidRPr="00022CE1">
        <w:rPr>
          <w:rFonts w:cstheme="minorHAnsi"/>
          <w:noProof/>
          <w:sz w:val="20"/>
          <w:szCs w:val="20"/>
        </w:rPr>
        <w:drawing>
          <wp:anchor distT="0" distB="0" distL="114300" distR="114300" simplePos="0" relativeHeight="251665408" behindDoc="0" locked="0" layoutInCell="1" allowOverlap="1" wp14:anchorId="648F3CB5" wp14:editId="1329E3B9">
            <wp:simplePos x="0" y="0"/>
            <wp:positionH relativeFrom="margin">
              <wp:posOffset>2913185</wp:posOffset>
            </wp:positionH>
            <wp:positionV relativeFrom="paragraph">
              <wp:posOffset>243986</wp:posOffset>
            </wp:positionV>
            <wp:extent cx="3504379" cy="2529205"/>
            <wp:effectExtent l="0" t="0" r="1270" b="4445"/>
            <wp:wrapNone/>
            <wp:docPr id="8" name="Picture 7" descr="A screenshot of a graph&#10;&#10;Description automatically generated with low confidence">
              <a:extLst xmlns:a="http://schemas.openxmlformats.org/drawingml/2006/main">
                <a:ext uri="{FF2B5EF4-FFF2-40B4-BE49-F238E27FC236}">
                  <a16:creationId xmlns:a16="http://schemas.microsoft.com/office/drawing/2014/main" id="{027340DE-559D-1403-77FB-6FDA53FBD8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screenshot of a graph&#10;&#10;Description automatically generated with low confidence">
                      <a:extLst>
                        <a:ext uri="{FF2B5EF4-FFF2-40B4-BE49-F238E27FC236}">
                          <a16:creationId xmlns:a16="http://schemas.microsoft.com/office/drawing/2014/main" id="{027340DE-559D-1403-77FB-6FDA53FBD80A}"/>
                        </a:ext>
                      </a:extLst>
                    </pic:cNvPr>
                    <pic:cNvPicPr>
                      <a:picLocks noChangeAspect="1"/>
                    </pic:cNvPicPr>
                  </pic:nvPicPr>
                  <pic:blipFill>
                    <a:blip r:embed="rId16"/>
                    <a:stretch>
                      <a:fillRect/>
                    </a:stretch>
                  </pic:blipFill>
                  <pic:spPr>
                    <a:xfrm>
                      <a:off x="0" y="0"/>
                      <a:ext cx="3514014" cy="2536159"/>
                    </a:xfrm>
                    <a:prstGeom prst="rect">
                      <a:avLst/>
                    </a:prstGeom>
                  </pic:spPr>
                </pic:pic>
              </a:graphicData>
            </a:graphic>
            <wp14:sizeRelH relativeFrom="margin">
              <wp14:pctWidth>0</wp14:pctWidth>
            </wp14:sizeRelH>
            <wp14:sizeRelV relativeFrom="margin">
              <wp14:pctHeight>0</wp14:pctHeight>
            </wp14:sizeRelV>
          </wp:anchor>
        </w:drawing>
      </w:r>
      <w:r w:rsidRPr="00022CE1">
        <w:rPr>
          <w:rFonts w:cstheme="minorHAnsi"/>
          <w:noProof/>
          <w:sz w:val="20"/>
          <w:szCs w:val="20"/>
        </w:rPr>
        <w:drawing>
          <wp:anchor distT="0" distB="0" distL="114300" distR="114300" simplePos="0" relativeHeight="251664384" behindDoc="0" locked="0" layoutInCell="1" allowOverlap="1" wp14:anchorId="1B84209E" wp14:editId="5A2B4804">
            <wp:simplePos x="0" y="0"/>
            <wp:positionH relativeFrom="margin">
              <wp:align>left</wp:align>
            </wp:positionH>
            <wp:positionV relativeFrom="paragraph">
              <wp:posOffset>243987</wp:posOffset>
            </wp:positionV>
            <wp:extent cx="3505200" cy="2529798"/>
            <wp:effectExtent l="0" t="0" r="0" b="4445"/>
            <wp:wrapNone/>
            <wp:docPr id="4" name="Picture 3" descr="A screenshot of a computer screen&#10;&#10;Description automatically generated with low confidence">
              <a:extLst xmlns:a="http://schemas.openxmlformats.org/drawingml/2006/main">
                <a:ext uri="{FF2B5EF4-FFF2-40B4-BE49-F238E27FC236}">
                  <a16:creationId xmlns:a16="http://schemas.microsoft.com/office/drawing/2014/main" id="{A41DB288-87A2-44F3-E9A0-C3489DAC6C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reenshot of a computer screen&#10;&#10;Description automatically generated with low confidence">
                      <a:extLst>
                        <a:ext uri="{FF2B5EF4-FFF2-40B4-BE49-F238E27FC236}">
                          <a16:creationId xmlns:a16="http://schemas.microsoft.com/office/drawing/2014/main" id="{A41DB288-87A2-44F3-E9A0-C3489DAC6CAA}"/>
                        </a:ext>
                      </a:extLst>
                    </pic:cNvPr>
                    <pic:cNvPicPr>
                      <a:picLocks noChangeAspect="1"/>
                    </pic:cNvPicPr>
                  </pic:nvPicPr>
                  <pic:blipFill>
                    <a:blip r:embed="rId17"/>
                    <a:stretch>
                      <a:fillRect/>
                    </a:stretch>
                  </pic:blipFill>
                  <pic:spPr>
                    <a:xfrm>
                      <a:off x="0" y="0"/>
                      <a:ext cx="3505200" cy="2529798"/>
                    </a:xfrm>
                    <a:prstGeom prst="rect">
                      <a:avLst/>
                    </a:prstGeom>
                  </pic:spPr>
                </pic:pic>
              </a:graphicData>
            </a:graphic>
            <wp14:sizeRelH relativeFrom="margin">
              <wp14:pctWidth>0</wp14:pctWidth>
            </wp14:sizeRelH>
            <wp14:sizeRelV relativeFrom="margin">
              <wp14:pctHeight>0</wp14:pctHeight>
            </wp14:sizeRelV>
          </wp:anchor>
        </w:drawing>
      </w:r>
      <w:r w:rsidRPr="00022CE1">
        <w:rPr>
          <w:rFonts w:cstheme="minorHAnsi"/>
          <w:noProof/>
          <w:sz w:val="20"/>
          <w:szCs w:val="20"/>
        </w:rPr>
        <w:drawing>
          <wp:anchor distT="0" distB="0" distL="114300" distR="114300" simplePos="0" relativeHeight="251663360" behindDoc="0" locked="0" layoutInCell="1" allowOverlap="1" wp14:anchorId="27B5CA8D" wp14:editId="2A5E9128">
            <wp:simplePos x="0" y="0"/>
            <wp:positionH relativeFrom="margin">
              <wp:posOffset>0</wp:posOffset>
            </wp:positionH>
            <wp:positionV relativeFrom="paragraph">
              <wp:posOffset>419735</wp:posOffset>
            </wp:positionV>
            <wp:extent cx="3206115" cy="2097405"/>
            <wp:effectExtent l="0" t="0" r="0" b="0"/>
            <wp:wrapNone/>
            <wp:docPr id="7" name="Picture 6" descr="A screenshot of a computer screen&#10;&#10;Description automatically generated with low confidence">
              <a:extLst xmlns:a="http://schemas.openxmlformats.org/drawingml/2006/main">
                <a:ext uri="{FF2B5EF4-FFF2-40B4-BE49-F238E27FC236}">
                  <a16:creationId xmlns:a16="http://schemas.microsoft.com/office/drawing/2014/main" id="{EABB91E4-28CD-1027-3FF2-3C927A401D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low confidence">
                      <a:extLst>
                        <a:ext uri="{FF2B5EF4-FFF2-40B4-BE49-F238E27FC236}">
                          <a16:creationId xmlns:a16="http://schemas.microsoft.com/office/drawing/2014/main" id="{EABB91E4-28CD-1027-3FF2-3C927A401D53}"/>
                        </a:ext>
                      </a:extLst>
                    </pic:cNvPr>
                    <pic:cNvPicPr>
                      <a:picLocks noChangeAspect="1"/>
                    </pic:cNvPicPr>
                  </pic:nvPicPr>
                  <pic:blipFill>
                    <a:blip r:embed="rId18"/>
                    <a:stretch>
                      <a:fillRect/>
                    </a:stretch>
                  </pic:blipFill>
                  <pic:spPr>
                    <a:xfrm>
                      <a:off x="0" y="0"/>
                      <a:ext cx="3206115" cy="2097405"/>
                    </a:xfrm>
                    <a:prstGeom prst="rect">
                      <a:avLst/>
                    </a:prstGeom>
                  </pic:spPr>
                </pic:pic>
              </a:graphicData>
            </a:graphic>
            <wp14:sizeRelH relativeFrom="margin">
              <wp14:pctWidth>0</wp14:pctWidth>
            </wp14:sizeRelH>
            <wp14:sizeRelV relativeFrom="margin">
              <wp14:pctHeight>0</wp14:pctHeight>
            </wp14:sizeRelV>
          </wp:anchor>
        </w:drawing>
      </w:r>
      <w:r w:rsidRPr="00022CE1">
        <w:rPr>
          <w:rFonts w:cstheme="minorHAnsi"/>
          <w:noProof/>
          <w:sz w:val="20"/>
          <w:szCs w:val="20"/>
        </w:rPr>
        <w:drawing>
          <wp:anchor distT="0" distB="0" distL="114300" distR="114300" simplePos="0" relativeHeight="251662336" behindDoc="0" locked="0" layoutInCell="1" allowOverlap="1" wp14:anchorId="7C72DA06" wp14:editId="5C28F57D">
            <wp:simplePos x="0" y="0"/>
            <wp:positionH relativeFrom="margin">
              <wp:posOffset>0</wp:posOffset>
            </wp:positionH>
            <wp:positionV relativeFrom="paragraph">
              <wp:posOffset>419735</wp:posOffset>
            </wp:positionV>
            <wp:extent cx="3206115" cy="2097405"/>
            <wp:effectExtent l="0" t="0" r="0" b="0"/>
            <wp:wrapNone/>
            <wp:docPr id="603455888" name="Picture 603455888" descr="A screenshot of a graph&#10;&#10;Description automatically generated with low confidence">
              <a:extLst xmlns:a="http://schemas.openxmlformats.org/drawingml/2006/main">
                <a:ext uri="{FF2B5EF4-FFF2-40B4-BE49-F238E27FC236}">
                  <a16:creationId xmlns:a16="http://schemas.microsoft.com/office/drawing/2014/main" id="{23092316-75F5-5283-1B49-97B5707908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55888" name="Picture 603455888" descr="A screenshot of a graph&#10;&#10;Description automatically generated with low confidence">
                      <a:extLst>
                        <a:ext uri="{FF2B5EF4-FFF2-40B4-BE49-F238E27FC236}">
                          <a16:creationId xmlns:a16="http://schemas.microsoft.com/office/drawing/2014/main" id="{23092316-75F5-5283-1B49-97B5707908CC}"/>
                        </a:ext>
                      </a:extLst>
                    </pic:cNvPr>
                    <pic:cNvPicPr>
                      <a:picLocks noChangeAspect="1"/>
                    </pic:cNvPicPr>
                  </pic:nvPicPr>
                  <pic:blipFill>
                    <a:blip r:embed="rId19"/>
                    <a:stretch>
                      <a:fillRect/>
                    </a:stretch>
                  </pic:blipFill>
                  <pic:spPr>
                    <a:xfrm>
                      <a:off x="0" y="0"/>
                      <a:ext cx="3206115" cy="2097405"/>
                    </a:xfrm>
                    <a:prstGeom prst="rect">
                      <a:avLst/>
                    </a:prstGeom>
                  </pic:spPr>
                </pic:pic>
              </a:graphicData>
            </a:graphic>
            <wp14:sizeRelH relativeFrom="margin">
              <wp14:pctWidth>0</wp14:pctWidth>
            </wp14:sizeRelH>
            <wp14:sizeRelV relativeFrom="margin">
              <wp14:pctHeight>0</wp14:pctHeight>
            </wp14:sizeRelV>
          </wp:anchor>
        </w:drawing>
      </w:r>
      <w:r w:rsidRPr="00022CE1">
        <w:rPr>
          <w:rFonts w:cstheme="minorHAnsi"/>
          <w:sz w:val="20"/>
          <w:szCs w:val="20"/>
        </w:rPr>
        <w:t>AFR: MGI (</w:t>
      </w:r>
      <w:proofErr w:type="spellStart"/>
      <w:r w:rsidRPr="00022CE1">
        <w:rPr>
          <w:rFonts w:cstheme="minorHAnsi"/>
          <w:sz w:val="20"/>
          <w:szCs w:val="20"/>
        </w:rPr>
        <w:t>EUR_tuned</w:t>
      </w:r>
      <w:proofErr w:type="spellEnd"/>
      <w:r w:rsidRPr="00022CE1">
        <w:rPr>
          <w:rFonts w:cstheme="minorHAnsi"/>
          <w:sz w:val="20"/>
          <w:szCs w:val="20"/>
        </w:rPr>
        <w:t xml:space="preserve">), PMBB, UCLA  </w:t>
      </w:r>
    </w:p>
    <w:p w14:paraId="21AD3276" w14:textId="779CABDC" w:rsidR="00022CE1" w:rsidRPr="00022CE1" w:rsidRDefault="00022CE1" w:rsidP="00022CE1">
      <w:pPr>
        <w:rPr>
          <w:rFonts w:cstheme="minorHAnsi"/>
          <w:sz w:val="20"/>
          <w:szCs w:val="20"/>
        </w:rPr>
      </w:pPr>
    </w:p>
    <w:sectPr w:rsidR="00022CE1" w:rsidRPr="00022CE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351E" w14:textId="77777777" w:rsidR="009F3DDD" w:rsidRDefault="009F3DDD" w:rsidP="00193247">
      <w:pPr>
        <w:spacing w:after="0" w:line="240" w:lineRule="auto"/>
      </w:pPr>
      <w:r>
        <w:separator/>
      </w:r>
    </w:p>
  </w:endnote>
  <w:endnote w:type="continuationSeparator" w:id="0">
    <w:p w14:paraId="101C05F4" w14:textId="77777777" w:rsidR="009F3DDD" w:rsidRDefault="009F3DDD" w:rsidP="0019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Whitney-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509462"/>
      <w:docPartObj>
        <w:docPartGallery w:val="Page Numbers (Bottom of Page)"/>
        <w:docPartUnique/>
      </w:docPartObj>
    </w:sdtPr>
    <w:sdtEndPr>
      <w:rPr>
        <w:noProof/>
      </w:rPr>
    </w:sdtEndPr>
    <w:sdtContent>
      <w:p w14:paraId="51883255" w14:textId="423C9B26" w:rsidR="00193247" w:rsidRDefault="001932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009F55" w14:textId="77777777" w:rsidR="00193247" w:rsidRDefault="00193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EC1C" w14:textId="77777777" w:rsidR="009F3DDD" w:rsidRDefault="009F3DDD" w:rsidP="00193247">
      <w:pPr>
        <w:spacing w:after="0" w:line="240" w:lineRule="auto"/>
      </w:pPr>
      <w:r>
        <w:separator/>
      </w:r>
    </w:p>
  </w:footnote>
  <w:footnote w:type="continuationSeparator" w:id="0">
    <w:p w14:paraId="7D5FAF8C" w14:textId="77777777" w:rsidR="009F3DDD" w:rsidRDefault="009F3DDD" w:rsidP="00193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3BC"/>
    <w:multiLevelType w:val="hybridMultilevel"/>
    <w:tmpl w:val="12BE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75E7"/>
    <w:multiLevelType w:val="hybridMultilevel"/>
    <w:tmpl w:val="C066A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61AE"/>
    <w:multiLevelType w:val="hybridMultilevel"/>
    <w:tmpl w:val="4CC4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F3510"/>
    <w:multiLevelType w:val="hybridMultilevel"/>
    <w:tmpl w:val="A6B2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D4BAB"/>
    <w:multiLevelType w:val="hybridMultilevel"/>
    <w:tmpl w:val="2E14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3182F"/>
    <w:multiLevelType w:val="hybridMultilevel"/>
    <w:tmpl w:val="DDD6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D0FFC"/>
    <w:multiLevelType w:val="hybridMultilevel"/>
    <w:tmpl w:val="DEE8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E2F75"/>
    <w:multiLevelType w:val="hybridMultilevel"/>
    <w:tmpl w:val="34FC2542"/>
    <w:lvl w:ilvl="0" w:tplc="514C6A36">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6A5E42"/>
    <w:multiLevelType w:val="hybridMultilevel"/>
    <w:tmpl w:val="B6E879A8"/>
    <w:lvl w:ilvl="0" w:tplc="C602F716">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9" w15:restartNumberingAfterBreak="0">
    <w:nsid w:val="78B16FB1"/>
    <w:multiLevelType w:val="hybridMultilevel"/>
    <w:tmpl w:val="7C36CA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7832131">
    <w:abstractNumId w:val="6"/>
  </w:num>
  <w:num w:numId="2" w16cid:durableId="2002806769">
    <w:abstractNumId w:val="5"/>
  </w:num>
  <w:num w:numId="3" w16cid:durableId="1455371580">
    <w:abstractNumId w:val="2"/>
  </w:num>
  <w:num w:numId="4" w16cid:durableId="808666973">
    <w:abstractNumId w:val="0"/>
  </w:num>
  <w:num w:numId="5" w16cid:durableId="1315718669">
    <w:abstractNumId w:val="7"/>
  </w:num>
  <w:num w:numId="6" w16cid:durableId="966857445">
    <w:abstractNumId w:val="3"/>
  </w:num>
  <w:num w:numId="7" w16cid:durableId="653098027">
    <w:abstractNumId w:val="9"/>
  </w:num>
  <w:num w:numId="8" w16cid:durableId="256331007">
    <w:abstractNumId w:val="4"/>
  </w:num>
  <w:num w:numId="9" w16cid:durableId="345134622">
    <w:abstractNumId w:val="1"/>
  </w:num>
  <w:num w:numId="10" w16cid:durableId="480974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F7"/>
    <w:rsid w:val="00000DAE"/>
    <w:rsid w:val="000032E9"/>
    <w:rsid w:val="00005446"/>
    <w:rsid w:val="00022CE1"/>
    <w:rsid w:val="00024CFD"/>
    <w:rsid w:val="0007624A"/>
    <w:rsid w:val="0008172E"/>
    <w:rsid w:val="000831CC"/>
    <w:rsid w:val="000C5F2B"/>
    <w:rsid w:val="000D2416"/>
    <w:rsid w:val="00104890"/>
    <w:rsid w:val="00126994"/>
    <w:rsid w:val="001416FC"/>
    <w:rsid w:val="00151207"/>
    <w:rsid w:val="00173614"/>
    <w:rsid w:val="001757EC"/>
    <w:rsid w:val="00193247"/>
    <w:rsid w:val="001C79D7"/>
    <w:rsid w:val="001F3135"/>
    <w:rsid w:val="00235B47"/>
    <w:rsid w:val="00235EAE"/>
    <w:rsid w:val="00257E64"/>
    <w:rsid w:val="00276490"/>
    <w:rsid w:val="00296A50"/>
    <w:rsid w:val="002D689A"/>
    <w:rsid w:val="002E3F3D"/>
    <w:rsid w:val="0032679D"/>
    <w:rsid w:val="003A43C5"/>
    <w:rsid w:val="003A4B06"/>
    <w:rsid w:val="003D743F"/>
    <w:rsid w:val="003E2845"/>
    <w:rsid w:val="003F6607"/>
    <w:rsid w:val="00457345"/>
    <w:rsid w:val="0047112C"/>
    <w:rsid w:val="00484B97"/>
    <w:rsid w:val="004A7D1C"/>
    <w:rsid w:val="00561C80"/>
    <w:rsid w:val="005E5B6C"/>
    <w:rsid w:val="005F2B02"/>
    <w:rsid w:val="005F650F"/>
    <w:rsid w:val="006138C9"/>
    <w:rsid w:val="006356D4"/>
    <w:rsid w:val="00640706"/>
    <w:rsid w:val="00694FAC"/>
    <w:rsid w:val="006A4BE5"/>
    <w:rsid w:val="006D2CA4"/>
    <w:rsid w:val="006E728F"/>
    <w:rsid w:val="007152D6"/>
    <w:rsid w:val="0072359F"/>
    <w:rsid w:val="00742360"/>
    <w:rsid w:val="00757136"/>
    <w:rsid w:val="00764B4D"/>
    <w:rsid w:val="0078335D"/>
    <w:rsid w:val="00790687"/>
    <w:rsid w:val="00793436"/>
    <w:rsid w:val="007D0C58"/>
    <w:rsid w:val="007D13CB"/>
    <w:rsid w:val="007E3ACE"/>
    <w:rsid w:val="007E598D"/>
    <w:rsid w:val="00827105"/>
    <w:rsid w:val="00866644"/>
    <w:rsid w:val="00886463"/>
    <w:rsid w:val="00891F74"/>
    <w:rsid w:val="00893319"/>
    <w:rsid w:val="008F48B4"/>
    <w:rsid w:val="00901B4C"/>
    <w:rsid w:val="009132DA"/>
    <w:rsid w:val="00913488"/>
    <w:rsid w:val="00971D14"/>
    <w:rsid w:val="009A777B"/>
    <w:rsid w:val="009A7BE5"/>
    <w:rsid w:val="009B7A4F"/>
    <w:rsid w:val="009D0110"/>
    <w:rsid w:val="009F3DDD"/>
    <w:rsid w:val="00A4331A"/>
    <w:rsid w:val="00A7368A"/>
    <w:rsid w:val="00A73CAA"/>
    <w:rsid w:val="00AA2BEE"/>
    <w:rsid w:val="00AB53B7"/>
    <w:rsid w:val="00AC0E62"/>
    <w:rsid w:val="00AF0A36"/>
    <w:rsid w:val="00AF1155"/>
    <w:rsid w:val="00AF4856"/>
    <w:rsid w:val="00B013EB"/>
    <w:rsid w:val="00B458AC"/>
    <w:rsid w:val="00B51157"/>
    <w:rsid w:val="00BA1AD7"/>
    <w:rsid w:val="00BA4D21"/>
    <w:rsid w:val="00BA6707"/>
    <w:rsid w:val="00BF4294"/>
    <w:rsid w:val="00C2227B"/>
    <w:rsid w:val="00C34DD2"/>
    <w:rsid w:val="00C43706"/>
    <w:rsid w:val="00C54549"/>
    <w:rsid w:val="00D11F45"/>
    <w:rsid w:val="00D2580D"/>
    <w:rsid w:val="00DB1241"/>
    <w:rsid w:val="00E0510F"/>
    <w:rsid w:val="00E13953"/>
    <w:rsid w:val="00E1652E"/>
    <w:rsid w:val="00E21757"/>
    <w:rsid w:val="00E27F87"/>
    <w:rsid w:val="00E82BA8"/>
    <w:rsid w:val="00E9343F"/>
    <w:rsid w:val="00E979EB"/>
    <w:rsid w:val="00EA17F7"/>
    <w:rsid w:val="00EA1EBF"/>
    <w:rsid w:val="00EE44F8"/>
    <w:rsid w:val="00F00C92"/>
    <w:rsid w:val="00F2572B"/>
    <w:rsid w:val="00F25C2C"/>
    <w:rsid w:val="00F3189D"/>
    <w:rsid w:val="00F7205D"/>
    <w:rsid w:val="00F72C17"/>
    <w:rsid w:val="00FC20C1"/>
    <w:rsid w:val="00FC2B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41B8"/>
  <w15:chartTrackingRefBased/>
  <w15:docId w15:val="{E20D8948-2483-40F9-80AB-42878849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C2C"/>
    <w:rPr>
      <w:color w:val="0563C1" w:themeColor="hyperlink"/>
      <w:u w:val="single"/>
    </w:rPr>
  </w:style>
  <w:style w:type="character" w:styleId="UnresolvedMention">
    <w:name w:val="Unresolved Mention"/>
    <w:basedOn w:val="DefaultParagraphFont"/>
    <w:uiPriority w:val="99"/>
    <w:semiHidden/>
    <w:unhideWhenUsed/>
    <w:rsid w:val="00F25C2C"/>
    <w:rPr>
      <w:color w:val="605E5C"/>
      <w:shd w:val="clear" w:color="auto" w:fill="E1DFDD"/>
    </w:rPr>
  </w:style>
  <w:style w:type="paragraph" w:styleId="ListParagraph">
    <w:name w:val="List Paragraph"/>
    <w:basedOn w:val="Normal"/>
    <w:uiPriority w:val="34"/>
    <w:qFormat/>
    <w:rsid w:val="00173614"/>
    <w:pPr>
      <w:ind w:left="720"/>
      <w:contextualSpacing/>
    </w:pPr>
  </w:style>
  <w:style w:type="paragraph" w:styleId="Header">
    <w:name w:val="header"/>
    <w:basedOn w:val="Normal"/>
    <w:link w:val="HeaderChar"/>
    <w:uiPriority w:val="99"/>
    <w:unhideWhenUsed/>
    <w:rsid w:val="00193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247"/>
  </w:style>
  <w:style w:type="paragraph" w:styleId="Footer">
    <w:name w:val="footer"/>
    <w:basedOn w:val="Normal"/>
    <w:link w:val="FooterChar"/>
    <w:uiPriority w:val="99"/>
    <w:unhideWhenUsed/>
    <w:rsid w:val="00193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247"/>
  </w:style>
  <w:style w:type="character" w:styleId="CommentReference">
    <w:name w:val="annotation reference"/>
    <w:basedOn w:val="DefaultParagraphFont"/>
    <w:uiPriority w:val="99"/>
    <w:semiHidden/>
    <w:unhideWhenUsed/>
    <w:rsid w:val="000032E9"/>
    <w:rPr>
      <w:sz w:val="16"/>
      <w:szCs w:val="16"/>
    </w:rPr>
  </w:style>
  <w:style w:type="paragraph" w:styleId="CommentText">
    <w:name w:val="annotation text"/>
    <w:basedOn w:val="Normal"/>
    <w:link w:val="CommentTextChar"/>
    <w:unhideWhenUsed/>
    <w:rsid w:val="000032E9"/>
    <w:pPr>
      <w:spacing w:line="240" w:lineRule="auto"/>
    </w:pPr>
    <w:rPr>
      <w:sz w:val="20"/>
      <w:szCs w:val="20"/>
    </w:rPr>
  </w:style>
  <w:style w:type="character" w:customStyle="1" w:styleId="CommentTextChar">
    <w:name w:val="Comment Text Char"/>
    <w:basedOn w:val="DefaultParagraphFont"/>
    <w:link w:val="CommentText"/>
    <w:uiPriority w:val="99"/>
    <w:rsid w:val="000032E9"/>
    <w:rPr>
      <w:sz w:val="20"/>
      <w:szCs w:val="20"/>
    </w:rPr>
  </w:style>
  <w:style w:type="paragraph" w:styleId="Bibliography">
    <w:name w:val="Bibliography"/>
    <w:basedOn w:val="Normal"/>
    <w:next w:val="Normal"/>
    <w:uiPriority w:val="37"/>
    <w:unhideWhenUsed/>
    <w:rsid w:val="00E979EB"/>
    <w:pPr>
      <w:tabs>
        <w:tab w:val="left" w:pos="384"/>
      </w:tabs>
      <w:spacing w:after="240" w:line="240" w:lineRule="auto"/>
      <w:ind w:left="384" w:hanging="384"/>
    </w:pPr>
  </w:style>
  <w:style w:type="character" w:styleId="FollowedHyperlink">
    <w:name w:val="FollowedHyperlink"/>
    <w:basedOn w:val="DefaultParagraphFont"/>
    <w:uiPriority w:val="99"/>
    <w:semiHidden/>
    <w:unhideWhenUsed/>
    <w:rsid w:val="00640706"/>
    <w:rPr>
      <w:color w:val="954F72" w:themeColor="followedHyperlink"/>
      <w:u w:val="single"/>
    </w:rPr>
  </w:style>
  <w:style w:type="paragraph" w:styleId="Revision">
    <w:name w:val="Revision"/>
    <w:hidden/>
    <w:uiPriority w:val="99"/>
    <w:semiHidden/>
    <w:rsid w:val="001C7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1374">
      <w:bodyDiv w:val="1"/>
      <w:marLeft w:val="0"/>
      <w:marRight w:val="0"/>
      <w:marTop w:val="0"/>
      <w:marBottom w:val="0"/>
      <w:divBdr>
        <w:top w:val="none" w:sz="0" w:space="0" w:color="auto"/>
        <w:left w:val="none" w:sz="0" w:space="0" w:color="auto"/>
        <w:bottom w:val="none" w:sz="0" w:space="0" w:color="auto"/>
        <w:right w:val="none" w:sz="0" w:space="0" w:color="auto"/>
      </w:divBdr>
    </w:div>
    <w:div w:id="360783275">
      <w:bodyDiv w:val="1"/>
      <w:marLeft w:val="0"/>
      <w:marRight w:val="0"/>
      <w:marTop w:val="0"/>
      <w:marBottom w:val="0"/>
      <w:divBdr>
        <w:top w:val="none" w:sz="0" w:space="0" w:color="auto"/>
        <w:left w:val="none" w:sz="0" w:space="0" w:color="auto"/>
        <w:bottom w:val="none" w:sz="0" w:space="0" w:color="auto"/>
        <w:right w:val="none" w:sz="0" w:space="0" w:color="auto"/>
      </w:divBdr>
    </w:div>
    <w:div w:id="813453982">
      <w:bodyDiv w:val="1"/>
      <w:marLeft w:val="0"/>
      <w:marRight w:val="0"/>
      <w:marTop w:val="0"/>
      <w:marBottom w:val="0"/>
      <w:divBdr>
        <w:top w:val="none" w:sz="0" w:space="0" w:color="auto"/>
        <w:left w:val="none" w:sz="0" w:space="0" w:color="auto"/>
        <w:bottom w:val="none" w:sz="0" w:space="0" w:color="auto"/>
        <w:right w:val="none" w:sz="0" w:space="0" w:color="auto"/>
      </w:divBdr>
      <w:divsChild>
        <w:div w:id="207229286">
          <w:marLeft w:val="0"/>
          <w:marRight w:val="0"/>
          <w:marTop w:val="0"/>
          <w:marBottom w:val="0"/>
          <w:divBdr>
            <w:top w:val="none" w:sz="0" w:space="0" w:color="auto"/>
            <w:left w:val="none" w:sz="0" w:space="0" w:color="auto"/>
            <w:bottom w:val="none" w:sz="0" w:space="0" w:color="auto"/>
            <w:right w:val="none" w:sz="0" w:space="0" w:color="auto"/>
          </w:divBdr>
        </w:div>
        <w:div w:id="14405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seshealthstudy.org"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edrxiv.org/content/10.1101/2021.11.19.21266436v1"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precisionhealth.umich.edu/our-research/michigangenomics/"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sites.sph.harvard.edu/hpfs/"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TotalTime>
  <Pages>8</Pages>
  <Words>8910</Words>
  <Characters>50791</Characters>
  <Application>Microsoft Office Word</Application>
  <DocSecurity>0</DocSecurity>
  <Lines>423</Lines>
  <Paragraphs>119</Paragraphs>
  <ScaleCrop>false</ScaleCrop>
  <Company/>
  <LinksUpToDate>false</LinksUpToDate>
  <CharactersWithSpaces>59582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 Yon Ho</dc:creator>
  <cp:keywords/>
  <dc:description/>
  <cp:lastModifiedBy>Jee, Yon Ho</cp:lastModifiedBy>
  <cp:revision>104</cp:revision>
  <dcterms:created xsi:type="dcterms:W3CDTF">2023-01-08T19:39:00Z</dcterms:created>
  <dcterms:modified xsi:type="dcterms:W3CDTF">2023-12-23T09:24:00Z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id="nn8O7upI"/&gt;&lt;style id="http://www.zotero.org/styles/international-journal-of-epidemiology" hasBibliography="1" bibliographyStyleHasBeenSet="1"/&gt;&lt;prefs&gt;&lt;pref name="fieldType" value="Field"/&gt;&lt;/prefs</vt:lpwstr>
  </property>
  <property fmtid="{D5CDD505-2E9C-101B-9397-08002B2CF9AE}" pid="3" name="ZOTERO_PREF_2">
    <vt:lpwstr>&gt;&lt;/data&gt;</vt:lpwstr>
  </property>
</Properties>
</file>