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DB52" w14:textId="77777777" w:rsidR="00CB4FD0" w:rsidRPr="00A827D2" w:rsidRDefault="00CB4FD0" w:rsidP="00CB4FD0">
      <w:pPr>
        <w:spacing w:line="276" w:lineRule="auto"/>
        <w:rPr>
          <w:rFonts w:cstheme="minorHAnsi"/>
          <w:lang w:val="en-US"/>
        </w:rPr>
      </w:pPr>
    </w:p>
    <w:p w14:paraId="40A0AD02" w14:textId="77777777" w:rsidR="00CB4FD0" w:rsidRPr="00E95053" w:rsidRDefault="00CB4FD0" w:rsidP="00CB4FD0">
      <w:pPr>
        <w:spacing w:line="276" w:lineRule="auto"/>
        <w:rPr>
          <w:rFonts w:cstheme="minorHAnsi"/>
          <w:b/>
          <w:bCs/>
          <w:lang w:val="en-US"/>
        </w:rPr>
      </w:pPr>
      <w:r w:rsidRPr="00E95053">
        <w:rPr>
          <w:rFonts w:cstheme="minorHAnsi"/>
          <w:b/>
          <w:bCs/>
          <w:lang w:val="en-US"/>
        </w:rPr>
        <w:t xml:space="preserve">Table 1: Directed Content and Thematic Analysis adapted from </w:t>
      </w:r>
      <w:r w:rsidRPr="00E95053">
        <w:rPr>
          <w:rFonts w:cstheme="minorHAnsi"/>
          <w:b/>
          <w:bCs/>
        </w:rPr>
        <w:t>Hsieh</w:t>
      </w:r>
      <w:r w:rsidRPr="00E95053">
        <w:rPr>
          <w:rFonts w:cstheme="minorHAnsi"/>
          <w:b/>
          <w:bCs/>
          <w:lang w:val="en-US"/>
        </w:rPr>
        <w:t xml:space="preserve"> and Braun</w:t>
      </w:r>
      <w:sdt>
        <w:sdtPr>
          <w:rPr>
            <w:rFonts w:cstheme="minorHAnsi"/>
            <w:bCs/>
            <w:vertAlign w:val="superscript"/>
            <w:lang w:val="en-US"/>
          </w:rPr>
          <w:tag w:val="MENDELEY_CITATION_v3_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"/>
          <w:id w:val="-650367639"/>
          <w:placeholder>
            <w:docPart w:val="18BFCED2447844FE8A1370022E12DA03"/>
          </w:placeholder>
        </w:sdtPr>
        <w:sdtContent>
          <w:r w:rsidRPr="00E95053">
            <w:rPr>
              <w:rFonts w:cstheme="minorHAnsi"/>
              <w:bCs/>
              <w:vertAlign w:val="superscript"/>
              <w:lang w:val="en-US"/>
            </w:rPr>
            <w:t>48,49</w:t>
          </w:r>
        </w:sdtContent>
      </w:sdt>
    </w:p>
    <w:tbl>
      <w:tblPr>
        <w:tblStyle w:val="TableGrid"/>
        <w:tblW w:w="8347"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5665"/>
      </w:tblGrid>
      <w:tr w:rsidR="00CB4FD0" w:rsidRPr="00E95053" w14:paraId="743601AF" w14:textId="77777777" w:rsidTr="00E7094A">
        <w:tc>
          <w:tcPr>
            <w:tcW w:w="2682" w:type="dxa"/>
            <w:tcBorders>
              <w:top w:val="single" w:sz="4" w:space="0" w:color="auto"/>
              <w:bottom w:val="single" w:sz="4" w:space="0" w:color="auto"/>
            </w:tcBorders>
            <w:shd w:val="clear" w:color="auto" w:fill="auto"/>
          </w:tcPr>
          <w:p w14:paraId="6F1A05DB" w14:textId="77777777" w:rsidR="00CB4FD0" w:rsidRPr="00E95053" w:rsidRDefault="00CB4FD0" w:rsidP="00E7094A">
            <w:pPr>
              <w:spacing w:after="160" w:line="276" w:lineRule="auto"/>
              <w:rPr>
                <w:rFonts w:cstheme="minorHAnsi"/>
                <w:b/>
                <w:bCs/>
                <w:lang w:val="en-US"/>
              </w:rPr>
            </w:pPr>
            <w:r w:rsidRPr="00E95053">
              <w:rPr>
                <w:rFonts w:cstheme="minorHAnsi"/>
                <w:b/>
                <w:bCs/>
                <w:lang w:val="en-US"/>
              </w:rPr>
              <w:t>Stages</w:t>
            </w:r>
          </w:p>
        </w:tc>
        <w:tc>
          <w:tcPr>
            <w:tcW w:w="5665" w:type="dxa"/>
            <w:tcBorders>
              <w:top w:val="single" w:sz="4" w:space="0" w:color="auto"/>
              <w:bottom w:val="single" w:sz="4" w:space="0" w:color="auto"/>
            </w:tcBorders>
            <w:shd w:val="clear" w:color="auto" w:fill="auto"/>
          </w:tcPr>
          <w:p w14:paraId="545FA47C" w14:textId="77777777" w:rsidR="00CB4FD0" w:rsidRPr="00E95053" w:rsidRDefault="00CB4FD0" w:rsidP="00E7094A">
            <w:pPr>
              <w:spacing w:after="160" w:line="276" w:lineRule="auto"/>
              <w:rPr>
                <w:rFonts w:cstheme="minorHAnsi"/>
                <w:b/>
                <w:bCs/>
                <w:lang w:val="en-US"/>
              </w:rPr>
            </w:pPr>
            <w:r w:rsidRPr="00E95053">
              <w:rPr>
                <w:rFonts w:cstheme="minorHAnsi"/>
                <w:b/>
                <w:bCs/>
                <w:lang w:val="en-US"/>
              </w:rPr>
              <w:t xml:space="preserve"> Explanation</w:t>
            </w:r>
          </w:p>
        </w:tc>
      </w:tr>
      <w:tr w:rsidR="00CB4FD0" w:rsidRPr="00E95053" w14:paraId="1DD65E89" w14:textId="77777777" w:rsidTr="00E7094A">
        <w:tc>
          <w:tcPr>
            <w:tcW w:w="2682" w:type="dxa"/>
            <w:tcBorders>
              <w:top w:val="single" w:sz="4" w:space="0" w:color="auto"/>
            </w:tcBorders>
          </w:tcPr>
          <w:p w14:paraId="56EB9234" w14:textId="77777777" w:rsidR="00CB4FD0" w:rsidRPr="00E95053" w:rsidRDefault="00CB4FD0" w:rsidP="00E7094A">
            <w:pPr>
              <w:numPr>
                <w:ilvl w:val="0"/>
                <w:numId w:val="1"/>
              </w:numPr>
              <w:spacing w:after="160" w:line="276" w:lineRule="auto"/>
              <w:rPr>
                <w:rFonts w:cstheme="minorHAnsi"/>
                <w:b/>
                <w:bCs/>
                <w:lang w:val="en-US"/>
              </w:rPr>
            </w:pPr>
            <w:r w:rsidRPr="00E95053">
              <w:rPr>
                <w:rFonts w:cstheme="minorHAnsi"/>
                <w:b/>
                <w:bCs/>
                <w:lang w:val="en-US"/>
              </w:rPr>
              <w:t xml:space="preserve">Data Familiarisation </w:t>
            </w:r>
          </w:p>
        </w:tc>
        <w:tc>
          <w:tcPr>
            <w:tcW w:w="5665" w:type="dxa"/>
            <w:tcBorders>
              <w:top w:val="single" w:sz="4" w:space="0" w:color="auto"/>
            </w:tcBorders>
          </w:tcPr>
          <w:p w14:paraId="2654CA01" w14:textId="77777777" w:rsidR="00CB4FD0" w:rsidRPr="00E95053" w:rsidRDefault="00CB4FD0" w:rsidP="00E7094A">
            <w:pPr>
              <w:spacing w:after="160" w:line="276" w:lineRule="auto"/>
              <w:rPr>
                <w:rFonts w:cstheme="minorHAnsi"/>
                <w:lang w:val="en-US"/>
              </w:rPr>
            </w:pPr>
            <w:r w:rsidRPr="00E95053">
              <w:rPr>
                <w:rFonts w:cstheme="minorHAnsi"/>
                <w:lang w:val="en-US"/>
              </w:rPr>
              <w:t>Repeated reading and annotation of transcripts for immersion to gain an intimate knowledge of the data. While reading, key ideas and broad analytic thoughts were generated  for later review.</w:t>
            </w:r>
          </w:p>
        </w:tc>
      </w:tr>
      <w:tr w:rsidR="00CB4FD0" w:rsidRPr="00E95053" w14:paraId="27566CAF" w14:textId="77777777" w:rsidTr="00E7094A">
        <w:tc>
          <w:tcPr>
            <w:tcW w:w="2682" w:type="dxa"/>
          </w:tcPr>
          <w:p w14:paraId="43F55CE6" w14:textId="77777777" w:rsidR="00CB4FD0" w:rsidRPr="00E95053" w:rsidRDefault="00CB4FD0" w:rsidP="00E7094A">
            <w:pPr>
              <w:numPr>
                <w:ilvl w:val="0"/>
                <w:numId w:val="1"/>
              </w:numPr>
              <w:spacing w:after="160" w:line="276" w:lineRule="auto"/>
              <w:rPr>
                <w:rFonts w:cstheme="minorHAnsi"/>
                <w:b/>
                <w:bCs/>
                <w:lang w:val="en-US"/>
              </w:rPr>
            </w:pPr>
            <w:r w:rsidRPr="00E95053">
              <w:rPr>
                <w:rFonts w:cstheme="minorHAnsi"/>
                <w:b/>
                <w:bCs/>
                <w:lang w:val="en-US"/>
              </w:rPr>
              <w:t xml:space="preserve">Deductive Coding </w:t>
            </w:r>
          </w:p>
        </w:tc>
        <w:tc>
          <w:tcPr>
            <w:tcW w:w="5665" w:type="dxa"/>
          </w:tcPr>
          <w:p w14:paraId="36F9C70F" w14:textId="77777777" w:rsidR="00CB4FD0" w:rsidRPr="00E95053" w:rsidRDefault="00CB4FD0" w:rsidP="00E7094A">
            <w:pPr>
              <w:spacing w:after="160" w:line="276" w:lineRule="auto"/>
              <w:rPr>
                <w:rFonts w:cstheme="minorHAnsi"/>
                <w:lang w:val="en-US"/>
              </w:rPr>
            </w:pPr>
            <w:r w:rsidRPr="00E95053">
              <w:rPr>
                <w:rFonts w:cstheme="minorHAnsi"/>
                <w:lang w:val="en-US"/>
              </w:rPr>
              <w:t>Descriptive labelling of a subset of the data (15 purposively selected transcripts) with succinct tags/codes to identify attributes that were relevant to COM-B, TDF and research questions.</w:t>
            </w:r>
          </w:p>
        </w:tc>
      </w:tr>
      <w:tr w:rsidR="00CB4FD0" w:rsidRPr="00E95053" w14:paraId="2B9817C2" w14:textId="77777777" w:rsidTr="00E7094A">
        <w:tc>
          <w:tcPr>
            <w:tcW w:w="2682" w:type="dxa"/>
          </w:tcPr>
          <w:p w14:paraId="39942E12" w14:textId="77777777" w:rsidR="00CB4FD0" w:rsidRPr="00E95053" w:rsidRDefault="00CB4FD0" w:rsidP="00E7094A">
            <w:pPr>
              <w:numPr>
                <w:ilvl w:val="0"/>
                <w:numId w:val="1"/>
              </w:numPr>
              <w:spacing w:after="160" w:line="276" w:lineRule="auto"/>
              <w:rPr>
                <w:rFonts w:cstheme="minorHAnsi"/>
                <w:b/>
                <w:bCs/>
                <w:lang w:val="en-US"/>
              </w:rPr>
            </w:pPr>
            <w:r w:rsidRPr="00E95053">
              <w:rPr>
                <w:rFonts w:cstheme="minorHAnsi"/>
                <w:b/>
                <w:bCs/>
                <w:lang w:val="en-US"/>
              </w:rPr>
              <w:t>Development of Coding framework</w:t>
            </w:r>
          </w:p>
        </w:tc>
        <w:tc>
          <w:tcPr>
            <w:tcW w:w="5665" w:type="dxa"/>
          </w:tcPr>
          <w:p w14:paraId="04B840BC" w14:textId="44C78E74" w:rsidR="00CB4FD0" w:rsidRPr="00E95053" w:rsidRDefault="00CB4FD0" w:rsidP="00E7094A">
            <w:pPr>
              <w:spacing w:after="160" w:line="276" w:lineRule="auto"/>
              <w:rPr>
                <w:rFonts w:cstheme="minorHAnsi"/>
                <w:lang w:val="en-US"/>
              </w:rPr>
            </w:pPr>
            <w:r w:rsidRPr="00E95053">
              <w:rPr>
                <w:rFonts w:cstheme="minorHAnsi"/>
                <w:lang w:val="en-US"/>
              </w:rPr>
              <w:t>Categorization or grouping of initial codes to generate contextual descriptions and inferential meanings for later application on the entire dataset. This ended with the development of a COM-B/TDF guided codebook (See supplementa</w:t>
            </w:r>
            <w:r w:rsidR="0033655A">
              <w:rPr>
                <w:rFonts w:cstheme="minorHAnsi"/>
                <w:lang w:val="en-US"/>
              </w:rPr>
              <w:t>ry</w:t>
            </w:r>
            <w:r w:rsidRPr="00E95053">
              <w:rPr>
                <w:rFonts w:cstheme="minorHAnsi"/>
                <w:lang w:val="en-US"/>
              </w:rPr>
              <w:t xml:space="preserve"> file </w:t>
            </w:r>
            <w:r w:rsidR="00FB172B">
              <w:rPr>
                <w:rFonts w:cstheme="minorHAnsi"/>
                <w:lang w:val="en-US"/>
              </w:rPr>
              <w:t>1</w:t>
            </w:r>
            <w:r w:rsidRPr="00E95053">
              <w:rPr>
                <w:rFonts w:cstheme="minorHAnsi"/>
                <w:lang w:val="en-US"/>
              </w:rPr>
              <w:t>) that was later applied to the remaining data set for thematic analysis.</w:t>
            </w:r>
          </w:p>
        </w:tc>
      </w:tr>
      <w:tr w:rsidR="00CB4FD0" w:rsidRPr="00E95053" w14:paraId="204504C6" w14:textId="77777777" w:rsidTr="00E7094A">
        <w:tc>
          <w:tcPr>
            <w:tcW w:w="2682" w:type="dxa"/>
          </w:tcPr>
          <w:p w14:paraId="04D42E71" w14:textId="77777777" w:rsidR="00CB4FD0" w:rsidRPr="00E95053" w:rsidRDefault="00CB4FD0" w:rsidP="00E7094A">
            <w:pPr>
              <w:numPr>
                <w:ilvl w:val="0"/>
                <w:numId w:val="1"/>
              </w:numPr>
              <w:spacing w:after="160" w:line="276" w:lineRule="auto"/>
              <w:rPr>
                <w:rFonts w:cstheme="minorHAnsi"/>
                <w:b/>
                <w:bCs/>
                <w:lang w:val="en-US"/>
              </w:rPr>
            </w:pPr>
            <w:r w:rsidRPr="00E95053">
              <w:rPr>
                <w:rFonts w:cstheme="minorHAnsi"/>
                <w:b/>
                <w:bCs/>
                <w:lang w:val="en-US"/>
              </w:rPr>
              <w:t>Theme Identification</w:t>
            </w:r>
          </w:p>
        </w:tc>
        <w:tc>
          <w:tcPr>
            <w:tcW w:w="5665" w:type="dxa"/>
          </w:tcPr>
          <w:p w14:paraId="5B066B08" w14:textId="77777777" w:rsidR="00CB4FD0" w:rsidRPr="00E95053" w:rsidRDefault="00CB4FD0" w:rsidP="00E7094A">
            <w:pPr>
              <w:spacing w:after="160" w:line="276" w:lineRule="auto"/>
              <w:rPr>
                <w:rFonts w:cstheme="minorHAnsi"/>
                <w:lang w:val="en-US"/>
              </w:rPr>
            </w:pPr>
            <w:r w:rsidRPr="00E95053">
              <w:rPr>
                <w:rFonts w:cstheme="minorHAnsi"/>
                <w:lang w:val="en-US"/>
              </w:rPr>
              <w:t>Inductive application of coding framework on the entire dataset to generate candidate themes and belief statements that represent tentative themes.</w:t>
            </w:r>
          </w:p>
        </w:tc>
      </w:tr>
      <w:tr w:rsidR="00CB4FD0" w:rsidRPr="00E95053" w14:paraId="5FB0B20E" w14:textId="77777777" w:rsidTr="00E7094A">
        <w:tc>
          <w:tcPr>
            <w:tcW w:w="2682" w:type="dxa"/>
          </w:tcPr>
          <w:p w14:paraId="12D4E4DE" w14:textId="77777777" w:rsidR="00CB4FD0" w:rsidRPr="00E95053" w:rsidRDefault="00CB4FD0" w:rsidP="00E7094A">
            <w:pPr>
              <w:numPr>
                <w:ilvl w:val="0"/>
                <w:numId w:val="1"/>
              </w:numPr>
              <w:spacing w:after="160" w:line="276" w:lineRule="auto"/>
              <w:rPr>
                <w:rFonts w:cstheme="minorHAnsi"/>
                <w:b/>
                <w:bCs/>
                <w:lang w:val="en-US"/>
              </w:rPr>
            </w:pPr>
            <w:r w:rsidRPr="00E95053">
              <w:rPr>
                <w:rFonts w:cstheme="minorHAnsi"/>
                <w:b/>
                <w:bCs/>
                <w:lang w:val="en-US"/>
              </w:rPr>
              <w:t>Theme Review</w:t>
            </w:r>
          </w:p>
        </w:tc>
        <w:tc>
          <w:tcPr>
            <w:tcW w:w="5665" w:type="dxa"/>
          </w:tcPr>
          <w:p w14:paraId="0C5CD053" w14:textId="77777777" w:rsidR="00CB4FD0" w:rsidRPr="00E95053" w:rsidRDefault="00CB4FD0" w:rsidP="00E7094A">
            <w:pPr>
              <w:spacing w:after="160" w:line="276" w:lineRule="auto"/>
              <w:rPr>
                <w:rFonts w:cstheme="minorHAnsi"/>
                <w:lang w:val="en-US"/>
              </w:rPr>
            </w:pPr>
            <w:r w:rsidRPr="00E95053">
              <w:rPr>
                <w:rFonts w:cstheme="minorHAnsi"/>
                <w:lang w:val="en-US"/>
              </w:rPr>
              <w:t>Testing candidate themes against the entire dataset for coherency and consistency in the theme narrative.</w:t>
            </w:r>
          </w:p>
        </w:tc>
      </w:tr>
      <w:tr w:rsidR="00CB4FD0" w:rsidRPr="00E95053" w14:paraId="1566F17D" w14:textId="77777777" w:rsidTr="00E7094A">
        <w:tc>
          <w:tcPr>
            <w:tcW w:w="2682" w:type="dxa"/>
          </w:tcPr>
          <w:p w14:paraId="18AB9BE1" w14:textId="77777777" w:rsidR="00CB4FD0" w:rsidRPr="00E95053" w:rsidRDefault="00CB4FD0" w:rsidP="00E7094A">
            <w:pPr>
              <w:numPr>
                <w:ilvl w:val="0"/>
                <w:numId w:val="1"/>
              </w:numPr>
              <w:spacing w:after="160" w:line="276" w:lineRule="auto"/>
              <w:rPr>
                <w:rFonts w:cstheme="minorHAnsi"/>
                <w:b/>
                <w:bCs/>
                <w:lang w:val="en-US"/>
              </w:rPr>
            </w:pPr>
            <w:r w:rsidRPr="00E95053">
              <w:rPr>
                <w:rFonts w:cstheme="minorHAnsi"/>
                <w:b/>
                <w:bCs/>
                <w:lang w:val="en-US"/>
              </w:rPr>
              <w:t>Theme Refinement</w:t>
            </w:r>
          </w:p>
        </w:tc>
        <w:tc>
          <w:tcPr>
            <w:tcW w:w="5665" w:type="dxa"/>
          </w:tcPr>
          <w:p w14:paraId="0A87C395" w14:textId="77777777" w:rsidR="00CB4FD0" w:rsidRPr="00E95053" w:rsidRDefault="00CB4FD0" w:rsidP="00E7094A">
            <w:pPr>
              <w:spacing w:after="160" w:line="276" w:lineRule="auto"/>
              <w:rPr>
                <w:rFonts w:cstheme="minorHAnsi"/>
                <w:lang w:val="en-US"/>
              </w:rPr>
            </w:pPr>
            <w:r w:rsidRPr="00E95053">
              <w:rPr>
                <w:rFonts w:cstheme="minorHAnsi"/>
                <w:lang w:val="en-US"/>
              </w:rPr>
              <w:t>Amalgamation and linking of candidate themes into dominant categories. This involved detailed analysis of each theme to decide its name, scope and whether or not it needs to be split or left to stand alone.</w:t>
            </w:r>
          </w:p>
        </w:tc>
      </w:tr>
      <w:tr w:rsidR="00CB4FD0" w:rsidRPr="00E95053" w14:paraId="1BF89FBA" w14:textId="77777777" w:rsidTr="00E7094A">
        <w:tc>
          <w:tcPr>
            <w:tcW w:w="2682" w:type="dxa"/>
          </w:tcPr>
          <w:p w14:paraId="294B1164" w14:textId="77777777" w:rsidR="00CB4FD0" w:rsidRPr="00E95053" w:rsidRDefault="00CB4FD0" w:rsidP="00E7094A">
            <w:pPr>
              <w:numPr>
                <w:ilvl w:val="0"/>
                <w:numId w:val="1"/>
              </w:numPr>
              <w:spacing w:after="160" w:line="276" w:lineRule="auto"/>
              <w:rPr>
                <w:rFonts w:cstheme="minorHAnsi"/>
                <w:b/>
                <w:bCs/>
                <w:lang w:val="en-US"/>
              </w:rPr>
            </w:pPr>
            <w:r w:rsidRPr="00E95053">
              <w:rPr>
                <w:rFonts w:cstheme="minorHAnsi"/>
                <w:b/>
                <w:bCs/>
                <w:lang w:val="en-US"/>
              </w:rPr>
              <w:t>Interpretation and  Writing up</w:t>
            </w:r>
          </w:p>
        </w:tc>
        <w:tc>
          <w:tcPr>
            <w:tcW w:w="5665" w:type="dxa"/>
          </w:tcPr>
          <w:p w14:paraId="3FE70005" w14:textId="77777777" w:rsidR="00CB4FD0" w:rsidRPr="00E95053" w:rsidRDefault="00CB4FD0" w:rsidP="00E7094A">
            <w:pPr>
              <w:spacing w:after="160" w:line="276" w:lineRule="auto"/>
              <w:rPr>
                <w:rFonts w:cstheme="minorHAnsi"/>
                <w:lang w:val="en-US"/>
              </w:rPr>
            </w:pPr>
            <w:r w:rsidRPr="00E95053">
              <w:rPr>
                <w:rFonts w:cstheme="minorHAnsi"/>
                <w:lang w:val="en-US"/>
              </w:rPr>
              <w:t>Description of themes, reflection and explanation of patterns within themes and reporting with illustrative participant quotes that back up themes.</w:t>
            </w:r>
          </w:p>
        </w:tc>
      </w:tr>
    </w:tbl>
    <w:p w14:paraId="406B0770" w14:textId="77777777" w:rsidR="003A11EC" w:rsidRDefault="003A11EC"/>
    <w:sectPr w:rsidR="003A1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B1A2A"/>
    <w:multiLevelType w:val="hybridMultilevel"/>
    <w:tmpl w:val="F55092E0"/>
    <w:lvl w:ilvl="0" w:tplc="1FCC6054">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3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D0"/>
    <w:rsid w:val="0033655A"/>
    <w:rsid w:val="003A11EC"/>
    <w:rsid w:val="008032CA"/>
    <w:rsid w:val="00881D9D"/>
    <w:rsid w:val="00CB4FD0"/>
    <w:rsid w:val="00FB1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7803"/>
  <w15:chartTrackingRefBased/>
  <w15:docId w15:val="{D5942D46-BA71-4D9D-A601-A5CBAD9E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FD0"/>
  </w:style>
  <w:style w:type="paragraph" w:styleId="Heading3">
    <w:name w:val="heading 3"/>
    <w:basedOn w:val="Normal"/>
    <w:link w:val="Heading3Char"/>
    <w:uiPriority w:val="9"/>
    <w:qFormat/>
    <w:rsid w:val="00881D9D"/>
    <w:pPr>
      <w:spacing w:before="100" w:beforeAutospacing="1" w:after="100" w:afterAutospacing="1" w:line="240" w:lineRule="auto"/>
      <w:outlineLvl w:val="2"/>
    </w:pPr>
    <w:rPr>
      <w:rFonts w:asciiTheme="majorHAnsi" w:eastAsia="Times New Roman" w:hAnsiTheme="majorHAnsi" w:cs="Times New Roman"/>
      <w:bCs/>
      <w:color w:val="4472C4" w:themeColor="accent1"/>
      <w:kern w:val="0"/>
      <w:sz w:val="24"/>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1D9D"/>
    <w:rPr>
      <w:rFonts w:asciiTheme="majorHAnsi" w:eastAsia="Times New Roman" w:hAnsiTheme="majorHAnsi" w:cs="Times New Roman"/>
      <w:bCs/>
      <w:color w:val="4472C4" w:themeColor="accent1"/>
      <w:kern w:val="0"/>
      <w:sz w:val="24"/>
      <w:szCs w:val="27"/>
      <w:lang w:eastAsia="en-GB"/>
    </w:rPr>
  </w:style>
  <w:style w:type="table" w:styleId="TableGrid">
    <w:name w:val="Table Grid"/>
    <w:basedOn w:val="TableNormal"/>
    <w:uiPriority w:val="39"/>
    <w:rsid w:val="00CB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BFCED2447844FE8A1370022E12DA03"/>
        <w:category>
          <w:name w:val="General"/>
          <w:gallery w:val="placeholder"/>
        </w:category>
        <w:types>
          <w:type w:val="bbPlcHdr"/>
        </w:types>
        <w:behaviors>
          <w:behavior w:val="content"/>
        </w:behaviors>
        <w:guid w:val="{DE4C64B6-B793-4389-8B7C-99607F350657}"/>
      </w:docPartPr>
      <w:docPartBody>
        <w:p w:rsidR="00000000" w:rsidRDefault="00B43FD5" w:rsidP="00B43FD5">
          <w:pPr>
            <w:pStyle w:val="18BFCED2447844FE8A1370022E12DA03"/>
          </w:pPr>
          <w:r w:rsidRPr="005956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D5"/>
    <w:rsid w:val="009C048F"/>
    <w:rsid w:val="00B43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FD5"/>
    <w:rPr>
      <w:color w:val="666666"/>
    </w:rPr>
  </w:style>
  <w:style w:type="paragraph" w:customStyle="1" w:styleId="18BFCED2447844FE8A1370022E12DA03">
    <w:name w:val="18BFCED2447844FE8A1370022E12DA03"/>
    <w:rsid w:val="00B43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Haritu Foglabenchi</dc:creator>
  <cp:keywords/>
  <dc:description/>
  <cp:lastModifiedBy>Lily Haritu Foglabenchi</cp:lastModifiedBy>
  <cp:revision>2</cp:revision>
  <dcterms:created xsi:type="dcterms:W3CDTF">2023-12-20T13:19:00Z</dcterms:created>
  <dcterms:modified xsi:type="dcterms:W3CDTF">2023-12-20T13:52:00Z</dcterms:modified>
</cp:coreProperties>
</file>