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C02E" w14:textId="205423F7" w:rsidR="00404FC6" w:rsidRPr="00F042EA" w:rsidRDefault="00986994" w:rsidP="00763AB8">
      <w:pPr>
        <w:spacing w:line="240" w:lineRule="auto"/>
        <w:rPr>
          <w:rFonts w:cs="Arial"/>
        </w:rPr>
      </w:pPr>
      <w:r w:rsidRPr="00F9183B">
        <w:rPr>
          <w:rFonts w:cs="Arial"/>
          <w:b/>
          <w:bCs/>
          <w:sz w:val="26"/>
          <w:szCs w:val="26"/>
        </w:rPr>
        <w:t xml:space="preserve">NECTAR4: A five-arm trial comparing artesunate-amodiaquine and artemether-lumefantrine-amodiaquine with or without single-dose primaquine to reduce </w:t>
      </w:r>
      <w:r w:rsidRPr="00F9183B">
        <w:rPr>
          <w:rFonts w:cs="Arial"/>
          <w:b/>
          <w:bCs/>
          <w:i/>
          <w:iCs/>
          <w:sz w:val="26"/>
          <w:szCs w:val="26"/>
        </w:rPr>
        <w:t>P. falciparum</w:t>
      </w:r>
      <w:r w:rsidRPr="00F9183B">
        <w:rPr>
          <w:rFonts w:cs="Arial"/>
          <w:b/>
          <w:bCs/>
          <w:sz w:val="26"/>
          <w:szCs w:val="26"/>
        </w:rPr>
        <w:t xml:space="preserve"> transmission in Mali</w:t>
      </w:r>
      <w:r w:rsidRPr="00F9183B">
        <w:rPr>
          <w:rFonts w:cs="Arial"/>
          <w:sz w:val="26"/>
          <w:szCs w:val="26"/>
        </w:rPr>
        <w:t xml:space="preserve"> </w:t>
      </w:r>
    </w:p>
    <w:p w14:paraId="72B46AD1" w14:textId="77777777" w:rsidR="00B51162" w:rsidRDefault="00B51162" w:rsidP="00763AB8">
      <w:pPr>
        <w:spacing w:line="240" w:lineRule="auto"/>
        <w:jc w:val="both"/>
        <w:rPr>
          <w:rFonts w:cs="Arial"/>
          <w:b/>
          <w:u w:val="single"/>
        </w:rPr>
      </w:pPr>
    </w:p>
    <w:p w14:paraId="78AF004C" w14:textId="0073BA08" w:rsidR="00371F6D" w:rsidRPr="00F042EA" w:rsidRDefault="00371F6D" w:rsidP="00763AB8">
      <w:pPr>
        <w:spacing w:line="240" w:lineRule="auto"/>
        <w:jc w:val="both"/>
        <w:rPr>
          <w:rFonts w:cs="Arial"/>
          <w:b/>
          <w:sz w:val="24"/>
        </w:rPr>
      </w:pPr>
      <w:r w:rsidRPr="00F042EA">
        <w:rPr>
          <w:rFonts w:cs="Arial"/>
          <w:b/>
          <w:u w:val="single"/>
        </w:rPr>
        <w:t>Principal Investigators</w:t>
      </w:r>
    </w:p>
    <w:tbl>
      <w:tblPr>
        <w:tblStyle w:val="TableGrid"/>
        <w:tblW w:w="94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787"/>
      </w:tblGrid>
      <w:tr w:rsidR="00371F6D" w:rsidRPr="00F042EA" w14:paraId="72B8D60B" w14:textId="77777777" w:rsidTr="00404FC6">
        <w:trPr>
          <w:trHeight w:val="1947"/>
        </w:trPr>
        <w:tc>
          <w:tcPr>
            <w:tcW w:w="4655" w:type="dxa"/>
          </w:tcPr>
          <w:p w14:paraId="6CAB5712" w14:textId="77777777" w:rsidR="00371F6D" w:rsidRPr="00F042EA" w:rsidRDefault="00371F6D" w:rsidP="00763AB8">
            <w:pPr>
              <w:spacing w:line="240" w:lineRule="auto"/>
              <w:jc w:val="both"/>
              <w:rPr>
                <w:rFonts w:cs="Arial"/>
              </w:rPr>
            </w:pPr>
            <w:r w:rsidRPr="00F042EA">
              <w:rPr>
                <w:rFonts w:cs="Arial"/>
              </w:rPr>
              <w:t xml:space="preserve">Prof Alassane </w:t>
            </w:r>
            <w:proofErr w:type="spellStart"/>
            <w:r w:rsidRPr="00F042EA">
              <w:rPr>
                <w:rFonts w:cs="Arial"/>
              </w:rPr>
              <w:t>Dicko</w:t>
            </w:r>
            <w:proofErr w:type="spellEnd"/>
          </w:p>
          <w:p w14:paraId="04384A4C" w14:textId="77777777" w:rsidR="00371F6D" w:rsidRPr="00F042EA" w:rsidRDefault="00371F6D" w:rsidP="00763AB8">
            <w:pPr>
              <w:spacing w:line="240" w:lineRule="auto"/>
              <w:jc w:val="both"/>
              <w:rPr>
                <w:rFonts w:cs="Arial"/>
              </w:rPr>
            </w:pPr>
            <w:r w:rsidRPr="00F042EA">
              <w:rPr>
                <w:rFonts w:cs="Arial"/>
              </w:rPr>
              <w:t>Faculty of Pharmacy and Faculty of Medicine and Dentistry, University of Sciences Techniques and Technologies of Bamako, Mali</w:t>
            </w:r>
          </w:p>
          <w:p w14:paraId="7E8709B7" w14:textId="77777777" w:rsidR="00371F6D" w:rsidRPr="00F042EA" w:rsidRDefault="00371F6D" w:rsidP="00763AB8">
            <w:pPr>
              <w:spacing w:line="240" w:lineRule="auto"/>
              <w:jc w:val="both"/>
              <w:rPr>
                <w:rFonts w:cs="Arial"/>
              </w:rPr>
            </w:pPr>
            <w:r w:rsidRPr="00F042EA">
              <w:rPr>
                <w:rFonts w:cs="Arial"/>
              </w:rPr>
              <w:t xml:space="preserve">Prof. </w:t>
            </w:r>
            <w:proofErr w:type="spellStart"/>
            <w:r w:rsidRPr="00F042EA">
              <w:rPr>
                <w:rFonts w:cs="Arial"/>
              </w:rPr>
              <w:t>Dr.</w:t>
            </w:r>
            <w:proofErr w:type="spellEnd"/>
            <w:r w:rsidRPr="00F042EA">
              <w:rPr>
                <w:rFonts w:cs="Arial"/>
              </w:rPr>
              <w:t xml:space="preserve"> Chris Drakeley</w:t>
            </w:r>
          </w:p>
          <w:p w14:paraId="1D8CB5F5" w14:textId="77777777" w:rsidR="00371F6D" w:rsidRPr="00F042EA" w:rsidRDefault="00371F6D" w:rsidP="00763AB8">
            <w:pPr>
              <w:spacing w:line="240" w:lineRule="auto"/>
              <w:jc w:val="both"/>
              <w:rPr>
                <w:rFonts w:cs="Arial"/>
              </w:rPr>
            </w:pPr>
            <w:r w:rsidRPr="00F042EA">
              <w:rPr>
                <w:rFonts w:cs="Arial"/>
              </w:rPr>
              <w:t>London School of Hygiene &amp; Tropical Medicine, United Kingdom</w:t>
            </w:r>
          </w:p>
        </w:tc>
        <w:tc>
          <w:tcPr>
            <w:tcW w:w="4787" w:type="dxa"/>
          </w:tcPr>
          <w:p w14:paraId="3A2D30E0" w14:textId="77777777" w:rsidR="00371F6D" w:rsidRPr="00F042EA" w:rsidRDefault="00371F6D" w:rsidP="00763AB8">
            <w:pPr>
              <w:spacing w:line="240" w:lineRule="auto"/>
              <w:jc w:val="both"/>
              <w:rPr>
                <w:rFonts w:cs="Arial"/>
              </w:rPr>
            </w:pPr>
          </w:p>
        </w:tc>
      </w:tr>
      <w:tr w:rsidR="00371F6D" w:rsidRPr="00F042EA" w14:paraId="0068A93A" w14:textId="77777777" w:rsidTr="00404FC6">
        <w:trPr>
          <w:trHeight w:val="3829"/>
        </w:trPr>
        <w:tc>
          <w:tcPr>
            <w:tcW w:w="4655" w:type="dxa"/>
          </w:tcPr>
          <w:p w14:paraId="37F84794" w14:textId="77777777" w:rsidR="00371F6D" w:rsidRPr="00F042EA" w:rsidRDefault="00371F6D" w:rsidP="00763AB8">
            <w:pPr>
              <w:spacing w:line="240" w:lineRule="auto"/>
              <w:jc w:val="both"/>
              <w:rPr>
                <w:rFonts w:cs="Arial"/>
                <w:b/>
                <w:u w:val="single"/>
              </w:rPr>
            </w:pPr>
          </w:p>
          <w:p w14:paraId="4ADEBBAD" w14:textId="77777777" w:rsidR="00371F6D" w:rsidRPr="00F042EA" w:rsidRDefault="00371F6D" w:rsidP="00763AB8">
            <w:pPr>
              <w:spacing w:line="240" w:lineRule="auto"/>
              <w:jc w:val="both"/>
              <w:rPr>
                <w:rFonts w:cs="Arial"/>
                <w:b/>
                <w:u w:val="single"/>
              </w:rPr>
            </w:pPr>
            <w:r w:rsidRPr="00F042EA">
              <w:rPr>
                <w:rFonts w:cs="Arial"/>
                <w:b/>
                <w:u w:val="single"/>
              </w:rPr>
              <w:t>Co-investigators: Mali</w:t>
            </w:r>
          </w:p>
          <w:p w14:paraId="5DD2BD8D" w14:textId="77777777" w:rsidR="00371F6D" w:rsidRPr="00F042EA" w:rsidRDefault="00371F6D" w:rsidP="00763AB8">
            <w:pPr>
              <w:spacing w:line="240" w:lineRule="auto"/>
              <w:jc w:val="both"/>
              <w:rPr>
                <w:rFonts w:cs="Arial"/>
              </w:rPr>
            </w:pPr>
            <w:proofErr w:type="spellStart"/>
            <w:r w:rsidRPr="00F042EA">
              <w:rPr>
                <w:rFonts w:cs="Arial"/>
              </w:rPr>
              <w:t>Dr.</w:t>
            </w:r>
            <w:proofErr w:type="spellEnd"/>
            <w:r w:rsidRPr="00F042EA">
              <w:rPr>
                <w:rFonts w:cs="Arial"/>
              </w:rPr>
              <w:t xml:space="preserve"> </w:t>
            </w:r>
            <w:proofErr w:type="spellStart"/>
            <w:r w:rsidRPr="00F042EA">
              <w:rPr>
                <w:rFonts w:cs="Arial"/>
              </w:rPr>
              <w:t>Halimatou</w:t>
            </w:r>
            <w:proofErr w:type="spellEnd"/>
            <w:r w:rsidRPr="00F042EA">
              <w:rPr>
                <w:rFonts w:cs="Arial"/>
              </w:rPr>
              <w:t xml:space="preserve"> Diawara</w:t>
            </w:r>
          </w:p>
          <w:p w14:paraId="78BEC507" w14:textId="77777777" w:rsidR="00371F6D" w:rsidRPr="00F042EA" w:rsidRDefault="00371F6D" w:rsidP="00763AB8">
            <w:pPr>
              <w:spacing w:line="240" w:lineRule="auto"/>
              <w:jc w:val="both"/>
              <w:rPr>
                <w:rFonts w:cs="Arial"/>
              </w:rPr>
            </w:pPr>
            <w:proofErr w:type="spellStart"/>
            <w:r w:rsidRPr="00F042EA">
              <w:rPr>
                <w:rFonts w:cs="Arial"/>
              </w:rPr>
              <w:t>Dr.</w:t>
            </w:r>
            <w:proofErr w:type="spellEnd"/>
            <w:r w:rsidRPr="00F042EA">
              <w:rPr>
                <w:rFonts w:cs="Arial"/>
              </w:rPr>
              <w:t xml:space="preserve"> </w:t>
            </w:r>
            <w:proofErr w:type="spellStart"/>
            <w:r w:rsidRPr="00F042EA">
              <w:rPr>
                <w:rFonts w:cs="Arial"/>
              </w:rPr>
              <w:t>Almahamoudou</w:t>
            </w:r>
            <w:proofErr w:type="spellEnd"/>
            <w:r w:rsidRPr="00F042EA">
              <w:rPr>
                <w:rFonts w:cs="Arial"/>
              </w:rPr>
              <w:t xml:space="preserve"> </w:t>
            </w:r>
            <w:proofErr w:type="spellStart"/>
            <w:r w:rsidRPr="00F042EA">
              <w:rPr>
                <w:rFonts w:cs="Arial"/>
              </w:rPr>
              <w:t>Mahamar</w:t>
            </w:r>
            <w:proofErr w:type="spellEnd"/>
          </w:p>
          <w:p w14:paraId="49999295" w14:textId="77777777" w:rsidR="00371F6D" w:rsidRPr="00F042EA" w:rsidRDefault="00371F6D" w:rsidP="00763AB8">
            <w:pPr>
              <w:spacing w:line="240" w:lineRule="auto"/>
              <w:jc w:val="both"/>
              <w:rPr>
                <w:rFonts w:cs="Arial"/>
              </w:rPr>
            </w:pPr>
            <w:proofErr w:type="spellStart"/>
            <w:r w:rsidRPr="00F042EA">
              <w:rPr>
                <w:rFonts w:cs="Arial"/>
              </w:rPr>
              <w:t>Dr.</w:t>
            </w:r>
            <w:proofErr w:type="spellEnd"/>
            <w:r w:rsidRPr="00F042EA">
              <w:rPr>
                <w:rFonts w:cs="Arial"/>
              </w:rPr>
              <w:t xml:space="preserve"> </w:t>
            </w:r>
            <w:proofErr w:type="spellStart"/>
            <w:r w:rsidRPr="00F042EA">
              <w:rPr>
                <w:rFonts w:cs="Arial"/>
              </w:rPr>
              <w:t>Harouna</w:t>
            </w:r>
            <w:proofErr w:type="spellEnd"/>
            <w:r w:rsidRPr="00F042EA">
              <w:rPr>
                <w:rFonts w:cs="Arial"/>
              </w:rPr>
              <w:t xml:space="preserve"> </w:t>
            </w:r>
            <w:proofErr w:type="spellStart"/>
            <w:r w:rsidRPr="00F042EA">
              <w:rPr>
                <w:rFonts w:cs="Arial"/>
              </w:rPr>
              <w:t>Soumare</w:t>
            </w:r>
            <w:proofErr w:type="spellEnd"/>
          </w:p>
          <w:p w14:paraId="23992D7B" w14:textId="77777777" w:rsidR="00371F6D" w:rsidRPr="00F042EA" w:rsidRDefault="00371F6D" w:rsidP="00763AB8">
            <w:pPr>
              <w:spacing w:line="240" w:lineRule="auto"/>
              <w:jc w:val="both"/>
              <w:rPr>
                <w:rFonts w:cs="Arial"/>
              </w:rPr>
            </w:pPr>
            <w:proofErr w:type="spellStart"/>
            <w:r w:rsidRPr="00F042EA">
              <w:rPr>
                <w:rFonts w:cs="Arial"/>
              </w:rPr>
              <w:t>Dr.</w:t>
            </w:r>
            <w:proofErr w:type="spellEnd"/>
            <w:r w:rsidRPr="00F042EA">
              <w:rPr>
                <w:rFonts w:cs="Arial"/>
              </w:rPr>
              <w:t xml:space="preserve"> </w:t>
            </w:r>
            <w:proofErr w:type="spellStart"/>
            <w:r w:rsidRPr="00F042EA">
              <w:rPr>
                <w:rFonts w:cs="Arial"/>
              </w:rPr>
              <w:t>Djibrilla</w:t>
            </w:r>
            <w:proofErr w:type="spellEnd"/>
            <w:r w:rsidRPr="00F042EA">
              <w:rPr>
                <w:rFonts w:cs="Arial"/>
              </w:rPr>
              <w:t xml:space="preserve"> </w:t>
            </w:r>
            <w:proofErr w:type="spellStart"/>
            <w:r w:rsidRPr="00F042EA">
              <w:rPr>
                <w:rFonts w:cs="Arial"/>
              </w:rPr>
              <w:t>Issiaka</w:t>
            </w:r>
            <w:proofErr w:type="spellEnd"/>
          </w:p>
          <w:p w14:paraId="467288DF" w14:textId="77777777" w:rsidR="00371F6D" w:rsidRPr="00F042EA" w:rsidRDefault="00371F6D" w:rsidP="00763AB8">
            <w:pPr>
              <w:spacing w:line="240" w:lineRule="auto"/>
              <w:jc w:val="both"/>
              <w:rPr>
                <w:rFonts w:cs="Arial"/>
              </w:rPr>
            </w:pPr>
            <w:r w:rsidRPr="00F042EA">
              <w:rPr>
                <w:rFonts w:cs="Arial"/>
              </w:rPr>
              <w:t>Prof. Cheick Traore</w:t>
            </w:r>
          </w:p>
          <w:p w14:paraId="32F9ADE7" w14:textId="77777777" w:rsidR="00371F6D" w:rsidRPr="00F042EA" w:rsidRDefault="00371F6D" w:rsidP="00763AB8">
            <w:pPr>
              <w:spacing w:line="240" w:lineRule="auto"/>
              <w:jc w:val="both"/>
              <w:rPr>
                <w:rFonts w:cs="Arial"/>
              </w:rPr>
            </w:pPr>
            <w:r w:rsidRPr="00F042EA">
              <w:rPr>
                <w:rFonts w:cs="Arial"/>
              </w:rPr>
              <w:t>Malaria Research and Training Centre, Faculty of Pharmacy and Faculty of Medicine and Dentistry, University of Sciences Techniques and Technologies of Bamako, Mali</w:t>
            </w:r>
          </w:p>
        </w:tc>
        <w:tc>
          <w:tcPr>
            <w:tcW w:w="4787" w:type="dxa"/>
          </w:tcPr>
          <w:p w14:paraId="2F91370F" w14:textId="77777777" w:rsidR="00371F6D" w:rsidRPr="00F042EA" w:rsidRDefault="00371F6D" w:rsidP="00763AB8">
            <w:pPr>
              <w:spacing w:line="240" w:lineRule="auto"/>
              <w:jc w:val="both"/>
              <w:rPr>
                <w:rFonts w:cs="Arial"/>
                <w:b/>
                <w:u w:val="single"/>
              </w:rPr>
            </w:pPr>
          </w:p>
          <w:p w14:paraId="70FA0081" w14:textId="77777777" w:rsidR="00371F6D" w:rsidRPr="00F042EA" w:rsidRDefault="00371F6D" w:rsidP="00763AB8">
            <w:pPr>
              <w:spacing w:line="240" w:lineRule="auto"/>
              <w:jc w:val="both"/>
              <w:rPr>
                <w:rFonts w:cs="Arial"/>
                <w:b/>
                <w:u w:val="single"/>
              </w:rPr>
            </w:pPr>
            <w:r w:rsidRPr="00F042EA">
              <w:rPr>
                <w:rFonts w:cs="Arial"/>
                <w:b/>
                <w:u w:val="single"/>
              </w:rPr>
              <w:t>Co-investigators: International</w:t>
            </w:r>
          </w:p>
          <w:p w14:paraId="41F24EB2" w14:textId="3723FAFC" w:rsidR="00371F6D" w:rsidRDefault="00371F6D" w:rsidP="00763AB8">
            <w:pPr>
              <w:spacing w:line="240" w:lineRule="auto"/>
              <w:jc w:val="both"/>
              <w:rPr>
                <w:rFonts w:cs="Arial"/>
              </w:rPr>
            </w:pPr>
            <w:r w:rsidRPr="00F042EA">
              <w:rPr>
                <w:rFonts w:cs="Arial"/>
              </w:rPr>
              <w:t>Prof. Teun Bousema</w:t>
            </w:r>
          </w:p>
          <w:p w14:paraId="7A605622" w14:textId="7E63D9C7" w:rsidR="001558AD" w:rsidRPr="00F042EA" w:rsidRDefault="001558AD" w:rsidP="00763AB8">
            <w:pPr>
              <w:spacing w:line="240" w:lineRule="auto"/>
              <w:jc w:val="both"/>
              <w:rPr>
                <w:rFonts w:cs="Arial"/>
              </w:rPr>
            </w:pPr>
            <w:proofErr w:type="spellStart"/>
            <w:r>
              <w:rPr>
                <w:rFonts w:cs="Arial"/>
              </w:rPr>
              <w:t>Dr</w:t>
            </w:r>
            <w:r w:rsidR="004C2AEA">
              <w:rPr>
                <w:rFonts w:cs="Arial"/>
              </w:rPr>
              <w:t>s</w:t>
            </w:r>
            <w:r>
              <w:rPr>
                <w:rFonts w:cs="Arial"/>
              </w:rPr>
              <w:t>.</w:t>
            </w:r>
            <w:proofErr w:type="spellEnd"/>
            <w:r>
              <w:rPr>
                <w:rFonts w:cs="Arial"/>
              </w:rPr>
              <w:t xml:space="preserve"> </w:t>
            </w:r>
            <w:proofErr w:type="spellStart"/>
            <w:r>
              <w:rPr>
                <w:rFonts w:cs="Arial"/>
              </w:rPr>
              <w:t>Merel</w:t>
            </w:r>
            <w:proofErr w:type="spellEnd"/>
            <w:r>
              <w:rPr>
                <w:rFonts w:cs="Arial"/>
              </w:rPr>
              <w:t xml:space="preserve"> Smit</w:t>
            </w:r>
          </w:p>
          <w:p w14:paraId="07C1E9FE" w14:textId="44414BD3" w:rsidR="00371F6D" w:rsidRPr="00F042EA" w:rsidRDefault="00371F6D" w:rsidP="00763AB8">
            <w:pPr>
              <w:spacing w:line="240" w:lineRule="auto"/>
              <w:jc w:val="both"/>
              <w:rPr>
                <w:rFonts w:cs="Arial"/>
              </w:rPr>
            </w:pPr>
            <w:r w:rsidRPr="00F042EA">
              <w:rPr>
                <w:rFonts w:cs="Arial"/>
              </w:rPr>
              <w:t>Radboud Universit</w:t>
            </w:r>
            <w:r w:rsidR="004C2AEA">
              <w:rPr>
                <w:rFonts w:cs="Arial"/>
              </w:rPr>
              <w:t xml:space="preserve">y Medical </w:t>
            </w:r>
            <w:proofErr w:type="spellStart"/>
            <w:r w:rsidR="004C2AEA">
              <w:rPr>
                <w:rFonts w:cs="Arial"/>
              </w:rPr>
              <w:t>Center</w:t>
            </w:r>
            <w:proofErr w:type="spellEnd"/>
            <w:r w:rsidR="004C2AEA">
              <w:rPr>
                <w:rFonts w:cs="Arial"/>
              </w:rPr>
              <w:t xml:space="preserve">, </w:t>
            </w:r>
            <w:r w:rsidRPr="00F042EA">
              <w:rPr>
                <w:rFonts w:cs="Arial"/>
              </w:rPr>
              <w:t>Nijmegen, The Netherlands</w:t>
            </w:r>
          </w:p>
          <w:p w14:paraId="353A7B42" w14:textId="77777777" w:rsidR="00371F6D" w:rsidRPr="00F042EA" w:rsidRDefault="00371F6D" w:rsidP="00763AB8">
            <w:pPr>
              <w:spacing w:line="240" w:lineRule="auto"/>
              <w:jc w:val="both"/>
              <w:rPr>
                <w:rFonts w:cs="Arial"/>
              </w:rPr>
            </w:pPr>
          </w:p>
          <w:p w14:paraId="1F975F7B" w14:textId="3E07AB29" w:rsidR="00371F6D" w:rsidRPr="00B74826" w:rsidRDefault="00371F6D" w:rsidP="00763AB8">
            <w:pPr>
              <w:spacing w:line="240" w:lineRule="auto"/>
              <w:jc w:val="both"/>
              <w:rPr>
                <w:rFonts w:cs="Arial"/>
                <w:lang w:val="nl-NL"/>
              </w:rPr>
            </w:pPr>
            <w:r w:rsidRPr="00B74826">
              <w:rPr>
                <w:rFonts w:cs="Arial"/>
                <w:lang w:val="nl-NL"/>
              </w:rPr>
              <w:t>Dr. William Stone</w:t>
            </w:r>
          </w:p>
          <w:p w14:paraId="473E084E" w14:textId="1569AEA4" w:rsidR="001558AD" w:rsidRPr="00B74826" w:rsidRDefault="001558AD" w:rsidP="00763AB8">
            <w:pPr>
              <w:spacing w:line="240" w:lineRule="auto"/>
              <w:jc w:val="both"/>
              <w:rPr>
                <w:rFonts w:cs="Arial"/>
                <w:lang w:val="nl-NL"/>
              </w:rPr>
            </w:pPr>
            <w:r w:rsidRPr="00B74826">
              <w:rPr>
                <w:rFonts w:cs="Arial"/>
                <w:lang w:val="nl-NL"/>
              </w:rPr>
              <w:t>Dr. Leen Vanheer</w:t>
            </w:r>
          </w:p>
          <w:p w14:paraId="71D37284" w14:textId="77777777" w:rsidR="00371F6D" w:rsidRDefault="00371F6D" w:rsidP="001558AD">
            <w:pPr>
              <w:spacing w:line="240" w:lineRule="auto"/>
              <w:jc w:val="both"/>
              <w:rPr>
                <w:rFonts w:cs="Arial"/>
              </w:rPr>
            </w:pPr>
            <w:r w:rsidRPr="00F042EA">
              <w:rPr>
                <w:rFonts w:cs="Arial"/>
              </w:rPr>
              <w:t>London School of Hygiene &amp; Tropical Medicine, United Kingdom</w:t>
            </w:r>
          </w:p>
          <w:p w14:paraId="56867CA5" w14:textId="3928EB30" w:rsidR="001558AD" w:rsidRPr="00F042EA" w:rsidRDefault="001558AD" w:rsidP="001558AD">
            <w:pPr>
              <w:spacing w:line="240" w:lineRule="auto"/>
              <w:jc w:val="both"/>
              <w:rPr>
                <w:rFonts w:cs="Arial"/>
              </w:rPr>
            </w:pPr>
          </w:p>
        </w:tc>
      </w:tr>
    </w:tbl>
    <w:p w14:paraId="6D7385A1" w14:textId="77777777" w:rsidR="001558AD" w:rsidRDefault="001558AD" w:rsidP="00763AB8">
      <w:pPr>
        <w:spacing w:line="240" w:lineRule="auto"/>
        <w:jc w:val="both"/>
        <w:rPr>
          <w:rFonts w:cs="Arial"/>
        </w:rPr>
      </w:pPr>
    </w:p>
    <w:p w14:paraId="4A30BD08" w14:textId="47323DA4" w:rsidR="00371F6D" w:rsidRPr="00F042EA" w:rsidRDefault="00371F6D" w:rsidP="00763AB8">
      <w:pPr>
        <w:spacing w:line="240" w:lineRule="auto"/>
        <w:jc w:val="both"/>
        <w:rPr>
          <w:rFonts w:cs="Arial"/>
        </w:rPr>
      </w:pPr>
      <w:r w:rsidRPr="00F042EA">
        <w:rPr>
          <w:rFonts w:cs="Arial"/>
        </w:rPr>
        <w:t>London School of Hygiene &amp; Tropical Medicine is the main research sponsor for this study.  For further information regarding the sponsorship conditions, please contact the Research Governance and Integrity Office:</w:t>
      </w:r>
      <w:r w:rsidRPr="00F042EA">
        <w:rPr>
          <w:rFonts w:cs="Arial"/>
        </w:rPr>
        <w:tab/>
      </w:r>
    </w:p>
    <w:p w14:paraId="4AD0C721" w14:textId="77777777" w:rsidR="00371F6D" w:rsidRPr="00F042EA" w:rsidRDefault="00371F6D" w:rsidP="00763AB8">
      <w:pPr>
        <w:spacing w:line="240" w:lineRule="auto"/>
        <w:jc w:val="both"/>
        <w:rPr>
          <w:rFonts w:cs="Arial"/>
        </w:rPr>
      </w:pPr>
      <w:r w:rsidRPr="00F042EA">
        <w:rPr>
          <w:rFonts w:cs="Arial"/>
        </w:rPr>
        <w:t>London School of Hygiene &amp; Tropical Medicine</w:t>
      </w:r>
    </w:p>
    <w:p w14:paraId="46742271" w14:textId="77777777" w:rsidR="00371F6D" w:rsidRPr="00F042EA" w:rsidRDefault="00371F6D" w:rsidP="00763AB8">
      <w:pPr>
        <w:spacing w:line="240" w:lineRule="auto"/>
        <w:jc w:val="both"/>
        <w:rPr>
          <w:rFonts w:cs="Arial"/>
        </w:rPr>
      </w:pPr>
      <w:r w:rsidRPr="00F042EA">
        <w:rPr>
          <w:rFonts w:cs="Arial"/>
        </w:rPr>
        <w:t>Keppel Street</w:t>
      </w:r>
    </w:p>
    <w:p w14:paraId="705A20A4" w14:textId="77777777" w:rsidR="00371F6D" w:rsidRPr="00F042EA" w:rsidRDefault="00371F6D" w:rsidP="00763AB8">
      <w:pPr>
        <w:spacing w:line="240" w:lineRule="auto"/>
        <w:jc w:val="both"/>
        <w:rPr>
          <w:rFonts w:cs="Arial"/>
        </w:rPr>
      </w:pPr>
      <w:r w:rsidRPr="00F042EA">
        <w:rPr>
          <w:rFonts w:cs="Arial"/>
        </w:rPr>
        <w:t>London WC1E 7HT</w:t>
      </w:r>
    </w:p>
    <w:p w14:paraId="4CA31A61" w14:textId="77777777" w:rsidR="00371F6D" w:rsidRPr="00F042EA" w:rsidRDefault="00371F6D" w:rsidP="00763AB8">
      <w:pPr>
        <w:spacing w:line="240" w:lineRule="auto"/>
        <w:jc w:val="both"/>
        <w:rPr>
          <w:rFonts w:cs="Arial"/>
        </w:rPr>
      </w:pPr>
      <w:r w:rsidRPr="00F042EA">
        <w:rPr>
          <w:rFonts w:cs="Arial"/>
        </w:rPr>
        <w:t>Tel: +44 207 927 2626</w:t>
      </w:r>
    </w:p>
    <w:p w14:paraId="2837DD2C" w14:textId="77777777" w:rsidR="00371F6D" w:rsidRPr="00F042EA" w:rsidRDefault="00371F6D" w:rsidP="00763AB8">
      <w:pPr>
        <w:spacing w:line="240" w:lineRule="auto"/>
        <w:jc w:val="both"/>
        <w:rPr>
          <w:rFonts w:cs="Arial"/>
        </w:rPr>
      </w:pPr>
      <w:r w:rsidRPr="00F042EA">
        <w:rPr>
          <w:rFonts w:cs="Arial"/>
        </w:rPr>
        <w:t>Email: RGIO@lshtm.ac.uk</w:t>
      </w:r>
    </w:p>
    <w:p w14:paraId="022CA3F9" w14:textId="77777777" w:rsidR="00371F6D" w:rsidRPr="00F042EA" w:rsidRDefault="00371F6D" w:rsidP="00763AB8">
      <w:pPr>
        <w:spacing w:line="240" w:lineRule="auto"/>
        <w:jc w:val="both"/>
        <w:rPr>
          <w:rFonts w:cs="Arial"/>
        </w:rPr>
      </w:pPr>
    </w:p>
    <w:p w14:paraId="059B49C6" w14:textId="325938AA" w:rsidR="00371F6D" w:rsidRPr="00F042EA" w:rsidRDefault="00371F6D" w:rsidP="00763AB8">
      <w:pPr>
        <w:spacing w:line="240" w:lineRule="auto"/>
        <w:jc w:val="both"/>
        <w:rPr>
          <w:rFonts w:cs="Arial"/>
          <w:i/>
        </w:rPr>
      </w:pPr>
      <w:r w:rsidRPr="00F042EA">
        <w:rPr>
          <w:rFonts w:cs="Arial"/>
          <w:i/>
        </w:rPr>
        <w:t xml:space="preserve">Planned start date:    </w:t>
      </w:r>
      <w:r w:rsidR="001558AD">
        <w:rPr>
          <w:rFonts w:cs="Arial"/>
          <w:i/>
        </w:rPr>
        <w:tab/>
        <w:t>September</w:t>
      </w:r>
      <w:r w:rsidRPr="00F042EA">
        <w:rPr>
          <w:rFonts w:cs="Arial"/>
          <w:i/>
        </w:rPr>
        <w:t xml:space="preserve"> 2022</w:t>
      </w:r>
    </w:p>
    <w:p w14:paraId="3169DAE5" w14:textId="0EF46DB5" w:rsidR="00371F6D" w:rsidRPr="00F042EA" w:rsidRDefault="00371F6D" w:rsidP="00763AB8">
      <w:pPr>
        <w:spacing w:line="240" w:lineRule="auto"/>
        <w:jc w:val="both"/>
        <w:rPr>
          <w:rFonts w:cs="Arial"/>
          <w:i/>
        </w:rPr>
      </w:pPr>
      <w:r w:rsidRPr="00F042EA">
        <w:rPr>
          <w:rFonts w:cs="Arial"/>
          <w:i/>
        </w:rPr>
        <w:t xml:space="preserve">Planned end date:      </w:t>
      </w:r>
      <w:r w:rsidR="0032382A">
        <w:rPr>
          <w:rFonts w:cs="Arial"/>
          <w:i/>
        </w:rPr>
        <w:t>July</w:t>
      </w:r>
      <w:r w:rsidRPr="00F042EA">
        <w:rPr>
          <w:rFonts w:cs="Arial"/>
          <w:i/>
        </w:rPr>
        <w:t xml:space="preserve"> 2023</w:t>
      </w:r>
    </w:p>
    <w:p w14:paraId="5EEE3998" w14:textId="52185D2C" w:rsidR="00763AB8" w:rsidRDefault="00763AB8" w:rsidP="00763AB8">
      <w:pPr>
        <w:spacing w:before="100" w:beforeAutospacing="1" w:after="100" w:afterAutospacing="1" w:line="240" w:lineRule="auto"/>
        <w:rPr>
          <w:rFonts w:cs="Arial"/>
        </w:rPr>
      </w:pPr>
      <w:bookmarkStart w:id="0" w:name="_Toc100231681"/>
      <w:bookmarkStart w:id="1" w:name="_Toc100231813"/>
      <w:bookmarkStart w:id="2" w:name="_Toc100231920"/>
      <w:bookmarkStart w:id="3" w:name="_Toc100232043"/>
      <w:bookmarkStart w:id="4" w:name="_Toc100306356"/>
    </w:p>
    <w:p w14:paraId="0BBB4431" w14:textId="029F59D8" w:rsidR="00F73996" w:rsidRPr="00F9183B" w:rsidRDefault="00F73996" w:rsidP="00F9183B">
      <w:pPr>
        <w:pStyle w:val="TOC1"/>
        <w:rPr>
          <w:rFonts w:ascii="Arial" w:hAnsi="Arial" w:cs="Arial"/>
          <w:sz w:val="22"/>
          <w:szCs w:val="22"/>
        </w:rPr>
      </w:pPr>
      <w:r w:rsidRPr="00F9183B">
        <w:rPr>
          <w:rFonts w:ascii="Arial" w:hAnsi="Arial" w:cs="Arial"/>
          <w:sz w:val="22"/>
          <w:szCs w:val="22"/>
        </w:rPr>
        <w:lastRenderedPageBreak/>
        <w:t>TABLE OF CONTENTS</w:t>
      </w:r>
    </w:p>
    <w:bookmarkStart w:id="5" w:name="_Toc101204951"/>
    <w:bookmarkStart w:id="6" w:name="_Toc101205070"/>
    <w:bookmarkStart w:id="7" w:name="_Toc101205217"/>
    <w:bookmarkStart w:id="8" w:name="_Toc102984933"/>
    <w:p w14:paraId="1C09AEC1" w14:textId="29F31A24" w:rsidR="00226F09" w:rsidRPr="00F9183B" w:rsidRDefault="00F73996" w:rsidP="00F9183B">
      <w:pPr>
        <w:pStyle w:val="TOC1"/>
        <w:rPr>
          <w:rFonts w:ascii="Arial" w:eastAsiaTheme="minorEastAsia" w:hAnsi="Arial" w:cs="Arial"/>
          <w:noProof/>
          <w:lang w:eastAsia="en-GB"/>
        </w:rPr>
      </w:pPr>
      <w:r w:rsidRPr="00F9183B">
        <w:rPr>
          <w:rFonts w:ascii="Arial" w:hAnsi="Arial" w:cs="Arial"/>
        </w:rPr>
        <w:fldChar w:fldCharType="begin"/>
      </w:r>
      <w:r w:rsidRPr="00F9183B">
        <w:rPr>
          <w:rFonts w:ascii="Arial" w:hAnsi="Arial" w:cs="Arial"/>
        </w:rPr>
        <w:instrText xml:space="preserve"> TOC \o "1-3" \h \z \u </w:instrText>
      </w:r>
      <w:r w:rsidRPr="00F9183B">
        <w:rPr>
          <w:rFonts w:ascii="Arial" w:hAnsi="Arial" w:cs="Arial"/>
        </w:rPr>
        <w:fldChar w:fldCharType="separate"/>
      </w:r>
      <w:hyperlink w:anchor="_Toc106288862" w:history="1">
        <w:r w:rsidR="00226F09" w:rsidRPr="00F9183B">
          <w:rPr>
            <w:rStyle w:val="Hyperlink"/>
            <w:rFonts w:ascii="Arial" w:hAnsi="Arial" w:cs="Arial"/>
            <w:b w:val="0"/>
            <w:bCs w:val="0"/>
            <w:i w:val="0"/>
            <w:iCs w:val="0"/>
            <w:noProof/>
            <w:sz w:val="21"/>
            <w:szCs w:val="21"/>
          </w:rPr>
          <w:t>1.</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LIST OF ABBREVIATIONS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_Toc106288862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4</w:t>
        </w:r>
        <w:r w:rsidR="00226F09" w:rsidRPr="00F9183B">
          <w:rPr>
            <w:rFonts w:ascii="Arial" w:hAnsi="Arial" w:cs="Arial"/>
            <w:noProof/>
            <w:webHidden/>
          </w:rPr>
          <w:fldChar w:fldCharType="end"/>
        </w:r>
      </w:hyperlink>
    </w:p>
    <w:p w14:paraId="3A81E3AD" w14:textId="73B1B496" w:rsidR="00226F09" w:rsidRPr="00F9183B" w:rsidRDefault="00000000" w:rsidP="00F9183B">
      <w:pPr>
        <w:pStyle w:val="TOC1"/>
        <w:rPr>
          <w:rFonts w:ascii="Arial" w:eastAsiaTheme="minorEastAsia" w:hAnsi="Arial" w:cs="Arial"/>
          <w:noProof/>
          <w:lang w:eastAsia="en-GB"/>
        </w:rPr>
      </w:pPr>
      <w:hyperlink w:anchor="_Toc106288863" w:history="1">
        <w:r w:rsidR="00226F09" w:rsidRPr="00F9183B">
          <w:rPr>
            <w:rStyle w:val="Hyperlink"/>
            <w:rFonts w:ascii="Arial" w:hAnsi="Arial" w:cs="Arial"/>
            <w:b w:val="0"/>
            <w:bCs w:val="0"/>
            <w:i w:val="0"/>
            <w:iCs w:val="0"/>
            <w:noProof/>
            <w:sz w:val="21"/>
            <w:szCs w:val="21"/>
          </w:rPr>
          <w:t>2.</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STUDY SYNOPSIS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_Toc106288863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4</w:t>
        </w:r>
        <w:r w:rsidR="00226F09" w:rsidRPr="00F9183B">
          <w:rPr>
            <w:rFonts w:ascii="Arial" w:hAnsi="Arial" w:cs="Arial"/>
            <w:noProof/>
            <w:webHidden/>
          </w:rPr>
          <w:fldChar w:fldCharType="end"/>
        </w:r>
      </w:hyperlink>
    </w:p>
    <w:p w14:paraId="24083B37" w14:textId="0ED36CF3" w:rsidR="00226F09" w:rsidRPr="00F9183B" w:rsidRDefault="00000000" w:rsidP="00F9183B">
      <w:pPr>
        <w:pStyle w:val="TOC1"/>
        <w:rPr>
          <w:rFonts w:ascii="Arial" w:eastAsiaTheme="minorEastAsia" w:hAnsi="Arial" w:cs="Arial"/>
          <w:noProof/>
          <w:lang w:eastAsia="en-GB"/>
        </w:rPr>
      </w:pPr>
      <w:hyperlink w:anchor="_Toc106288864" w:history="1">
        <w:r w:rsidR="00226F09" w:rsidRPr="00F9183B">
          <w:rPr>
            <w:rStyle w:val="Hyperlink"/>
            <w:rFonts w:ascii="Arial" w:hAnsi="Arial" w:cs="Arial"/>
            <w:b w:val="0"/>
            <w:bCs w:val="0"/>
            <w:i w:val="0"/>
            <w:iCs w:val="0"/>
            <w:noProof/>
            <w:sz w:val="21"/>
            <w:szCs w:val="21"/>
          </w:rPr>
          <w:t>3.</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STUDY BACKGROUND AND RATIONALE</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_Toc106288864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5</w:t>
        </w:r>
        <w:r w:rsidR="00226F09" w:rsidRPr="00F9183B">
          <w:rPr>
            <w:rFonts w:ascii="Arial" w:hAnsi="Arial" w:cs="Arial"/>
            <w:noProof/>
            <w:webHidden/>
          </w:rPr>
          <w:fldChar w:fldCharType="end"/>
        </w:r>
      </w:hyperlink>
    </w:p>
    <w:p w14:paraId="6AD47EE0" w14:textId="16896196" w:rsidR="00226F09" w:rsidRPr="00F9183B" w:rsidRDefault="00000000" w:rsidP="00FB1BFD">
      <w:pPr>
        <w:pStyle w:val="TOC2"/>
        <w:rPr>
          <w:rFonts w:eastAsiaTheme="minorEastAsia"/>
          <w:b/>
          <w:bCs/>
          <w:sz w:val="21"/>
          <w:szCs w:val="21"/>
          <w:lang w:eastAsia="en-GB"/>
        </w:rPr>
      </w:pPr>
      <w:hyperlink w:anchor="_Toc106288865" w:history="1">
        <w:r w:rsidR="00226F09" w:rsidRPr="00F9183B">
          <w:rPr>
            <w:rStyle w:val="Hyperlink"/>
          </w:rPr>
          <w:t>3.1.</w:t>
        </w:r>
        <w:r w:rsidR="00226F09" w:rsidRPr="00F9183B">
          <w:rPr>
            <w:rFonts w:eastAsiaTheme="minorEastAsia"/>
            <w:sz w:val="21"/>
            <w:szCs w:val="21"/>
            <w:lang w:eastAsia="en-GB"/>
          </w:rPr>
          <w:tab/>
        </w:r>
        <w:r w:rsidR="00226F09" w:rsidRPr="00F9183B">
          <w:rPr>
            <w:rStyle w:val="Hyperlink"/>
          </w:rPr>
          <w:t>Background</w:t>
        </w:r>
        <w:r w:rsidR="00226F09" w:rsidRPr="00F9183B">
          <w:rPr>
            <w:webHidden/>
          </w:rPr>
          <w:tab/>
        </w:r>
        <w:r w:rsidR="00226F09" w:rsidRPr="00F9183B">
          <w:rPr>
            <w:b/>
            <w:bCs/>
            <w:webHidden/>
          </w:rPr>
          <w:fldChar w:fldCharType="begin"/>
        </w:r>
        <w:r w:rsidR="00226F09" w:rsidRPr="00F9183B">
          <w:rPr>
            <w:webHidden/>
          </w:rPr>
          <w:instrText xml:space="preserve"> PAGEREF _Toc106288865 \h </w:instrText>
        </w:r>
        <w:r w:rsidR="00226F09" w:rsidRPr="00F9183B">
          <w:rPr>
            <w:b/>
            <w:bCs/>
            <w:webHidden/>
          </w:rPr>
        </w:r>
        <w:r w:rsidR="00226F09" w:rsidRPr="00F9183B">
          <w:rPr>
            <w:b/>
            <w:bCs/>
            <w:webHidden/>
          </w:rPr>
          <w:fldChar w:fldCharType="separate"/>
        </w:r>
        <w:r w:rsidR="00C310F3" w:rsidRPr="00F9183B">
          <w:rPr>
            <w:webHidden/>
          </w:rPr>
          <w:t>5</w:t>
        </w:r>
        <w:r w:rsidR="00226F09" w:rsidRPr="00F9183B">
          <w:rPr>
            <w:b/>
            <w:bCs/>
            <w:webHidden/>
          </w:rPr>
          <w:fldChar w:fldCharType="end"/>
        </w:r>
      </w:hyperlink>
    </w:p>
    <w:p w14:paraId="751445AB" w14:textId="31296F57" w:rsidR="00226F09" w:rsidRPr="00F9183B" w:rsidRDefault="00000000" w:rsidP="00FB1BFD">
      <w:pPr>
        <w:pStyle w:val="TOC2"/>
        <w:rPr>
          <w:rFonts w:eastAsiaTheme="minorEastAsia"/>
          <w:b/>
          <w:bCs/>
          <w:sz w:val="21"/>
          <w:szCs w:val="21"/>
          <w:lang w:eastAsia="en-GB"/>
        </w:rPr>
      </w:pPr>
      <w:hyperlink w:anchor="_Toc106288866" w:history="1">
        <w:r w:rsidR="00226F09" w:rsidRPr="00F9183B">
          <w:rPr>
            <w:rStyle w:val="Hyperlink"/>
          </w:rPr>
          <w:t>3.2.</w:t>
        </w:r>
        <w:r w:rsidR="00226F09" w:rsidRPr="00F9183B">
          <w:rPr>
            <w:rFonts w:eastAsiaTheme="minorEastAsia"/>
            <w:sz w:val="21"/>
            <w:szCs w:val="21"/>
            <w:lang w:eastAsia="en-GB"/>
          </w:rPr>
          <w:tab/>
        </w:r>
        <w:r w:rsidR="00226F09" w:rsidRPr="00F9183B">
          <w:rPr>
            <w:rStyle w:val="Hyperlink"/>
          </w:rPr>
          <w:t>Rationale</w:t>
        </w:r>
        <w:r w:rsidR="00226F09" w:rsidRPr="00F9183B">
          <w:rPr>
            <w:webHidden/>
          </w:rPr>
          <w:tab/>
        </w:r>
        <w:r w:rsidR="00226F09" w:rsidRPr="00F9183B">
          <w:rPr>
            <w:b/>
            <w:bCs/>
            <w:webHidden/>
          </w:rPr>
          <w:fldChar w:fldCharType="begin"/>
        </w:r>
        <w:r w:rsidR="00226F09" w:rsidRPr="00F9183B">
          <w:rPr>
            <w:webHidden/>
          </w:rPr>
          <w:instrText xml:space="preserve"> PAGEREF _Toc106288866 \h </w:instrText>
        </w:r>
        <w:r w:rsidR="00226F09" w:rsidRPr="00F9183B">
          <w:rPr>
            <w:b/>
            <w:bCs/>
            <w:webHidden/>
          </w:rPr>
        </w:r>
        <w:r w:rsidR="00226F09" w:rsidRPr="00F9183B">
          <w:rPr>
            <w:b/>
            <w:bCs/>
            <w:webHidden/>
          </w:rPr>
          <w:fldChar w:fldCharType="separate"/>
        </w:r>
        <w:r w:rsidR="00C310F3" w:rsidRPr="00F9183B">
          <w:rPr>
            <w:webHidden/>
          </w:rPr>
          <w:t>6</w:t>
        </w:r>
        <w:r w:rsidR="00226F09" w:rsidRPr="00F9183B">
          <w:rPr>
            <w:b/>
            <w:bCs/>
            <w:webHidden/>
          </w:rPr>
          <w:fldChar w:fldCharType="end"/>
        </w:r>
      </w:hyperlink>
    </w:p>
    <w:p w14:paraId="25C19959" w14:textId="49628B3D" w:rsidR="00226F09" w:rsidRPr="00F9183B" w:rsidRDefault="00000000" w:rsidP="00F9183B">
      <w:pPr>
        <w:pStyle w:val="TOC1"/>
        <w:rPr>
          <w:rFonts w:ascii="Arial" w:eastAsiaTheme="minorEastAsia" w:hAnsi="Arial" w:cs="Arial"/>
          <w:noProof/>
          <w:lang w:eastAsia="en-GB"/>
        </w:rPr>
      </w:pPr>
      <w:hyperlink w:anchor="_Toc106288867" w:history="1">
        <w:r w:rsidR="00226F09" w:rsidRPr="00F9183B">
          <w:rPr>
            <w:rStyle w:val="Hyperlink"/>
            <w:rFonts w:ascii="Arial" w:hAnsi="Arial" w:cs="Arial"/>
            <w:b w:val="0"/>
            <w:bCs w:val="0"/>
            <w:i w:val="0"/>
            <w:iCs w:val="0"/>
            <w:noProof/>
            <w:sz w:val="21"/>
            <w:szCs w:val="21"/>
          </w:rPr>
          <w:t>4.</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OBJECTIVES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_Toc106288867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7</w:t>
        </w:r>
        <w:r w:rsidR="00226F09" w:rsidRPr="00F9183B">
          <w:rPr>
            <w:rFonts w:ascii="Arial" w:hAnsi="Arial" w:cs="Arial"/>
            <w:noProof/>
            <w:webHidden/>
          </w:rPr>
          <w:fldChar w:fldCharType="end"/>
        </w:r>
      </w:hyperlink>
    </w:p>
    <w:p w14:paraId="0F24B849" w14:textId="47E1F003" w:rsidR="00226F09" w:rsidRPr="00F9183B" w:rsidRDefault="00000000" w:rsidP="00FB1BFD">
      <w:pPr>
        <w:pStyle w:val="TOC2"/>
        <w:rPr>
          <w:rFonts w:eastAsiaTheme="minorEastAsia"/>
          <w:b/>
          <w:bCs/>
          <w:sz w:val="21"/>
          <w:szCs w:val="21"/>
          <w:lang w:eastAsia="en-GB"/>
        </w:rPr>
      </w:pPr>
      <w:hyperlink w:anchor="_Toc106288868" w:history="1">
        <w:r w:rsidR="00226F09" w:rsidRPr="00F9183B">
          <w:rPr>
            <w:rStyle w:val="Hyperlink"/>
          </w:rPr>
          <w:t>4.1.</w:t>
        </w:r>
        <w:r w:rsidR="00226F09" w:rsidRPr="00F9183B">
          <w:rPr>
            <w:rFonts w:eastAsiaTheme="minorEastAsia"/>
            <w:sz w:val="21"/>
            <w:szCs w:val="21"/>
            <w:lang w:eastAsia="en-GB"/>
          </w:rPr>
          <w:tab/>
        </w:r>
        <w:r w:rsidR="00226F09" w:rsidRPr="00F9183B">
          <w:rPr>
            <w:rStyle w:val="Hyperlink"/>
          </w:rPr>
          <w:t>Primary specific objective</w:t>
        </w:r>
        <w:r w:rsidR="00226F09" w:rsidRPr="00F9183B">
          <w:rPr>
            <w:webHidden/>
          </w:rPr>
          <w:tab/>
        </w:r>
        <w:r w:rsidR="00226F09" w:rsidRPr="00F9183B">
          <w:rPr>
            <w:b/>
            <w:bCs/>
            <w:webHidden/>
          </w:rPr>
          <w:fldChar w:fldCharType="begin"/>
        </w:r>
        <w:r w:rsidR="00226F09" w:rsidRPr="00F9183B">
          <w:rPr>
            <w:webHidden/>
          </w:rPr>
          <w:instrText xml:space="preserve"> PAGEREF _Toc106288868 \h </w:instrText>
        </w:r>
        <w:r w:rsidR="00226F09" w:rsidRPr="00F9183B">
          <w:rPr>
            <w:b/>
            <w:bCs/>
            <w:webHidden/>
          </w:rPr>
        </w:r>
        <w:r w:rsidR="00226F09" w:rsidRPr="00F9183B">
          <w:rPr>
            <w:b/>
            <w:bCs/>
            <w:webHidden/>
          </w:rPr>
          <w:fldChar w:fldCharType="separate"/>
        </w:r>
        <w:r w:rsidR="00C310F3" w:rsidRPr="00F9183B">
          <w:rPr>
            <w:webHidden/>
          </w:rPr>
          <w:t>7</w:t>
        </w:r>
        <w:r w:rsidR="00226F09" w:rsidRPr="00F9183B">
          <w:rPr>
            <w:b/>
            <w:bCs/>
            <w:webHidden/>
          </w:rPr>
          <w:fldChar w:fldCharType="end"/>
        </w:r>
      </w:hyperlink>
    </w:p>
    <w:p w14:paraId="0EBE90E7" w14:textId="353BFB25" w:rsidR="00226F09" w:rsidRPr="00F9183B" w:rsidRDefault="00000000" w:rsidP="00FB1BFD">
      <w:pPr>
        <w:pStyle w:val="TOC2"/>
        <w:rPr>
          <w:rFonts w:eastAsiaTheme="minorEastAsia"/>
          <w:b/>
          <w:bCs/>
          <w:sz w:val="21"/>
          <w:szCs w:val="21"/>
          <w:lang w:eastAsia="en-GB"/>
        </w:rPr>
      </w:pPr>
      <w:hyperlink w:anchor="_Toc106288869" w:history="1">
        <w:r w:rsidR="00226F09" w:rsidRPr="00F9183B">
          <w:rPr>
            <w:rStyle w:val="Hyperlink"/>
          </w:rPr>
          <w:t>4.2.</w:t>
        </w:r>
        <w:r w:rsidR="00226F09" w:rsidRPr="00F9183B">
          <w:rPr>
            <w:rFonts w:eastAsiaTheme="minorEastAsia"/>
            <w:sz w:val="21"/>
            <w:szCs w:val="21"/>
            <w:lang w:eastAsia="en-GB"/>
          </w:rPr>
          <w:tab/>
        </w:r>
        <w:r w:rsidR="00226F09" w:rsidRPr="00F9183B">
          <w:rPr>
            <w:rStyle w:val="Hyperlink"/>
          </w:rPr>
          <w:t>Secondary specific objectives</w:t>
        </w:r>
        <w:r w:rsidR="00226F09" w:rsidRPr="00F9183B">
          <w:rPr>
            <w:webHidden/>
          </w:rPr>
          <w:tab/>
        </w:r>
        <w:r w:rsidR="00226F09" w:rsidRPr="00F9183B">
          <w:rPr>
            <w:b/>
            <w:bCs/>
            <w:webHidden/>
          </w:rPr>
          <w:fldChar w:fldCharType="begin"/>
        </w:r>
        <w:r w:rsidR="00226F09" w:rsidRPr="00F9183B">
          <w:rPr>
            <w:webHidden/>
          </w:rPr>
          <w:instrText xml:space="preserve"> PAGEREF _Toc106288869 \h </w:instrText>
        </w:r>
        <w:r w:rsidR="00226F09" w:rsidRPr="00F9183B">
          <w:rPr>
            <w:b/>
            <w:bCs/>
            <w:webHidden/>
          </w:rPr>
        </w:r>
        <w:r w:rsidR="00226F09" w:rsidRPr="00F9183B">
          <w:rPr>
            <w:b/>
            <w:bCs/>
            <w:webHidden/>
          </w:rPr>
          <w:fldChar w:fldCharType="separate"/>
        </w:r>
        <w:r w:rsidR="00C310F3" w:rsidRPr="00F9183B">
          <w:rPr>
            <w:webHidden/>
          </w:rPr>
          <w:t>8</w:t>
        </w:r>
        <w:r w:rsidR="00226F09" w:rsidRPr="00F9183B">
          <w:rPr>
            <w:b/>
            <w:bCs/>
            <w:webHidden/>
          </w:rPr>
          <w:fldChar w:fldCharType="end"/>
        </w:r>
      </w:hyperlink>
    </w:p>
    <w:p w14:paraId="3FC9B33A" w14:textId="03E68E72" w:rsidR="00226F09" w:rsidRPr="00F9183B" w:rsidRDefault="00000000" w:rsidP="00FB1BFD">
      <w:pPr>
        <w:pStyle w:val="TOC2"/>
        <w:rPr>
          <w:rFonts w:eastAsiaTheme="minorEastAsia"/>
          <w:b/>
          <w:bCs/>
          <w:sz w:val="21"/>
          <w:szCs w:val="21"/>
          <w:lang w:eastAsia="en-GB"/>
        </w:rPr>
      </w:pPr>
      <w:hyperlink w:anchor="_Toc106288870" w:history="1">
        <w:r w:rsidR="00226F09" w:rsidRPr="00F9183B">
          <w:rPr>
            <w:rStyle w:val="Hyperlink"/>
          </w:rPr>
          <w:t>4.3.</w:t>
        </w:r>
        <w:r w:rsidR="00226F09" w:rsidRPr="00F9183B">
          <w:rPr>
            <w:rFonts w:eastAsiaTheme="minorEastAsia"/>
            <w:sz w:val="21"/>
            <w:szCs w:val="21"/>
            <w:lang w:eastAsia="en-GB"/>
          </w:rPr>
          <w:tab/>
        </w:r>
        <w:r w:rsidR="00226F09" w:rsidRPr="00F9183B">
          <w:rPr>
            <w:rStyle w:val="Hyperlink"/>
          </w:rPr>
          <w:t>Exploratory objectives</w:t>
        </w:r>
        <w:r w:rsidR="00226F09" w:rsidRPr="00F9183B">
          <w:rPr>
            <w:webHidden/>
          </w:rPr>
          <w:tab/>
        </w:r>
        <w:r w:rsidR="00226F09" w:rsidRPr="00F9183B">
          <w:rPr>
            <w:b/>
            <w:bCs/>
            <w:webHidden/>
          </w:rPr>
          <w:fldChar w:fldCharType="begin"/>
        </w:r>
        <w:r w:rsidR="00226F09" w:rsidRPr="00F9183B">
          <w:rPr>
            <w:webHidden/>
          </w:rPr>
          <w:instrText xml:space="preserve"> PAGEREF _Toc106288870 \h </w:instrText>
        </w:r>
        <w:r w:rsidR="00226F09" w:rsidRPr="00F9183B">
          <w:rPr>
            <w:b/>
            <w:bCs/>
            <w:webHidden/>
          </w:rPr>
        </w:r>
        <w:r w:rsidR="00226F09" w:rsidRPr="00F9183B">
          <w:rPr>
            <w:b/>
            <w:bCs/>
            <w:webHidden/>
          </w:rPr>
          <w:fldChar w:fldCharType="separate"/>
        </w:r>
        <w:r w:rsidR="00C310F3" w:rsidRPr="00F9183B">
          <w:rPr>
            <w:webHidden/>
          </w:rPr>
          <w:t>8</w:t>
        </w:r>
        <w:r w:rsidR="00226F09" w:rsidRPr="00F9183B">
          <w:rPr>
            <w:b/>
            <w:bCs/>
            <w:webHidden/>
          </w:rPr>
          <w:fldChar w:fldCharType="end"/>
        </w:r>
      </w:hyperlink>
    </w:p>
    <w:p w14:paraId="37ED9296" w14:textId="1A46FA19" w:rsidR="00226F09" w:rsidRPr="00F9183B" w:rsidRDefault="00000000" w:rsidP="00F9183B">
      <w:pPr>
        <w:pStyle w:val="TOC1"/>
        <w:rPr>
          <w:rFonts w:ascii="Arial" w:eastAsiaTheme="minorEastAsia" w:hAnsi="Arial" w:cs="Arial"/>
          <w:noProof/>
          <w:lang w:eastAsia="en-GB"/>
        </w:rPr>
      </w:pPr>
      <w:hyperlink w:anchor="_Toc106288871" w:history="1">
        <w:r w:rsidR="00226F09" w:rsidRPr="00F9183B">
          <w:rPr>
            <w:rStyle w:val="Hyperlink"/>
            <w:rFonts w:ascii="Arial" w:hAnsi="Arial" w:cs="Arial"/>
            <w:b w:val="0"/>
            <w:bCs w:val="0"/>
            <w:i w:val="0"/>
            <w:iCs w:val="0"/>
            <w:noProof/>
            <w:sz w:val="21"/>
            <w:szCs w:val="21"/>
          </w:rPr>
          <w:t>5.</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STUDY DESIGN</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_Toc106288871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8</w:t>
        </w:r>
        <w:r w:rsidR="00226F09" w:rsidRPr="00F9183B">
          <w:rPr>
            <w:rFonts w:ascii="Arial" w:hAnsi="Arial" w:cs="Arial"/>
            <w:noProof/>
            <w:webHidden/>
          </w:rPr>
          <w:fldChar w:fldCharType="end"/>
        </w:r>
      </w:hyperlink>
    </w:p>
    <w:p w14:paraId="301D4827" w14:textId="6F5C933B" w:rsidR="00226F09" w:rsidRPr="00F9183B" w:rsidRDefault="00000000" w:rsidP="00FB1BFD">
      <w:pPr>
        <w:pStyle w:val="TOC2"/>
        <w:rPr>
          <w:rFonts w:eastAsiaTheme="minorEastAsia"/>
          <w:b/>
          <w:bCs/>
          <w:sz w:val="21"/>
          <w:szCs w:val="21"/>
          <w:lang w:eastAsia="en-GB"/>
        </w:rPr>
      </w:pPr>
      <w:hyperlink w:anchor="_Toc106288872" w:history="1">
        <w:r w:rsidR="00226F09" w:rsidRPr="00F9183B">
          <w:rPr>
            <w:rStyle w:val="Hyperlink"/>
          </w:rPr>
          <w:t>5.1.</w:t>
        </w:r>
        <w:r w:rsidR="00226F09" w:rsidRPr="00F9183B">
          <w:rPr>
            <w:rFonts w:eastAsiaTheme="minorEastAsia"/>
            <w:sz w:val="21"/>
            <w:szCs w:val="21"/>
            <w:lang w:eastAsia="en-GB"/>
          </w:rPr>
          <w:tab/>
        </w:r>
        <w:r w:rsidR="00226F09" w:rsidRPr="00F9183B">
          <w:rPr>
            <w:rStyle w:val="Hyperlink"/>
          </w:rPr>
          <w:t>Study site</w:t>
        </w:r>
        <w:r w:rsidR="00226F09" w:rsidRPr="00F9183B">
          <w:rPr>
            <w:webHidden/>
          </w:rPr>
          <w:tab/>
        </w:r>
        <w:r w:rsidR="00226F09" w:rsidRPr="00F9183B">
          <w:rPr>
            <w:b/>
            <w:bCs/>
            <w:webHidden/>
          </w:rPr>
          <w:fldChar w:fldCharType="begin"/>
        </w:r>
        <w:r w:rsidR="00226F09" w:rsidRPr="00F9183B">
          <w:rPr>
            <w:webHidden/>
          </w:rPr>
          <w:instrText xml:space="preserve"> PAGEREF _Toc106288872 \h </w:instrText>
        </w:r>
        <w:r w:rsidR="00226F09" w:rsidRPr="00F9183B">
          <w:rPr>
            <w:b/>
            <w:bCs/>
            <w:webHidden/>
          </w:rPr>
        </w:r>
        <w:r w:rsidR="00226F09" w:rsidRPr="00F9183B">
          <w:rPr>
            <w:b/>
            <w:bCs/>
            <w:webHidden/>
          </w:rPr>
          <w:fldChar w:fldCharType="separate"/>
        </w:r>
        <w:r w:rsidR="00C310F3" w:rsidRPr="00F9183B">
          <w:rPr>
            <w:webHidden/>
          </w:rPr>
          <w:t>9</w:t>
        </w:r>
        <w:r w:rsidR="00226F09" w:rsidRPr="00F9183B">
          <w:rPr>
            <w:b/>
            <w:bCs/>
            <w:webHidden/>
          </w:rPr>
          <w:fldChar w:fldCharType="end"/>
        </w:r>
      </w:hyperlink>
    </w:p>
    <w:p w14:paraId="6E65DAD4" w14:textId="23493B01" w:rsidR="00226F09" w:rsidRPr="00F9183B" w:rsidRDefault="00000000" w:rsidP="00FB1BFD">
      <w:pPr>
        <w:pStyle w:val="TOC2"/>
        <w:rPr>
          <w:rFonts w:eastAsiaTheme="minorEastAsia"/>
          <w:b/>
          <w:bCs/>
          <w:sz w:val="21"/>
          <w:szCs w:val="21"/>
          <w:lang w:eastAsia="en-GB"/>
        </w:rPr>
      </w:pPr>
      <w:hyperlink w:anchor="_Toc106288873" w:history="1">
        <w:r w:rsidR="00226F09" w:rsidRPr="00F9183B">
          <w:rPr>
            <w:rStyle w:val="Hyperlink"/>
          </w:rPr>
          <w:t>5.2.</w:t>
        </w:r>
        <w:r w:rsidR="00226F09" w:rsidRPr="00F9183B">
          <w:rPr>
            <w:rFonts w:eastAsiaTheme="minorEastAsia"/>
            <w:sz w:val="21"/>
            <w:szCs w:val="21"/>
            <w:lang w:eastAsia="en-GB"/>
          </w:rPr>
          <w:tab/>
        </w:r>
        <w:r w:rsidR="00226F09" w:rsidRPr="00F9183B">
          <w:rPr>
            <w:rStyle w:val="Hyperlink"/>
          </w:rPr>
          <w:t>Study population</w:t>
        </w:r>
        <w:r w:rsidR="00226F09" w:rsidRPr="00F9183B">
          <w:rPr>
            <w:webHidden/>
          </w:rPr>
          <w:tab/>
        </w:r>
        <w:r w:rsidR="00226F09" w:rsidRPr="00F9183B">
          <w:rPr>
            <w:b/>
            <w:bCs/>
            <w:webHidden/>
          </w:rPr>
          <w:fldChar w:fldCharType="begin"/>
        </w:r>
        <w:r w:rsidR="00226F09" w:rsidRPr="00F9183B">
          <w:rPr>
            <w:webHidden/>
          </w:rPr>
          <w:instrText xml:space="preserve"> PAGEREF _Toc106288873 \h </w:instrText>
        </w:r>
        <w:r w:rsidR="00226F09" w:rsidRPr="00F9183B">
          <w:rPr>
            <w:b/>
            <w:bCs/>
            <w:webHidden/>
          </w:rPr>
        </w:r>
        <w:r w:rsidR="00226F09" w:rsidRPr="00F9183B">
          <w:rPr>
            <w:b/>
            <w:bCs/>
            <w:webHidden/>
          </w:rPr>
          <w:fldChar w:fldCharType="separate"/>
        </w:r>
        <w:r w:rsidR="00C310F3" w:rsidRPr="00F9183B">
          <w:rPr>
            <w:webHidden/>
          </w:rPr>
          <w:t>10</w:t>
        </w:r>
        <w:r w:rsidR="00226F09" w:rsidRPr="00F9183B">
          <w:rPr>
            <w:b/>
            <w:bCs/>
            <w:webHidden/>
          </w:rPr>
          <w:fldChar w:fldCharType="end"/>
        </w:r>
      </w:hyperlink>
    </w:p>
    <w:p w14:paraId="5488EEFA" w14:textId="232A3A1D" w:rsidR="00226F09" w:rsidRPr="00F9183B" w:rsidRDefault="00000000" w:rsidP="00FB1BFD">
      <w:pPr>
        <w:pStyle w:val="TOC2"/>
        <w:rPr>
          <w:rFonts w:eastAsiaTheme="minorEastAsia"/>
          <w:b/>
          <w:bCs/>
          <w:sz w:val="21"/>
          <w:szCs w:val="21"/>
          <w:lang w:eastAsia="en-GB"/>
        </w:rPr>
      </w:pPr>
      <w:hyperlink w:anchor="_Toc106288874" w:history="1">
        <w:r w:rsidR="00226F09" w:rsidRPr="00F9183B">
          <w:rPr>
            <w:rStyle w:val="Hyperlink"/>
          </w:rPr>
          <w:t>5.3.</w:t>
        </w:r>
        <w:r w:rsidR="00226F09" w:rsidRPr="00F9183B">
          <w:rPr>
            <w:rFonts w:eastAsiaTheme="minorEastAsia"/>
            <w:sz w:val="21"/>
            <w:szCs w:val="21"/>
            <w:lang w:eastAsia="en-GB"/>
          </w:rPr>
          <w:tab/>
        </w:r>
        <w:r w:rsidR="00226F09" w:rsidRPr="00F9183B">
          <w:rPr>
            <w:rStyle w:val="Hyperlink"/>
          </w:rPr>
          <w:t>Intervention</w:t>
        </w:r>
        <w:r w:rsidR="00226F09" w:rsidRPr="00F9183B">
          <w:rPr>
            <w:webHidden/>
          </w:rPr>
          <w:tab/>
        </w:r>
        <w:r w:rsidR="00226F09" w:rsidRPr="00F9183B">
          <w:rPr>
            <w:b/>
            <w:bCs/>
            <w:webHidden/>
          </w:rPr>
          <w:fldChar w:fldCharType="begin"/>
        </w:r>
        <w:r w:rsidR="00226F09" w:rsidRPr="00F9183B">
          <w:rPr>
            <w:webHidden/>
          </w:rPr>
          <w:instrText xml:space="preserve"> PAGEREF _Toc106288874 \h </w:instrText>
        </w:r>
        <w:r w:rsidR="00226F09" w:rsidRPr="00F9183B">
          <w:rPr>
            <w:b/>
            <w:bCs/>
            <w:webHidden/>
          </w:rPr>
        </w:r>
        <w:r w:rsidR="00226F09" w:rsidRPr="00F9183B">
          <w:rPr>
            <w:b/>
            <w:bCs/>
            <w:webHidden/>
          </w:rPr>
          <w:fldChar w:fldCharType="separate"/>
        </w:r>
        <w:r w:rsidR="00C310F3" w:rsidRPr="00F9183B">
          <w:rPr>
            <w:webHidden/>
          </w:rPr>
          <w:t>10</w:t>
        </w:r>
        <w:r w:rsidR="00226F09" w:rsidRPr="00F9183B">
          <w:rPr>
            <w:b/>
            <w:bCs/>
            <w:webHidden/>
          </w:rPr>
          <w:fldChar w:fldCharType="end"/>
        </w:r>
      </w:hyperlink>
    </w:p>
    <w:p w14:paraId="2444BF52" w14:textId="08E5F4E9" w:rsidR="00226F09" w:rsidRPr="00F9183B" w:rsidRDefault="00000000" w:rsidP="00FB1BFD">
      <w:pPr>
        <w:pStyle w:val="TOC2"/>
        <w:rPr>
          <w:rFonts w:eastAsiaTheme="minorEastAsia"/>
          <w:b/>
          <w:bCs/>
          <w:sz w:val="21"/>
          <w:szCs w:val="21"/>
          <w:lang w:eastAsia="en-GB"/>
        </w:rPr>
      </w:pPr>
      <w:hyperlink w:anchor="_Toc106288875" w:history="1">
        <w:r w:rsidR="00226F09" w:rsidRPr="00F9183B">
          <w:rPr>
            <w:rStyle w:val="Hyperlink"/>
          </w:rPr>
          <w:t>5.4.</w:t>
        </w:r>
        <w:r w:rsidR="00226F09" w:rsidRPr="00F9183B">
          <w:rPr>
            <w:rFonts w:eastAsiaTheme="minorEastAsia"/>
            <w:sz w:val="21"/>
            <w:szCs w:val="21"/>
            <w:lang w:eastAsia="en-GB"/>
          </w:rPr>
          <w:tab/>
        </w:r>
        <w:r w:rsidR="00226F09" w:rsidRPr="00F9183B">
          <w:rPr>
            <w:rStyle w:val="Hyperlink"/>
          </w:rPr>
          <w:t>Sample size calculation</w:t>
        </w:r>
        <w:r w:rsidR="00226F09" w:rsidRPr="00F9183B">
          <w:rPr>
            <w:webHidden/>
          </w:rPr>
          <w:tab/>
        </w:r>
        <w:r w:rsidR="00226F09" w:rsidRPr="00F9183B">
          <w:rPr>
            <w:b/>
            <w:bCs/>
            <w:webHidden/>
          </w:rPr>
          <w:fldChar w:fldCharType="begin"/>
        </w:r>
        <w:r w:rsidR="00226F09" w:rsidRPr="00F9183B">
          <w:rPr>
            <w:webHidden/>
          </w:rPr>
          <w:instrText xml:space="preserve"> PAGEREF _Toc106288875 \h </w:instrText>
        </w:r>
        <w:r w:rsidR="00226F09" w:rsidRPr="00F9183B">
          <w:rPr>
            <w:b/>
            <w:bCs/>
            <w:webHidden/>
          </w:rPr>
        </w:r>
        <w:r w:rsidR="00226F09" w:rsidRPr="00F9183B">
          <w:rPr>
            <w:b/>
            <w:bCs/>
            <w:webHidden/>
          </w:rPr>
          <w:fldChar w:fldCharType="separate"/>
        </w:r>
        <w:r w:rsidR="00C310F3" w:rsidRPr="00F9183B">
          <w:rPr>
            <w:webHidden/>
          </w:rPr>
          <w:t>10</w:t>
        </w:r>
        <w:r w:rsidR="00226F09" w:rsidRPr="00F9183B">
          <w:rPr>
            <w:b/>
            <w:bCs/>
            <w:webHidden/>
          </w:rPr>
          <w:fldChar w:fldCharType="end"/>
        </w:r>
      </w:hyperlink>
    </w:p>
    <w:p w14:paraId="7C6C5FBD" w14:textId="598E1BED" w:rsidR="00226F09" w:rsidRPr="00F9183B" w:rsidRDefault="00000000" w:rsidP="00FB1BFD">
      <w:pPr>
        <w:pStyle w:val="TOC2"/>
        <w:rPr>
          <w:rFonts w:eastAsiaTheme="minorEastAsia"/>
          <w:b/>
          <w:bCs/>
          <w:sz w:val="21"/>
          <w:szCs w:val="21"/>
          <w:lang w:eastAsia="en-GB"/>
        </w:rPr>
      </w:pPr>
      <w:hyperlink w:anchor="_Toc106288876" w:history="1">
        <w:r w:rsidR="00226F09" w:rsidRPr="00F9183B">
          <w:rPr>
            <w:rStyle w:val="Hyperlink"/>
          </w:rPr>
          <w:t>5.5.</w:t>
        </w:r>
        <w:r w:rsidR="00226F09" w:rsidRPr="00F9183B">
          <w:rPr>
            <w:rFonts w:eastAsiaTheme="minorEastAsia"/>
            <w:sz w:val="21"/>
            <w:szCs w:val="21"/>
            <w:lang w:eastAsia="en-GB"/>
          </w:rPr>
          <w:tab/>
        </w:r>
        <w:r w:rsidR="00226F09" w:rsidRPr="00F9183B">
          <w:rPr>
            <w:rStyle w:val="Hyperlink"/>
          </w:rPr>
          <w:t>Inclusion criteria</w:t>
        </w:r>
        <w:r w:rsidR="00226F09" w:rsidRPr="00F9183B">
          <w:rPr>
            <w:webHidden/>
          </w:rPr>
          <w:tab/>
        </w:r>
        <w:r w:rsidR="00226F09" w:rsidRPr="00F9183B">
          <w:rPr>
            <w:b/>
            <w:bCs/>
            <w:webHidden/>
          </w:rPr>
          <w:fldChar w:fldCharType="begin"/>
        </w:r>
        <w:r w:rsidR="00226F09" w:rsidRPr="00F9183B">
          <w:rPr>
            <w:webHidden/>
          </w:rPr>
          <w:instrText xml:space="preserve"> PAGEREF _Toc106288876 \h </w:instrText>
        </w:r>
        <w:r w:rsidR="00226F09" w:rsidRPr="00F9183B">
          <w:rPr>
            <w:b/>
            <w:bCs/>
            <w:webHidden/>
          </w:rPr>
        </w:r>
        <w:r w:rsidR="00226F09" w:rsidRPr="00F9183B">
          <w:rPr>
            <w:b/>
            <w:bCs/>
            <w:webHidden/>
          </w:rPr>
          <w:fldChar w:fldCharType="separate"/>
        </w:r>
        <w:r w:rsidR="00C310F3" w:rsidRPr="00F9183B">
          <w:rPr>
            <w:webHidden/>
          </w:rPr>
          <w:t>10</w:t>
        </w:r>
        <w:r w:rsidR="00226F09" w:rsidRPr="00F9183B">
          <w:rPr>
            <w:b/>
            <w:bCs/>
            <w:webHidden/>
          </w:rPr>
          <w:fldChar w:fldCharType="end"/>
        </w:r>
      </w:hyperlink>
    </w:p>
    <w:p w14:paraId="64A1C347" w14:textId="09C4FCD8" w:rsidR="00226F09" w:rsidRPr="00F9183B" w:rsidRDefault="00000000" w:rsidP="00FB1BFD">
      <w:pPr>
        <w:pStyle w:val="TOC2"/>
        <w:rPr>
          <w:rFonts w:eastAsiaTheme="minorEastAsia"/>
          <w:b/>
          <w:bCs/>
          <w:sz w:val="21"/>
          <w:szCs w:val="21"/>
          <w:lang w:eastAsia="en-GB"/>
        </w:rPr>
      </w:pPr>
      <w:hyperlink w:anchor="_Toc106288877" w:history="1">
        <w:r w:rsidR="00226F09" w:rsidRPr="00F9183B">
          <w:rPr>
            <w:rStyle w:val="Hyperlink"/>
          </w:rPr>
          <w:t>5.6.</w:t>
        </w:r>
        <w:r w:rsidR="00226F09" w:rsidRPr="00F9183B">
          <w:rPr>
            <w:rFonts w:eastAsiaTheme="minorEastAsia"/>
            <w:sz w:val="21"/>
            <w:szCs w:val="21"/>
            <w:lang w:eastAsia="en-GB"/>
          </w:rPr>
          <w:tab/>
        </w:r>
        <w:r w:rsidR="00226F09" w:rsidRPr="00F9183B">
          <w:rPr>
            <w:rStyle w:val="Hyperlink"/>
          </w:rPr>
          <w:t>Exclusion criteria</w:t>
        </w:r>
        <w:r w:rsidR="00226F09" w:rsidRPr="00F9183B">
          <w:rPr>
            <w:webHidden/>
          </w:rPr>
          <w:tab/>
        </w:r>
        <w:r w:rsidR="00226F09" w:rsidRPr="00F9183B">
          <w:rPr>
            <w:b/>
            <w:bCs/>
            <w:webHidden/>
          </w:rPr>
          <w:fldChar w:fldCharType="begin"/>
        </w:r>
        <w:r w:rsidR="00226F09" w:rsidRPr="00F9183B">
          <w:rPr>
            <w:webHidden/>
          </w:rPr>
          <w:instrText xml:space="preserve"> PAGEREF _Toc106288877 \h </w:instrText>
        </w:r>
        <w:r w:rsidR="00226F09" w:rsidRPr="00F9183B">
          <w:rPr>
            <w:b/>
            <w:bCs/>
            <w:webHidden/>
          </w:rPr>
        </w:r>
        <w:r w:rsidR="00226F09" w:rsidRPr="00F9183B">
          <w:rPr>
            <w:b/>
            <w:bCs/>
            <w:webHidden/>
          </w:rPr>
          <w:fldChar w:fldCharType="separate"/>
        </w:r>
        <w:r w:rsidR="00C310F3" w:rsidRPr="00F9183B">
          <w:rPr>
            <w:webHidden/>
          </w:rPr>
          <w:t>11</w:t>
        </w:r>
        <w:r w:rsidR="00226F09" w:rsidRPr="00F9183B">
          <w:rPr>
            <w:b/>
            <w:bCs/>
            <w:webHidden/>
          </w:rPr>
          <w:fldChar w:fldCharType="end"/>
        </w:r>
      </w:hyperlink>
    </w:p>
    <w:p w14:paraId="2CCD711B" w14:textId="4AAF08DC" w:rsidR="00226F09" w:rsidRPr="00F9183B" w:rsidRDefault="00000000" w:rsidP="00F9183B">
      <w:pPr>
        <w:pStyle w:val="TOC1"/>
        <w:rPr>
          <w:rFonts w:ascii="Arial" w:eastAsiaTheme="minorEastAsia" w:hAnsi="Arial" w:cs="Arial"/>
          <w:noProof/>
          <w:lang w:eastAsia="en-GB"/>
        </w:rPr>
      </w:pPr>
      <w:hyperlink w:anchor="_Toc106288878" w:history="1">
        <w:r w:rsidR="00226F09" w:rsidRPr="00F9183B">
          <w:rPr>
            <w:rStyle w:val="Hyperlink"/>
            <w:rFonts w:ascii="Arial" w:hAnsi="Arial" w:cs="Arial"/>
            <w:b w:val="0"/>
            <w:bCs w:val="0"/>
            <w:i w:val="0"/>
            <w:iCs w:val="0"/>
            <w:noProof/>
            <w:sz w:val="21"/>
            <w:szCs w:val="21"/>
          </w:rPr>
          <w:t>6.</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STUDY DRUGS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_Toc106288878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11</w:t>
        </w:r>
        <w:r w:rsidR="00226F09" w:rsidRPr="00F9183B">
          <w:rPr>
            <w:rFonts w:ascii="Arial" w:hAnsi="Arial" w:cs="Arial"/>
            <w:noProof/>
            <w:webHidden/>
          </w:rPr>
          <w:fldChar w:fldCharType="end"/>
        </w:r>
      </w:hyperlink>
    </w:p>
    <w:p w14:paraId="6078EB61" w14:textId="1BD40365" w:rsidR="00226F09" w:rsidRPr="00F9183B" w:rsidRDefault="00000000" w:rsidP="00FB1BFD">
      <w:pPr>
        <w:pStyle w:val="TOC2"/>
        <w:rPr>
          <w:rFonts w:eastAsiaTheme="minorEastAsia"/>
          <w:b/>
          <w:bCs/>
          <w:sz w:val="21"/>
          <w:szCs w:val="21"/>
          <w:lang w:eastAsia="en-GB"/>
        </w:rPr>
      </w:pPr>
      <w:hyperlink w:anchor="_Toc106288879" w:history="1">
        <w:r w:rsidR="00226F09" w:rsidRPr="00F9183B">
          <w:rPr>
            <w:rStyle w:val="Hyperlink"/>
          </w:rPr>
          <w:t>6.1.</w:t>
        </w:r>
        <w:r w:rsidR="00226F09" w:rsidRPr="00F9183B">
          <w:rPr>
            <w:rFonts w:eastAsiaTheme="minorEastAsia"/>
            <w:sz w:val="21"/>
            <w:szCs w:val="21"/>
            <w:lang w:eastAsia="en-GB"/>
          </w:rPr>
          <w:tab/>
        </w:r>
        <w:r w:rsidR="00226F09" w:rsidRPr="00F9183B">
          <w:rPr>
            <w:rStyle w:val="Hyperlink"/>
          </w:rPr>
          <w:t>Artesunate-Amodiaquine (ASAQ)</w:t>
        </w:r>
        <w:r w:rsidR="00226F09" w:rsidRPr="00F9183B">
          <w:rPr>
            <w:webHidden/>
          </w:rPr>
          <w:tab/>
        </w:r>
        <w:r w:rsidR="00226F09" w:rsidRPr="00F9183B">
          <w:rPr>
            <w:b/>
            <w:bCs/>
            <w:webHidden/>
          </w:rPr>
          <w:fldChar w:fldCharType="begin"/>
        </w:r>
        <w:r w:rsidR="00226F09" w:rsidRPr="00F9183B">
          <w:rPr>
            <w:webHidden/>
          </w:rPr>
          <w:instrText xml:space="preserve"> PAGEREF _Toc106288879 \h </w:instrText>
        </w:r>
        <w:r w:rsidR="00226F09" w:rsidRPr="00F9183B">
          <w:rPr>
            <w:b/>
            <w:bCs/>
            <w:webHidden/>
          </w:rPr>
        </w:r>
        <w:r w:rsidR="00226F09" w:rsidRPr="00F9183B">
          <w:rPr>
            <w:b/>
            <w:bCs/>
            <w:webHidden/>
          </w:rPr>
          <w:fldChar w:fldCharType="separate"/>
        </w:r>
        <w:r w:rsidR="00C310F3" w:rsidRPr="00F9183B">
          <w:rPr>
            <w:webHidden/>
          </w:rPr>
          <w:t>11</w:t>
        </w:r>
        <w:r w:rsidR="00226F09" w:rsidRPr="00F9183B">
          <w:rPr>
            <w:b/>
            <w:bCs/>
            <w:webHidden/>
          </w:rPr>
          <w:fldChar w:fldCharType="end"/>
        </w:r>
      </w:hyperlink>
    </w:p>
    <w:p w14:paraId="19EAC886" w14:textId="33D7CE54" w:rsidR="00226F09" w:rsidRPr="00F9183B" w:rsidRDefault="00000000" w:rsidP="00FB1BFD">
      <w:pPr>
        <w:pStyle w:val="TOC2"/>
        <w:rPr>
          <w:rFonts w:eastAsiaTheme="minorEastAsia"/>
          <w:b/>
          <w:bCs/>
          <w:sz w:val="21"/>
          <w:szCs w:val="21"/>
          <w:lang w:eastAsia="en-GB"/>
        </w:rPr>
      </w:pPr>
      <w:hyperlink w:anchor="_Toc106288880" w:history="1">
        <w:r w:rsidR="00226F09" w:rsidRPr="00F9183B">
          <w:rPr>
            <w:rStyle w:val="Hyperlink"/>
          </w:rPr>
          <w:t>6.2.</w:t>
        </w:r>
        <w:r w:rsidR="00226F09" w:rsidRPr="00F9183B">
          <w:rPr>
            <w:rFonts w:eastAsiaTheme="minorEastAsia"/>
            <w:sz w:val="21"/>
            <w:szCs w:val="21"/>
            <w:lang w:eastAsia="en-GB"/>
          </w:rPr>
          <w:tab/>
        </w:r>
        <w:r w:rsidR="00226F09" w:rsidRPr="00F9183B">
          <w:rPr>
            <w:rStyle w:val="Hyperlink"/>
          </w:rPr>
          <w:t>Primaquine (PQ)</w:t>
        </w:r>
        <w:r w:rsidR="00226F09" w:rsidRPr="00F9183B">
          <w:rPr>
            <w:webHidden/>
          </w:rPr>
          <w:tab/>
        </w:r>
        <w:r w:rsidR="00226F09" w:rsidRPr="00F9183B">
          <w:rPr>
            <w:b/>
            <w:bCs/>
            <w:webHidden/>
          </w:rPr>
          <w:fldChar w:fldCharType="begin"/>
        </w:r>
        <w:r w:rsidR="00226F09" w:rsidRPr="00F9183B">
          <w:rPr>
            <w:webHidden/>
          </w:rPr>
          <w:instrText xml:space="preserve"> PAGEREF _Toc106288880 \h </w:instrText>
        </w:r>
        <w:r w:rsidR="00226F09" w:rsidRPr="00F9183B">
          <w:rPr>
            <w:b/>
            <w:bCs/>
            <w:webHidden/>
          </w:rPr>
        </w:r>
        <w:r w:rsidR="00226F09" w:rsidRPr="00F9183B">
          <w:rPr>
            <w:b/>
            <w:bCs/>
            <w:webHidden/>
          </w:rPr>
          <w:fldChar w:fldCharType="separate"/>
        </w:r>
        <w:r w:rsidR="00C310F3" w:rsidRPr="00F9183B">
          <w:rPr>
            <w:webHidden/>
          </w:rPr>
          <w:t>12</w:t>
        </w:r>
        <w:r w:rsidR="00226F09" w:rsidRPr="00F9183B">
          <w:rPr>
            <w:b/>
            <w:bCs/>
            <w:webHidden/>
          </w:rPr>
          <w:fldChar w:fldCharType="end"/>
        </w:r>
      </w:hyperlink>
    </w:p>
    <w:p w14:paraId="5F1B7FD0" w14:textId="6FF84B56" w:rsidR="00226F09" w:rsidRPr="00F9183B" w:rsidRDefault="00000000" w:rsidP="00FB1BFD">
      <w:pPr>
        <w:pStyle w:val="TOC2"/>
        <w:rPr>
          <w:rFonts w:eastAsiaTheme="minorEastAsia"/>
          <w:b/>
          <w:bCs/>
          <w:sz w:val="21"/>
          <w:szCs w:val="21"/>
          <w:lang w:eastAsia="en-GB"/>
        </w:rPr>
      </w:pPr>
      <w:hyperlink w:anchor="_Toc106288881" w:history="1">
        <w:r w:rsidR="00226F09" w:rsidRPr="00F9183B">
          <w:rPr>
            <w:rStyle w:val="Hyperlink"/>
          </w:rPr>
          <w:t>6.3.</w:t>
        </w:r>
        <w:r w:rsidR="00226F09" w:rsidRPr="00F9183B">
          <w:rPr>
            <w:rFonts w:eastAsiaTheme="minorEastAsia"/>
            <w:sz w:val="21"/>
            <w:szCs w:val="21"/>
            <w:lang w:eastAsia="en-GB"/>
          </w:rPr>
          <w:tab/>
        </w:r>
        <w:r w:rsidR="00226F09" w:rsidRPr="00F9183B">
          <w:rPr>
            <w:rStyle w:val="Hyperlink"/>
          </w:rPr>
          <w:t>Artemether-Lumefantrine (AL)</w:t>
        </w:r>
        <w:r w:rsidR="00226F09" w:rsidRPr="00F9183B">
          <w:rPr>
            <w:webHidden/>
          </w:rPr>
          <w:tab/>
        </w:r>
        <w:r w:rsidR="00226F09" w:rsidRPr="00F9183B">
          <w:rPr>
            <w:b/>
            <w:bCs/>
            <w:webHidden/>
          </w:rPr>
          <w:fldChar w:fldCharType="begin"/>
        </w:r>
        <w:r w:rsidR="00226F09" w:rsidRPr="00F9183B">
          <w:rPr>
            <w:webHidden/>
          </w:rPr>
          <w:instrText xml:space="preserve"> PAGEREF _Toc106288881 \h </w:instrText>
        </w:r>
        <w:r w:rsidR="00226F09" w:rsidRPr="00F9183B">
          <w:rPr>
            <w:b/>
            <w:bCs/>
            <w:webHidden/>
          </w:rPr>
        </w:r>
        <w:r w:rsidR="00226F09" w:rsidRPr="00F9183B">
          <w:rPr>
            <w:b/>
            <w:bCs/>
            <w:webHidden/>
          </w:rPr>
          <w:fldChar w:fldCharType="separate"/>
        </w:r>
        <w:r w:rsidR="00C310F3" w:rsidRPr="00F9183B">
          <w:rPr>
            <w:webHidden/>
          </w:rPr>
          <w:t>12</w:t>
        </w:r>
        <w:r w:rsidR="00226F09" w:rsidRPr="00F9183B">
          <w:rPr>
            <w:b/>
            <w:bCs/>
            <w:webHidden/>
          </w:rPr>
          <w:fldChar w:fldCharType="end"/>
        </w:r>
      </w:hyperlink>
    </w:p>
    <w:p w14:paraId="3D03452D" w14:textId="77EB53C8" w:rsidR="00226F09" w:rsidRPr="00F9183B" w:rsidRDefault="00000000" w:rsidP="00FB1BFD">
      <w:pPr>
        <w:pStyle w:val="TOC2"/>
        <w:rPr>
          <w:rFonts w:eastAsiaTheme="minorEastAsia"/>
          <w:b/>
          <w:bCs/>
          <w:sz w:val="21"/>
          <w:szCs w:val="21"/>
          <w:lang w:eastAsia="en-GB"/>
        </w:rPr>
      </w:pPr>
      <w:hyperlink w:anchor="_Toc106288882" w:history="1">
        <w:r w:rsidR="00226F09" w:rsidRPr="00F9183B">
          <w:rPr>
            <w:rStyle w:val="Hyperlink"/>
          </w:rPr>
          <w:t>6.4.</w:t>
        </w:r>
        <w:r w:rsidR="00226F09" w:rsidRPr="00F9183B">
          <w:rPr>
            <w:rFonts w:eastAsiaTheme="minorEastAsia"/>
            <w:sz w:val="21"/>
            <w:szCs w:val="21"/>
            <w:lang w:eastAsia="en-GB"/>
          </w:rPr>
          <w:tab/>
        </w:r>
        <w:r w:rsidR="00226F09" w:rsidRPr="00F9183B">
          <w:rPr>
            <w:rStyle w:val="Hyperlink"/>
          </w:rPr>
          <w:t>Amodiaquine (AQ)</w:t>
        </w:r>
        <w:r w:rsidR="00226F09" w:rsidRPr="00F9183B">
          <w:rPr>
            <w:webHidden/>
          </w:rPr>
          <w:tab/>
        </w:r>
        <w:r w:rsidR="00226F09" w:rsidRPr="00F9183B">
          <w:rPr>
            <w:b/>
            <w:bCs/>
            <w:webHidden/>
          </w:rPr>
          <w:fldChar w:fldCharType="begin"/>
        </w:r>
        <w:r w:rsidR="00226F09" w:rsidRPr="00F9183B">
          <w:rPr>
            <w:webHidden/>
          </w:rPr>
          <w:instrText xml:space="preserve"> PAGEREF _Toc106288882 \h </w:instrText>
        </w:r>
        <w:r w:rsidR="00226F09" w:rsidRPr="00F9183B">
          <w:rPr>
            <w:b/>
            <w:bCs/>
            <w:webHidden/>
          </w:rPr>
        </w:r>
        <w:r w:rsidR="00226F09" w:rsidRPr="00F9183B">
          <w:rPr>
            <w:b/>
            <w:bCs/>
            <w:webHidden/>
          </w:rPr>
          <w:fldChar w:fldCharType="separate"/>
        </w:r>
        <w:r w:rsidR="00C310F3" w:rsidRPr="00F9183B">
          <w:rPr>
            <w:webHidden/>
          </w:rPr>
          <w:t>12</w:t>
        </w:r>
        <w:r w:rsidR="00226F09" w:rsidRPr="00F9183B">
          <w:rPr>
            <w:b/>
            <w:bCs/>
            <w:webHidden/>
          </w:rPr>
          <w:fldChar w:fldCharType="end"/>
        </w:r>
      </w:hyperlink>
    </w:p>
    <w:p w14:paraId="4181976E" w14:textId="299144AC" w:rsidR="00226F09" w:rsidRPr="00F9183B" w:rsidRDefault="00000000" w:rsidP="00F9183B">
      <w:pPr>
        <w:pStyle w:val="TOC1"/>
        <w:rPr>
          <w:rFonts w:ascii="Arial" w:eastAsiaTheme="minorEastAsia" w:hAnsi="Arial" w:cs="Arial"/>
          <w:noProof/>
          <w:lang w:eastAsia="en-GB"/>
        </w:rPr>
      </w:pPr>
      <w:hyperlink w:anchor="_Toc106288929" w:history="1">
        <w:r w:rsidR="00226F09" w:rsidRPr="00F9183B">
          <w:rPr>
            <w:rStyle w:val="Hyperlink"/>
            <w:rFonts w:ascii="Arial" w:hAnsi="Arial" w:cs="Arial"/>
            <w:b w:val="0"/>
            <w:bCs w:val="0"/>
            <w:i w:val="0"/>
            <w:iCs w:val="0"/>
            <w:noProof/>
            <w:sz w:val="21"/>
            <w:szCs w:val="21"/>
          </w:rPr>
          <w:t>7.</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OUTCOME MEASURES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_Toc106288929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12</w:t>
        </w:r>
        <w:r w:rsidR="00226F09" w:rsidRPr="00F9183B">
          <w:rPr>
            <w:rFonts w:ascii="Arial" w:hAnsi="Arial" w:cs="Arial"/>
            <w:noProof/>
            <w:webHidden/>
          </w:rPr>
          <w:fldChar w:fldCharType="end"/>
        </w:r>
      </w:hyperlink>
    </w:p>
    <w:p w14:paraId="239B26C3" w14:textId="4DAE992B" w:rsidR="00226F09" w:rsidRPr="00F9183B" w:rsidRDefault="00000000" w:rsidP="00FB1BFD">
      <w:pPr>
        <w:pStyle w:val="TOC2"/>
        <w:rPr>
          <w:rFonts w:eastAsiaTheme="minorEastAsia"/>
          <w:b/>
          <w:bCs/>
          <w:sz w:val="21"/>
          <w:szCs w:val="21"/>
          <w:lang w:eastAsia="en-GB"/>
        </w:rPr>
      </w:pPr>
      <w:hyperlink w:anchor="_Toc106288930" w:history="1">
        <w:r w:rsidR="00226F09" w:rsidRPr="00F9183B">
          <w:rPr>
            <w:rStyle w:val="Hyperlink"/>
          </w:rPr>
          <w:t>7.1.</w:t>
        </w:r>
        <w:r w:rsidR="00226F09" w:rsidRPr="00F9183B">
          <w:rPr>
            <w:rFonts w:eastAsiaTheme="minorEastAsia"/>
            <w:sz w:val="21"/>
            <w:szCs w:val="21"/>
            <w:lang w:eastAsia="en-GB"/>
          </w:rPr>
          <w:tab/>
        </w:r>
        <w:r w:rsidR="00226F09" w:rsidRPr="00F9183B">
          <w:rPr>
            <w:rStyle w:val="Hyperlink"/>
          </w:rPr>
          <w:t>Primary outcome measure</w:t>
        </w:r>
        <w:r w:rsidR="00226F09" w:rsidRPr="00F9183B">
          <w:rPr>
            <w:webHidden/>
          </w:rPr>
          <w:tab/>
        </w:r>
        <w:r w:rsidR="00226F09" w:rsidRPr="00F9183B">
          <w:rPr>
            <w:b/>
            <w:bCs/>
            <w:webHidden/>
          </w:rPr>
          <w:fldChar w:fldCharType="begin"/>
        </w:r>
        <w:r w:rsidR="00226F09" w:rsidRPr="00F9183B">
          <w:rPr>
            <w:webHidden/>
          </w:rPr>
          <w:instrText xml:space="preserve"> PAGEREF _Toc106288930 \h </w:instrText>
        </w:r>
        <w:r w:rsidR="00226F09" w:rsidRPr="00F9183B">
          <w:rPr>
            <w:b/>
            <w:bCs/>
            <w:webHidden/>
          </w:rPr>
        </w:r>
        <w:r w:rsidR="00226F09" w:rsidRPr="00F9183B">
          <w:rPr>
            <w:b/>
            <w:bCs/>
            <w:webHidden/>
          </w:rPr>
          <w:fldChar w:fldCharType="separate"/>
        </w:r>
        <w:r w:rsidR="00C310F3" w:rsidRPr="00F9183B">
          <w:rPr>
            <w:webHidden/>
          </w:rPr>
          <w:t>12</w:t>
        </w:r>
        <w:r w:rsidR="00226F09" w:rsidRPr="00F9183B">
          <w:rPr>
            <w:b/>
            <w:bCs/>
            <w:webHidden/>
          </w:rPr>
          <w:fldChar w:fldCharType="end"/>
        </w:r>
      </w:hyperlink>
    </w:p>
    <w:p w14:paraId="122ACB7A" w14:textId="583458B9" w:rsidR="00226F09" w:rsidRPr="00F9183B" w:rsidRDefault="00000000" w:rsidP="00FB1BFD">
      <w:pPr>
        <w:pStyle w:val="TOC2"/>
        <w:rPr>
          <w:rFonts w:eastAsiaTheme="minorEastAsia"/>
          <w:b/>
          <w:bCs/>
          <w:sz w:val="21"/>
          <w:szCs w:val="21"/>
          <w:lang w:eastAsia="en-GB"/>
        </w:rPr>
      </w:pPr>
      <w:hyperlink w:anchor="_Toc106288931" w:history="1">
        <w:r w:rsidR="00226F09" w:rsidRPr="00F9183B">
          <w:rPr>
            <w:rStyle w:val="Hyperlink"/>
          </w:rPr>
          <w:t>7.2.</w:t>
        </w:r>
        <w:r w:rsidR="00226F09" w:rsidRPr="00F9183B">
          <w:rPr>
            <w:rFonts w:eastAsiaTheme="minorEastAsia"/>
            <w:sz w:val="21"/>
            <w:szCs w:val="21"/>
            <w:lang w:eastAsia="en-GB"/>
          </w:rPr>
          <w:tab/>
        </w:r>
        <w:r w:rsidR="00226F09" w:rsidRPr="00F9183B">
          <w:rPr>
            <w:rStyle w:val="Hyperlink"/>
          </w:rPr>
          <w:t>Secondary outcome measures</w:t>
        </w:r>
        <w:r w:rsidR="00226F09" w:rsidRPr="00F9183B">
          <w:rPr>
            <w:webHidden/>
          </w:rPr>
          <w:tab/>
        </w:r>
        <w:r w:rsidR="00226F09" w:rsidRPr="00F9183B">
          <w:rPr>
            <w:b/>
            <w:bCs/>
            <w:webHidden/>
          </w:rPr>
          <w:fldChar w:fldCharType="begin"/>
        </w:r>
        <w:r w:rsidR="00226F09" w:rsidRPr="00F9183B">
          <w:rPr>
            <w:webHidden/>
          </w:rPr>
          <w:instrText xml:space="preserve"> PAGEREF _Toc106288931 \h </w:instrText>
        </w:r>
        <w:r w:rsidR="00226F09" w:rsidRPr="00F9183B">
          <w:rPr>
            <w:b/>
            <w:bCs/>
            <w:webHidden/>
          </w:rPr>
        </w:r>
        <w:r w:rsidR="00226F09" w:rsidRPr="00F9183B">
          <w:rPr>
            <w:b/>
            <w:bCs/>
            <w:webHidden/>
          </w:rPr>
          <w:fldChar w:fldCharType="separate"/>
        </w:r>
        <w:r w:rsidR="00C310F3" w:rsidRPr="00F9183B">
          <w:rPr>
            <w:webHidden/>
          </w:rPr>
          <w:t>13</w:t>
        </w:r>
        <w:r w:rsidR="00226F09" w:rsidRPr="00F9183B">
          <w:rPr>
            <w:b/>
            <w:bCs/>
            <w:webHidden/>
          </w:rPr>
          <w:fldChar w:fldCharType="end"/>
        </w:r>
      </w:hyperlink>
    </w:p>
    <w:p w14:paraId="0ECCC97C" w14:textId="0D1F37FE" w:rsidR="00226F09" w:rsidRPr="00F9183B" w:rsidRDefault="00000000" w:rsidP="00FB1BFD">
      <w:pPr>
        <w:pStyle w:val="TOC2"/>
        <w:rPr>
          <w:rFonts w:eastAsiaTheme="minorEastAsia"/>
          <w:b/>
          <w:bCs/>
          <w:sz w:val="21"/>
          <w:szCs w:val="21"/>
          <w:lang w:eastAsia="en-GB"/>
        </w:rPr>
      </w:pPr>
      <w:hyperlink w:anchor="_Toc106288932" w:history="1">
        <w:r w:rsidR="00226F09" w:rsidRPr="00F9183B">
          <w:rPr>
            <w:rStyle w:val="Hyperlink"/>
          </w:rPr>
          <w:t>7.3.</w:t>
        </w:r>
        <w:r w:rsidR="00226F09" w:rsidRPr="00F9183B">
          <w:rPr>
            <w:rFonts w:eastAsiaTheme="minorEastAsia"/>
            <w:sz w:val="21"/>
            <w:szCs w:val="21"/>
            <w:lang w:eastAsia="en-GB"/>
          </w:rPr>
          <w:tab/>
        </w:r>
        <w:r w:rsidR="00226F09" w:rsidRPr="00F9183B">
          <w:rPr>
            <w:rStyle w:val="Hyperlink"/>
          </w:rPr>
          <w:t>Exploratory ou</w:t>
        </w:r>
        <w:r w:rsidR="00226F09" w:rsidRPr="00F9183B">
          <w:rPr>
            <w:rStyle w:val="Hyperlink"/>
          </w:rPr>
          <w:t>t</w:t>
        </w:r>
        <w:r w:rsidR="00226F09" w:rsidRPr="00F9183B">
          <w:rPr>
            <w:rStyle w:val="Hyperlink"/>
          </w:rPr>
          <w:t>comes</w:t>
        </w:r>
        <w:r w:rsidR="00226F09" w:rsidRPr="00F9183B">
          <w:rPr>
            <w:webHidden/>
          </w:rPr>
          <w:tab/>
        </w:r>
        <w:r w:rsidR="00226F09" w:rsidRPr="00F9183B">
          <w:rPr>
            <w:b/>
            <w:bCs/>
            <w:webHidden/>
          </w:rPr>
          <w:fldChar w:fldCharType="begin"/>
        </w:r>
        <w:r w:rsidR="00226F09" w:rsidRPr="00F9183B">
          <w:rPr>
            <w:webHidden/>
          </w:rPr>
          <w:instrText xml:space="preserve"> PAGEREF _Toc106288932 \h </w:instrText>
        </w:r>
        <w:r w:rsidR="00226F09" w:rsidRPr="00F9183B">
          <w:rPr>
            <w:b/>
            <w:bCs/>
            <w:webHidden/>
          </w:rPr>
        </w:r>
        <w:r w:rsidR="00226F09" w:rsidRPr="00F9183B">
          <w:rPr>
            <w:b/>
            <w:bCs/>
            <w:webHidden/>
          </w:rPr>
          <w:fldChar w:fldCharType="separate"/>
        </w:r>
        <w:r w:rsidR="00C310F3" w:rsidRPr="00F9183B">
          <w:rPr>
            <w:webHidden/>
          </w:rPr>
          <w:t>13</w:t>
        </w:r>
        <w:r w:rsidR="00226F09" w:rsidRPr="00F9183B">
          <w:rPr>
            <w:b/>
            <w:bCs/>
            <w:webHidden/>
          </w:rPr>
          <w:fldChar w:fldCharType="end"/>
        </w:r>
      </w:hyperlink>
    </w:p>
    <w:p w14:paraId="615A5C6E" w14:textId="66846A9C" w:rsidR="00226F09" w:rsidRPr="00F9183B" w:rsidRDefault="00000000" w:rsidP="00F9183B">
      <w:pPr>
        <w:pStyle w:val="TOC1"/>
        <w:rPr>
          <w:rFonts w:ascii="Arial" w:eastAsiaTheme="minorEastAsia" w:hAnsi="Arial" w:cs="Arial"/>
          <w:noProof/>
          <w:lang w:eastAsia="en-GB"/>
        </w:rPr>
      </w:pPr>
      <w:hyperlink w:anchor="_Toc106288933" w:history="1">
        <w:r w:rsidR="00226F09" w:rsidRPr="00F9183B">
          <w:rPr>
            <w:rStyle w:val="Hyperlink"/>
            <w:rFonts w:ascii="Arial" w:hAnsi="Arial" w:cs="Arial"/>
            <w:b w:val="0"/>
            <w:bCs w:val="0"/>
            <w:i w:val="0"/>
            <w:iCs w:val="0"/>
            <w:noProof/>
            <w:sz w:val="21"/>
            <w:szCs w:val="21"/>
          </w:rPr>
          <w:t>8.</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PROCEDURES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_Toc106288933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14</w:t>
        </w:r>
        <w:r w:rsidR="00226F09" w:rsidRPr="00F9183B">
          <w:rPr>
            <w:rFonts w:ascii="Arial" w:hAnsi="Arial" w:cs="Arial"/>
            <w:noProof/>
            <w:webHidden/>
          </w:rPr>
          <w:fldChar w:fldCharType="end"/>
        </w:r>
      </w:hyperlink>
    </w:p>
    <w:p w14:paraId="6298E59D" w14:textId="338E17AC" w:rsidR="00226F09" w:rsidRPr="00F9183B" w:rsidRDefault="00000000" w:rsidP="00FB1BFD">
      <w:pPr>
        <w:pStyle w:val="TOC2"/>
        <w:rPr>
          <w:rFonts w:eastAsiaTheme="minorEastAsia"/>
          <w:b/>
          <w:bCs/>
          <w:sz w:val="21"/>
          <w:szCs w:val="21"/>
          <w:lang w:eastAsia="en-GB"/>
        </w:rPr>
      </w:pPr>
      <w:hyperlink w:anchor="_Toc106288934" w:history="1">
        <w:r w:rsidR="00226F09" w:rsidRPr="00F9183B">
          <w:rPr>
            <w:rStyle w:val="Hyperlink"/>
          </w:rPr>
          <w:t>8.1.</w:t>
        </w:r>
        <w:r w:rsidR="00226F09" w:rsidRPr="00F9183B">
          <w:rPr>
            <w:rFonts w:eastAsiaTheme="minorEastAsia"/>
            <w:sz w:val="21"/>
            <w:szCs w:val="21"/>
            <w:lang w:eastAsia="en-GB"/>
          </w:rPr>
          <w:tab/>
        </w:r>
        <w:r w:rsidR="00226F09" w:rsidRPr="00F9183B">
          <w:rPr>
            <w:rStyle w:val="Hyperlink"/>
          </w:rPr>
          <w:t>Informed consent</w:t>
        </w:r>
        <w:r w:rsidR="00226F09" w:rsidRPr="00F9183B">
          <w:rPr>
            <w:webHidden/>
          </w:rPr>
          <w:tab/>
        </w:r>
        <w:r w:rsidR="00226F09" w:rsidRPr="00F9183B">
          <w:rPr>
            <w:b/>
            <w:bCs/>
            <w:webHidden/>
          </w:rPr>
          <w:fldChar w:fldCharType="begin"/>
        </w:r>
        <w:r w:rsidR="00226F09" w:rsidRPr="00F9183B">
          <w:rPr>
            <w:webHidden/>
          </w:rPr>
          <w:instrText xml:space="preserve"> PAGEREF _Toc106288934 \h </w:instrText>
        </w:r>
        <w:r w:rsidR="00226F09" w:rsidRPr="00F9183B">
          <w:rPr>
            <w:b/>
            <w:bCs/>
            <w:webHidden/>
          </w:rPr>
        </w:r>
        <w:r w:rsidR="00226F09" w:rsidRPr="00F9183B">
          <w:rPr>
            <w:b/>
            <w:bCs/>
            <w:webHidden/>
          </w:rPr>
          <w:fldChar w:fldCharType="separate"/>
        </w:r>
        <w:r w:rsidR="00C310F3" w:rsidRPr="00F9183B">
          <w:rPr>
            <w:webHidden/>
          </w:rPr>
          <w:t>14</w:t>
        </w:r>
        <w:r w:rsidR="00226F09" w:rsidRPr="00F9183B">
          <w:rPr>
            <w:b/>
            <w:bCs/>
            <w:webHidden/>
          </w:rPr>
          <w:fldChar w:fldCharType="end"/>
        </w:r>
      </w:hyperlink>
    </w:p>
    <w:p w14:paraId="1EADA954" w14:textId="3D0AEC3C" w:rsidR="00226F09" w:rsidRPr="00F9183B" w:rsidRDefault="00000000" w:rsidP="00FB1BFD">
      <w:pPr>
        <w:pStyle w:val="TOC2"/>
        <w:rPr>
          <w:rFonts w:eastAsiaTheme="minorEastAsia"/>
          <w:b/>
          <w:bCs/>
          <w:sz w:val="21"/>
          <w:szCs w:val="21"/>
          <w:lang w:eastAsia="en-GB"/>
        </w:rPr>
      </w:pPr>
      <w:hyperlink w:anchor="_Toc106288935" w:history="1">
        <w:r w:rsidR="00226F09" w:rsidRPr="00F9183B">
          <w:rPr>
            <w:rStyle w:val="Hyperlink"/>
          </w:rPr>
          <w:t>8.2.</w:t>
        </w:r>
        <w:r w:rsidR="00226F09" w:rsidRPr="00F9183B">
          <w:rPr>
            <w:rFonts w:eastAsiaTheme="minorEastAsia"/>
            <w:sz w:val="21"/>
            <w:szCs w:val="21"/>
            <w:lang w:eastAsia="en-GB"/>
          </w:rPr>
          <w:tab/>
        </w:r>
        <w:r w:rsidR="00226F09" w:rsidRPr="00F9183B">
          <w:rPr>
            <w:rStyle w:val="Hyperlink"/>
          </w:rPr>
          <w:t>Study procedures</w:t>
        </w:r>
        <w:r w:rsidR="00226F09" w:rsidRPr="00F9183B">
          <w:rPr>
            <w:webHidden/>
          </w:rPr>
          <w:tab/>
        </w:r>
        <w:r w:rsidR="00226F09" w:rsidRPr="00F9183B">
          <w:rPr>
            <w:b/>
            <w:bCs/>
            <w:webHidden/>
          </w:rPr>
          <w:fldChar w:fldCharType="begin"/>
        </w:r>
        <w:r w:rsidR="00226F09" w:rsidRPr="00F9183B">
          <w:rPr>
            <w:webHidden/>
          </w:rPr>
          <w:instrText xml:space="preserve"> PAGEREF _Toc106288935 \h </w:instrText>
        </w:r>
        <w:r w:rsidR="00226F09" w:rsidRPr="00F9183B">
          <w:rPr>
            <w:b/>
            <w:bCs/>
            <w:webHidden/>
          </w:rPr>
        </w:r>
        <w:r w:rsidR="00226F09" w:rsidRPr="00F9183B">
          <w:rPr>
            <w:b/>
            <w:bCs/>
            <w:webHidden/>
          </w:rPr>
          <w:fldChar w:fldCharType="separate"/>
        </w:r>
        <w:r w:rsidR="00C310F3" w:rsidRPr="00F9183B">
          <w:rPr>
            <w:webHidden/>
          </w:rPr>
          <w:t>15</w:t>
        </w:r>
        <w:r w:rsidR="00226F09" w:rsidRPr="00F9183B">
          <w:rPr>
            <w:b/>
            <w:bCs/>
            <w:webHidden/>
          </w:rPr>
          <w:fldChar w:fldCharType="end"/>
        </w:r>
      </w:hyperlink>
    </w:p>
    <w:p w14:paraId="0745C792" w14:textId="3F6C414E" w:rsidR="00226F09" w:rsidRPr="00F9183B" w:rsidRDefault="00000000" w:rsidP="00FB1BFD">
      <w:pPr>
        <w:pStyle w:val="TOC2"/>
        <w:rPr>
          <w:rFonts w:eastAsiaTheme="minorEastAsia"/>
          <w:b/>
          <w:bCs/>
          <w:sz w:val="21"/>
          <w:szCs w:val="21"/>
          <w:lang w:eastAsia="en-GB"/>
        </w:rPr>
      </w:pPr>
      <w:hyperlink w:anchor="_Toc106288936" w:history="1">
        <w:r w:rsidR="00226F09" w:rsidRPr="00F9183B">
          <w:rPr>
            <w:rStyle w:val="Hyperlink"/>
          </w:rPr>
          <w:t>8.3.</w:t>
        </w:r>
        <w:r w:rsidR="00226F09" w:rsidRPr="00F9183B">
          <w:rPr>
            <w:rFonts w:eastAsiaTheme="minorEastAsia"/>
            <w:sz w:val="21"/>
            <w:szCs w:val="21"/>
            <w:lang w:eastAsia="en-GB"/>
          </w:rPr>
          <w:tab/>
        </w:r>
        <w:r w:rsidR="00226F09" w:rsidRPr="00F9183B">
          <w:rPr>
            <w:rStyle w:val="Hyperlink"/>
          </w:rPr>
          <w:t>Randomization procedure</w:t>
        </w:r>
        <w:r w:rsidR="00226F09" w:rsidRPr="00F9183B">
          <w:rPr>
            <w:webHidden/>
          </w:rPr>
          <w:tab/>
        </w:r>
        <w:r w:rsidR="00226F09" w:rsidRPr="00F9183B">
          <w:rPr>
            <w:b/>
            <w:bCs/>
            <w:webHidden/>
          </w:rPr>
          <w:fldChar w:fldCharType="begin"/>
        </w:r>
        <w:r w:rsidR="00226F09" w:rsidRPr="00F9183B">
          <w:rPr>
            <w:webHidden/>
          </w:rPr>
          <w:instrText xml:space="preserve"> PAGEREF _Toc106288936 \h </w:instrText>
        </w:r>
        <w:r w:rsidR="00226F09" w:rsidRPr="00F9183B">
          <w:rPr>
            <w:b/>
            <w:bCs/>
            <w:webHidden/>
          </w:rPr>
        </w:r>
        <w:r w:rsidR="00226F09" w:rsidRPr="00F9183B">
          <w:rPr>
            <w:b/>
            <w:bCs/>
            <w:webHidden/>
          </w:rPr>
          <w:fldChar w:fldCharType="separate"/>
        </w:r>
        <w:r w:rsidR="00C310F3" w:rsidRPr="00F9183B">
          <w:rPr>
            <w:webHidden/>
          </w:rPr>
          <w:t>16</w:t>
        </w:r>
        <w:r w:rsidR="00226F09" w:rsidRPr="00F9183B">
          <w:rPr>
            <w:b/>
            <w:bCs/>
            <w:webHidden/>
          </w:rPr>
          <w:fldChar w:fldCharType="end"/>
        </w:r>
      </w:hyperlink>
    </w:p>
    <w:p w14:paraId="1B05ED87" w14:textId="4D170ACC" w:rsidR="00226F09" w:rsidRPr="00F9183B" w:rsidRDefault="00000000" w:rsidP="00FB1BFD">
      <w:pPr>
        <w:pStyle w:val="TOC2"/>
        <w:rPr>
          <w:rFonts w:eastAsiaTheme="minorEastAsia"/>
          <w:b/>
          <w:bCs/>
          <w:sz w:val="21"/>
          <w:szCs w:val="21"/>
          <w:lang w:eastAsia="en-GB"/>
        </w:rPr>
      </w:pPr>
      <w:hyperlink w:anchor="_Toc106288937" w:history="1">
        <w:r w:rsidR="00226F09" w:rsidRPr="00F9183B">
          <w:rPr>
            <w:rStyle w:val="Hyperlink"/>
          </w:rPr>
          <w:t>8.4.</w:t>
        </w:r>
        <w:r w:rsidR="00226F09" w:rsidRPr="00F9183B">
          <w:rPr>
            <w:rFonts w:eastAsiaTheme="minorEastAsia"/>
            <w:sz w:val="21"/>
            <w:szCs w:val="21"/>
            <w:lang w:eastAsia="en-GB"/>
          </w:rPr>
          <w:tab/>
        </w:r>
        <w:r w:rsidR="00226F09" w:rsidRPr="00F9183B">
          <w:rPr>
            <w:rStyle w:val="Hyperlink"/>
          </w:rPr>
          <w:t>Blinding</w:t>
        </w:r>
        <w:r w:rsidR="00226F09" w:rsidRPr="00F9183B">
          <w:rPr>
            <w:webHidden/>
          </w:rPr>
          <w:tab/>
        </w:r>
        <w:r w:rsidR="00226F09" w:rsidRPr="00F9183B">
          <w:rPr>
            <w:b/>
            <w:bCs/>
            <w:webHidden/>
          </w:rPr>
          <w:fldChar w:fldCharType="begin"/>
        </w:r>
        <w:r w:rsidR="00226F09" w:rsidRPr="00F9183B">
          <w:rPr>
            <w:webHidden/>
          </w:rPr>
          <w:instrText xml:space="preserve"> PAGEREF _Toc106288937 \h </w:instrText>
        </w:r>
        <w:r w:rsidR="00226F09" w:rsidRPr="00F9183B">
          <w:rPr>
            <w:b/>
            <w:bCs/>
            <w:webHidden/>
          </w:rPr>
        </w:r>
        <w:r w:rsidR="00226F09" w:rsidRPr="00F9183B">
          <w:rPr>
            <w:b/>
            <w:bCs/>
            <w:webHidden/>
          </w:rPr>
          <w:fldChar w:fldCharType="separate"/>
        </w:r>
        <w:r w:rsidR="00C310F3" w:rsidRPr="00F9183B">
          <w:rPr>
            <w:webHidden/>
          </w:rPr>
          <w:t>16</w:t>
        </w:r>
        <w:r w:rsidR="00226F09" w:rsidRPr="00F9183B">
          <w:rPr>
            <w:b/>
            <w:bCs/>
            <w:webHidden/>
          </w:rPr>
          <w:fldChar w:fldCharType="end"/>
        </w:r>
      </w:hyperlink>
    </w:p>
    <w:p w14:paraId="4D762471" w14:textId="6BDBEEBD" w:rsidR="00226F09" w:rsidRPr="00F9183B" w:rsidRDefault="00000000" w:rsidP="00F9183B">
      <w:pPr>
        <w:pStyle w:val="TOC1"/>
        <w:rPr>
          <w:rFonts w:ascii="Arial" w:eastAsiaTheme="minorEastAsia" w:hAnsi="Arial" w:cs="Arial"/>
          <w:noProof/>
          <w:lang w:eastAsia="en-GB"/>
        </w:rPr>
      </w:pPr>
      <w:hyperlink w:anchor="_Toc106288938" w:history="1">
        <w:r w:rsidR="00226F09" w:rsidRPr="00F9183B">
          <w:rPr>
            <w:rStyle w:val="Hyperlink"/>
            <w:rFonts w:ascii="Arial" w:hAnsi="Arial" w:cs="Arial"/>
            <w:b w:val="0"/>
            <w:bCs w:val="0"/>
            <w:i w:val="0"/>
            <w:iCs w:val="0"/>
            <w:noProof/>
            <w:sz w:val="21"/>
            <w:szCs w:val="21"/>
          </w:rPr>
          <w:t>9.</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SAFETY EVALUATION</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_Toc106288938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16</w:t>
        </w:r>
        <w:r w:rsidR="00226F09" w:rsidRPr="00F9183B">
          <w:rPr>
            <w:rFonts w:ascii="Arial" w:hAnsi="Arial" w:cs="Arial"/>
            <w:noProof/>
            <w:webHidden/>
          </w:rPr>
          <w:fldChar w:fldCharType="end"/>
        </w:r>
      </w:hyperlink>
    </w:p>
    <w:p w14:paraId="4860D911" w14:textId="3AC96328" w:rsidR="00226F09" w:rsidRPr="00F9183B" w:rsidRDefault="00000000" w:rsidP="00FB1BFD">
      <w:pPr>
        <w:pStyle w:val="TOC2"/>
        <w:rPr>
          <w:rFonts w:eastAsiaTheme="minorEastAsia"/>
          <w:b/>
          <w:bCs/>
          <w:sz w:val="21"/>
          <w:szCs w:val="21"/>
          <w:lang w:eastAsia="en-GB"/>
        </w:rPr>
      </w:pPr>
      <w:hyperlink w:anchor="_Toc106288939" w:history="1">
        <w:r w:rsidR="00226F09" w:rsidRPr="00F9183B">
          <w:rPr>
            <w:rStyle w:val="Hyperlink"/>
          </w:rPr>
          <w:t>9.1.</w:t>
        </w:r>
        <w:r w:rsidR="00226F09" w:rsidRPr="00F9183B">
          <w:rPr>
            <w:rFonts w:eastAsiaTheme="minorEastAsia"/>
            <w:sz w:val="21"/>
            <w:szCs w:val="21"/>
            <w:lang w:eastAsia="en-GB"/>
          </w:rPr>
          <w:tab/>
        </w:r>
        <w:r w:rsidR="00226F09" w:rsidRPr="00F9183B">
          <w:rPr>
            <w:rStyle w:val="Hyperlink"/>
          </w:rPr>
          <w:t>Definitions</w:t>
        </w:r>
        <w:r w:rsidR="00226F09" w:rsidRPr="00F9183B">
          <w:rPr>
            <w:webHidden/>
          </w:rPr>
          <w:tab/>
        </w:r>
        <w:r w:rsidR="00226F09" w:rsidRPr="00F9183B">
          <w:rPr>
            <w:b/>
            <w:bCs/>
            <w:webHidden/>
          </w:rPr>
          <w:fldChar w:fldCharType="begin"/>
        </w:r>
        <w:r w:rsidR="00226F09" w:rsidRPr="00F9183B">
          <w:rPr>
            <w:webHidden/>
          </w:rPr>
          <w:instrText xml:space="preserve"> PAGEREF _Toc106288939 \h </w:instrText>
        </w:r>
        <w:r w:rsidR="00226F09" w:rsidRPr="00F9183B">
          <w:rPr>
            <w:b/>
            <w:bCs/>
            <w:webHidden/>
          </w:rPr>
        </w:r>
        <w:r w:rsidR="00226F09" w:rsidRPr="00F9183B">
          <w:rPr>
            <w:b/>
            <w:bCs/>
            <w:webHidden/>
          </w:rPr>
          <w:fldChar w:fldCharType="separate"/>
        </w:r>
        <w:r w:rsidR="00C310F3" w:rsidRPr="00F9183B">
          <w:rPr>
            <w:webHidden/>
          </w:rPr>
          <w:t>17</w:t>
        </w:r>
        <w:r w:rsidR="00226F09" w:rsidRPr="00F9183B">
          <w:rPr>
            <w:b/>
            <w:bCs/>
            <w:webHidden/>
          </w:rPr>
          <w:fldChar w:fldCharType="end"/>
        </w:r>
      </w:hyperlink>
    </w:p>
    <w:p w14:paraId="46744F18" w14:textId="6CD5283D" w:rsidR="00226F09" w:rsidRPr="00F9183B" w:rsidRDefault="00000000" w:rsidP="00FB1BFD">
      <w:pPr>
        <w:pStyle w:val="TOC2"/>
        <w:rPr>
          <w:rFonts w:eastAsiaTheme="minorEastAsia"/>
          <w:b/>
          <w:bCs/>
          <w:sz w:val="21"/>
          <w:szCs w:val="21"/>
          <w:lang w:eastAsia="en-GB"/>
        </w:rPr>
      </w:pPr>
      <w:hyperlink w:anchor="_Toc106288940" w:history="1">
        <w:r w:rsidR="00226F09" w:rsidRPr="00F9183B">
          <w:rPr>
            <w:rStyle w:val="Hyperlink"/>
          </w:rPr>
          <w:t>9.1.1.</w:t>
        </w:r>
        <w:r w:rsidR="00226F09" w:rsidRPr="00F9183B">
          <w:rPr>
            <w:rFonts w:eastAsiaTheme="minorEastAsia"/>
            <w:sz w:val="21"/>
            <w:szCs w:val="21"/>
            <w:lang w:eastAsia="en-GB"/>
          </w:rPr>
          <w:tab/>
        </w:r>
        <w:r w:rsidR="00226F09" w:rsidRPr="00F9183B">
          <w:rPr>
            <w:rStyle w:val="Hyperlink"/>
          </w:rPr>
          <w:t>Adverse events</w:t>
        </w:r>
        <w:r w:rsidR="00226F09" w:rsidRPr="00F9183B">
          <w:rPr>
            <w:webHidden/>
          </w:rPr>
          <w:tab/>
        </w:r>
        <w:r w:rsidR="00226F09" w:rsidRPr="00F9183B">
          <w:rPr>
            <w:b/>
            <w:bCs/>
            <w:webHidden/>
          </w:rPr>
          <w:fldChar w:fldCharType="begin"/>
        </w:r>
        <w:r w:rsidR="00226F09" w:rsidRPr="00F9183B">
          <w:rPr>
            <w:webHidden/>
          </w:rPr>
          <w:instrText xml:space="preserve"> PAGEREF _Toc106288940 \h </w:instrText>
        </w:r>
        <w:r w:rsidR="00226F09" w:rsidRPr="00F9183B">
          <w:rPr>
            <w:b/>
            <w:bCs/>
            <w:webHidden/>
          </w:rPr>
        </w:r>
        <w:r w:rsidR="00226F09" w:rsidRPr="00F9183B">
          <w:rPr>
            <w:b/>
            <w:bCs/>
            <w:webHidden/>
          </w:rPr>
          <w:fldChar w:fldCharType="separate"/>
        </w:r>
        <w:r w:rsidR="00C310F3" w:rsidRPr="00F9183B">
          <w:rPr>
            <w:webHidden/>
          </w:rPr>
          <w:t>17</w:t>
        </w:r>
        <w:r w:rsidR="00226F09" w:rsidRPr="00F9183B">
          <w:rPr>
            <w:b/>
            <w:bCs/>
            <w:webHidden/>
          </w:rPr>
          <w:fldChar w:fldCharType="end"/>
        </w:r>
      </w:hyperlink>
    </w:p>
    <w:p w14:paraId="770B3776" w14:textId="621AE34B" w:rsidR="00226F09" w:rsidRPr="00F9183B" w:rsidRDefault="00000000" w:rsidP="00FB1BFD">
      <w:pPr>
        <w:pStyle w:val="TOC2"/>
        <w:rPr>
          <w:rFonts w:eastAsiaTheme="minorEastAsia"/>
          <w:b/>
          <w:bCs/>
          <w:sz w:val="21"/>
          <w:szCs w:val="21"/>
          <w:lang w:eastAsia="en-GB"/>
        </w:rPr>
      </w:pPr>
      <w:hyperlink w:anchor="_Toc106288941" w:history="1">
        <w:r w:rsidR="00226F09" w:rsidRPr="00F9183B">
          <w:rPr>
            <w:rStyle w:val="Hyperlink"/>
          </w:rPr>
          <w:t>9.1.2.</w:t>
        </w:r>
        <w:r w:rsidR="00226F09" w:rsidRPr="00F9183B">
          <w:rPr>
            <w:rFonts w:eastAsiaTheme="minorEastAsia"/>
            <w:sz w:val="21"/>
            <w:szCs w:val="21"/>
            <w:lang w:eastAsia="en-GB"/>
          </w:rPr>
          <w:tab/>
        </w:r>
        <w:r w:rsidR="00226F09" w:rsidRPr="00F9183B">
          <w:rPr>
            <w:rStyle w:val="Hyperlink"/>
          </w:rPr>
          <w:t>Serious adverse events</w:t>
        </w:r>
        <w:r w:rsidR="00226F09" w:rsidRPr="00F9183B">
          <w:rPr>
            <w:webHidden/>
          </w:rPr>
          <w:tab/>
        </w:r>
        <w:r w:rsidR="00226F09" w:rsidRPr="00F9183B">
          <w:rPr>
            <w:b/>
            <w:bCs/>
            <w:webHidden/>
          </w:rPr>
          <w:fldChar w:fldCharType="begin"/>
        </w:r>
        <w:r w:rsidR="00226F09" w:rsidRPr="00F9183B">
          <w:rPr>
            <w:webHidden/>
          </w:rPr>
          <w:instrText xml:space="preserve"> PAGEREF _Toc106288941 \h </w:instrText>
        </w:r>
        <w:r w:rsidR="00226F09" w:rsidRPr="00F9183B">
          <w:rPr>
            <w:b/>
            <w:bCs/>
            <w:webHidden/>
          </w:rPr>
        </w:r>
        <w:r w:rsidR="00226F09" w:rsidRPr="00F9183B">
          <w:rPr>
            <w:b/>
            <w:bCs/>
            <w:webHidden/>
          </w:rPr>
          <w:fldChar w:fldCharType="separate"/>
        </w:r>
        <w:r w:rsidR="00C310F3" w:rsidRPr="00F9183B">
          <w:rPr>
            <w:webHidden/>
          </w:rPr>
          <w:t>17</w:t>
        </w:r>
        <w:r w:rsidR="00226F09" w:rsidRPr="00F9183B">
          <w:rPr>
            <w:b/>
            <w:bCs/>
            <w:webHidden/>
          </w:rPr>
          <w:fldChar w:fldCharType="end"/>
        </w:r>
      </w:hyperlink>
    </w:p>
    <w:p w14:paraId="045BB1B7" w14:textId="47043019" w:rsidR="00226F09" w:rsidRPr="00F9183B" w:rsidRDefault="00000000" w:rsidP="00FB1BFD">
      <w:pPr>
        <w:pStyle w:val="TOC2"/>
        <w:rPr>
          <w:rFonts w:eastAsiaTheme="minorEastAsia"/>
          <w:b/>
          <w:bCs/>
          <w:sz w:val="21"/>
          <w:szCs w:val="21"/>
          <w:lang w:eastAsia="en-GB"/>
        </w:rPr>
      </w:pPr>
      <w:hyperlink w:anchor="_Toc106288942" w:history="1">
        <w:r w:rsidR="00226F09" w:rsidRPr="00F9183B">
          <w:rPr>
            <w:rStyle w:val="Hyperlink"/>
          </w:rPr>
          <w:t>9.1.3.</w:t>
        </w:r>
        <w:r w:rsidR="00226F09" w:rsidRPr="00F9183B">
          <w:rPr>
            <w:rFonts w:eastAsiaTheme="minorEastAsia"/>
            <w:sz w:val="21"/>
            <w:szCs w:val="21"/>
            <w:lang w:eastAsia="en-GB"/>
          </w:rPr>
          <w:tab/>
        </w:r>
        <w:r w:rsidR="00226F09" w:rsidRPr="00F9183B">
          <w:rPr>
            <w:rStyle w:val="Hyperlink"/>
          </w:rPr>
          <w:t>Unexpected adverse events</w:t>
        </w:r>
        <w:r w:rsidR="00226F09" w:rsidRPr="00F9183B">
          <w:rPr>
            <w:webHidden/>
          </w:rPr>
          <w:tab/>
        </w:r>
        <w:r w:rsidR="00226F09" w:rsidRPr="00F9183B">
          <w:rPr>
            <w:b/>
            <w:bCs/>
            <w:webHidden/>
          </w:rPr>
          <w:fldChar w:fldCharType="begin"/>
        </w:r>
        <w:r w:rsidR="00226F09" w:rsidRPr="00F9183B">
          <w:rPr>
            <w:webHidden/>
          </w:rPr>
          <w:instrText xml:space="preserve"> PAGEREF _Toc106288942 \h </w:instrText>
        </w:r>
        <w:r w:rsidR="00226F09" w:rsidRPr="00F9183B">
          <w:rPr>
            <w:b/>
            <w:bCs/>
            <w:webHidden/>
          </w:rPr>
        </w:r>
        <w:r w:rsidR="00226F09" w:rsidRPr="00F9183B">
          <w:rPr>
            <w:b/>
            <w:bCs/>
            <w:webHidden/>
          </w:rPr>
          <w:fldChar w:fldCharType="separate"/>
        </w:r>
        <w:r w:rsidR="00C310F3" w:rsidRPr="00F9183B">
          <w:rPr>
            <w:webHidden/>
          </w:rPr>
          <w:t>17</w:t>
        </w:r>
        <w:r w:rsidR="00226F09" w:rsidRPr="00F9183B">
          <w:rPr>
            <w:b/>
            <w:bCs/>
            <w:webHidden/>
          </w:rPr>
          <w:fldChar w:fldCharType="end"/>
        </w:r>
      </w:hyperlink>
    </w:p>
    <w:p w14:paraId="4CBD7918" w14:textId="131359CB" w:rsidR="00226F09" w:rsidRPr="00F9183B" w:rsidRDefault="00000000" w:rsidP="00FB1BFD">
      <w:pPr>
        <w:pStyle w:val="TOC2"/>
        <w:rPr>
          <w:rFonts w:eastAsiaTheme="minorEastAsia"/>
          <w:b/>
          <w:bCs/>
          <w:sz w:val="21"/>
          <w:szCs w:val="21"/>
          <w:lang w:eastAsia="en-GB"/>
        </w:rPr>
      </w:pPr>
      <w:hyperlink w:anchor="_Toc106288943" w:history="1">
        <w:r w:rsidR="00226F09" w:rsidRPr="00F9183B">
          <w:rPr>
            <w:rStyle w:val="Hyperlink"/>
          </w:rPr>
          <w:t>9.1.4.</w:t>
        </w:r>
        <w:r w:rsidR="00226F09" w:rsidRPr="00F9183B">
          <w:rPr>
            <w:rFonts w:eastAsiaTheme="minorEastAsia"/>
            <w:sz w:val="21"/>
            <w:szCs w:val="21"/>
            <w:lang w:eastAsia="en-GB"/>
          </w:rPr>
          <w:tab/>
        </w:r>
        <w:r w:rsidR="00226F09" w:rsidRPr="00F9183B">
          <w:rPr>
            <w:rStyle w:val="Hyperlink"/>
          </w:rPr>
          <w:t>Serious and Unexpected Suspected Adverse Reaction (SUSAR)</w:t>
        </w:r>
        <w:r w:rsidR="00226F09" w:rsidRPr="00F9183B">
          <w:rPr>
            <w:webHidden/>
          </w:rPr>
          <w:tab/>
        </w:r>
        <w:r w:rsidR="00226F09" w:rsidRPr="00F9183B">
          <w:rPr>
            <w:b/>
            <w:bCs/>
            <w:webHidden/>
          </w:rPr>
          <w:fldChar w:fldCharType="begin"/>
        </w:r>
        <w:r w:rsidR="00226F09" w:rsidRPr="00F9183B">
          <w:rPr>
            <w:webHidden/>
          </w:rPr>
          <w:instrText xml:space="preserve"> PAGEREF _Toc106288943 \h </w:instrText>
        </w:r>
        <w:r w:rsidR="00226F09" w:rsidRPr="00F9183B">
          <w:rPr>
            <w:b/>
            <w:bCs/>
            <w:webHidden/>
          </w:rPr>
        </w:r>
        <w:r w:rsidR="00226F09" w:rsidRPr="00F9183B">
          <w:rPr>
            <w:b/>
            <w:bCs/>
            <w:webHidden/>
          </w:rPr>
          <w:fldChar w:fldCharType="separate"/>
        </w:r>
        <w:r w:rsidR="00C310F3" w:rsidRPr="00F9183B">
          <w:rPr>
            <w:webHidden/>
          </w:rPr>
          <w:t>17</w:t>
        </w:r>
        <w:r w:rsidR="00226F09" w:rsidRPr="00F9183B">
          <w:rPr>
            <w:b/>
            <w:bCs/>
            <w:webHidden/>
          </w:rPr>
          <w:fldChar w:fldCharType="end"/>
        </w:r>
      </w:hyperlink>
    </w:p>
    <w:p w14:paraId="1BDB6FBA" w14:textId="0C7B86A6" w:rsidR="00226F09" w:rsidRPr="00F9183B" w:rsidRDefault="00000000" w:rsidP="00FB1BFD">
      <w:pPr>
        <w:pStyle w:val="TOC2"/>
        <w:rPr>
          <w:rFonts w:eastAsiaTheme="minorEastAsia"/>
          <w:b/>
          <w:bCs/>
          <w:sz w:val="21"/>
          <w:szCs w:val="21"/>
          <w:lang w:eastAsia="en-GB"/>
        </w:rPr>
      </w:pPr>
      <w:hyperlink w:anchor="_Toc106288944" w:history="1">
        <w:r w:rsidR="00226F09" w:rsidRPr="00F9183B">
          <w:rPr>
            <w:rStyle w:val="Hyperlink"/>
          </w:rPr>
          <w:t>9.1.5.</w:t>
        </w:r>
        <w:r w:rsidR="00226F09" w:rsidRPr="00F9183B">
          <w:rPr>
            <w:rFonts w:eastAsiaTheme="minorEastAsia"/>
            <w:sz w:val="21"/>
            <w:szCs w:val="21"/>
            <w:lang w:eastAsia="en-GB"/>
          </w:rPr>
          <w:tab/>
        </w:r>
        <w:r w:rsidR="00226F09" w:rsidRPr="00F9183B">
          <w:rPr>
            <w:rStyle w:val="Hyperlink"/>
          </w:rPr>
          <w:t>Serious Unanticipated Problem (UP)</w:t>
        </w:r>
        <w:r w:rsidR="00226F09" w:rsidRPr="00F9183B">
          <w:rPr>
            <w:webHidden/>
          </w:rPr>
          <w:tab/>
        </w:r>
        <w:r w:rsidR="00226F09" w:rsidRPr="00F9183B">
          <w:rPr>
            <w:b/>
            <w:bCs/>
            <w:webHidden/>
          </w:rPr>
          <w:fldChar w:fldCharType="begin"/>
        </w:r>
        <w:r w:rsidR="00226F09" w:rsidRPr="00F9183B">
          <w:rPr>
            <w:webHidden/>
          </w:rPr>
          <w:instrText xml:space="preserve"> PAGEREF _Toc106288944 \h </w:instrText>
        </w:r>
        <w:r w:rsidR="00226F09" w:rsidRPr="00F9183B">
          <w:rPr>
            <w:b/>
            <w:bCs/>
            <w:webHidden/>
          </w:rPr>
        </w:r>
        <w:r w:rsidR="00226F09" w:rsidRPr="00F9183B">
          <w:rPr>
            <w:b/>
            <w:bCs/>
            <w:webHidden/>
          </w:rPr>
          <w:fldChar w:fldCharType="separate"/>
        </w:r>
        <w:r w:rsidR="00C310F3" w:rsidRPr="00F9183B">
          <w:rPr>
            <w:webHidden/>
          </w:rPr>
          <w:t>17</w:t>
        </w:r>
        <w:r w:rsidR="00226F09" w:rsidRPr="00F9183B">
          <w:rPr>
            <w:b/>
            <w:bCs/>
            <w:webHidden/>
          </w:rPr>
          <w:fldChar w:fldCharType="end"/>
        </w:r>
      </w:hyperlink>
    </w:p>
    <w:p w14:paraId="4C59FC86" w14:textId="470F6800" w:rsidR="00226F09" w:rsidRPr="00C5400F" w:rsidRDefault="00000000" w:rsidP="00FB1BFD">
      <w:pPr>
        <w:pStyle w:val="TOC2"/>
        <w:rPr>
          <w:rStyle w:val="Hyperlink"/>
        </w:rPr>
      </w:pPr>
      <w:hyperlink w:anchor="_Toc106288945" w:history="1">
        <w:r w:rsidR="00226F09" w:rsidRPr="00F9183B">
          <w:rPr>
            <w:rStyle w:val="Hyperlink"/>
          </w:rPr>
          <w:t>9.1.6.</w:t>
        </w:r>
        <w:r w:rsidR="00226F09" w:rsidRPr="00C5400F">
          <w:rPr>
            <w:rStyle w:val="Hyperlink"/>
          </w:rPr>
          <w:tab/>
        </w:r>
        <w:r w:rsidR="00226F09" w:rsidRPr="00F9183B">
          <w:rPr>
            <w:rStyle w:val="Hyperlink"/>
          </w:rPr>
          <w:t>Unanticipated Problem that is not an Adverse Event (UPnonAE)</w:t>
        </w:r>
        <w:r w:rsidR="00226F09" w:rsidRPr="00C5400F">
          <w:rPr>
            <w:rStyle w:val="Hyperlink"/>
            <w:webHidden/>
          </w:rPr>
          <w:tab/>
        </w:r>
        <w:r w:rsidR="00226F09" w:rsidRPr="00C5400F">
          <w:rPr>
            <w:rStyle w:val="Hyperlink"/>
            <w:webHidden/>
          </w:rPr>
          <w:fldChar w:fldCharType="begin"/>
        </w:r>
        <w:r w:rsidR="00226F09" w:rsidRPr="00C5400F">
          <w:rPr>
            <w:rStyle w:val="Hyperlink"/>
            <w:webHidden/>
          </w:rPr>
          <w:instrText xml:space="preserve"> PAGEREF _Toc106288945 \h </w:instrText>
        </w:r>
        <w:r w:rsidR="00226F09" w:rsidRPr="00C5400F">
          <w:rPr>
            <w:rStyle w:val="Hyperlink"/>
            <w:webHidden/>
          </w:rPr>
        </w:r>
        <w:r w:rsidR="00226F09" w:rsidRPr="00C5400F">
          <w:rPr>
            <w:rStyle w:val="Hyperlink"/>
            <w:webHidden/>
          </w:rPr>
          <w:fldChar w:fldCharType="separate"/>
        </w:r>
        <w:r w:rsidR="00C310F3" w:rsidRPr="00C5400F">
          <w:rPr>
            <w:rStyle w:val="Hyperlink"/>
            <w:webHidden/>
          </w:rPr>
          <w:t>18</w:t>
        </w:r>
        <w:r w:rsidR="00226F09" w:rsidRPr="00C5400F">
          <w:rPr>
            <w:rStyle w:val="Hyperlink"/>
            <w:webHidden/>
          </w:rPr>
          <w:fldChar w:fldCharType="end"/>
        </w:r>
      </w:hyperlink>
    </w:p>
    <w:p w14:paraId="3515975A" w14:textId="06358BD6" w:rsidR="00F67ECC" w:rsidRPr="00FB1BFD" w:rsidRDefault="00F67ECC" w:rsidP="00FB1BFD">
      <w:pPr>
        <w:pStyle w:val="TOC2"/>
        <w:rPr>
          <w:rStyle w:val="Hyperlink"/>
          <w:color w:val="000000" w:themeColor="text1"/>
          <w:u w:val="none"/>
        </w:rPr>
      </w:pPr>
      <w:r w:rsidRPr="00FB1BFD">
        <w:rPr>
          <w:rStyle w:val="Hyperlink"/>
          <w:color w:val="000000" w:themeColor="text1"/>
          <w:u w:val="none"/>
        </w:rPr>
        <w:t>9.1.7.</w:t>
      </w:r>
      <w:r w:rsidRPr="00FB1BFD">
        <w:rPr>
          <w:rStyle w:val="Hyperlink"/>
          <w:b/>
          <w:bCs/>
          <w:color w:val="000000" w:themeColor="text1"/>
          <w:u w:val="none"/>
        </w:rPr>
        <w:tab/>
      </w:r>
      <w:r w:rsidRPr="00FB1BFD">
        <w:rPr>
          <w:rStyle w:val="Hyperlink"/>
          <w:color w:val="000000" w:themeColor="text1"/>
          <w:u w:val="none"/>
        </w:rPr>
        <w:t>Confirmatory pregnancy test at the end of follow-up</w:t>
      </w:r>
      <w:r w:rsidRPr="00FB1BFD">
        <w:rPr>
          <w:rStyle w:val="Hyperlink"/>
          <w:b/>
          <w:bCs/>
          <w:color w:val="000000" w:themeColor="text1"/>
          <w:u w:val="none"/>
        </w:rPr>
        <w:tab/>
      </w:r>
      <w:r w:rsidRPr="00EB4473">
        <w:rPr>
          <w:rStyle w:val="Hyperlink"/>
          <w:color w:val="000000" w:themeColor="text1"/>
          <w:u w:val="none"/>
        </w:rPr>
        <w:t>18</w:t>
      </w:r>
    </w:p>
    <w:p w14:paraId="3339853C" w14:textId="7AA84C07" w:rsidR="00226F09" w:rsidRPr="00C5400F" w:rsidRDefault="00000000" w:rsidP="00FB1BFD">
      <w:pPr>
        <w:pStyle w:val="TOC2"/>
        <w:rPr>
          <w:rStyle w:val="Hyperlink"/>
        </w:rPr>
      </w:pPr>
      <w:hyperlink w:anchor="_Toc106288946" w:history="1">
        <w:r w:rsidR="00226F09" w:rsidRPr="00F67ECC">
          <w:rPr>
            <w:rStyle w:val="Hyperlink"/>
          </w:rPr>
          <w:t>9.2.</w:t>
        </w:r>
        <w:r w:rsidR="00226F09" w:rsidRPr="00C5400F">
          <w:rPr>
            <w:rStyle w:val="Hyperlink"/>
          </w:rPr>
          <w:tab/>
        </w:r>
        <w:r w:rsidR="00226F09" w:rsidRPr="00F67ECC">
          <w:rPr>
            <w:rStyle w:val="Hyperlink"/>
          </w:rPr>
          <w:t>Adverse Event Data Collection</w:t>
        </w:r>
        <w:r w:rsidR="00226F09" w:rsidRPr="00C5400F">
          <w:rPr>
            <w:rStyle w:val="Hyperlink"/>
            <w:webHidden/>
          </w:rPr>
          <w:tab/>
        </w:r>
        <w:r w:rsidR="00226F09" w:rsidRPr="00C5400F">
          <w:rPr>
            <w:rStyle w:val="Hyperlink"/>
            <w:webHidden/>
          </w:rPr>
          <w:fldChar w:fldCharType="begin"/>
        </w:r>
        <w:r w:rsidR="00226F09" w:rsidRPr="00C5400F">
          <w:rPr>
            <w:rStyle w:val="Hyperlink"/>
            <w:webHidden/>
          </w:rPr>
          <w:instrText xml:space="preserve"> PAGEREF _Toc106288946 \h </w:instrText>
        </w:r>
        <w:r w:rsidR="00226F09" w:rsidRPr="00C5400F">
          <w:rPr>
            <w:rStyle w:val="Hyperlink"/>
            <w:webHidden/>
          </w:rPr>
        </w:r>
        <w:r w:rsidR="00226F09" w:rsidRPr="00C5400F">
          <w:rPr>
            <w:rStyle w:val="Hyperlink"/>
            <w:webHidden/>
          </w:rPr>
          <w:fldChar w:fldCharType="separate"/>
        </w:r>
        <w:r w:rsidR="00C310F3" w:rsidRPr="00C5400F">
          <w:rPr>
            <w:rStyle w:val="Hyperlink"/>
            <w:webHidden/>
          </w:rPr>
          <w:t>18</w:t>
        </w:r>
        <w:r w:rsidR="00226F09" w:rsidRPr="00C5400F">
          <w:rPr>
            <w:rStyle w:val="Hyperlink"/>
            <w:webHidden/>
          </w:rPr>
          <w:fldChar w:fldCharType="end"/>
        </w:r>
      </w:hyperlink>
    </w:p>
    <w:p w14:paraId="40B91F7F" w14:textId="43CD256B" w:rsidR="00226F09" w:rsidRPr="00F9183B" w:rsidRDefault="00000000" w:rsidP="00FB1BFD">
      <w:pPr>
        <w:pStyle w:val="TOC2"/>
        <w:rPr>
          <w:rFonts w:eastAsiaTheme="minorEastAsia"/>
          <w:b/>
          <w:bCs/>
          <w:sz w:val="21"/>
          <w:szCs w:val="21"/>
          <w:lang w:eastAsia="en-GB"/>
        </w:rPr>
      </w:pPr>
      <w:hyperlink w:anchor="_Toc106288947" w:history="1">
        <w:r w:rsidR="00226F09" w:rsidRPr="00F9183B">
          <w:rPr>
            <w:rStyle w:val="Hyperlink"/>
          </w:rPr>
          <w:t>9.3.</w:t>
        </w:r>
        <w:r w:rsidR="00226F09" w:rsidRPr="00F9183B">
          <w:rPr>
            <w:rFonts w:eastAsiaTheme="minorEastAsia"/>
            <w:sz w:val="21"/>
            <w:szCs w:val="21"/>
            <w:lang w:eastAsia="en-GB"/>
          </w:rPr>
          <w:tab/>
        </w:r>
        <w:r w:rsidR="00226F09" w:rsidRPr="00F9183B">
          <w:rPr>
            <w:rStyle w:val="Hyperlink"/>
          </w:rPr>
          <w:t>Haematological severe AE</w:t>
        </w:r>
        <w:r w:rsidR="00226F09" w:rsidRPr="00F9183B">
          <w:rPr>
            <w:webHidden/>
          </w:rPr>
          <w:tab/>
        </w:r>
        <w:r w:rsidR="00226F09" w:rsidRPr="00F9183B">
          <w:rPr>
            <w:b/>
            <w:bCs/>
            <w:webHidden/>
          </w:rPr>
          <w:fldChar w:fldCharType="begin"/>
        </w:r>
        <w:r w:rsidR="00226F09" w:rsidRPr="00F9183B">
          <w:rPr>
            <w:webHidden/>
          </w:rPr>
          <w:instrText xml:space="preserve"> PAGEREF _Toc106288947 \h </w:instrText>
        </w:r>
        <w:r w:rsidR="00226F09" w:rsidRPr="00F9183B">
          <w:rPr>
            <w:b/>
            <w:bCs/>
            <w:webHidden/>
          </w:rPr>
        </w:r>
        <w:r w:rsidR="00226F09" w:rsidRPr="00F9183B">
          <w:rPr>
            <w:b/>
            <w:bCs/>
            <w:webHidden/>
          </w:rPr>
          <w:fldChar w:fldCharType="separate"/>
        </w:r>
        <w:r w:rsidR="00C310F3" w:rsidRPr="00F9183B">
          <w:rPr>
            <w:webHidden/>
          </w:rPr>
          <w:t>19</w:t>
        </w:r>
        <w:r w:rsidR="00226F09" w:rsidRPr="00F9183B">
          <w:rPr>
            <w:b/>
            <w:bCs/>
            <w:webHidden/>
          </w:rPr>
          <w:fldChar w:fldCharType="end"/>
        </w:r>
      </w:hyperlink>
    </w:p>
    <w:p w14:paraId="18FA16AB" w14:textId="07E33252" w:rsidR="00226F09" w:rsidRPr="00F9183B" w:rsidRDefault="00000000" w:rsidP="00FB1BFD">
      <w:pPr>
        <w:pStyle w:val="TOC2"/>
        <w:rPr>
          <w:rFonts w:eastAsiaTheme="minorEastAsia"/>
          <w:b/>
          <w:bCs/>
          <w:sz w:val="21"/>
          <w:szCs w:val="21"/>
          <w:lang w:eastAsia="en-GB"/>
        </w:rPr>
      </w:pPr>
      <w:hyperlink w:anchor="_Toc106288948" w:history="1">
        <w:r w:rsidR="00226F09" w:rsidRPr="00F9183B">
          <w:rPr>
            <w:rStyle w:val="Hyperlink"/>
          </w:rPr>
          <w:t>9.4.</w:t>
        </w:r>
        <w:r w:rsidR="00226F09" w:rsidRPr="00F9183B">
          <w:rPr>
            <w:rFonts w:eastAsiaTheme="minorEastAsia"/>
            <w:sz w:val="21"/>
            <w:szCs w:val="21"/>
            <w:lang w:eastAsia="en-GB"/>
          </w:rPr>
          <w:tab/>
        </w:r>
        <w:r w:rsidR="00226F09" w:rsidRPr="00F9183B">
          <w:rPr>
            <w:rStyle w:val="Hyperlink"/>
          </w:rPr>
          <w:t>Assessment of causality</w:t>
        </w:r>
        <w:r w:rsidR="00226F09" w:rsidRPr="00F9183B">
          <w:rPr>
            <w:webHidden/>
          </w:rPr>
          <w:tab/>
        </w:r>
        <w:r w:rsidR="00226F09" w:rsidRPr="00F9183B">
          <w:rPr>
            <w:b/>
            <w:bCs/>
            <w:webHidden/>
          </w:rPr>
          <w:fldChar w:fldCharType="begin"/>
        </w:r>
        <w:r w:rsidR="00226F09" w:rsidRPr="00F9183B">
          <w:rPr>
            <w:webHidden/>
          </w:rPr>
          <w:instrText xml:space="preserve"> PAGEREF _Toc106288948 \h </w:instrText>
        </w:r>
        <w:r w:rsidR="00226F09" w:rsidRPr="00F9183B">
          <w:rPr>
            <w:b/>
            <w:bCs/>
            <w:webHidden/>
          </w:rPr>
        </w:r>
        <w:r w:rsidR="00226F09" w:rsidRPr="00F9183B">
          <w:rPr>
            <w:b/>
            <w:bCs/>
            <w:webHidden/>
          </w:rPr>
          <w:fldChar w:fldCharType="separate"/>
        </w:r>
        <w:r w:rsidR="00C310F3" w:rsidRPr="00F9183B">
          <w:rPr>
            <w:webHidden/>
          </w:rPr>
          <w:t>19</w:t>
        </w:r>
        <w:r w:rsidR="00226F09" w:rsidRPr="00F9183B">
          <w:rPr>
            <w:b/>
            <w:bCs/>
            <w:webHidden/>
          </w:rPr>
          <w:fldChar w:fldCharType="end"/>
        </w:r>
      </w:hyperlink>
    </w:p>
    <w:p w14:paraId="4D445531" w14:textId="6538BF89" w:rsidR="00226F09" w:rsidRPr="00F9183B" w:rsidRDefault="00000000" w:rsidP="00FB1BFD">
      <w:pPr>
        <w:pStyle w:val="TOC2"/>
        <w:rPr>
          <w:rFonts w:eastAsiaTheme="minorEastAsia"/>
          <w:b/>
          <w:bCs/>
          <w:sz w:val="21"/>
          <w:szCs w:val="21"/>
          <w:lang w:eastAsia="en-GB"/>
        </w:rPr>
      </w:pPr>
      <w:hyperlink w:anchor="_Toc106288949" w:history="1">
        <w:r w:rsidR="00226F09" w:rsidRPr="00F9183B">
          <w:rPr>
            <w:rStyle w:val="Hyperlink"/>
          </w:rPr>
          <w:t>9.5.</w:t>
        </w:r>
        <w:r w:rsidR="00226F09" w:rsidRPr="00F9183B">
          <w:rPr>
            <w:rFonts w:eastAsiaTheme="minorEastAsia"/>
            <w:sz w:val="21"/>
            <w:szCs w:val="21"/>
            <w:lang w:eastAsia="en-GB"/>
          </w:rPr>
          <w:tab/>
        </w:r>
        <w:r w:rsidR="00226F09" w:rsidRPr="00F9183B">
          <w:rPr>
            <w:rStyle w:val="Hyperlink"/>
          </w:rPr>
          <w:t>Assessment of outcome</w:t>
        </w:r>
        <w:r w:rsidR="00226F09" w:rsidRPr="00F9183B">
          <w:rPr>
            <w:webHidden/>
          </w:rPr>
          <w:tab/>
        </w:r>
        <w:r w:rsidR="00226F09" w:rsidRPr="00F9183B">
          <w:rPr>
            <w:b/>
            <w:bCs/>
            <w:webHidden/>
          </w:rPr>
          <w:fldChar w:fldCharType="begin"/>
        </w:r>
        <w:r w:rsidR="00226F09" w:rsidRPr="00F9183B">
          <w:rPr>
            <w:webHidden/>
          </w:rPr>
          <w:instrText xml:space="preserve"> PAGEREF _Toc106288949 \h </w:instrText>
        </w:r>
        <w:r w:rsidR="00226F09" w:rsidRPr="00F9183B">
          <w:rPr>
            <w:b/>
            <w:bCs/>
            <w:webHidden/>
          </w:rPr>
        </w:r>
        <w:r w:rsidR="00226F09" w:rsidRPr="00F9183B">
          <w:rPr>
            <w:b/>
            <w:bCs/>
            <w:webHidden/>
          </w:rPr>
          <w:fldChar w:fldCharType="separate"/>
        </w:r>
        <w:r w:rsidR="00C310F3" w:rsidRPr="00F9183B">
          <w:rPr>
            <w:webHidden/>
          </w:rPr>
          <w:t>20</w:t>
        </w:r>
        <w:r w:rsidR="00226F09" w:rsidRPr="00F9183B">
          <w:rPr>
            <w:b/>
            <w:bCs/>
            <w:webHidden/>
          </w:rPr>
          <w:fldChar w:fldCharType="end"/>
        </w:r>
      </w:hyperlink>
    </w:p>
    <w:p w14:paraId="5185260C" w14:textId="5FCAECCB" w:rsidR="00226F09" w:rsidRPr="00F9183B" w:rsidRDefault="00000000" w:rsidP="00FB1BFD">
      <w:pPr>
        <w:pStyle w:val="TOC2"/>
        <w:rPr>
          <w:rFonts w:eastAsiaTheme="minorEastAsia"/>
          <w:b/>
          <w:bCs/>
          <w:sz w:val="21"/>
          <w:szCs w:val="21"/>
          <w:lang w:eastAsia="en-GB"/>
        </w:rPr>
      </w:pPr>
      <w:hyperlink w:anchor="_Toc106288950" w:history="1">
        <w:r w:rsidR="00226F09" w:rsidRPr="00F9183B">
          <w:rPr>
            <w:rStyle w:val="Hyperlink"/>
          </w:rPr>
          <w:t>9.6.</w:t>
        </w:r>
        <w:r w:rsidR="00226F09" w:rsidRPr="00F9183B">
          <w:rPr>
            <w:rFonts w:eastAsiaTheme="minorEastAsia"/>
            <w:sz w:val="21"/>
            <w:szCs w:val="21"/>
            <w:lang w:eastAsia="en-GB"/>
          </w:rPr>
          <w:tab/>
        </w:r>
        <w:r w:rsidR="00226F09" w:rsidRPr="00F9183B">
          <w:rPr>
            <w:rStyle w:val="Hyperlink"/>
          </w:rPr>
          <w:t>Data and Safety Monitoring Committee (</w:t>
        </w:r>
        <w:r w:rsidR="00956157">
          <w:rPr>
            <w:rStyle w:val="Hyperlink"/>
          </w:rPr>
          <w:t>DSMB</w:t>
        </w:r>
        <w:r w:rsidR="00226F09" w:rsidRPr="00F9183B">
          <w:rPr>
            <w:rStyle w:val="Hyperlink"/>
          </w:rPr>
          <w:t>)</w:t>
        </w:r>
        <w:r w:rsidR="00226F09" w:rsidRPr="00F9183B">
          <w:rPr>
            <w:webHidden/>
          </w:rPr>
          <w:tab/>
        </w:r>
        <w:r w:rsidR="00226F09" w:rsidRPr="00F9183B">
          <w:rPr>
            <w:b/>
            <w:bCs/>
            <w:webHidden/>
          </w:rPr>
          <w:fldChar w:fldCharType="begin"/>
        </w:r>
        <w:r w:rsidR="00226F09" w:rsidRPr="00F9183B">
          <w:rPr>
            <w:webHidden/>
          </w:rPr>
          <w:instrText xml:space="preserve"> PAGEREF _Toc106288950 \h </w:instrText>
        </w:r>
        <w:r w:rsidR="00226F09" w:rsidRPr="00F9183B">
          <w:rPr>
            <w:b/>
            <w:bCs/>
            <w:webHidden/>
          </w:rPr>
        </w:r>
        <w:r w:rsidR="00226F09" w:rsidRPr="00F9183B">
          <w:rPr>
            <w:b/>
            <w:bCs/>
            <w:webHidden/>
          </w:rPr>
          <w:fldChar w:fldCharType="separate"/>
        </w:r>
        <w:r w:rsidR="00C310F3" w:rsidRPr="00F9183B">
          <w:rPr>
            <w:webHidden/>
          </w:rPr>
          <w:t>20</w:t>
        </w:r>
        <w:r w:rsidR="00226F09" w:rsidRPr="00F9183B">
          <w:rPr>
            <w:b/>
            <w:bCs/>
            <w:webHidden/>
          </w:rPr>
          <w:fldChar w:fldCharType="end"/>
        </w:r>
      </w:hyperlink>
    </w:p>
    <w:p w14:paraId="7C116DC0" w14:textId="504235F2" w:rsidR="00226F09" w:rsidRPr="00F9183B" w:rsidRDefault="00000000" w:rsidP="00FB1BFD">
      <w:pPr>
        <w:pStyle w:val="TOC2"/>
        <w:rPr>
          <w:rFonts w:eastAsiaTheme="minorEastAsia"/>
          <w:b/>
          <w:bCs/>
          <w:sz w:val="21"/>
          <w:szCs w:val="21"/>
          <w:lang w:eastAsia="en-GB"/>
        </w:rPr>
      </w:pPr>
      <w:hyperlink w:anchor="_Toc106288951" w:history="1">
        <w:r w:rsidR="00226F09" w:rsidRPr="00F9183B">
          <w:rPr>
            <w:rStyle w:val="Hyperlink"/>
          </w:rPr>
          <w:t>9.7.</w:t>
        </w:r>
        <w:r w:rsidR="00226F09" w:rsidRPr="00F9183B">
          <w:rPr>
            <w:rFonts w:eastAsiaTheme="minorEastAsia"/>
            <w:sz w:val="21"/>
            <w:szCs w:val="21"/>
            <w:lang w:eastAsia="en-GB"/>
          </w:rPr>
          <w:tab/>
        </w:r>
        <w:r w:rsidR="00226F09" w:rsidRPr="00F9183B">
          <w:rPr>
            <w:rStyle w:val="Hyperlink"/>
          </w:rPr>
          <w:t>Treatment failure criteria</w:t>
        </w:r>
        <w:r w:rsidR="00226F09" w:rsidRPr="00F9183B">
          <w:rPr>
            <w:webHidden/>
          </w:rPr>
          <w:tab/>
        </w:r>
        <w:r w:rsidR="00226F09" w:rsidRPr="00F9183B">
          <w:rPr>
            <w:b/>
            <w:bCs/>
            <w:webHidden/>
          </w:rPr>
          <w:fldChar w:fldCharType="begin"/>
        </w:r>
        <w:r w:rsidR="00226F09" w:rsidRPr="00F9183B">
          <w:rPr>
            <w:webHidden/>
          </w:rPr>
          <w:instrText xml:space="preserve"> PAGEREF _Toc106288951 \h </w:instrText>
        </w:r>
        <w:r w:rsidR="00226F09" w:rsidRPr="00F9183B">
          <w:rPr>
            <w:b/>
            <w:bCs/>
            <w:webHidden/>
          </w:rPr>
        </w:r>
        <w:r w:rsidR="00226F09" w:rsidRPr="00F9183B">
          <w:rPr>
            <w:b/>
            <w:bCs/>
            <w:webHidden/>
          </w:rPr>
          <w:fldChar w:fldCharType="separate"/>
        </w:r>
        <w:r w:rsidR="00C310F3" w:rsidRPr="00F9183B">
          <w:rPr>
            <w:webHidden/>
          </w:rPr>
          <w:t>20</w:t>
        </w:r>
        <w:r w:rsidR="00226F09" w:rsidRPr="00F9183B">
          <w:rPr>
            <w:b/>
            <w:bCs/>
            <w:webHidden/>
          </w:rPr>
          <w:fldChar w:fldCharType="end"/>
        </w:r>
      </w:hyperlink>
    </w:p>
    <w:p w14:paraId="43AC6552" w14:textId="38C4A8C2" w:rsidR="00226F09" w:rsidRPr="00F9183B" w:rsidRDefault="00000000" w:rsidP="00F9183B">
      <w:pPr>
        <w:pStyle w:val="TOC1"/>
        <w:rPr>
          <w:rFonts w:ascii="Arial" w:eastAsiaTheme="minorEastAsia" w:hAnsi="Arial" w:cs="Arial"/>
          <w:noProof/>
          <w:lang w:eastAsia="en-GB"/>
        </w:rPr>
      </w:pPr>
      <w:hyperlink w:anchor="_Toc106288952" w:history="1">
        <w:r w:rsidR="00226F09" w:rsidRPr="00F9183B">
          <w:rPr>
            <w:rStyle w:val="Hyperlink"/>
            <w:rFonts w:ascii="Arial" w:hAnsi="Arial" w:cs="Arial"/>
            <w:b w:val="0"/>
            <w:bCs w:val="0"/>
            <w:i w:val="0"/>
            <w:iCs w:val="0"/>
            <w:noProof/>
            <w:sz w:val="21"/>
            <w:szCs w:val="21"/>
          </w:rPr>
          <w:t>10.</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LABORATORY PROCEDURES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_Toc106288952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21</w:t>
        </w:r>
        <w:r w:rsidR="00226F09" w:rsidRPr="00F9183B">
          <w:rPr>
            <w:rFonts w:ascii="Arial" w:hAnsi="Arial" w:cs="Arial"/>
            <w:noProof/>
            <w:webHidden/>
          </w:rPr>
          <w:fldChar w:fldCharType="end"/>
        </w:r>
      </w:hyperlink>
    </w:p>
    <w:p w14:paraId="47B7DD52" w14:textId="4A2257BF" w:rsidR="00226F09" w:rsidRPr="00F9183B" w:rsidRDefault="00000000" w:rsidP="00FB1BFD">
      <w:pPr>
        <w:pStyle w:val="TOC2"/>
        <w:rPr>
          <w:rFonts w:eastAsiaTheme="minorEastAsia"/>
          <w:b/>
          <w:bCs/>
          <w:sz w:val="21"/>
          <w:szCs w:val="21"/>
          <w:lang w:eastAsia="en-GB"/>
        </w:rPr>
      </w:pPr>
      <w:hyperlink w:anchor="_Toc106288953" w:history="1">
        <w:r w:rsidR="00226F09" w:rsidRPr="00F9183B">
          <w:rPr>
            <w:rStyle w:val="Hyperlink"/>
          </w:rPr>
          <w:t>10.1.</w:t>
        </w:r>
        <w:r w:rsidR="00226F09" w:rsidRPr="00F9183B">
          <w:rPr>
            <w:rFonts w:eastAsiaTheme="minorEastAsia"/>
            <w:sz w:val="21"/>
            <w:szCs w:val="21"/>
            <w:lang w:eastAsia="en-GB"/>
          </w:rPr>
          <w:tab/>
        </w:r>
        <w:r w:rsidR="00226F09" w:rsidRPr="00F9183B">
          <w:rPr>
            <w:rStyle w:val="Hyperlink"/>
          </w:rPr>
          <w:t>Blood film</w:t>
        </w:r>
        <w:r w:rsidR="00226F09" w:rsidRPr="00F9183B">
          <w:rPr>
            <w:webHidden/>
          </w:rPr>
          <w:tab/>
        </w:r>
        <w:r w:rsidR="00226F09" w:rsidRPr="00F9183B">
          <w:rPr>
            <w:b/>
            <w:bCs/>
            <w:webHidden/>
          </w:rPr>
          <w:fldChar w:fldCharType="begin"/>
        </w:r>
        <w:r w:rsidR="00226F09" w:rsidRPr="00F9183B">
          <w:rPr>
            <w:webHidden/>
          </w:rPr>
          <w:instrText xml:space="preserve"> PAGEREF _Toc106288953 \h </w:instrText>
        </w:r>
        <w:r w:rsidR="00226F09" w:rsidRPr="00F9183B">
          <w:rPr>
            <w:b/>
            <w:bCs/>
            <w:webHidden/>
          </w:rPr>
        </w:r>
        <w:r w:rsidR="00226F09" w:rsidRPr="00F9183B">
          <w:rPr>
            <w:b/>
            <w:bCs/>
            <w:webHidden/>
          </w:rPr>
          <w:fldChar w:fldCharType="separate"/>
        </w:r>
        <w:r w:rsidR="00C310F3" w:rsidRPr="00F9183B">
          <w:rPr>
            <w:webHidden/>
          </w:rPr>
          <w:t>21</w:t>
        </w:r>
        <w:r w:rsidR="00226F09" w:rsidRPr="00F9183B">
          <w:rPr>
            <w:b/>
            <w:bCs/>
            <w:webHidden/>
          </w:rPr>
          <w:fldChar w:fldCharType="end"/>
        </w:r>
      </w:hyperlink>
    </w:p>
    <w:p w14:paraId="73B26728" w14:textId="1BE2E900" w:rsidR="00226F09" w:rsidRPr="00F9183B" w:rsidRDefault="00000000" w:rsidP="00FB1BFD">
      <w:pPr>
        <w:pStyle w:val="TOC2"/>
        <w:rPr>
          <w:rFonts w:eastAsiaTheme="minorEastAsia"/>
          <w:b/>
          <w:bCs/>
          <w:sz w:val="21"/>
          <w:szCs w:val="21"/>
          <w:lang w:eastAsia="en-GB"/>
        </w:rPr>
      </w:pPr>
      <w:hyperlink w:anchor="_Toc106288954" w:history="1">
        <w:r w:rsidR="00226F09" w:rsidRPr="00F9183B">
          <w:rPr>
            <w:rStyle w:val="Hyperlink"/>
          </w:rPr>
          <w:t>10.2.</w:t>
        </w:r>
        <w:r w:rsidR="00226F09" w:rsidRPr="00F9183B">
          <w:rPr>
            <w:rFonts w:eastAsiaTheme="minorEastAsia"/>
            <w:sz w:val="21"/>
            <w:szCs w:val="21"/>
            <w:lang w:eastAsia="en-GB"/>
          </w:rPr>
          <w:tab/>
        </w:r>
        <w:r w:rsidR="00226F09" w:rsidRPr="00F9183B">
          <w:rPr>
            <w:rStyle w:val="Hyperlink"/>
          </w:rPr>
          <w:t>Gametocyte and asexual stage density measurement</w:t>
        </w:r>
        <w:r w:rsidR="00226F09" w:rsidRPr="00F9183B">
          <w:rPr>
            <w:webHidden/>
          </w:rPr>
          <w:tab/>
        </w:r>
        <w:r w:rsidR="00226F09" w:rsidRPr="00F9183B">
          <w:rPr>
            <w:b/>
            <w:bCs/>
            <w:webHidden/>
          </w:rPr>
          <w:fldChar w:fldCharType="begin"/>
        </w:r>
        <w:r w:rsidR="00226F09" w:rsidRPr="00F9183B">
          <w:rPr>
            <w:webHidden/>
          </w:rPr>
          <w:instrText xml:space="preserve"> PAGEREF _Toc106288954 \h </w:instrText>
        </w:r>
        <w:r w:rsidR="00226F09" w:rsidRPr="00F9183B">
          <w:rPr>
            <w:b/>
            <w:bCs/>
            <w:webHidden/>
          </w:rPr>
        </w:r>
        <w:r w:rsidR="00226F09" w:rsidRPr="00F9183B">
          <w:rPr>
            <w:b/>
            <w:bCs/>
            <w:webHidden/>
          </w:rPr>
          <w:fldChar w:fldCharType="separate"/>
        </w:r>
        <w:r w:rsidR="00C310F3" w:rsidRPr="00F9183B">
          <w:rPr>
            <w:webHidden/>
          </w:rPr>
          <w:t>21</w:t>
        </w:r>
        <w:r w:rsidR="00226F09" w:rsidRPr="00F9183B">
          <w:rPr>
            <w:b/>
            <w:bCs/>
            <w:webHidden/>
          </w:rPr>
          <w:fldChar w:fldCharType="end"/>
        </w:r>
      </w:hyperlink>
    </w:p>
    <w:p w14:paraId="1E2C579A" w14:textId="1519FF5F" w:rsidR="00226F09" w:rsidRPr="00F9183B" w:rsidRDefault="00000000" w:rsidP="00FB1BFD">
      <w:pPr>
        <w:pStyle w:val="TOC2"/>
        <w:rPr>
          <w:rFonts w:eastAsiaTheme="minorEastAsia"/>
          <w:b/>
          <w:bCs/>
          <w:sz w:val="21"/>
          <w:szCs w:val="21"/>
          <w:lang w:eastAsia="en-GB"/>
        </w:rPr>
      </w:pPr>
      <w:hyperlink w:anchor="_Toc106288955" w:history="1">
        <w:r w:rsidR="00226F09" w:rsidRPr="00F9183B">
          <w:rPr>
            <w:rStyle w:val="Hyperlink"/>
          </w:rPr>
          <w:t>10.3.</w:t>
        </w:r>
        <w:r w:rsidR="00226F09" w:rsidRPr="00F9183B">
          <w:rPr>
            <w:rFonts w:eastAsiaTheme="minorEastAsia"/>
            <w:sz w:val="21"/>
            <w:szCs w:val="21"/>
            <w:lang w:eastAsia="en-GB"/>
          </w:rPr>
          <w:tab/>
        </w:r>
        <w:r w:rsidR="00226F09" w:rsidRPr="00F9183B">
          <w:rPr>
            <w:rStyle w:val="Hyperlink"/>
          </w:rPr>
          <w:t>Serology and biomarkers</w:t>
        </w:r>
        <w:r w:rsidR="00226F09" w:rsidRPr="00F9183B">
          <w:rPr>
            <w:webHidden/>
          </w:rPr>
          <w:tab/>
        </w:r>
        <w:r w:rsidR="00226F09" w:rsidRPr="00F9183B">
          <w:rPr>
            <w:b/>
            <w:bCs/>
            <w:webHidden/>
          </w:rPr>
          <w:fldChar w:fldCharType="begin"/>
        </w:r>
        <w:r w:rsidR="00226F09" w:rsidRPr="00F9183B">
          <w:rPr>
            <w:webHidden/>
          </w:rPr>
          <w:instrText xml:space="preserve"> PAGEREF _Toc106288955 \h </w:instrText>
        </w:r>
        <w:r w:rsidR="00226F09" w:rsidRPr="00F9183B">
          <w:rPr>
            <w:b/>
            <w:bCs/>
            <w:webHidden/>
          </w:rPr>
        </w:r>
        <w:r w:rsidR="00226F09" w:rsidRPr="00F9183B">
          <w:rPr>
            <w:b/>
            <w:bCs/>
            <w:webHidden/>
          </w:rPr>
          <w:fldChar w:fldCharType="separate"/>
        </w:r>
        <w:r w:rsidR="00C310F3" w:rsidRPr="00F9183B">
          <w:rPr>
            <w:webHidden/>
          </w:rPr>
          <w:t>21</w:t>
        </w:r>
        <w:r w:rsidR="00226F09" w:rsidRPr="00F9183B">
          <w:rPr>
            <w:b/>
            <w:bCs/>
            <w:webHidden/>
          </w:rPr>
          <w:fldChar w:fldCharType="end"/>
        </w:r>
      </w:hyperlink>
    </w:p>
    <w:p w14:paraId="26298258" w14:textId="7A2422EB" w:rsidR="00226F09" w:rsidRPr="00F9183B" w:rsidRDefault="00000000" w:rsidP="00FB1BFD">
      <w:pPr>
        <w:pStyle w:val="TOC2"/>
        <w:rPr>
          <w:rFonts w:eastAsiaTheme="minorEastAsia"/>
          <w:b/>
          <w:bCs/>
          <w:sz w:val="21"/>
          <w:szCs w:val="21"/>
          <w:lang w:eastAsia="en-GB"/>
        </w:rPr>
      </w:pPr>
      <w:hyperlink w:anchor="_Toc106288956" w:history="1">
        <w:r w:rsidR="00226F09" w:rsidRPr="00F9183B">
          <w:rPr>
            <w:rStyle w:val="Hyperlink"/>
          </w:rPr>
          <w:t>10.4.</w:t>
        </w:r>
        <w:r w:rsidR="00226F09" w:rsidRPr="00F9183B">
          <w:rPr>
            <w:rFonts w:eastAsiaTheme="minorEastAsia"/>
            <w:sz w:val="21"/>
            <w:szCs w:val="21"/>
            <w:lang w:eastAsia="en-GB"/>
          </w:rPr>
          <w:tab/>
        </w:r>
        <w:r w:rsidR="00226F09" w:rsidRPr="00F9183B">
          <w:rPr>
            <w:rStyle w:val="Hyperlink"/>
          </w:rPr>
          <w:t>Mosquito infectivity assay</w:t>
        </w:r>
        <w:r w:rsidR="00226F09" w:rsidRPr="00F9183B">
          <w:rPr>
            <w:webHidden/>
          </w:rPr>
          <w:tab/>
        </w:r>
        <w:r w:rsidR="00226F09" w:rsidRPr="00F9183B">
          <w:rPr>
            <w:b/>
            <w:bCs/>
            <w:webHidden/>
          </w:rPr>
          <w:fldChar w:fldCharType="begin"/>
        </w:r>
        <w:r w:rsidR="00226F09" w:rsidRPr="00F9183B">
          <w:rPr>
            <w:webHidden/>
          </w:rPr>
          <w:instrText xml:space="preserve"> PAGEREF _Toc106288956 \h </w:instrText>
        </w:r>
        <w:r w:rsidR="00226F09" w:rsidRPr="00F9183B">
          <w:rPr>
            <w:b/>
            <w:bCs/>
            <w:webHidden/>
          </w:rPr>
        </w:r>
        <w:r w:rsidR="00226F09" w:rsidRPr="00F9183B">
          <w:rPr>
            <w:b/>
            <w:bCs/>
            <w:webHidden/>
          </w:rPr>
          <w:fldChar w:fldCharType="separate"/>
        </w:r>
        <w:r w:rsidR="00C310F3" w:rsidRPr="00F9183B">
          <w:rPr>
            <w:webHidden/>
          </w:rPr>
          <w:t>22</w:t>
        </w:r>
        <w:r w:rsidR="00226F09" w:rsidRPr="00F9183B">
          <w:rPr>
            <w:b/>
            <w:bCs/>
            <w:webHidden/>
          </w:rPr>
          <w:fldChar w:fldCharType="end"/>
        </w:r>
      </w:hyperlink>
    </w:p>
    <w:p w14:paraId="217A23D1" w14:textId="166EB8F6" w:rsidR="00226F09" w:rsidRPr="00F9183B" w:rsidRDefault="00000000" w:rsidP="00FB1BFD">
      <w:pPr>
        <w:pStyle w:val="TOC2"/>
        <w:rPr>
          <w:rFonts w:eastAsiaTheme="minorEastAsia"/>
          <w:b/>
          <w:bCs/>
          <w:sz w:val="21"/>
          <w:szCs w:val="21"/>
          <w:lang w:eastAsia="en-GB"/>
        </w:rPr>
      </w:pPr>
      <w:hyperlink w:anchor="_Toc106288957" w:history="1">
        <w:r w:rsidR="00226F09" w:rsidRPr="00F9183B">
          <w:rPr>
            <w:rStyle w:val="Hyperlink"/>
          </w:rPr>
          <w:t>10.5.</w:t>
        </w:r>
        <w:r w:rsidR="00226F09" w:rsidRPr="00F9183B">
          <w:rPr>
            <w:rFonts w:eastAsiaTheme="minorEastAsia"/>
            <w:sz w:val="21"/>
            <w:szCs w:val="21"/>
            <w:lang w:eastAsia="en-GB"/>
          </w:rPr>
          <w:tab/>
        </w:r>
        <w:r w:rsidR="00226F09" w:rsidRPr="00F9183B">
          <w:rPr>
            <w:rStyle w:val="Hyperlink"/>
          </w:rPr>
          <w:t>Magnetic-activated cell sorting</w:t>
        </w:r>
        <w:r w:rsidR="00226F09" w:rsidRPr="00F9183B">
          <w:rPr>
            <w:webHidden/>
          </w:rPr>
          <w:tab/>
        </w:r>
        <w:r w:rsidR="00226F09" w:rsidRPr="00F9183B">
          <w:rPr>
            <w:b/>
            <w:bCs/>
            <w:webHidden/>
          </w:rPr>
          <w:fldChar w:fldCharType="begin"/>
        </w:r>
        <w:r w:rsidR="00226F09" w:rsidRPr="00F9183B">
          <w:rPr>
            <w:webHidden/>
          </w:rPr>
          <w:instrText xml:space="preserve"> PAGEREF _Toc106288957 \h </w:instrText>
        </w:r>
        <w:r w:rsidR="00226F09" w:rsidRPr="00F9183B">
          <w:rPr>
            <w:b/>
            <w:bCs/>
            <w:webHidden/>
          </w:rPr>
        </w:r>
        <w:r w:rsidR="00226F09" w:rsidRPr="00F9183B">
          <w:rPr>
            <w:b/>
            <w:bCs/>
            <w:webHidden/>
          </w:rPr>
          <w:fldChar w:fldCharType="separate"/>
        </w:r>
        <w:r w:rsidR="00C310F3" w:rsidRPr="00F9183B">
          <w:rPr>
            <w:webHidden/>
          </w:rPr>
          <w:t>22</w:t>
        </w:r>
        <w:r w:rsidR="00226F09" w:rsidRPr="00F9183B">
          <w:rPr>
            <w:b/>
            <w:bCs/>
            <w:webHidden/>
          </w:rPr>
          <w:fldChar w:fldCharType="end"/>
        </w:r>
      </w:hyperlink>
    </w:p>
    <w:p w14:paraId="65BCC517" w14:textId="7B8E4A0A" w:rsidR="00226F09" w:rsidRPr="00F9183B" w:rsidRDefault="00000000" w:rsidP="00FB1BFD">
      <w:pPr>
        <w:pStyle w:val="TOC2"/>
        <w:rPr>
          <w:rFonts w:eastAsiaTheme="minorEastAsia"/>
          <w:b/>
          <w:bCs/>
          <w:sz w:val="21"/>
          <w:szCs w:val="21"/>
          <w:lang w:eastAsia="en-GB"/>
        </w:rPr>
      </w:pPr>
      <w:hyperlink w:anchor="_Toc106288958" w:history="1">
        <w:r w:rsidR="00226F09" w:rsidRPr="00F9183B">
          <w:rPr>
            <w:rStyle w:val="Hyperlink"/>
          </w:rPr>
          <w:t>10.6.</w:t>
        </w:r>
        <w:r w:rsidR="00226F09" w:rsidRPr="00F9183B">
          <w:rPr>
            <w:rFonts w:eastAsiaTheme="minorEastAsia"/>
            <w:sz w:val="21"/>
            <w:szCs w:val="21"/>
            <w:lang w:eastAsia="en-GB"/>
          </w:rPr>
          <w:tab/>
        </w:r>
        <w:r w:rsidR="00226F09" w:rsidRPr="00F9183B">
          <w:rPr>
            <w:rStyle w:val="Hyperlink"/>
          </w:rPr>
          <w:t>Haemoglobin concentrations</w:t>
        </w:r>
        <w:r w:rsidR="00226F09" w:rsidRPr="00F9183B">
          <w:rPr>
            <w:webHidden/>
          </w:rPr>
          <w:tab/>
        </w:r>
        <w:r w:rsidR="00226F09" w:rsidRPr="00F9183B">
          <w:rPr>
            <w:b/>
            <w:bCs/>
            <w:webHidden/>
          </w:rPr>
          <w:fldChar w:fldCharType="begin"/>
        </w:r>
        <w:r w:rsidR="00226F09" w:rsidRPr="00F9183B">
          <w:rPr>
            <w:webHidden/>
          </w:rPr>
          <w:instrText xml:space="preserve"> PAGEREF _Toc106288958 \h </w:instrText>
        </w:r>
        <w:r w:rsidR="00226F09" w:rsidRPr="00F9183B">
          <w:rPr>
            <w:b/>
            <w:bCs/>
            <w:webHidden/>
          </w:rPr>
        </w:r>
        <w:r w:rsidR="00226F09" w:rsidRPr="00F9183B">
          <w:rPr>
            <w:b/>
            <w:bCs/>
            <w:webHidden/>
          </w:rPr>
          <w:fldChar w:fldCharType="separate"/>
        </w:r>
        <w:r w:rsidR="00C310F3" w:rsidRPr="00F9183B">
          <w:rPr>
            <w:webHidden/>
          </w:rPr>
          <w:t>22</w:t>
        </w:r>
        <w:r w:rsidR="00226F09" w:rsidRPr="00F9183B">
          <w:rPr>
            <w:b/>
            <w:bCs/>
            <w:webHidden/>
          </w:rPr>
          <w:fldChar w:fldCharType="end"/>
        </w:r>
      </w:hyperlink>
    </w:p>
    <w:p w14:paraId="15E1FE17" w14:textId="5D402E12" w:rsidR="00226F09" w:rsidRPr="00F9183B" w:rsidRDefault="00000000" w:rsidP="00FB1BFD">
      <w:pPr>
        <w:pStyle w:val="TOC2"/>
        <w:rPr>
          <w:rFonts w:eastAsiaTheme="minorEastAsia"/>
          <w:b/>
          <w:bCs/>
          <w:sz w:val="21"/>
          <w:szCs w:val="21"/>
          <w:lang w:eastAsia="en-GB"/>
        </w:rPr>
      </w:pPr>
      <w:hyperlink w:anchor="_Toc106288959" w:history="1">
        <w:r w:rsidR="00226F09" w:rsidRPr="00F9183B">
          <w:rPr>
            <w:rStyle w:val="Hyperlink"/>
          </w:rPr>
          <w:t>10.7.</w:t>
        </w:r>
        <w:r w:rsidR="00226F09" w:rsidRPr="00F9183B">
          <w:rPr>
            <w:rFonts w:eastAsiaTheme="minorEastAsia"/>
            <w:sz w:val="21"/>
            <w:szCs w:val="21"/>
            <w:lang w:eastAsia="en-GB"/>
          </w:rPr>
          <w:tab/>
        </w:r>
        <w:r w:rsidR="00226F09" w:rsidRPr="00F9183B">
          <w:rPr>
            <w:rStyle w:val="Hyperlink"/>
          </w:rPr>
          <w:t>Complete blood count</w:t>
        </w:r>
        <w:r w:rsidR="00226F09" w:rsidRPr="00F9183B">
          <w:rPr>
            <w:webHidden/>
          </w:rPr>
          <w:tab/>
        </w:r>
        <w:r w:rsidR="00226F09" w:rsidRPr="00F9183B">
          <w:rPr>
            <w:b/>
            <w:bCs/>
            <w:webHidden/>
          </w:rPr>
          <w:fldChar w:fldCharType="begin"/>
        </w:r>
        <w:r w:rsidR="00226F09" w:rsidRPr="00F9183B">
          <w:rPr>
            <w:webHidden/>
          </w:rPr>
          <w:instrText xml:space="preserve"> PAGEREF _Toc106288959 \h </w:instrText>
        </w:r>
        <w:r w:rsidR="00226F09" w:rsidRPr="00F9183B">
          <w:rPr>
            <w:b/>
            <w:bCs/>
            <w:webHidden/>
          </w:rPr>
        </w:r>
        <w:r w:rsidR="00226F09" w:rsidRPr="00F9183B">
          <w:rPr>
            <w:b/>
            <w:bCs/>
            <w:webHidden/>
          </w:rPr>
          <w:fldChar w:fldCharType="separate"/>
        </w:r>
        <w:r w:rsidR="00C310F3" w:rsidRPr="00F9183B">
          <w:rPr>
            <w:webHidden/>
          </w:rPr>
          <w:t>22</w:t>
        </w:r>
        <w:r w:rsidR="00226F09" w:rsidRPr="00F9183B">
          <w:rPr>
            <w:b/>
            <w:bCs/>
            <w:webHidden/>
          </w:rPr>
          <w:fldChar w:fldCharType="end"/>
        </w:r>
      </w:hyperlink>
    </w:p>
    <w:p w14:paraId="19DD8011" w14:textId="29D4F58F" w:rsidR="00226F09" w:rsidRPr="00F9183B" w:rsidRDefault="00000000" w:rsidP="00FB1BFD">
      <w:pPr>
        <w:pStyle w:val="TOC2"/>
        <w:rPr>
          <w:rFonts w:eastAsiaTheme="minorEastAsia"/>
          <w:b/>
          <w:bCs/>
          <w:sz w:val="21"/>
          <w:szCs w:val="21"/>
          <w:lang w:eastAsia="en-GB"/>
        </w:rPr>
      </w:pPr>
      <w:hyperlink w:anchor="_Toc106288960" w:history="1">
        <w:r w:rsidR="00226F09" w:rsidRPr="00F9183B">
          <w:rPr>
            <w:rStyle w:val="Hyperlink"/>
          </w:rPr>
          <w:t>10.8.</w:t>
        </w:r>
        <w:r w:rsidR="00226F09" w:rsidRPr="00F9183B">
          <w:rPr>
            <w:rFonts w:eastAsiaTheme="minorEastAsia"/>
            <w:sz w:val="21"/>
            <w:szCs w:val="21"/>
            <w:lang w:eastAsia="en-GB"/>
          </w:rPr>
          <w:tab/>
        </w:r>
        <w:r w:rsidR="00226F09" w:rsidRPr="00F9183B">
          <w:rPr>
            <w:rStyle w:val="Hyperlink"/>
          </w:rPr>
          <w:t>Biochemistry</w:t>
        </w:r>
        <w:r w:rsidR="00226F09" w:rsidRPr="00F9183B">
          <w:rPr>
            <w:webHidden/>
          </w:rPr>
          <w:tab/>
        </w:r>
        <w:r w:rsidR="00226F09" w:rsidRPr="00F9183B">
          <w:rPr>
            <w:b/>
            <w:bCs/>
            <w:webHidden/>
          </w:rPr>
          <w:fldChar w:fldCharType="begin"/>
        </w:r>
        <w:r w:rsidR="00226F09" w:rsidRPr="00F9183B">
          <w:rPr>
            <w:webHidden/>
          </w:rPr>
          <w:instrText xml:space="preserve"> PAGEREF _Toc106288960 \h </w:instrText>
        </w:r>
        <w:r w:rsidR="00226F09" w:rsidRPr="00F9183B">
          <w:rPr>
            <w:b/>
            <w:bCs/>
            <w:webHidden/>
          </w:rPr>
        </w:r>
        <w:r w:rsidR="00226F09" w:rsidRPr="00F9183B">
          <w:rPr>
            <w:b/>
            <w:bCs/>
            <w:webHidden/>
          </w:rPr>
          <w:fldChar w:fldCharType="separate"/>
        </w:r>
        <w:r w:rsidR="00C310F3" w:rsidRPr="00F9183B">
          <w:rPr>
            <w:webHidden/>
          </w:rPr>
          <w:t>22</w:t>
        </w:r>
        <w:r w:rsidR="00226F09" w:rsidRPr="00F9183B">
          <w:rPr>
            <w:b/>
            <w:bCs/>
            <w:webHidden/>
          </w:rPr>
          <w:fldChar w:fldCharType="end"/>
        </w:r>
      </w:hyperlink>
    </w:p>
    <w:p w14:paraId="6186B922" w14:textId="6683D57B" w:rsidR="00226F09" w:rsidRPr="00F9183B" w:rsidRDefault="00000000" w:rsidP="00F9183B">
      <w:pPr>
        <w:pStyle w:val="TOC1"/>
        <w:rPr>
          <w:rFonts w:ascii="Arial" w:eastAsiaTheme="minorEastAsia" w:hAnsi="Arial" w:cs="Arial"/>
          <w:noProof/>
          <w:lang w:eastAsia="en-GB"/>
        </w:rPr>
      </w:pPr>
      <w:hyperlink w:anchor="_Toc106288961" w:history="1">
        <w:r w:rsidR="00226F09" w:rsidRPr="00F9183B">
          <w:rPr>
            <w:rStyle w:val="Hyperlink"/>
            <w:rFonts w:ascii="Arial" w:hAnsi="Arial" w:cs="Arial"/>
            <w:b w:val="0"/>
            <w:bCs w:val="0"/>
            <w:i w:val="0"/>
            <w:iCs w:val="0"/>
            <w:noProof/>
            <w:sz w:val="21"/>
            <w:szCs w:val="21"/>
          </w:rPr>
          <w:t>11.</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DATA MANAGEMENT AND ANALYSIS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_Toc106288961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22</w:t>
        </w:r>
        <w:r w:rsidR="00226F09" w:rsidRPr="00F9183B">
          <w:rPr>
            <w:rFonts w:ascii="Arial" w:hAnsi="Arial" w:cs="Arial"/>
            <w:noProof/>
            <w:webHidden/>
          </w:rPr>
          <w:fldChar w:fldCharType="end"/>
        </w:r>
      </w:hyperlink>
    </w:p>
    <w:p w14:paraId="08792698" w14:textId="5BDC52B5" w:rsidR="00226F09" w:rsidRPr="00F9183B" w:rsidRDefault="00000000" w:rsidP="00FB1BFD">
      <w:pPr>
        <w:pStyle w:val="TOC2"/>
        <w:rPr>
          <w:rFonts w:eastAsiaTheme="minorEastAsia"/>
          <w:b/>
          <w:bCs/>
          <w:sz w:val="21"/>
          <w:szCs w:val="21"/>
          <w:lang w:eastAsia="en-GB"/>
        </w:rPr>
      </w:pPr>
      <w:hyperlink w:anchor="_Toc106288962" w:history="1">
        <w:r w:rsidR="00226F09" w:rsidRPr="00F9183B">
          <w:rPr>
            <w:rStyle w:val="Hyperlink"/>
          </w:rPr>
          <w:t>11.1.</w:t>
        </w:r>
        <w:r w:rsidR="00226F09" w:rsidRPr="00F9183B">
          <w:rPr>
            <w:rFonts w:eastAsiaTheme="minorEastAsia"/>
            <w:sz w:val="21"/>
            <w:szCs w:val="21"/>
            <w:lang w:eastAsia="en-GB"/>
          </w:rPr>
          <w:tab/>
        </w:r>
        <w:r w:rsidR="00226F09" w:rsidRPr="00F9183B">
          <w:rPr>
            <w:rStyle w:val="Hyperlink"/>
          </w:rPr>
          <w:t>Analysis plan</w:t>
        </w:r>
        <w:r w:rsidR="00226F09" w:rsidRPr="00F9183B">
          <w:rPr>
            <w:webHidden/>
          </w:rPr>
          <w:tab/>
        </w:r>
        <w:r w:rsidR="00226F09" w:rsidRPr="00F9183B">
          <w:rPr>
            <w:b/>
            <w:bCs/>
            <w:webHidden/>
          </w:rPr>
          <w:fldChar w:fldCharType="begin"/>
        </w:r>
        <w:r w:rsidR="00226F09" w:rsidRPr="00F9183B">
          <w:rPr>
            <w:webHidden/>
          </w:rPr>
          <w:instrText xml:space="preserve"> PAGEREF _Toc106288962 \h </w:instrText>
        </w:r>
        <w:r w:rsidR="00226F09" w:rsidRPr="00F9183B">
          <w:rPr>
            <w:b/>
            <w:bCs/>
            <w:webHidden/>
          </w:rPr>
        </w:r>
        <w:r w:rsidR="00226F09" w:rsidRPr="00F9183B">
          <w:rPr>
            <w:b/>
            <w:bCs/>
            <w:webHidden/>
          </w:rPr>
          <w:fldChar w:fldCharType="separate"/>
        </w:r>
        <w:r w:rsidR="00C310F3" w:rsidRPr="00F9183B">
          <w:rPr>
            <w:webHidden/>
          </w:rPr>
          <w:t>22</w:t>
        </w:r>
        <w:r w:rsidR="00226F09" w:rsidRPr="00F9183B">
          <w:rPr>
            <w:b/>
            <w:bCs/>
            <w:webHidden/>
          </w:rPr>
          <w:fldChar w:fldCharType="end"/>
        </w:r>
      </w:hyperlink>
    </w:p>
    <w:p w14:paraId="2ACA5582" w14:textId="5DC97407" w:rsidR="00226F09" w:rsidRPr="00F9183B" w:rsidRDefault="00000000" w:rsidP="00FB1BFD">
      <w:pPr>
        <w:pStyle w:val="TOC2"/>
        <w:rPr>
          <w:rFonts w:eastAsiaTheme="minorEastAsia"/>
          <w:b/>
          <w:bCs/>
          <w:sz w:val="21"/>
          <w:szCs w:val="21"/>
          <w:lang w:eastAsia="en-GB"/>
        </w:rPr>
      </w:pPr>
      <w:hyperlink w:anchor="_Toc106288963" w:history="1">
        <w:r w:rsidR="00226F09" w:rsidRPr="00F9183B">
          <w:rPr>
            <w:rStyle w:val="Hyperlink"/>
          </w:rPr>
          <w:t>11.2.</w:t>
        </w:r>
        <w:r w:rsidR="00226F09" w:rsidRPr="00F9183B">
          <w:rPr>
            <w:rFonts w:eastAsiaTheme="minorEastAsia"/>
            <w:sz w:val="21"/>
            <w:szCs w:val="21"/>
            <w:lang w:eastAsia="en-GB"/>
          </w:rPr>
          <w:tab/>
        </w:r>
        <w:r w:rsidR="00226F09" w:rsidRPr="00F9183B">
          <w:rPr>
            <w:rStyle w:val="Hyperlink"/>
          </w:rPr>
          <w:t>Publication/Dissemination</w:t>
        </w:r>
        <w:r w:rsidR="00226F09" w:rsidRPr="00F9183B">
          <w:rPr>
            <w:webHidden/>
          </w:rPr>
          <w:tab/>
        </w:r>
        <w:r w:rsidR="00226F09" w:rsidRPr="00F9183B">
          <w:rPr>
            <w:b/>
            <w:bCs/>
            <w:webHidden/>
          </w:rPr>
          <w:fldChar w:fldCharType="begin"/>
        </w:r>
        <w:r w:rsidR="00226F09" w:rsidRPr="00F9183B">
          <w:rPr>
            <w:webHidden/>
          </w:rPr>
          <w:instrText xml:space="preserve"> PAGEREF _Toc106288963 \h </w:instrText>
        </w:r>
        <w:r w:rsidR="00226F09" w:rsidRPr="00F9183B">
          <w:rPr>
            <w:b/>
            <w:bCs/>
            <w:webHidden/>
          </w:rPr>
        </w:r>
        <w:r w:rsidR="00226F09" w:rsidRPr="00F9183B">
          <w:rPr>
            <w:b/>
            <w:bCs/>
            <w:webHidden/>
          </w:rPr>
          <w:fldChar w:fldCharType="separate"/>
        </w:r>
        <w:r w:rsidR="00C310F3" w:rsidRPr="00F9183B">
          <w:rPr>
            <w:webHidden/>
          </w:rPr>
          <w:t>23</w:t>
        </w:r>
        <w:r w:rsidR="00226F09" w:rsidRPr="00F9183B">
          <w:rPr>
            <w:b/>
            <w:bCs/>
            <w:webHidden/>
          </w:rPr>
          <w:fldChar w:fldCharType="end"/>
        </w:r>
      </w:hyperlink>
    </w:p>
    <w:p w14:paraId="2F3F3039" w14:textId="6B8EC714" w:rsidR="00226F09" w:rsidRPr="00F9183B" w:rsidRDefault="00000000" w:rsidP="00F9183B">
      <w:pPr>
        <w:pStyle w:val="TOC1"/>
        <w:rPr>
          <w:rFonts w:ascii="Arial" w:eastAsiaTheme="minorEastAsia" w:hAnsi="Arial" w:cs="Arial"/>
          <w:noProof/>
          <w:lang w:eastAsia="en-GB"/>
        </w:rPr>
      </w:pPr>
      <w:hyperlink w:anchor="_Toc106288964" w:history="1">
        <w:r w:rsidR="00226F09" w:rsidRPr="00F9183B">
          <w:rPr>
            <w:rStyle w:val="Hyperlink"/>
            <w:rFonts w:ascii="Arial" w:hAnsi="Arial" w:cs="Arial"/>
            <w:b w:val="0"/>
            <w:bCs w:val="0"/>
            <w:i w:val="0"/>
            <w:iCs w:val="0"/>
            <w:noProof/>
            <w:sz w:val="21"/>
            <w:szCs w:val="21"/>
          </w:rPr>
          <w:t>12.</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ETHICAL CONSIDERATIONS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_Toc106288964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24</w:t>
        </w:r>
        <w:r w:rsidR="00226F09" w:rsidRPr="00F9183B">
          <w:rPr>
            <w:rFonts w:ascii="Arial" w:hAnsi="Arial" w:cs="Arial"/>
            <w:noProof/>
            <w:webHidden/>
          </w:rPr>
          <w:fldChar w:fldCharType="end"/>
        </w:r>
      </w:hyperlink>
    </w:p>
    <w:p w14:paraId="2629C5F0" w14:textId="22554BCB" w:rsidR="00226F09" w:rsidRPr="00F9183B" w:rsidRDefault="00000000" w:rsidP="00FB1BFD">
      <w:pPr>
        <w:pStyle w:val="TOC2"/>
        <w:rPr>
          <w:rFonts w:eastAsiaTheme="minorEastAsia"/>
          <w:b/>
          <w:bCs/>
          <w:sz w:val="21"/>
          <w:szCs w:val="21"/>
          <w:lang w:eastAsia="en-GB"/>
        </w:rPr>
      </w:pPr>
      <w:hyperlink w:anchor="_Toc106288965" w:history="1">
        <w:r w:rsidR="00226F09" w:rsidRPr="00F9183B">
          <w:rPr>
            <w:rStyle w:val="Hyperlink"/>
          </w:rPr>
          <w:t>12.1.</w:t>
        </w:r>
        <w:r w:rsidR="00226F09" w:rsidRPr="00F9183B">
          <w:rPr>
            <w:rFonts w:eastAsiaTheme="minorEastAsia"/>
            <w:sz w:val="21"/>
            <w:szCs w:val="21"/>
            <w:lang w:eastAsia="en-GB"/>
          </w:rPr>
          <w:tab/>
        </w:r>
        <w:r w:rsidR="00226F09" w:rsidRPr="00F9183B">
          <w:rPr>
            <w:rStyle w:val="Hyperlink"/>
          </w:rPr>
          <w:t>Confidentiality</w:t>
        </w:r>
        <w:r w:rsidR="00226F09" w:rsidRPr="00F9183B">
          <w:rPr>
            <w:webHidden/>
          </w:rPr>
          <w:tab/>
        </w:r>
        <w:r w:rsidR="00226F09" w:rsidRPr="00F9183B">
          <w:rPr>
            <w:b/>
            <w:bCs/>
            <w:webHidden/>
          </w:rPr>
          <w:fldChar w:fldCharType="begin"/>
        </w:r>
        <w:r w:rsidR="00226F09" w:rsidRPr="00F9183B">
          <w:rPr>
            <w:webHidden/>
          </w:rPr>
          <w:instrText xml:space="preserve"> PAGEREF _Toc106288965 \h </w:instrText>
        </w:r>
        <w:r w:rsidR="00226F09" w:rsidRPr="00F9183B">
          <w:rPr>
            <w:b/>
            <w:bCs/>
            <w:webHidden/>
          </w:rPr>
        </w:r>
        <w:r w:rsidR="00226F09" w:rsidRPr="00F9183B">
          <w:rPr>
            <w:b/>
            <w:bCs/>
            <w:webHidden/>
          </w:rPr>
          <w:fldChar w:fldCharType="separate"/>
        </w:r>
        <w:r w:rsidR="00C310F3" w:rsidRPr="00F9183B">
          <w:rPr>
            <w:webHidden/>
          </w:rPr>
          <w:t>24</w:t>
        </w:r>
        <w:r w:rsidR="00226F09" w:rsidRPr="00F9183B">
          <w:rPr>
            <w:b/>
            <w:bCs/>
            <w:webHidden/>
          </w:rPr>
          <w:fldChar w:fldCharType="end"/>
        </w:r>
      </w:hyperlink>
    </w:p>
    <w:p w14:paraId="2B9B49C0" w14:textId="474DED3A" w:rsidR="00226F09" w:rsidRPr="00F9183B" w:rsidRDefault="00000000" w:rsidP="00FB1BFD">
      <w:pPr>
        <w:pStyle w:val="TOC2"/>
        <w:rPr>
          <w:rFonts w:eastAsiaTheme="minorEastAsia"/>
          <w:b/>
          <w:bCs/>
          <w:sz w:val="21"/>
          <w:szCs w:val="21"/>
          <w:lang w:eastAsia="en-GB"/>
        </w:rPr>
      </w:pPr>
      <w:hyperlink w:anchor="_Toc106288966" w:history="1">
        <w:r w:rsidR="00226F09" w:rsidRPr="00F9183B">
          <w:rPr>
            <w:rStyle w:val="Hyperlink"/>
          </w:rPr>
          <w:t>12.2.</w:t>
        </w:r>
        <w:r w:rsidR="00226F09" w:rsidRPr="00F9183B">
          <w:rPr>
            <w:rFonts w:eastAsiaTheme="minorEastAsia"/>
            <w:sz w:val="21"/>
            <w:szCs w:val="21"/>
            <w:lang w:eastAsia="en-GB"/>
          </w:rPr>
          <w:tab/>
        </w:r>
        <w:r w:rsidR="00226F09" w:rsidRPr="00F9183B">
          <w:rPr>
            <w:rStyle w:val="Hyperlink"/>
          </w:rPr>
          <w:t>Risk</w:t>
        </w:r>
        <w:r w:rsidR="00226F09" w:rsidRPr="00F9183B">
          <w:rPr>
            <w:webHidden/>
          </w:rPr>
          <w:tab/>
        </w:r>
        <w:r w:rsidR="00226F09" w:rsidRPr="00F9183B">
          <w:rPr>
            <w:b/>
            <w:bCs/>
            <w:webHidden/>
          </w:rPr>
          <w:fldChar w:fldCharType="begin"/>
        </w:r>
        <w:r w:rsidR="00226F09" w:rsidRPr="00F9183B">
          <w:rPr>
            <w:webHidden/>
          </w:rPr>
          <w:instrText xml:space="preserve"> PAGEREF _Toc106288966 \h </w:instrText>
        </w:r>
        <w:r w:rsidR="00226F09" w:rsidRPr="00F9183B">
          <w:rPr>
            <w:b/>
            <w:bCs/>
            <w:webHidden/>
          </w:rPr>
        </w:r>
        <w:r w:rsidR="00226F09" w:rsidRPr="00F9183B">
          <w:rPr>
            <w:b/>
            <w:bCs/>
            <w:webHidden/>
          </w:rPr>
          <w:fldChar w:fldCharType="separate"/>
        </w:r>
        <w:r w:rsidR="00C310F3" w:rsidRPr="00F9183B">
          <w:rPr>
            <w:webHidden/>
          </w:rPr>
          <w:t>24</w:t>
        </w:r>
        <w:r w:rsidR="00226F09" w:rsidRPr="00F9183B">
          <w:rPr>
            <w:b/>
            <w:bCs/>
            <w:webHidden/>
          </w:rPr>
          <w:fldChar w:fldCharType="end"/>
        </w:r>
      </w:hyperlink>
    </w:p>
    <w:p w14:paraId="7F69221D" w14:textId="7AB85E0C" w:rsidR="00226F09" w:rsidRPr="00F9183B" w:rsidRDefault="00000000" w:rsidP="00FB1BFD">
      <w:pPr>
        <w:pStyle w:val="TOC2"/>
        <w:rPr>
          <w:rFonts w:eastAsiaTheme="minorEastAsia"/>
          <w:b/>
          <w:bCs/>
          <w:sz w:val="21"/>
          <w:szCs w:val="21"/>
          <w:lang w:eastAsia="en-GB"/>
        </w:rPr>
      </w:pPr>
      <w:hyperlink w:anchor="_Toc106288967" w:history="1">
        <w:r w:rsidR="00226F09" w:rsidRPr="00F9183B">
          <w:rPr>
            <w:rStyle w:val="Hyperlink"/>
          </w:rPr>
          <w:t>12.2.1.</w:t>
        </w:r>
        <w:r w:rsidR="00226F09" w:rsidRPr="00F9183B">
          <w:rPr>
            <w:rFonts w:eastAsiaTheme="minorEastAsia"/>
            <w:sz w:val="21"/>
            <w:szCs w:val="21"/>
            <w:lang w:eastAsia="en-GB"/>
          </w:rPr>
          <w:tab/>
        </w:r>
        <w:r w:rsidR="00226F09" w:rsidRPr="00F9183B">
          <w:rPr>
            <w:rStyle w:val="Hyperlink"/>
          </w:rPr>
          <w:t>Risk of artesunate-amodiaquine</w:t>
        </w:r>
        <w:r w:rsidR="00226F09" w:rsidRPr="00F9183B">
          <w:rPr>
            <w:webHidden/>
          </w:rPr>
          <w:tab/>
        </w:r>
        <w:r w:rsidR="00226F09" w:rsidRPr="00F9183B">
          <w:rPr>
            <w:b/>
            <w:bCs/>
            <w:webHidden/>
          </w:rPr>
          <w:fldChar w:fldCharType="begin"/>
        </w:r>
        <w:r w:rsidR="00226F09" w:rsidRPr="00F9183B">
          <w:rPr>
            <w:webHidden/>
          </w:rPr>
          <w:instrText xml:space="preserve"> PAGEREF _Toc106288967 \h </w:instrText>
        </w:r>
        <w:r w:rsidR="00226F09" w:rsidRPr="00F9183B">
          <w:rPr>
            <w:b/>
            <w:bCs/>
            <w:webHidden/>
          </w:rPr>
        </w:r>
        <w:r w:rsidR="00226F09" w:rsidRPr="00F9183B">
          <w:rPr>
            <w:b/>
            <w:bCs/>
            <w:webHidden/>
          </w:rPr>
          <w:fldChar w:fldCharType="separate"/>
        </w:r>
        <w:r w:rsidR="00C310F3" w:rsidRPr="00F9183B">
          <w:rPr>
            <w:webHidden/>
          </w:rPr>
          <w:t>24</w:t>
        </w:r>
        <w:r w:rsidR="00226F09" w:rsidRPr="00F9183B">
          <w:rPr>
            <w:b/>
            <w:bCs/>
            <w:webHidden/>
          </w:rPr>
          <w:fldChar w:fldCharType="end"/>
        </w:r>
      </w:hyperlink>
    </w:p>
    <w:p w14:paraId="7F4EAACB" w14:textId="3B657679" w:rsidR="00226F09" w:rsidRPr="00F9183B" w:rsidRDefault="00000000" w:rsidP="00FB1BFD">
      <w:pPr>
        <w:pStyle w:val="TOC2"/>
        <w:rPr>
          <w:rFonts w:eastAsiaTheme="minorEastAsia"/>
          <w:b/>
          <w:bCs/>
          <w:sz w:val="21"/>
          <w:szCs w:val="21"/>
          <w:lang w:eastAsia="en-GB"/>
        </w:rPr>
      </w:pPr>
      <w:hyperlink w:anchor="_Toc106288968" w:history="1">
        <w:r w:rsidR="00226F09" w:rsidRPr="00F9183B">
          <w:rPr>
            <w:rStyle w:val="Hyperlink"/>
          </w:rPr>
          <w:t>12.2.2.</w:t>
        </w:r>
        <w:r w:rsidR="00226F09" w:rsidRPr="00F9183B">
          <w:rPr>
            <w:rFonts w:eastAsiaTheme="minorEastAsia"/>
            <w:sz w:val="21"/>
            <w:szCs w:val="21"/>
            <w:lang w:eastAsia="en-GB"/>
          </w:rPr>
          <w:tab/>
        </w:r>
        <w:r w:rsidR="00226F09" w:rsidRPr="00F9183B">
          <w:rPr>
            <w:rStyle w:val="Hyperlink"/>
          </w:rPr>
          <w:t>Risk of primaquine</w:t>
        </w:r>
        <w:r w:rsidR="00226F09" w:rsidRPr="00F9183B">
          <w:rPr>
            <w:webHidden/>
          </w:rPr>
          <w:tab/>
        </w:r>
        <w:r w:rsidR="00226F09" w:rsidRPr="00F9183B">
          <w:rPr>
            <w:b/>
            <w:bCs/>
            <w:webHidden/>
          </w:rPr>
          <w:fldChar w:fldCharType="begin"/>
        </w:r>
        <w:r w:rsidR="00226F09" w:rsidRPr="00F9183B">
          <w:rPr>
            <w:webHidden/>
          </w:rPr>
          <w:instrText xml:space="preserve"> PAGEREF _Toc106288968 \h </w:instrText>
        </w:r>
        <w:r w:rsidR="00226F09" w:rsidRPr="00F9183B">
          <w:rPr>
            <w:b/>
            <w:bCs/>
            <w:webHidden/>
          </w:rPr>
        </w:r>
        <w:r w:rsidR="00226F09" w:rsidRPr="00F9183B">
          <w:rPr>
            <w:b/>
            <w:bCs/>
            <w:webHidden/>
          </w:rPr>
          <w:fldChar w:fldCharType="separate"/>
        </w:r>
        <w:r w:rsidR="00C310F3" w:rsidRPr="00F9183B">
          <w:rPr>
            <w:webHidden/>
          </w:rPr>
          <w:t>25</w:t>
        </w:r>
        <w:r w:rsidR="00226F09" w:rsidRPr="00F9183B">
          <w:rPr>
            <w:b/>
            <w:bCs/>
            <w:webHidden/>
          </w:rPr>
          <w:fldChar w:fldCharType="end"/>
        </w:r>
      </w:hyperlink>
    </w:p>
    <w:p w14:paraId="07FB1C1F" w14:textId="213FF243" w:rsidR="00226F09" w:rsidRPr="00F9183B" w:rsidRDefault="00000000" w:rsidP="00FB1BFD">
      <w:pPr>
        <w:pStyle w:val="TOC2"/>
        <w:rPr>
          <w:rFonts w:eastAsiaTheme="minorEastAsia"/>
          <w:b/>
          <w:bCs/>
          <w:sz w:val="21"/>
          <w:szCs w:val="21"/>
          <w:lang w:eastAsia="en-GB"/>
        </w:rPr>
      </w:pPr>
      <w:hyperlink w:anchor="_Toc106288969" w:history="1">
        <w:r w:rsidR="00226F09" w:rsidRPr="00F9183B">
          <w:rPr>
            <w:rStyle w:val="Hyperlink"/>
          </w:rPr>
          <w:t>12.2.3.</w:t>
        </w:r>
        <w:r w:rsidR="00226F09" w:rsidRPr="00F9183B">
          <w:rPr>
            <w:rFonts w:eastAsiaTheme="minorEastAsia"/>
            <w:sz w:val="21"/>
            <w:szCs w:val="21"/>
            <w:lang w:eastAsia="en-GB"/>
          </w:rPr>
          <w:tab/>
        </w:r>
        <w:r w:rsidR="00226F09" w:rsidRPr="00F9183B">
          <w:rPr>
            <w:rStyle w:val="Hyperlink"/>
          </w:rPr>
          <w:t>Risk of artemether-lumefantrine</w:t>
        </w:r>
        <w:r w:rsidR="00226F09" w:rsidRPr="00F9183B">
          <w:rPr>
            <w:webHidden/>
          </w:rPr>
          <w:tab/>
        </w:r>
        <w:r w:rsidR="00226F09" w:rsidRPr="00F9183B">
          <w:rPr>
            <w:b/>
            <w:bCs/>
            <w:webHidden/>
          </w:rPr>
          <w:fldChar w:fldCharType="begin"/>
        </w:r>
        <w:r w:rsidR="00226F09" w:rsidRPr="00F9183B">
          <w:rPr>
            <w:webHidden/>
          </w:rPr>
          <w:instrText xml:space="preserve"> PAGEREF _Toc106288969 \h </w:instrText>
        </w:r>
        <w:r w:rsidR="00226F09" w:rsidRPr="00F9183B">
          <w:rPr>
            <w:b/>
            <w:bCs/>
            <w:webHidden/>
          </w:rPr>
        </w:r>
        <w:r w:rsidR="00226F09" w:rsidRPr="00F9183B">
          <w:rPr>
            <w:b/>
            <w:bCs/>
            <w:webHidden/>
          </w:rPr>
          <w:fldChar w:fldCharType="separate"/>
        </w:r>
        <w:r w:rsidR="00C310F3" w:rsidRPr="00F9183B">
          <w:rPr>
            <w:webHidden/>
          </w:rPr>
          <w:t>25</w:t>
        </w:r>
        <w:r w:rsidR="00226F09" w:rsidRPr="00F9183B">
          <w:rPr>
            <w:b/>
            <w:bCs/>
            <w:webHidden/>
          </w:rPr>
          <w:fldChar w:fldCharType="end"/>
        </w:r>
      </w:hyperlink>
    </w:p>
    <w:p w14:paraId="477273CE" w14:textId="323924A4" w:rsidR="00226F09" w:rsidRPr="00F9183B" w:rsidRDefault="00000000" w:rsidP="00FB1BFD">
      <w:pPr>
        <w:pStyle w:val="TOC2"/>
        <w:rPr>
          <w:rFonts w:eastAsiaTheme="minorEastAsia"/>
          <w:b/>
          <w:bCs/>
          <w:sz w:val="21"/>
          <w:szCs w:val="21"/>
          <w:lang w:eastAsia="en-GB"/>
        </w:rPr>
      </w:pPr>
      <w:hyperlink w:anchor="_Toc106288970" w:history="1">
        <w:r w:rsidR="00226F09" w:rsidRPr="00F9183B">
          <w:rPr>
            <w:rStyle w:val="Hyperlink"/>
          </w:rPr>
          <w:t>12.2.4.</w:t>
        </w:r>
        <w:r w:rsidR="00226F09" w:rsidRPr="00F9183B">
          <w:rPr>
            <w:rFonts w:eastAsiaTheme="minorEastAsia"/>
            <w:sz w:val="21"/>
            <w:szCs w:val="21"/>
            <w:lang w:eastAsia="en-GB"/>
          </w:rPr>
          <w:tab/>
        </w:r>
        <w:r w:rsidR="00226F09" w:rsidRPr="00F9183B">
          <w:rPr>
            <w:rStyle w:val="Hyperlink"/>
          </w:rPr>
          <w:t>Risk of amodiaquine</w:t>
        </w:r>
        <w:r w:rsidR="00226F09" w:rsidRPr="00F9183B">
          <w:rPr>
            <w:webHidden/>
          </w:rPr>
          <w:tab/>
        </w:r>
        <w:r w:rsidR="00226F09" w:rsidRPr="00F9183B">
          <w:rPr>
            <w:b/>
            <w:bCs/>
            <w:webHidden/>
          </w:rPr>
          <w:fldChar w:fldCharType="begin"/>
        </w:r>
        <w:r w:rsidR="00226F09" w:rsidRPr="00F9183B">
          <w:rPr>
            <w:webHidden/>
          </w:rPr>
          <w:instrText xml:space="preserve"> PAGEREF _Toc106288970 \h </w:instrText>
        </w:r>
        <w:r w:rsidR="00226F09" w:rsidRPr="00F9183B">
          <w:rPr>
            <w:b/>
            <w:bCs/>
            <w:webHidden/>
          </w:rPr>
        </w:r>
        <w:r w:rsidR="00226F09" w:rsidRPr="00F9183B">
          <w:rPr>
            <w:b/>
            <w:bCs/>
            <w:webHidden/>
          </w:rPr>
          <w:fldChar w:fldCharType="separate"/>
        </w:r>
        <w:r w:rsidR="00C310F3" w:rsidRPr="00F9183B">
          <w:rPr>
            <w:webHidden/>
          </w:rPr>
          <w:t>25</w:t>
        </w:r>
        <w:r w:rsidR="00226F09" w:rsidRPr="00F9183B">
          <w:rPr>
            <w:b/>
            <w:bCs/>
            <w:webHidden/>
          </w:rPr>
          <w:fldChar w:fldCharType="end"/>
        </w:r>
      </w:hyperlink>
    </w:p>
    <w:p w14:paraId="0CD17590" w14:textId="7EB3EA4B" w:rsidR="00226F09" w:rsidRPr="00F9183B" w:rsidRDefault="00000000" w:rsidP="00FB1BFD">
      <w:pPr>
        <w:pStyle w:val="TOC2"/>
        <w:rPr>
          <w:rFonts w:eastAsiaTheme="minorEastAsia"/>
          <w:b/>
          <w:bCs/>
          <w:sz w:val="21"/>
          <w:szCs w:val="21"/>
          <w:lang w:eastAsia="en-GB"/>
        </w:rPr>
      </w:pPr>
      <w:hyperlink w:anchor="_Toc106288971" w:history="1">
        <w:r w:rsidR="00226F09" w:rsidRPr="00F9183B">
          <w:rPr>
            <w:rStyle w:val="Hyperlink"/>
          </w:rPr>
          <w:t>12.2.5.</w:t>
        </w:r>
        <w:r w:rsidR="00226F09" w:rsidRPr="00F9183B">
          <w:rPr>
            <w:rFonts w:eastAsiaTheme="minorEastAsia"/>
            <w:sz w:val="21"/>
            <w:szCs w:val="21"/>
            <w:lang w:eastAsia="en-GB"/>
          </w:rPr>
          <w:tab/>
        </w:r>
        <w:r w:rsidR="00226F09" w:rsidRPr="00F9183B">
          <w:rPr>
            <w:rStyle w:val="Hyperlink"/>
          </w:rPr>
          <w:t>Risk of artemether-lumefantrine-amodiaquine</w:t>
        </w:r>
        <w:r w:rsidR="00226F09" w:rsidRPr="00F9183B">
          <w:rPr>
            <w:webHidden/>
          </w:rPr>
          <w:tab/>
        </w:r>
        <w:r w:rsidR="00226F09" w:rsidRPr="00F9183B">
          <w:rPr>
            <w:b/>
            <w:bCs/>
            <w:webHidden/>
          </w:rPr>
          <w:fldChar w:fldCharType="begin"/>
        </w:r>
        <w:r w:rsidR="00226F09" w:rsidRPr="00F9183B">
          <w:rPr>
            <w:webHidden/>
          </w:rPr>
          <w:instrText xml:space="preserve"> PAGEREF _Toc106288971 \h </w:instrText>
        </w:r>
        <w:r w:rsidR="00226F09" w:rsidRPr="00F9183B">
          <w:rPr>
            <w:b/>
            <w:bCs/>
            <w:webHidden/>
          </w:rPr>
        </w:r>
        <w:r w:rsidR="00226F09" w:rsidRPr="00F9183B">
          <w:rPr>
            <w:b/>
            <w:bCs/>
            <w:webHidden/>
          </w:rPr>
          <w:fldChar w:fldCharType="separate"/>
        </w:r>
        <w:r w:rsidR="00C310F3" w:rsidRPr="00F9183B">
          <w:rPr>
            <w:webHidden/>
          </w:rPr>
          <w:t>25</w:t>
        </w:r>
        <w:r w:rsidR="00226F09" w:rsidRPr="00F9183B">
          <w:rPr>
            <w:b/>
            <w:bCs/>
            <w:webHidden/>
          </w:rPr>
          <w:fldChar w:fldCharType="end"/>
        </w:r>
      </w:hyperlink>
    </w:p>
    <w:p w14:paraId="5A97D2FA" w14:textId="6E7DED49" w:rsidR="00226F09" w:rsidRPr="00F9183B" w:rsidRDefault="00000000" w:rsidP="00FB1BFD">
      <w:pPr>
        <w:pStyle w:val="TOC2"/>
        <w:rPr>
          <w:rFonts w:eastAsiaTheme="minorEastAsia"/>
          <w:b/>
          <w:bCs/>
          <w:sz w:val="21"/>
          <w:szCs w:val="21"/>
          <w:lang w:eastAsia="en-GB"/>
        </w:rPr>
      </w:pPr>
      <w:hyperlink w:anchor="_Toc106288974" w:history="1">
        <w:r w:rsidR="00226F09" w:rsidRPr="00F9183B">
          <w:rPr>
            <w:rStyle w:val="Hyperlink"/>
          </w:rPr>
          <w:t>12.3.</w:t>
        </w:r>
        <w:r w:rsidR="00226F09" w:rsidRPr="00F9183B">
          <w:rPr>
            <w:rFonts w:eastAsiaTheme="minorEastAsia"/>
            <w:sz w:val="21"/>
            <w:szCs w:val="21"/>
            <w:lang w:eastAsia="en-GB"/>
          </w:rPr>
          <w:tab/>
        </w:r>
        <w:r w:rsidR="00226F09" w:rsidRPr="00F9183B">
          <w:rPr>
            <w:rStyle w:val="Hyperlink"/>
          </w:rPr>
          <w:t>Benefits</w:t>
        </w:r>
        <w:r w:rsidR="00226F09" w:rsidRPr="00F9183B">
          <w:rPr>
            <w:webHidden/>
          </w:rPr>
          <w:tab/>
        </w:r>
        <w:r w:rsidR="00226F09" w:rsidRPr="00F9183B">
          <w:rPr>
            <w:b/>
            <w:bCs/>
            <w:webHidden/>
          </w:rPr>
          <w:fldChar w:fldCharType="begin"/>
        </w:r>
        <w:r w:rsidR="00226F09" w:rsidRPr="00F9183B">
          <w:rPr>
            <w:webHidden/>
          </w:rPr>
          <w:instrText xml:space="preserve"> PAGEREF _Toc106288974 \h </w:instrText>
        </w:r>
        <w:r w:rsidR="00226F09" w:rsidRPr="00F9183B">
          <w:rPr>
            <w:b/>
            <w:bCs/>
            <w:webHidden/>
          </w:rPr>
        </w:r>
        <w:r w:rsidR="00226F09" w:rsidRPr="00F9183B">
          <w:rPr>
            <w:b/>
            <w:bCs/>
            <w:webHidden/>
          </w:rPr>
          <w:fldChar w:fldCharType="separate"/>
        </w:r>
        <w:r w:rsidR="00C310F3" w:rsidRPr="00F9183B">
          <w:rPr>
            <w:webHidden/>
          </w:rPr>
          <w:t>25</w:t>
        </w:r>
        <w:r w:rsidR="00226F09" w:rsidRPr="00F9183B">
          <w:rPr>
            <w:b/>
            <w:bCs/>
            <w:webHidden/>
          </w:rPr>
          <w:fldChar w:fldCharType="end"/>
        </w:r>
      </w:hyperlink>
    </w:p>
    <w:p w14:paraId="0D85AD78" w14:textId="0BFF73C8" w:rsidR="00226F09" w:rsidRPr="00F9183B" w:rsidRDefault="00000000" w:rsidP="00FB1BFD">
      <w:pPr>
        <w:pStyle w:val="TOC2"/>
        <w:rPr>
          <w:rFonts w:eastAsiaTheme="minorEastAsia"/>
          <w:b/>
          <w:bCs/>
          <w:sz w:val="21"/>
          <w:szCs w:val="21"/>
          <w:lang w:eastAsia="en-GB"/>
        </w:rPr>
      </w:pPr>
      <w:hyperlink w:anchor="_Toc106288975" w:history="1">
        <w:r w:rsidR="00226F09" w:rsidRPr="00F9183B">
          <w:rPr>
            <w:rStyle w:val="Hyperlink"/>
          </w:rPr>
          <w:t>12.4.</w:t>
        </w:r>
        <w:r w:rsidR="00226F09" w:rsidRPr="00F9183B">
          <w:rPr>
            <w:rFonts w:eastAsiaTheme="minorEastAsia"/>
            <w:sz w:val="21"/>
            <w:szCs w:val="21"/>
            <w:lang w:eastAsia="en-GB"/>
          </w:rPr>
          <w:tab/>
        </w:r>
        <w:r w:rsidR="00226F09" w:rsidRPr="00F9183B">
          <w:rPr>
            <w:rStyle w:val="Hyperlink"/>
          </w:rPr>
          <w:t>Compensation</w:t>
        </w:r>
        <w:r w:rsidR="00226F09" w:rsidRPr="00F9183B">
          <w:rPr>
            <w:webHidden/>
          </w:rPr>
          <w:tab/>
        </w:r>
        <w:r w:rsidR="00226F09" w:rsidRPr="00F9183B">
          <w:rPr>
            <w:b/>
            <w:bCs/>
            <w:webHidden/>
          </w:rPr>
          <w:fldChar w:fldCharType="begin"/>
        </w:r>
        <w:r w:rsidR="00226F09" w:rsidRPr="00F9183B">
          <w:rPr>
            <w:webHidden/>
          </w:rPr>
          <w:instrText xml:space="preserve"> PAGEREF _Toc106288975 \h </w:instrText>
        </w:r>
        <w:r w:rsidR="00226F09" w:rsidRPr="00F9183B">
          <w:rPr>
            <w:b/>
            <w:bCs/>
            <w:webHidden/>
          </w:rPr>
        </w:r>
        <w:r w:rsidR="00226F09" w:rsidRPr="00F9183B">
          <w:rPr>
            <w:b/>
            <w:bCs/>
            <w:webHidden/>
          </w:rPr>
          <w:fldChar w:fldCharType="separate"/>
        </w:r>
        <w:r w:rsidR="00C310F3" w:rsidRPr="00F9183B">
          <w:rPr>
            <w:webHidden/>
          </w:rPr>
          <w:t>26</w:t>
        </w:r>
        <w:r w:rsidR="00226F09" w:rsidRPr="00F9183B">
          <w:rPr>
            <w:b/>
            <w:bCs/>
            <w:webHidden/>
          </w:rPr>
          <w:fldChar w:fldCharType="end"/>
        </w:r>
      </w:hyperlink>
    </w:p>
    <w:p w14:paraId="5C5C969B" w14:textId="224491FD" w:rsidR="00226F09" w:rsidRPr="00F9183B" w:rsidRDefault="00000000" w:rsidP="00F9183B">
      <w:pPr>
        <w:pStyle w:val="TOC1"/>
        <w:rPr>
          <w:rFonts w:ascii="Arial" w:eastAsiaTheme="minorEastAsia" w:hAnsi="Arial" w:cs="Arial"/>
          <w:noProof/>
          <w:lang w:eastAsia="en-GB"/>
        </w:rPr>
      </w:pPr>
      <w:hyperlink w:anchor="_Toc106288976" w:history="1">
        <w:r w:rsidR="00226F09" w:rsidRPr="00F9183B">
          <w:rPr>
            <w:rStyle w:val="Hyperlink"/>
            <w:rFonts w:ascii="Arial" w:hAnsi="Arial" w:cs="Arial"/>
            <w:b w:val="0"/>
            <w:bCs w:val="0"/>
            <w:i w:val="0"/>
            <w:iCs w:val="0"/>
            <w:noProof/>
            <w:sz w:val="21"/>
            <w:szCs w:val="21"/>
          </w:rPr>
          <w:t>13.</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USE AND STORAGE OF STUDY SAMPLES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_Toc106288976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26</w:t>
        </w:r>
        <w:r w:rsidR="00226F09" w:rsidRPr="00F9183B">
          <w:rPr>
            <w:rFonts w:ascii="Arial" w:hAnsi="Arial" w:cs="Arial"/>
            <w:noProof/>
            <w:webHidden/>
          </w:rPr>
          <w:fldChar w:fldCharType="end"/>
        </w:r>
      </w:hyperlink>
    </w:p>
    <w:p w14:paraId="670A931F" w14:textId="36E03BEE" w:rsidR="00226F09" w:rsidRPr="00F9183B" w:rsidRDefault="00000000" w:rsidP="00F9183B">
      <w:pPr>
        <w:pStyle w:val="TOC1"/>
        <w:rPr>
          <w:rFonts w:ascii="Arial" w:eastAsiaTheme="minorEastAsia" w:hAnsi="Arial" w:cs="Arial"/>
          <w:noProof/>
          <w:lang w:eastAsia="en-GB"/>
        </w:rPr>
      </w:pPr>
      <w:hyperlink w:anchor="_Toc106288977" w:history="1">
        <w:r w:rsidR="00226F09" w:rsidRPr="00F9183B">
          <w:rPr>
            <w:rStyle w:val="Hyperlink"/>
            <w:rFonts w:ascii="Arial" w:hAnsi="Arial" w:cs="Arial"/>
            <w:b w:val="0"/>
            <w:bCs w:val="0"/>
            <w:i w:val="0"/>
            <w:iCs w:val="0"/>
            <w:noProof/>
            <w:sz w:val="21"/>
            <w:szCs w:val="21"/>
          </w:rPr>
          <w:t>14.</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SPONSOR INFORMATION</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_Toc106288977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26</w:t>
        </w:r>
        <w:r w:rsidR="00226F09" w:rsidRPr="00F9183B">
          <w:rPr>
            <w:rFonts w:ascii="Arial" w:hAnsi="Arial" w:cs="Arial"/>
            <w:noProof/>
            <w:webHidden/>
          </w:rPr>
          <w:fldChar w:fldCharType="end"/>
        </w:r>
      </w:hyperlink>
    </w:p>
    <w:p w14:paraId="1BBAEBCC" w14:textId="53A33D07" w:rsidR="00226F09" w:rsidRPr="00F9183B" w:rsidRDefault="00000000" w:rsidP="00FB1BFD">
      <w:pPr>
        <w:pStyle w:val="TOC2"/>
        <w:rPr>
          <w:rFonts w:eastAsiaTheme="minorEastAsia"/>
          <w:b/>
          <w:bCs/>
          <w:sz w:val="21"/>
          <w:szCs w:val="21"/>
          <w:lang w:eastAsia="en-GB"/>
        </w:rPr>
      </w:pPr>
      <w:hyperlink w:anchor="_Toc106288978" w:history="1">
        <w:r w:rsidR="00226F09" w:rsidRPr="00F9183B">
          <w:rPr>
            <w:rStyle w:val="Hyperlink"/>
          </w:rPr>
          <w:t>14.1.</w:t>
        </w:r>
        <w:r w:rsidR="00226F09" w:rsidRPr="00F9183B">
          <w:rPr>
            <w:rFonts w:eastAsiaTheme="minorEastAsia"/>
            <w:sz w:val="21"/>
            <w:szCs w:val="21"/>
            <w:lang w:eastAsia="en-GB"/>
          </w:rPr>
          <w:tab/>
        </w:r>
        <w:r w:rsidR="00226F09" w:rsidRPr="00F9183B">
          <w:rPr>
            <w:rStyle w:val="Hyperlink"/>
          </w:rPr>
          <w:t>Indemnity</w:t>
        </w:r>
        <w:r w:rsidR="00226F09" w:rsidRPr="00F9183B">
          <w:rPr>
            <w:webHidden/>
          </w:rPr>
          <w:tab/>
        </w:r>
        <w:r w:rsidR="00226F09" w:rsidRPr="00F9183B">
          <w:rPr>
            <w:b/>
            <w:bCs/>
            <w:webHidden/>
          </w:rPr>
          <w:fldChar w:fldCharType="begin"/>
        </w:r>
        <w:r w:rsidR="00226F09" w:rsidRPr="00F9183B">
          <w:rPr>
            <w:webHidden/>
          </w:rPr>
          <w:instrText xml:space="preserve"> PAGEREF _Toc106288978 \h </w:instrText>
        </w:r>
        <w:r w:rsidR="00226F09" w:rsidRPr="00F9183B">
          <w:rPr>
            <w:b/>
            <w:bCs/>
            <w:webHidden/>
          </w:rPr>
        </w:r>
        <w:r w:rsidR="00226F09" w:rsidRPr="00F9183B">
          <w:rPr>
            <w:b/>
            <w:bCs/>
            <w:webHidden/>
          </w:rPr>
          <w:fldChar w:fldCharType="separate"/>
        </w:r>
        <w:r w:rsidR="00C310F3" w:rsidRPr="00F9183B">
          <w:rPr>
            <w:webHidden/>
          </w:rPr>
          <w:t>26</w:t>
        </w:r>
        <w:r w:rsidR="00226F09" w:rsidRPr="00F9183B">
          <w:rPr>
            <w:b/>
            <w:bCs/>
            <w:webHidden/>
          </w:rPr>
          <w:fldChar w:fldCharType="end"/>
        </w:r>
      </w:hyperlink>
    </w:p>
    <w:p w14:paraId="6CF4BB49" w14:textId="30F03ABE" w:rsidR="00226F09" w:rsidRPr="00F9183B" w:rsidRDefault="00000000" w:rsidP="00FB1BFD">
      <w:pPr>
        <w:pStyle w:val="TOC2"/>
        <w:rPr>
          <w:rFonts w:eastAsiaTheme="minorEastAsia"/>
          <w:b/>
          <w:bCs/>
          <w:sz w:val="21"/>
          <w:szCs w:val="21"/>
          <w:lang w:eastAsia="en-GB"/>
        </w:rPr>
      </w:pPr>
      <w:hyperlink w:anchor="_Toc106288979" w:history="1">
        <w:r w:rsidR="00226F09" w:rsidRPr="00F9183B">
          <w:rPr>
            <w:rStyle w:val="Hyperlink"/>
          </w:rPr>
          <w:t>14.2.</w:t>
        </w:r>
        <w:r w:rsidR="00226F09" w:rsidRPr="00F9183B">
          <w:rPr>
            <w:rFonts w:eastAsiaTheme="minorEastAsia"/>
            <w:sz w:val="21"/>
            <w:szCs w:val="21"/>
            <w:lang w:eastAsia="en-GB"/>
          </w:rPr>
          <w:tab/>
        </w:r>
        <w:r w:rsidR="00226F09" w:rsidRPr="00F9183B">
          <w:rPr>
            <w:rStyle w:val="Hyperlink"/>
          </w:rPr>
          <w:t>Sponsor</w:t>
        </w:r>
        <w:r w:rsidR="00226F09" w:rsidRPr="00F9183B">
          <w:rPr>
            <w:webHidden/>
          </w:rPr>
          <w:tab/>
        </w:r>
        <w:r w:rsidR="00226F09" w:rsidRPr="00F9183B">
          <w:rPr>
            <w:b/>
            <w:bCs/>
            <w:webHidden/>
          </w:rPr>
          <w:fldChar w:fldCharType="begin"/>
        </w:r>
        <w:r w:rsidR="00226F09" w:rsidRPr="00F9183B">
          <w:rPr>
            <w:webHidden/>
          </w:rPr>
          <w:instrText xml:space="preserve"> PAGEREF _Toc106288979 \h </w:instrText>
        </w:r>
        <w:r w:rsidR="00226F09" w:rsidRPr="00F9183B">
          <w:rPr>
            <w:b/>
            <w:bCs/>
            <w:webHidden/>
          </w:rPr>
        </w:r>
        <w:r w:rsidR="00226F09" w:rsidRPr="00F9183B">
          <w:rPr>
            <w:b/>
            <w:bCs/>
            <w:webHidden/>
          </w:rPr>
          <w:fldChar w:fldCharType="separate"/>
        </w:r>
        <w:r w:rsidR="00C310F3" w:rsidRPr="00F9183B">
          <w:rPr>
            <w:webHidden/>
          </w:rPr>
          <w:t>26</w:t>
        </w:r>
        <w:r w:rsidR="00226F09" w:rsidRPr="00F9183B">
          <w:rPr>
            <w:b/>
            <w:bCs/>
            <w:webHidden/>
          </w:rPr>
          <w:fldChar w:fldCharType="end"/>
        </w:r>
      </w:hyperlink>
    </w:p>
    <w:p w14:paraId="03C1D8FB" w14:textId="251D6E61" w:rsidR="00226F09" w:rsidRPr="00F9183B" w:rsidRDefault="00000000" w:rsidP="00FB1BFD">
      <w:pPr>
        <w:pStyle w:val="TOC2"/>
        <w:rPr>
          <w:rFonts w:eastAsiaTheme="minorEastAsia"/>
          <w:b/>
          <w:bCs/>
          <w:sz w:val="21"/>
          <w:szCs w:val="21"/>
          <w:lang w:eastAsia="en-GB"/>
        </w:rPr>
      </w:pPr>
      <w:hyperlink w:anchor="_Toc106288980" w:history="1">
        <w:r w:rsidR="00226F09" w:rsidRPr="00F9183B">
          <w:rPr>
            <w:rStyle w:val="Hyperlink"/>
          </w:rPr>
          <w:t>14.3.</w:t>
        </w:r>
        <w:r w:rsidR="00226F09" w:rsidRPr="00F9183B">
          <w:rPr>
            <w:rFonts w:eastAsiaTheme="minorEastAsia"/>
            <w:sz w:val="21"/>
            <w:szCs w:val="21"/>
            <w:lang w:eastAsia="en-GB"/>
          </w:rPr>
          <w:tab/>
        </w:r>
        <w:r w:rsidR="00226F09" w:rsidRPr="00F9183B">
          <w:rPr>
            <w:rStyle w:val="Hyperlink"/>
          </w:rPr>
          <w:t>Audits and Inspections</w:t>
        </w:r>
        <w:r w:rsidR="00226F09" w:rsidRPr="00F9183B">
          <w:rPr>
            <w:webHidden/>
          </w:rPr>
          <w:tab/>
        </w:r>
        <w:r w:rsidR="00226F09" w:rsidRPr="00F9183B">
          <w:rPr>
            <w:b/>
            <w:bCs/>
            <w:webHidden/>
          </w:rPr>
          <w:fldChar w:fldCharType="begin"/>
        </w:r>
        <w:r w:rsidR="00226F09" w:rsidRPr="00F9183B">
          <w:rPr>
            <w:webHidden/>
          </w:rPr>
          <w:instrText xml:space="preserve"> PAGEREF _Toc106288980 \h </w:instrText>
        </w:r>
        <w:r w:rsidR="00226F09" w:rsidRPr="00F9183B">
          <w:rPr>
            <w:b/>
            <w:bCs/>
            <w:webHidden/>
          </w:rPr>
        </w:r>
        <w:r w:rsidR="00226F09" w:rsidRPr="00F9183B">
          <w:rPr>
            <w:b/>
            <w:bCs/>
            <w:webHidden/>
          </w:rPr>
          <w:fldChar w:fldCharType="separate"/>
        </w:r>
        <w:r w:rsidR="00C310F3" w:rsidRPr="00F9183B">
          <w:rPr>
            <w:webHidden/>
          </w:rPr>
          <w:t>26</w:t>
        </w:r>
        <w:r w:rsidR="00226F09" w:rsidRPr="00F9183B">
          <w:rPr>
            <w:b/>
            <w:bCs/>
            <w:webHidden/>
          </w:rPr>
          <w:fldChar w:fldCharType="end"/>
        </w:r>
      </w:hyperlink>
    </w:p>
    <w:p w14:paraId="3EADD998" w14:textId="708E1968" w:rsidR="00226F09" w:rsidRPr="00F9183B" w:rsidRDefault="00000000" w:rsidP="00F9183B">
      <w:pPr>
        <w:pStyle w:val="TOC1"/>
        <w:rPr>
          <w:rFonts w:ascii="Arial" w:eastAsiaTheme="minorEastAsia" w:hAnsi="Arial" w:cs="Arial"/>
          <w:noProof/>
          <w:lang w:eastAsia="en-GB"/>
        </w:rPr>
      </w:pPr>
      <w:hyperlink w:anchor="_Toc106288981" w:history="1">
        <w:r w:rsidR="00226F09" w:rsidRPr="00F9183B">
          <w:rPr>
            <w:rStyle w:val="Hyperlink"/>
            <w:rFonts w:ascii="Arial" w:hAnsi="Arial" w:cs="Arial"/>
            <w:b w:val="0"/>
            <w:bCs w:val="0"/>
            <w:i w:val="0"/>
            <w:iCs w:val="0"/>
            <w:noProof/>
            <w:sz w:val="21"/>
            <w:szCs w:val="21"/>
          </w:rPr>
          <w:t>15.</w:t>
        </w:r>
        <w:r w:rsidR="00226F09" w:rsidRPr="00F9183B">
          <w:rPr>
            <w:rFonts w:ascii="Arial" w:eastAsiaTheme="minorEastAsia" w:hAnsi="Arial" w:cs="Arial"/>
            <w:noProof/>
            <w:lang w:eastAsia="en-GB"/>
          </w:rPr>
          <w:tab/>
        </w:r>
        <w:r w:rsidR="00226F09" w:rsidRPr="00F9183B">
          <w:rPr>
            <w:rStyle w:val="Hyperlink"/>
            <w:rFonts w:ascii="Arial" w:hAnsi="Arial" w:cs="Arial"/>
            <w:b w:val="0"/>
            <w:bCs w:val="0"/>
            <w:i w:val="0"/>
            <w:iCs w:val="0"/>
            <w:noProof/>
            <w:sz w:val="21"/>
            <w:szCs w:val="21"/>
          </w:rPr>
          <w:t>REFERENCES</w:t>
        </w:r>
        <w:r w:rsidR="00226F09" w:rsidRPr="00F9183B">
          <w:rPr>
            <w:rFonts w:ascii="Arial" w:hAnsi="Arial" w:cs="Arial"/>
            <w:noProof/>
            <w:webHidden/>
          </w:rPr>
          <w:tab/>
        </w:r>
        <w:r w:rsidR="00226F09" w:rsidRPr="00F9183B">
          <w:rPr>
            <w:rFonts w:ascii="Arial" w:hAnsi="Arial" w:cs="Arial"/>
            <w:noProof/>
            <w:webHidden/>
          </w:rPr>
          <w:fldChar w:fldCharType="begin"/>
        </w:r>
        <w:r w:rsidR="00226F09" w:rsidRPr="00F9183B">
          <w:rPr>
            <w:rFonts w:ascii="Arial" w:hAnsi="Arial" w:cs="Arial"/>
            <w:noProof/>
            <w:webHidden/>
          </w:rPr>
          <w:instrText xml:space="preserve"> PAGEREF _Toc106288981 \h </w:instrText>
        </w:r>
        <w:r w:rsidR="00226F09" w:rsidRPr="00F9183B">
          <w:rPr>
            <w:rFonts w:ascii="Arial" w:hAnsi="Arial" w:cs="Arial"/>
            <w:noProof/>
            <w:webHidden/>
          </w:rPr>
        </w:r>
        <w:r w:rsidR="00226F09" w:rsidRPr="00F9183B">
          <w:rPr>
            <w:rFonts w:ascii="Arial" w:hAnsi="Arial" w:cs="Arial"/>
            <w:noProof/>
            <w:webHidden/>
          </w:rPr>
          <w:fldChar w:fldCharType="separate"/>
        </w:r>
        <w:r w:rsidR="00C310F3" w:rsidRPr="00F9183B">
          <w:rPr>
            <w:rFonts w:ascii="Arial" w:hAnsi="Arial" w:cs="Arial"/>
            <w:noProof/>
            <w:webHidden/>
          </w:rPr>
          <w:t>26</w:t>
        </w:r>
        <w:r w:rsidR="00226F09" w:rsidRPr="00F9183B">
          <w:rPr>
            <w:rFonts w:ascii="Arial" w:hAnsi="Arial" w:cs="Arial"/>
            <w:noProof/>
            <w:webHidden/>
          </w:rPr>
          <w:fldChar w:fldCharType="end"/>
        </w:r>
      </w:hyperlink>
    </w:p>
    <w:p w14:paraId="3AD47F0E" w14:textId="07D1E395" w:rsidR="00F73996" w:rsidRPr="00C310F3" w:rsidRDefault="00F73996" w:rsidP="00F9183B">
      <w:pPr>
        <w:pStyle w:val="TOCHeading"/>
        <w:numPr>
          <w:ilvl w:val="0"/>
          <w:numId w:val="0"/>
        </w:numPr>
        <w:ind w:left="357"/>
      </w:pPr>
      <w:r w:rsidRPr="00F9183B">
        <w:fldChar w:fldCharType="end"/>
      </w:r>
    </w:p>
    <w:p w14:paraId="18EF296F" w14:textId="6A98D202" w:rsidR="00D81F37" w:rsidRPr="00F9183B" w:rsidRDefault="00D81F37" w:rsidP="00EC60BE">
      <w:pPr>
        <w:spacing w:before="0" w:after="0" w:line="240" w:lineRule="auto"/>
        <w:rPr>
          <w:rFonts w:eastAsiaTheme="majorEastAsia" w:cs="Arial"/>
          <w:color w:val="000000" w:themeColor="text1"/>
          <w:sz w:val="21"/>
          <w:szCs w:val="28"/>
        </w:rPr>
      </w:pPr>
    </w:p>
    <w:p w14:paraId="79F93C79" w14:textId="77777777" w:rsidR="00226F09" w:rsidRPr="00F9183B" w:rsidRDefault="00226F09">
      <w:pPr>
        <w:spacing w:before="0" w:after="0" w:line="240" w:lineRule="auto"/>
        <w:rPr>
          <w:rFonts w:eastAsiaTheme="majorEastAsia" w:cs="Arial"/>
          <w:color w:val="000000" w:themeColor="text1"/>
          <w:sz w:val="21"/>
          <w:szCs w:val="28"/>
        </w:rPr>
      </w:pPr>
      <w:bookmarkStart w:id="9" w:name="_Toc102985784"/>
      <w:bookmarkStart w:id="10" w:name="_Toc104981617"/>
      <w:bookmarkStart w:id="11" w:name="_Toc106288862"/>
      <w:r w:rsidRPr="00F9183B">
        <w:rPr>
          <w:rFonts w:cs="Arial"/>
          <w:sz w:val="21"/>
          <w:szCs w:val="22"/>
        </w:rPr>
        <w:br w:type="page"/>
      </w:r>
    </w:p>
    <w:p w14:paraId="0A0A9C49" w14:textId="21EC1BF5" w:rsidR="00F042EA" w:rsidRPr="007112DC" w:rsidRDefault="00F042EA">
      <w:pPr>
        <w:pStyle w:val="Heading1"/>
      </w:pPr>
      <w:r w:rsidRPr="00D81F37">
        <w:lastRenderedPageBreak/>
        <w:t>LIST</w:t>
      </w:r>
      <w:r w:rsidRPr="007112DC">
        <w:t xml:space="preserve"> OF ABBREVIATIONS</w:t>
      </w:r>
      <w:bookmarkEnd w:id="0"/>
      <w:bookmarkEnd w:id="1"/>
      <w:bookmarkEnd w:id="2"/>
      <w:bookmarkEnd w:id="3"/>
      <w:bookmarkEnd w:id="4"/>
      <w:bookmarkEnd w:id="5"/>
      <w:bookmarkEnd w:id="6"/>
      <w:bookmarkEnd w:id="7"/>
      <w:bookmarkEnd w:id="8"/>
      <w:bookmarkEnd w:id="9"/>
      <w:bookmarkEnd w:id="10"/>
      <w:bookmarkEnd w:id="11"/>
    </w:p>
    <w:p w14:paraId="25CC5D0D" w14:textId="04873842" w:rsidR="00C423A5" w:rsidRPr="00F042EA" w:rsidRDefault="00C423A5" w:rsidP="00DE3540">
      <w:pPr>
        <w:spacing w:before="0" w:after="0"/>
        <w:rPr>
          <w:rFonts w:cs="Arial"/>
          <w:szCs w:val="22"/>
        </w:rPr>
      </w:pPr>
      <w:r w:rsidRPr="00F042EA">
        <w:rPr>
          <w:rFonts w:cs="Arial"/>
          <w:szCs w:val="22"/>
        </w:rPr>
        <w:t>ACT</w:t>
      </w:r>
      <w:r w:rsidRPr="00F042EA">
        <w:rPr>
          <w:rFonts w:cs="Arial"/>
          <w:szCs w:val="22"/>
        </w:rPr>
        <w:tab/>
      </w:r>
      <w:r w:rsidR="00C8279C" w:rsidRPr="00F042EA">
        <w:rPr>
          <w:rFonts w:cs="Arial"/>
          <w:szCs w:val="22"/>
        </w:rPr>
        <w:tab/>
      </w:r>
      <w:r w:rsidRPr="00F042EA">
        <w:rPr>
          <w:rFonts w:cs="Arial"/>
          <w:szCs w:val="22"/>
        </w:rPr>
        <w:t>Artemisinin-based combination therapy</w:t>
      </w:r>
    </w:p>
    <w:p w14:paraId="6301F73A" w14:textId="5285E20A" w:rsidR="00C423A5" w:rsidRPr="00F042EA" w:rsidRDefault="00C423A5" w:rsidP="00DE3540">
      <w:pPr>
        <w:spacing w:before="0" w:after="0"/>
        <w:rPr>
          <w:rFonts w:cs="Arial"/>
          <w:szCs w:val="22"/>
        </w:rPr>
      </w:pPr>
      <w:r w:rsidRPr="00F042EA">
        <w:rPr>
          <w:rFonts w:cs="Arial"/>
          <w:szCs w:val="22"/>
        </w:rPr>
        <w:t>AE</w:t>
      </w:r>
      <w:r w:rsidRPr="00F042EA">
        <w:rPr>
          <w:rFonts w:cs="Arial"/>
          <w:szCs w:val="22"/>
        </w:rPr>
        <w:tab/>
      </w:r>
      <w:r w:rsidR="00C8279C" w:rsidRPr="00F042EA">
        <w:rPr>
          <w:rFonts w:cs="Arial"/>
          <w:szCs w:val="22"/>
        </w:rPr>
        <w:tab/>
      </w:r>
      <w:r w:rsidRPr="00F042EA">
        <w:rPr>
          <w:rFonts w:cs="Arial"/>
          <w:szCs w:val="22"/>
        </w:rPr>
        <w:t>Adverse event</w:t>
      </w:r>
    </w:p>
    <w:p w14:paraId="01F334E4" w14:textId="6D8125C7" w:rsidR="00054A8E" w:rsidRPr="00F042EA" w:rsidRDefault="00C423A5" w:rsidP="00DE3540">
      <w:pPr>
        <w:spacing w:before="0" w:after="0"/>
        <w:rPr>
          <w:rFonts w:cs="Arial"/>
          <w:szCs w:val="22"/>
        </w:rPr>
      </w:pPr>
      <w:r w:rsidRPr="00F042EA">
        <w:rPr>
          <w:rFonts w:cs="Arial"/>
          <w:szCs w:val="22"/>
        </w:rPr>
        <w:t>AL</w:t>
      </w:r>
      <w:r w:rsidRPr="00F042EA">
        <w:rPr>
          <w:rFonts w:cs="Arial"/>
          <w:szCs w:val="22"/>
        </w:rPr>
        <w:tab/>
      </w:r>
      <w:r w:rsidR="00C8279C" w:rsidRPr="00F042EA">
        <w:rPr>
          <w:rFonts w:cs="Arial"/>
          <w:szCs w:val="22"/>
        </w:rPr>
        <w:tab/>
      </w:r>
      <w:r w:rsidRPr="00F042EA">
        <w:rPr>
          <w:rFonts w:cs="Arial"/>
          <w:szCs w:val="22"/>
        </w:rPr>
        <w:t>Artemet</w:t>
      </w:r>
      <w:r w:rsidR="00240D19">
        <w:rPr>
          <w:rFonts w:cs="Arial"/>
          <w:szCs w:val="22"/>
        </w:rPr>
        <w:t>h</w:t>
      </w:r>
      <w:r w:rsidRPr="00F042EA">
        <w:rPr>
          <w:rFonts w:cs="Arial"/>
          <w:szCs w:val="22"/>
        </w:rPr>
        <w:t>er-Lumefantrine</w:t>
      </w:r>
    </w:p>
    <w:p w14:paraId="2A549695" w14:textId="53162886" w:rsidR="00C423A5" w:rsidRPr="00F042EA" w:rsidRDefault="00C423A5" w:rsidP="00DE3540">
      <w:pPr>
        <w:spacing w:before="0" w:after="0"/>
        <w:rPr>
          <w:rFonts w:cs="Arial"/>
          <w:szCs w:val="22"/>
        </w:rPr>
      </w:pPr>
      <w:r w:rsidRPr="00F042EA">
        <w:rPr>
          <w:rFonts w:cs="Arial"/>
          <w:szCs w:val="22"/>
        </w:rPr>
        <w:t>AQ</w:t>
      </w:r>
      <w:r w:rsidRPr="00F042EA">
        <w:rPr>
          <w:rFonts w:cs="Arial"/>
          <w:szCs w:val="22"/>
        </w:rPr>
        <w:tab/>
      </w:r>
      <w:r w:rsidR="00C8279C" w:rsidRPr="00F042EA">
        <w:rPr>
          <w:rFonts w:cs="Arial"/>
          <w:szCs w:val="22"/>
        </w:rPr>
        <w:tab/>
      </w:r>
      <w:r w:rsidRPr="00F042EA">
        <w:rPr>
          <w:rFonts w:cs="Arial"/>
          <w:szCs w:val="22"/>
        </w:rPr>
        <w:t>Amodiaquine</w:t>
      </w:r>
    </w:p>
    <w:p w14:paraId="05DA7AB7" w14:textId="111D0055" w:rsidR="00C423A5" w:rsidRDefault="00C423A5" w:rsidP="00DE3540">
      <w:pPr>
        <w:spacing w:before="0" w:after="0"/>
        <w:rPr>
          <w:rFonts w:cs="Arial"/>
          <w:szCs w:val="22"/>
        </w:rPr>
      </w:pPr>
      <w:r w:rsidRPr="00F042EA">
        <w:rPr>
          <w:rFonts w:cs="Arial"/>
          <w:szCs w:val="22"/>
        </w:rPr>
        <w:t>AS</w:t>
      </w:r>
      <w:r w:rsidRPr="00F042EA">
        <w:rPr>
          <w:rFonts w:cs="Arial"/>
          <w:szCs w:val="22"/>
        </w:rPr>
        <w:tab/>
      </w:r>
      <w:r w:rsidR="00C8279C" w:rsidRPr="00F042EA">
        <w:rPr>
          <w:rFonts w:cs="Arial"/>
          <w:szCs w:val="22"/>
        </w:rPr>
        <w:tab/>
      </w:r>
      <w:r w:rsidRPr="00F042EA">
        <w:rPr>
          <w:rFonts w:cs="Arial"/>
          <w:szCs w:val="22"/>
        </w:rPr>
        <w:t>Artesunate</w:t>
      </w:r>
    </w:p>
    <w:p w14:paraId="20A26C89" w14:textId="060F574F" w:rsidR="00C7066C" w:rsidRDefault="00C7066C" w:rsidP="00DE3540">
      <w:pPr>
        <w:spacing w:before="0" w:after="0"/>
        <w:rPr>
          <w:rFonts w:cs="Arial"/>
          <w:szCs w:val="22"/>
        </w:rPr>
      </w:pPr>
      <w:r>
        <w:rPr>
          <w:rFonts w:cs="Arial"/>
          <w:szCs w:val="22"/>
        </w:rPr>
        <w:t>ASAQ</w:t>
      </w:r>
      <w:r>
        <w:rPr>
          <w:rFonts w:cs="Arial"/>
          <w:szCs w:val="22"/>
        </w:rPr>
        <w:tab/>
      </w:r>
      <w:r>
        <w:rPr>
          <w:rFonts w:cs="Arial"/>
          <w:szCs w:val="22"/>
        </w:rPr>
        <w:tab/>
        <w:t>Artesunate-Amodiaquine</w:t>
      </w:r>
    </w:p>
    <w:p w14:paraId="15951A63" w14:textId="7D2B2C95" w:rsidR="00395520" w:rsidRDefault="00395520" w:rsidP="00DE3540">
      <w:pPr>
        <w:spacing w:before="0" w:after="0"/>
        <w:rPr>
          <w:rFonts w:cs="Arial"/>
          <w:szCs w:val="22"/>
        </w:rPr>
      </w:pPr>
      <w:r>
        <w:rPr>
          <w:rFonts w:cs="Arial"/>
          <w:szCs w:val="22"/>
        </w:rPr>
        <w:t>AUC</w:t>
      </w:r>
      <w:r>
        <w:rPr>
          <w:rFonts w:cs="Arial"/>
          <w:szCs w:val="22"/>
        </w:rPr>
        <w:tab/>
      </w:r>
      <w:r>
        <w:rPr>
          <w:rFonts w:cs="Arial"/>
          <w:szCs w:val="22"/>
        </w:rPr>
        <w:tab/>
        <w:t>Area under the curve</w:t>
      </w:r>
    </w:p>
    <w:p w14:paraId="7CF843C6" w14:textId="6EB4214F" w:rsidR="003B7916" w:rsidRDefault="003B7916" w:rsidP="00DE3540">
      <w:pPr>
        <w:spacing w:before="0" w:after="0"/>
        <w:rPr>
          <w:rFonts w:cs="Arial"/>
          <w:szCs w:val="22"/>
        </w:rPr>
      </w:pPr>
      <w:r>
        <w:rPr>
          <w:rFonts w:cs="Arial"/>
          <w:szCs w:val="22"/>
        </w:rPr>
        <w:t>CBC</w:t>
      </w:r>
      <w:r>
        <w:rPr>
          <w:rFonts w:cs="Arial"/>
          <w:szCs w:val="22"/>
        </w:rPr>
        <w:tab/>
      </w:r>
      <w:r>
        <w:rPr>
          <w:rFonts w:cs="Arial"/>
          <w:szCs w:val="22"/>
        </w:rPr>
        <w:tab/>
        <w:t>Complete Blood Count</w:t>
      </w:r>
    </w:p>
    <w:p w14:paraId="0F6EB40F" w14:textId="6CD7E664" w:rsidR="00DE3540" w:rsidRDefault="00DE3540" w:rsidP="00DE3540">
      <w:pPr>
        <w:spacing w:before="0" w:after="0"/>
        <w:rPr>
          <w:rFonts w:cs="Arial"/>
          <w:szCs w:val="22"/>
        </w:rPr>
      </w:pPr>
      <w:r>
        <w:rPr>
          <w:rFonts w:cs="Arial"/>
          <w:szCs w:val="22"/>
        </w:rPr>
        <w:t>CRF</w:t>
      </w:r>
      <w:r>
        <w:rPr>
          <w:rFonts w:cs="Arial"/>
          <w:szCs w:val="22"/>
        </w:rPr>
        <w:tab/>
      </w:r>
      <w:r>
        <w:rPr>
          <w:rFonts w:cs="Arial"/>
          <w:szCs w:val="22"/>
        </w:rPr>
        <w:tab/>
        <w:t>Case report form</w:t>
      </w:r>
    </w:p>
    <w:p w14:paraId="31AE6DE9" w14:textId="2B2BDC40" w:rsidR="00395520" w:rsidRPr="00F042EA" w:rsidRDefault="00395520" w:rsidP="00DE3540">
      <w:pPr>
        <w:spacing w:before="0" w:after="0"/>
        <w:rPr>
          <w:rFonts w:cs="Arial"/>
          <w:szCs w:val="22"/>
        </w:rPr>
      </w:pPr>
      <w:r>
        <w:rPr>
          <w:rFonts w:cs="Arial"/>
          <w:szCs w:val="22"/>
        </w:rPr>
        <w:t>DNA</w:t>
      </w:r>
      <w:r>
        <w:rPr>
          <w:rFonts w:cs="Arial"/>
          <w:szCs w:val="22"/>
        </w:rPr>
        <w:tab/>
      </w:r>
      <w:r>
        <w:rPr>
          <w:rFonts w:cs="Arial"/>
          <w:szCs w:val="22"/>
        </w:rPr>
        <w:tab/>
        <w:t>Deoxyribonucleic acid</w:t>
      </w:r>
    </w:p>
    <w:p w14:paraId="2CE2FFFE" w14:textId="243DAB0D" w:rsidR="00395520" w:rsidRDefault="00C423A5" w:rsidP="00DE3540">
      <w:pPr>
        <w:spacing w:before="0" w:after="0"/>
        <w:rPr>
          <w:rFonts w:cs="Arial"/>
          <w:szCs w:val="22"/>
        </w:rPr>
      </w:pPr>
      <w:r w:rsidRPr="00F042EA">
        <w:rPr>
          <w:rFonts w:cs="Arial"/>
          <w:szCs w:val="22"/>
        </w:rPr>
        <w:t>DP</w:t>
      </w:r>
      <w:r w:rsidRPr="00F042EA">
        <w:rPr>
          <w:rFonts w:cs="Arial"/>
          <w:szCs w:val="22"/>
        </w:rPr>
        <w:tab/>
      </w:r>
      <w:r w:rsidR="00C8279C" w:rsidRPr="00F042EA">
        <w:rPr>
          <w:rFonts w:cs="Arial"/>
          <w:szCs w:val="22"/>
        </w:rPr>
        <w:tab/>
      </w:r>
      <w:proofErr w:type="spellStart"/>
      <w:r w:rsidRPr="00F042EA">
        <w:rPr>
          <w:rFonts w:cs="Arial"/>
          <w:szCs w:val="22"/>
        </w:rPr>
        <w:t>Dihydroartemisinin</w:t>
      </w:r>
      <w:proofErr w:type="spellEnd"/>
      <w:r w:rsidRPr="00F042EA">
        <w:rPr>
          <w:rFonts w:cs="Arial"/>
          <w:szCs w:val="22"/>
        </w:rPr>
        <w:t>-Piperaquine</w:t>
      </w:r>
    </w:p>
    <w:p w14:paraId="6502AC27" w14:textId="1CF48557" w:rsidR="00D37BDD" w:rsidRDefault="00956157" w:rsidP="00DE3540">
      <w:pPr>
        <w:spacing w:before="0" w:after="0"/>
        <w:rPr>
          <w:rFonts w:cs="Arial"/>
          <w:szCs w:val="22"/>
        </w:rPr>
      </w:pPr>
      <w:r>
        <w:rPr>
          <w:rFonts w:cs="Arial"/>
          <w:szCs w:val="22"/>
        </w:rPr>
        <w:t>DSMB</w:t>
      </w:r>
      <w:r w:rsidR="00D37BDD">
        <w:rPr>
          <w:rFonts w:cs="Arial"/>
          <w:szCs w:val="22"/>
        </w:rPr>
        <w:tab/>
      </w:r>
      <w:r w:rsidR="00D37BDD">
        <w:rPr>
          <w:rFonts w:cs="Arial"/>
          <w:szCs w:val="22"/>
        </w:rPr>
        <w:tab/>
      </w:r>
      <w:r w:rsidR="00D37BDD" w:rsidRPr="00D37BDD">
        <w:rPr>
          <w:rFonts w:cs="Arial"/>
          <w:szCs w:val="22"/>
        </w:rPr>
        <w:t xml:space="preserve">Data and Safety Monitoring </w:t>
      </w:r>
      <w:r w:rsidR="000C0F55">
        <w:rPr>
          <w:rFonts w:cs="Arial"/>
          <w:szCs w:val="22"/>
        </w:rPr>
        <w:t>Board</w:t>
      </w:r>
    </w:p>
    <w:p w14:paraId="2F216C53" w14:textId="6DEBAD7D" w:rsidR="00395520" w:rsidRDefault="00395520" w:rsidP="00DE3540">
      <w:pPr>
        <w:spacing w:before="0" w:after="0"/>
        <w:rPr>
          <w:rFonts w:cs="Arial"/>
          <w:szCs w:val="22"/>
        </w:rPr>
      </w:pPr>
      <w:r>
        <w:rPr>
          <w:rFonts w:cs="Arial"/>
          <w:szCs w:val="22"/>
        </w:rPr>
        <w:t>EC</w:t>
      </w:r>
      <w:r>
        <w:rPr>
          <w:rFonts w:cs="Arial"/>
          <w:szCs w:val="22"/>
        </w:rPr>
        <w:tab/>
      </w:r>
      <w:r>
        <w:rPr>
          <w:rFonts w:cs="Arial"/>
          <w:szCs w:val="22"/>
        </w:rPr>
        <w:tab/>
        <w:t>Ethics Committee</w:t>
      </w:r>
    </w:p>
    <w:p w14:paraId="056B845C" w14:textId="1F0CA6E8" w:rsidR="00395520" w:rsidRPr="00F042EA" w:rsidRDefault="00395520" w:rsidP="00DE3540">
      <w:pPr>
        <w:spacing w:before="0" w:after="0"/>
        <w:rPr>
          <w:rFonts w:cs="Arial"/>
          <w:szCs w:val="22"/>
        </w:rPr>
      </w:pPr>
      <w:r>
        <w:rPr>
          <w:rFonts w:cs="Arial"/>
          <w:szCs w:val="22"/>
        </w:rPr>
        <w:t>EDTA</w:t>
      </w:r>
      <w:r>
        <w:rPr>
          <w:rFonts w:cs="Arial"/>
          <w:szCs w:val="22"/>
        </w:rPr>
        <w:tab/>
      </w:r>
      <w:r>
        <w:rPr>
          <w:rFonts w:cs="Arial"/>
          <w:szCs w:val="22"/>
        </w:rPr>
        <w:tab/>
        <w:t xml:space="preserve">Ethylenediaminetetraacetic acid </w:t>
      </w:r>
    </w:p>
    <w:p w14:paraId="4A6CEF81" w14:textId="5482BC88" w:rsidR="00C423A5" w:rsidRDefault="00C423A5" w:rsidP="00DE3540">
      <w:pPr>
        <w:spacing w:before="0" w:after="0"/>
        <w:rPr>
          <w:rFonts w:cs="Arial"/>
          <w:szCs w:val="22"/>
        </w:rPr>
      </w:pPr>
      <w:r w:rsidRPr="00F042EA">
        <w:rPr>
          <w:rFonts w:cs="Arial"/>
          <w:szCs w:val="22"/>
        </w:rPr>
        <w:t>G6PD</w:t>
      </w:r>
      <w:r w:rsidRPr="00F042EA">
        <w:rPr>
          <w:rFonts w:cs="Arial"/>
          <w:szCs w:val="22"/>
        </w:rPr>
        <w:tab/>
      </w:r>
      <w:r w:rsidR="00C8279C" w:rsidRPr="00F042EA">
        <w:rPr>
          <w:rFonts w:cs="Arial"/>
          <w:szCs w:val="22"/>
        </w:rPr>
        <w:tab/>
      </w:r>
      <w:r w:rsidRPr="00F042EA">
        <w:rPr>
          <w:rFonts w:cs="Arial"/>
          <w:szCs w:val="22"/>
        </w:rPr>
        <w:t>Glucose-6-phosphatase dehydrogenase</w:t>
      </w:r>
    </w:p>
    <w:p w14:paraId="36878599" w14:textId="2C431CCF" w:rsidR="00E26E8E" w:rsidRPr="00F042EA" w:rsidRDefault="00E26E8E" w:rsidP="00DE3540">
      <w:pPr>
        <w:spacing w:before="0" w:after="0"/>
        <w:rPr>
          <w:rFonts w:cs="Arial"/>
          <w:szCs w:val="22"/>
        </w:rPr>
      </w:pPr>
      <w:r w:rsidRPr="00E26E8E">
        <w:rPr>
          <w:rFonts w:cs="Arial"/>
          <w:szCs w:val="22"/>
        </w:rPr>
        <w:t>GCP</w:t>
      </w:r>
      <w:r>
        <w:rPr>
          <w:rFonts w:cs="Arial"/>
          <w:szCs w:val="22"/>
        </w:rPr>
        <w:tab/>
      </w:r>
      <w:r>
        <w:rPr>
          <w:rFonts w:cs="Arial"/>
          <w:szCs w:val="22"/>
        </w:rPr>
        <w:tab/>
        <w:t>Good clinical practice</w:t>
      </w:r>
    </w:p>
    <w:p w14:paraId="3F1F0DF1" w14:textId="5BCFEF54" w:rsidR="00C423A5" w:rsidRPr="00F042EA" w:rsidRDefault="00C423A5" w:rsidP="00DE3540">
      <w:pPr>
        <w:spacing w:before="0" w:after="0"/>
        <w:rPr>
          <w:rFonts w:cs="Arial"/>
          <w:szCs w:val="22"/>
        </w:rPr>
      </w:pPr>
      <w:r w:rsidRPr="00F042EA">
        <w:rPr>
          <w:rFonts w:cs="Arial"/>
          <w:szCs w:val="22"/>
        </w:rPr>
        <w:t>Hb</w:t>
      </w:r>
      <w:r w:rsidRPr="00F042EA">
        <w:rPr>
          <w:rFonts w:cs="Arial"/>
          <w:szCs w:val="22"/>
        </w:rPr>
        <w:tab/>
      </w:r>
      <w:r w:rsidR="00C8279C" w:rsidRPr="00F042EA">
        <w:rPr>
          <w:rFonts w:cs="Arial"/>
          <w:szCs w:val="22"/>
        </w:rPr>
        <w:tab/>
      </w:r>
      <w:r w:rsidRPr="00F042EA">
        <w:rPr>
          <w:rFonts w:cs="Arial"/>
          <w:szCs w:val="22"/>
        </w:rPr>
        <w:t>Haemoglobin</w:t>
      </w:r>
    </w:p>
    <w:p w14:paraId="0934DA03" w14:textId="17E90558" w:rsidR="00C423A5" w:rsidRDefault="00C423A5" w:rsidP="00DE3540">
      <w:pPr>
        <w:spacing w:before="0" w:after="0"/>
        <w:rPr>
          <w:rFonts w:cs="Arial"/>
          <w:szCs w:val="22"/>
        </w:rPr>
      </w:pPr>
      <w:proofErr w:type="spellStart"/>
      <w:r w:rsidRPr="00F042EA">
        <w:rPr>
          <w:rFonts w:cs="Arial"/>
          <w:szCs w:val="22"/>
        </w:rPr>
        <w:t>Hct</w:t>
      </w:r>
      <w:proofErr w:type="spellEnd"/>
      <w:r w:rsidRPr="00F042EA">
        <w:rPr>
          <w:rFonts w:cs="Arial"/>
          <w:szCs w:val="22"/>
        </w:rPr>
        <w:tab/>
      </w:r>
      <w:r w:rsidR="00C8279C" w:rsidRPr="00F042EA">
        <w:rPr>
          <w:rFonts w:cs="Arial"/>
          <w:szCs w:val="22"/>
        </w:rPr>
        <w:tab/>
      </w:r>
      <w:r w:rsidRPr="00F042EA">
        <w:rPr>
          <w:rFonts w:cs="Arial"/>
          <w:szCs w:val="22"/>
        </w:rPr>
        <w:t>Haematocrit</w:t>
      </w:r>
    </w:p>
    <w:p w14:paraId="617EC381" w14:textId="2228814D" w:rsidR="00DE3540" w:rsidRDefault="00DE3540" w:rsidP="00DE3540">
      <w:pPr>
        <w:spacing w:before="0" w:after="0"/>
        <w:rPr>
          <w:rFonts w:cs="Arial"/>
          <w:szCs w:val="22"/>
        </w:rPr>
      </w:pPr>
      <w:r>
        <w:rPr>
          <w:rFonts w:cs="Arial"/>
          <w:szCs w:val="22"/>
        </w:rPr>
        <w:t>LSHTM</w:t>
      </w:r>
      <w:r>
        <w:rPr>
          <w:rFonts w:cs="Arial"/>
          <w:szCs w:val="22"/>
        </w:rPr>
        <w:tab/>
        <w:t>London School of Hygiene and Tropical Medicine</w:t>
      </w:r>
    </w:p>
    <w:p w14:paraId="1266CA11" w14:textId="77777777" w:rsidR="00DE3540" w:rsidRDefault="00DE3540" w:rsidP="00DE3540">
      <w:pPr>
        <w:spacing w:before="0" w:after="0"/>
        <w:rPr>
          <w:rFonts w:cs="Arial"/>
          <w:szCs w:val="22"/>
        </w:rPr>
      </w:pPr>
      <w:r>
        <w:rPr>
          <w:rFonts w:cs="Arial"/>
          <w:szCs w:val="22"/>
        </w:rPr>
        <w:t>MACS</w:t>
      </w:r>
      <w:r>
        <w:rPr>
          <w:rFonts w:cs="Arial"/>
          <w:szCs w:val="22"/>
        </w:rPr>
        <w:tab/>
      </w:r>
      <w:r>
        <w:rPr>
          <w:rFonts w:cs="Arial"/>
          <w:szCs w:val="22"/>
        </w:rPr>
        <w:tab/>
      </w:r>
      <w:r w:rsidRPr="00F042EA">
        <w:rPr>
          <w:rFonts w:cs="Arial"/>
          <w:szCs w:val="22"/>
        </w:rPr>
        <w:t xml:space="preserve">Magnetic-activated cell sorting </w:t>
      </w:r>
    </w:p>
    <w:p w14:paraId="7339029D" w14:textId="6976ECC9" w:rsidR="009C027D" w:rsidRDefault="009C027D" w:rsidP="00DE3540">
      <w:pPr>
        <w:spacing w:before="0" w:after="0"/>
        <w:rPr>
          <w:rFonts w:cs="Arial"/>
          <w:szCs w:val="22"/>
        </w:rPr>
      </w:pPr>
      <w:r>
        <w:rPr>
          <w:rFonts w:cs="Arial"/>
          <w:szCs w:val="22"/>
        </w:rPr>
        <w:t>MFA</w:t>
      </w:r>
      <w:r>
        <w:rPr>
          <w:rFonts w:cs="Arial"/>
          <w:szCs w:val="22"/>
        </w:rPr>
        <w:tab/>
      </w:r>
      <w:r>
        <w:rPr>
          <w:rFonts w:cs="Arial"/>
          <w:szCs w:val="22"/>
        </w:rPr>
        <w:tab/>
        <w:t>Membrane feeding assay</w:t>
      </w:r>
    </w:p>
    <w:p w14:paraId="78F1515B" w14:textId="5B650669" w:rsidR="00E26E8E" w:rsidRDefault="00E26E8E" w:rsidP="00DE3540">
      <w:pPr>
        <w:spacing w:before="0" w:after="0"/>
        <w:rPr>
          <w:rFonts w:cs="Arial"/>
          <w:szCs w:val="22"/>
        </w:rPr>
      </w:pPr>
      <w:r w:rsidRPr="00DE5C91">
        <w:rPr>
          <w:rFonts w:cs="Arial"/>
          <w:szCs w:val="22"/>
        </w:rPr>
        <w:t>MRTC</w:t>
      </w:r>
      <w:r>
        <w:rPr>
          <w:rFonts w:cs="Arial"/>
          <w:szCs w:val="22"/>
        </w:rPr>
        <w:tab/>
      </w:r>
      <w:r>
        <w:rPr>
          <w:rFonts w:cs="Arial"/>
          <w:szCs w:val="22"/>
        </w:rPr>
        <w:tab/>
        <w:t>Malaria Research and Training Centre (Bamako, Mali)</w:t>
      </w:r>
    </w:p>
    <w:p w14:paraId="4DB3BF1D" w14:textId="250B9C4F" w:rsidR="00395520" w:rsidRPr="00395520" w:rsidRDefault="00395520" w:rsidP="00DE3540">
      <w:pPr>
        <w:spacing w:before="0" w:after="0"/>
        <w:rPr>
          <w:rFonts w:cs="Arial"/>
          <w:i/>
          <w:iCs/>
          <w:szCs w:val="22"/>
        </w:rPr>
      </w:pPr>
      <w:r w:rsidRPr="00395520">
        <w:rPr>
          <w:rFonts w:cs="Arial"/>
          <w:i/>
          <w:iCs/>
          <w:szCs w:val="22"/>
        </w:rPr>
        <w:t>P. falciparum</w:t>
      </w:r>
      <w:r w:rsidRPr="00395520">
        <w:rPr>
          <w:rFonts w:cs="Arial"/>
          <w:i/>
          <w:iCs/>
          <w:szCs w:val="22"/>
        </w:rPr>
        <w:tab/>
        <w:t>Plasmodium falciparum</w:t>
      </w:r>
    </w:p>
    <w:p w14:paraId="41CB1366" w14:textId="394CE21F" w:rsidR="00C7066C" w:rsidRDefault="00C7066C" w:rsidP="00DE3540">
      <w:pPr>
        <w:spacing w:before="0" w:after="0"/>
        <w:rPr>
          <w:rFonts w:cs="Arial"/>
          <w:szCs w:val="22"/>
        </w:rPr>
      </w:pPr>
      <w:r>
        <w:rPr>
          <w:rFonts w:cs="Arial"/>
          <w:szCs w:val="22"/>
        </w:rPr>
        <w:t>PA</w:t>
      </w:r>
      <w:r>
        <w:rPr>
          <w:rFonts w:cs="Arial"/>
          <w:szCs w:val="22"/>
        </w:rPr>
        <w:tab/>
      </w:r>
      <w:r>
        <w:rPr>
          <w:rFonts w:cs="Arial"/>
          <w:szCs w:val="22"/>
        </w:rPr>
        <w:tab/>
        <w:t>Pyronaridine-Artesunate</w:t>
      </w:r>
    </w:p>
    <w:p w14:paraId="558B91E8" w14:textId="40641ACD" w:rsidR="00395520" w:rsidRPr="00F042EA" w:rsidRDefault="00395520" w:rsidP="00DE3540">
      <w:pPr>
        <w:spacing w:before="0" w:after="0"/>
        <w:rPr>
          <w:rFonts w:cs="Arial"/>
          <w:szCs w:val="22"/>
        </w:rPr>
      </w:pPr>
      <w:r>
        <w:rPr>
          <w:rFonts w:cs="Arial"/>
          <w:szCs w:val="22"/>
        </w:rPr>
        <w:t>PCR</w:t>
      </w:r>
      <w:r>
        <w:rPr>
          <w:rFonts w:cs="Arial"/>
          <w:szCs w:val="22"/>
        </w:rPr>
        <w:tab/>
      </w:r>
      <w:r>
        <w:rPr>
          <w:rFonts w:cs="Arial"/>
          <w:szCs w:val="22"/>
        </w:rPr>
        <w:tab/>
        <w:t>Polymerase chain reaction</w:t>
      </w:r>
    </w:p>
    <w:p w14:paraId="4A3993AB" w14:textId="05895DEA" w:rsidR="00C423A5" w:rsidRDefault="00C423A5" w:rsidP="00DE3540">
      <w:pPr>
        <w:spacing w:before="0" w:after="0"/>
        <w:rPr>
          <w:rFonts w:cs="Arial"/>
          <w:szCs w:val="22"/>
        </w:rPr>
      </w:pPr>
      <w:r w:rsidRPr="00F042EA">
        <w:rPr>
          <w:rFonts w:cs="Arial"/>
          <w:szCs w:val="22"/>
        </w:rPr>
        <w:t xml:space="preserve">PQ </w:t>
      </w:r>
      <w:r w:rsidRPr="00F042EA">
        <w:rPr>
          <w:rFonts w:cs="Arial"/>
          <w:szCs w:val="22"/>
        </w:rPr>
        <w:tab/>
      </w:r>
      <w:r w:rsidR="00C8279C" w:rsidRPr="00F042EA">
        <w:rPr>
          <w:rFonts w:cs="Arial"/>
          <w:szCs w:val="22"/>
        </w:rPr>
        <w:tab/>
      </w:r>
      <w:r w:rsidRPr="00F042EA">
        <w:rPr>
          <w:rFonts w:cs="Arial"/>
          <w:szCs w:val="22"/>
        </w:rPr>
        <w:t>Primaquine</w:t>
      </w:r>
    </w:p>
    <w:p w14:paraId="01E4968E" w14:textId="028AD891" w:rsidR="009853A1" w:rsidRDefault="009853A1" w:rsidP="00DE3540">
      <w:pPr>
        <w:spacing w:before="0" w:after="0"/>
        <w:rPr>
          <w:rFonts w:cs="Arial"/>
          <w:szCs w:val="22"/>
        </w:rPr>
      </w:pPr>
      <w:r>
        <w:rPr>
          <w:rFonts w:cs="Arial"/>
          <w:szCs w:val="22"/>
        </w:rPr>
        <w:t>RBCs</w:t>
      </w:r>
      <w:r>
        <w:rPr>
          <w:rFonts w:cs="Arial"/>
          <w:szCs w:val="22"/>
        </w:rPr>
        <w:tab/>
      </w:r>
      <w:r>
        <w:rPr>
          <w:rFonts w:cs="Arial"/>
          <w:szCs w:val="22"/>
        </w:rPr>
        <w:tab/>
        <w:t>Red blood cells</w:t>
      </w:r>
    </w:p>
    <w:p w14:paraId="1926CE4C" w14:textId="7FAD601B" w:rsidR="00395520" w:rsidRPr="00F042EA" w:rsidRDefault="00395520" w:rsidP="00DE3540">
      <w:pPr>
        <w:spacing w:before="0" w:after="0"/>
        <w:rPr>
          <w:rFonts w:cs="Arial"/>
          <w:szCs w:val="22"/>
        </w:rPr>
      </w:pPr>
      <w:r>
        <w:rPr>
          <w:rFonts w:cs="Arial"/>
          <w:szCs w:val="22"/>
        </w:rPr>
        <w:t>RT-qPCR</w:t>
      </w:r>
      <w:r>
        <w:rPr>
          <w:rFonts w:cs="Arial"/>
          <w:szCs w:val="22"/>
        </w:rPr>
        <w:tab/>
        <w:t>Quantitative reverse transcriptase polymerase chain reaction</w:t>
      </w:r>
    </w:p>
    <w:p w14:paraId="12A81ECE" w14:textId="2C9CC9EF" w:rsidR="00C8279C" w:rsidRDefault="00C8279C" w:rsidP="00DE3540">
      <w:pPr>
        <w:spacing w:before="0" w:after="0"/>
        <w:rPr>
          <w:rFonts w:cs="Arial"/>
          <w:szCs w:val="22"/>
        </w:rPr>
      </w:pPr>
      <w:r w:rsidRPr="00F042EA">
        <w:rPr>
          <w:rFonts w:cs="Arial"/>
          <w:szCs w:val="22"/>
        </w:rPr>
        <w:t>SAE</w:t>
      </w:r>
      <w:r w:rsidRPr="00F042EA">
        <w:rPr>
          <w:rFonts w:cs="Arial"/>
          <w:szCs w:val="22"/>
        </w:rPr>
        <w:tab/>
      </w:r>
      <w:r w:rsidRPr="00F042EA">
        <w:rPr>
          <w:rFonts w:cs="Arial"/>
          <w:szCs w:val="22"/>
        </w:rPr>
        <w:tab/>
        <w:t>Serious Adverse Event</w:t>
      </w:r>
    </w:p>
    <w:p w14:paraId="15FBAA7F" w14:textId="497836C6" w:rsidR="00DE3540" w:rsidRDefault="00DE3540" w:rsidP="00DE3540">
      <w:pPr>
        <w:spacing w:before="0" w:after="0"/>
        <w:rPr>
          <w:rFonts w:cs="Arial"/>
          <w:szCs w:val="22"/>
        </w:rPr>
      </w:pPr>
      <w:r>
        <w:rPr>
          <w:rFonts w:cs="Arial"/>
          <w:szCs w:val="22"/>
        </w:rPr>
        <w:t>SLD</w:t>
      </w:r>
      <w:r>
        <w:rPr>
          <w:rFonts w:cs="Arial"/>
          <w:szCs w:val="22"/>
        </w:rPr>
        <w:tab/>
      </w:r>
      <w:r>
        <w:rPr>
          <w:rFonts w:cs="Arial"/>
          <w:szCs w:val="22"/>
        </w:rPr>
        <w:tab/>
        <w:t>Single low dose</w:t>
      </w:r>
    </w:p>
    <w:p w14:paraId="23DA2CFD" w14:textId="6A4DB1FF" w:rsidR="00395520" w:rsidRPr="00F042EA" w:rsidRDefault="00395520" w:rsidP="00DE3540">
      <w:pPr>
        <w:spacing w:before="0" w:after="0"/>
        <w:rPr>
          <w:rFonts w:cs="Arial"/>
          <w:szCs w:val="22"/>
        </w:rPr>
      </w:pPr>
      <w:r>
        <w:rPr>
          <w:rFonts w:cs="Arial"/>
          <w:szCs w:val="22"/>
        </w:rPr>
        <w:t>SOP</w:t>
      </w:r>
      <w:r>
        <w:rPr>
          <w:rFonts w:cs="Arial"/>
          <w:szCs w:val="22"/>
        </w:rPr>
        <w:tab/>
      </w:r>
      <w:r>
        <w:rPr>
          <w:rFonts w:cs="Arial"/>
          <w:szCs w:val="22"/>
        </w:rPr>
        <w:tab/>
        <w:t>Standard operating procedure</w:t>
      </w:r>
    </w:p>
    <w:p w14:paraId="653AB853" w14:textId="782EE200" w:rsidR="00C8279C" w:rsidRPr="00F042EA" w:rsidRDefault="00C8279C" w:rsidP="00DE3540">
      <w:pPr>
        <w:spacing w:before="0" w:after="0"/>
        <w:rPr>
          <w:rFonts w:cs="Arial"/>
          <w:szCs w:val="22"/>
        </w:rPr>
      </w:pPr>
      <w:r w:rsidRPr="00F042EA">
        <w:rPr>
          <w:rFonts w:cs="Arial"/>
          <w:szCs w:val="22"/>
        </w:rPr>
        <w:t>SUSAR</w:t>
      </w:r>
      <w:r w:rsidRPr="00F042EA">
        <w:rPr>
          <w:rFonts w:cs="Arial"/>
          <w:szCs w:val="22"/>
        </w:rPr>
        <w:tab/>
        <w:t>Serious and Unexpected Suspected Adverse Reaction</w:t>
      </w:r>
    </w:p>
    <w:p w14:paraId="066BDA2B" w14:textId="7719FAEB" w:rsidR="00C423A5" w:rsidRPr="00F042EA" w:rsidRDefault="00C423A5" w:rsidP="00DE3540">
      <w:pPr>
        <w:spacing w:before="0" w:after="0"/>
        <w:rPr>
          <w:rFonts w:cs="Arial"/>
          <w:szCs w:val="22"/>
        </w:rPr>
      </w:pPr>
      <w:r w:rsidRPr="00F042EA">
        <w:rPr>
          <w:rFonts w:cs="Arial"/>
          <w:szCs w:val="22"/>
        </w:rPr>
        <w:t>TACT</w:t>
      </w:r>
      <w:r w:rsidRPr="00F042EA">
        <w:rPr>
          <w:rFonts w:cs="Arial"/>
          <w:szCs w:val="22"/>
        </w:rPr>
        <w:tab/>
      </w:r>
      <w:r w:rsidR="00C8279C" w:rsidRPr="00F042EA">
        <w:rPr>
          <w:rFonts w:cs="Arial"/>
          <w:szCs w:val="22"/>
        </w:rPr>
        <w:tab/>
      </w:r>
      <w:r w:rsidRPr="00F042EA">
        <w:rPr>
          <w:rFonts w:cs="Arial"/>
          <w:szCs w:val="22"/>
        </w:rPr>
        <w:t>Triple Artemisinin-based Combination Therapy</w:t>
      </w:r>
    </w:p>
    <w:p w14:paraId="0B4EC859" w14:textId="3ABC0035" w:rsidR="00C8279C" w:rsidRPr="00F042EA" w:rsidRDefault="00C8279C" w:rsidP="00DE3540">
      <w:pPr>
        <w:spacing w:before="0" w:after="0"/>
        <w:rPr>
          <w:rFonts w:cs="Arial"/>
          <w:szCs w:val="22"/>
        </w:rPr>
      </w:pPr>
      <w:r w:rsidRPr="00F042EA">
        <w:rPr>
          <w:rFonts w:cs="Arial"/>
          <w:szCs w:val="22"/>
        </w:rPr>
        <w:t>UP</w:t>
      </w:r>
      <w:r w:rsidRPr="00F042EA">
        <w:rPr>
          <w:rFonts w:cs="Arial"/>
          <w:szCs w:val="22"/>
        </w:rPr>
        <w:tab/>
      </w:r>
      <w:r w:rsidRPr="00F042EA">
        <w:rPr>
          <w:rFonts w:cs="Arial"/>
          <w:szCs w:val="22"/>
        </w:rPr>
        <w:tab/>
        <w:t>Unanticipated Problem</w:t>
      </w:r>
    </w:p>
    <w:p w14:paraId="0789EB49" w14:textId="3FFA08AB" w:rsidR="00C8279C" w:rsidRPr="00F042EA" w:rsidRDefault="00C8279C" w:rsidP="00DE3540">
      <w:pPr>
        <w:spacing w:before="0" w:after="0"/>
        <w:rPr>
          <w:rFonts w:cs="Arial"/>
          <w:szCs w:val="22"/>
        </w:rPr>
      </w:pPr>
      <w:proofErr w:type="spellStart"/>
      <w:r w:rsidRPr="00F042EA">
        <w:rPr>
          <w:rFonts w:cs="Arial"/>
          <w:szCs w:val="22"/>
        </w:rPr>
        <w:t>UPnonAE</w:t>
      </w:r>
      <w:proofErr w:type="spellEnd"/>
      <w:r w:rsidRPr="00F042EA">
        <w:rPr>
          <w:rFonts w:cs="Arial"/>
          <w:szCs w:val="22"/>
        </w:rPr>
        <w:tab/>
        <w:t>Unanticipated Problem that is not an Adverse Event</w:t>
      </w:r>
    </w:p>
    <w:p w14:paraId="30C699B8" w14:textId="7F503609" w:rsidR="00C423A5" w:rsidRPr="00F042EA" w:rsidRDefault="00C423A5" w:rsidP="00B91D68">
      <w:pPr>
        <w:spacing w:before="0" w:after="0"/>
        <w:rPr>
          <w:rFonts w:cs="Arial"/>
          <w:szCs w:val="22"/>
        </w:rPr>
      </w:pPr>
      <w:r w:rsidRPr="00F042EA">
        <w:rPr>
          <w:rFonts w:cs="Arial"/>
          <w:szCs w:val="22"/>
        </w:rPr>
        <w:t>WHO</w:t>
      </w:r>
      <w:r w:rsidRPr="00F042EA">
        <w:rPr>
          <w:rFonts w:cs="Arial"/>
          <w:szCs w:val="22"/>
        </w:rPr>
        <w:tab/>
      </w:r>
      <w:r w:rsidR="00C8279C" w:rsidRPr="00F042EA">
        <w:rPr>
          <w:rFonts w:cs="Arial"/>
          <w:szCs w:val="22"/>
        </w:rPr>
        <w:tab/>
      </w:r>
      <w:r w:rsidRPr="00F042EA">
        <w:rPr>
          <w:rFonts w:cs="Arial"/>
          <w:szCs w:val="22"/>
        </w:rPr>
        <w:t>World Health Organisation</w:t>
      </w:r>
    </w:p>
    <w:p w14:paraId="07F67D34" w14:textId="1C4402DF" w:rsidR="00371F6D" w:rsidRPr="00D676AC" w:rsidRDefault="00F042EA">
      <w:pPr>
        <w:pStyle w:val="Heading1"/>
      </w:pPr>
      <w:bookmarkStart w:id="12" w:name="_Toc100231682"/>
      <w:bookmarkStart w:id="13" w:name="_Toc100231814"/>
      <w:bookmarkStart w:id="14" w:name="_Toc100231921"/>
      <w:bookmarkStart w:id="15" w:name="_Toc100232044"/>
      <w:bookmarkStart w:id="16" w:name="_Toc100306357"/>
      <w:bookmarkStart w:id="17" w:name="_Toc100324435"/>
      <w:bookmarkStart w:id="18" w:name="_Toc101204952"/>
      <w:bookmarkStart w:id="19" w:name="_Toc101205071"/>
      <w:bookmarkStart w:id="20" w:name="_Toc101205218"/>
      <w:bookmarkStart w:id="21" w:name="_Toc102984934"/>
      <w:bookmarkStart w:id="22" w:name="_Toc102985785"/>
      <w:bookmarkStart w:id="23" w:name="_Toc104981618"/>
      <w:bookmarkStart w:id="24" w:name="_Toc106288863"/>
      <w:r w:rsidRPr="00D676AC">
        <w:t>STUDY SYNOPSIS</w:t>
      </w:r>
      <w:bookmarkEnd w:id="12"/>
      <w:bookmarkEnd w:id="13"/>
      <w:bookmarkEnd w:id="14"/>
      <w:bookmarkEnd w:id="15"/>
      <w:bookmarkEnd w:id="16"/>
      <w:bookmarkEnd w:id="17"/>
      <w:bookmarkEnd w:id="18"/>
      <w:bookmarkEnd w:id="19"/>
      <w:bookmarkEnd w:id="20"/>
      <w:bookmarkEnd w:id="21"/>
      <w:bookmarkEnd w:id="22"/>
      <w:bookmarkEnd w:id="23"/>
      <w:bookmarkEnd w:id="24"/>
    </w:p>
    <w:p w14:paraId="3DCEA2B8" w14:textId="73B2FE28" w:rsidR="00054A8E" w:rsidRPr="00F042EA" w:rsidRDefault="00352643" w:rsidP="00164E47">
      <w:pPr>
        <w:jc w:val="both"/>
        <w:rPr>
          <w:rFonts w:cs="Arial"/>
          <w:szCs w:val="22"/>
        </w:rPr>
      </w:pPr>
      <w:r w:rsidRPr="00F042EA">
        <w:rPr>
          <w:rFonts w:cs="Arial"/>
          <w:szCs w:val="22"/>
        </w:rPr>
        <w:t xml:space="preserve">Artemisinin Combination Therapies (ACT) are the first-line treatment for uncomplicated </w:t>
      </w:r>
      <w:r w:rsidRPr="00F042EA">
        <w:rPr>
          <w:rFonts w:cs="Arial"/>
          <w:i/>
          <w:iCs/>
          <w:szCs w:val="22"/>
        </w:rPr>
        <w:t xml:space="preserve">Plasmodium falciparum </w:t>
      </w:r>
      <w:r w:rsidRPr="00F042EA">
        <w:rPr>
          <w:rFonts w:cs="Arial"/>
          <w:szCs w:val="22"/>
        </w:rPr>
        <w:t xml:space="preserve">malaria. ACTs rapidly clear asexual </w:t>
      </w:r>
      <w:r w:rsidRPr="00F042EA">
        <w:rPr>
          <w:rFonts w:cs="Arial"/>
          <w:i/>
          <w:iCs/>
          <w:szCs w:val="22"/>
        </w:rPr>
        <w:t>P. falciparum</w:t>
      </w:r>
      <w:r w:rsidRPr="00F042EA">
        <w:rPr>
          <w:rFonts w:cs="Arial"/>
          <w:szCs w:val="22"/>
        </w:rPr>
        <w:t xml:space="preserve"> parasites, responsible for clinical symptoms, but have limited activity against mature gametocytes, which are the only life stages capable of transmitting to mosquitoes. To reduce </w:t>
      </w:r>
      <w:r w:rsidRPr="00F042EA">
        <w:rPr>
          <w:rFonts w:cs="Arial"/>
          <w:i/>
          <w:iCs/>
          <w:szCs w:val="22"/>
        </w:rPr>
        <w:t>P. falciparum</w:t>
      </w:r>
      <w:r w:rsidRPr="00F042EA">
        <w:rPr>
          <w:rFonts w:cs="Arial"/>
          <w:szCs w:val="22"/>
        </w:rPr>
        <w:t xml:space="preserve"> transmission, the World Health Organisation (WHO) recommends the addition of a single low dose of primaquine (0.25 mg/kg), a potent and fast-acting gametocytocidal drug, to ACT </w:t>
      </w:r>
      <w:r w:rsidRPr="00F042EA">
        <w:rPr>
          <w:rFonts w:cs="Arial"/>
          <w:szCs w:val="22"/>
        </w:rPr>
        <w:fldChar w:fldCharType="begin"/>
      </w:r>
      <w:r w:rsidRPr="00F042EA">
        <w:rPr>
          <w:rFonts w:cs="Arial"/>
          <w:szCs w:val="22"/>
        </w:rPr>
        <w:instrText xml:space="preserve"> ADDIN ZOTERO_ITEM CSL_CITATION {"citationID":"C6PZgWq4","properties":{"formattedCitation":"[1]","plainCitation":"[1]","noteIndex":0},"citationItems":[{"id":279,"uris":["http://zotero.org/users/7806423/items/LQE84JMR"],"itemData":{"id":279,"type":"document","title":"Updated WHO policy recommendation October 2012: single dose primaquine as a gametocytocide in Plasmodium falciparum malaria","author":[{"literal":"World Health Organization"}],"issued":{"date-parts":[["2012"]]}}}],"schema":"https://github.com/citation-style-language/schema/raw/master/csl-citation.json"} </w:instrText>
      </w:r>
      <w:r w:rsidRPr="00F042EA">
        <w:rPr>
          <w:rFonts w:cs="Arial"/>
          <w:szCs w:val="22"/>
        </w:rPr>
        <w:fldChar w:fldCharType="separate"/>
      </w:r>
      <w:r w:rsidRPr="00F042EA">
        <w:rPr>
          <w:rFonts w:cs="Arial"/>
          <w:noProof/>
          <w:szCs w:val="22"/>
        </w:rPr>
        <w:t>[1]</w:t>
      </w:r>
      <w:r w:rsidRPr="00F042EA">
        <w:rPr>
          <w:rFonts w:cs="Arial"/>
          <w:szCs w:val="22"/>
        </w:rPr>
        <w:fldChar w:fldCharType="end"/>
      </w:r>
      <w:r w:rsidRPr="00F042EA">
        <w:rPr>
          <w:rFonts w:cs="Arial"/>
          <w:szCs w:val="22"/>
        </w:rPr>
        <w:t>.</w:t>
      </w:r>
      <w:r w:rsidR="00AF16EC">
        <w:rPr>
          <w:rFonts w:cs="Arial"/>
          <w:szCs w:val="22"/>
        </w:rPr>
        <w:t xml:space="preserve"> Although Artesunate-Amodiaquine (ASAQ) is a commonly used ACT,</w:t>
      </w:r>
      <w:r w:rsidR="008A59C4">
        <w:rPr>
          <w:rFonts w:cs="Arial"/>
          <w:szCs w:val="22"/>
        </w:rPr>
        <w:t xml:space="preserve"> limited available data </w:t>
      </w:r>
      <w:r w:rsidR="008A59C4">
        <w:rPr>
          <w:rFonts w:cs="Arial"/>
          <w:szCs w:val="22"/>
        </w:rPr>
        <w:lastRenderedPageBreak/>
        <w:t>suggest poor activity against gametocytes</w:t>
      </w:r>
      <w:r w:rsidR="00DA55BC">
        <w:rPr>
          <w:rFonts w:cs="Arial"/>
          <w:szCs w:val="22"/>
        </w:rPr>
        <w:t xml:space="preserve"> </w:t>
      </w:r>
      <w:r w:rsidR="00DA55BC">
        <w:rPr>
          <w:rFonts w:cs="Arial"/>
          <w:szCs w:val="22"/>
        </w:rPr>
        <w:fldChar w:fldCharType="begin"/>
      </w:r>
      <w:r w:rsidR="00DA55BC">
        <w:rPr>
          <w:rFonts w:cs="Arial"/>
          <w:szCs w:val="22"/>
        </w:rPr>
        <w:instrText xml:space="preserve"> ADDIN ZOTERO_ITEM CSL_CITATION {"citationID":"17WXLwTE","properties":{"formattedCitation":"[2]","plainCitation":"[2]","noteIndex":0},"citationItems":[{"id":712,"uris":["http://zotero.org/users/7806423/items/TGRBPZSK"],"itemData":{"id":712,"type":"article-journal","abstract":"Background\nGametocytes are responsible for transmission of malaria from human to mosquito. Artemisinin combination therapy (ACT) reduces post-treatment gametocyte carriage, dependent upon host, parasite and pharmacodynamic factors. The gametocytocidal properties of antimalarial drugs are important for malaria elimination efforts. An individual patient clinical data meta-analysis was undertaken to identify the determinants of gametocyte carriage and the comparative effects of four ACTs: artemether-lumefantrine (AL), artesunate/amodiaquine (AS-AQ), artesunate/mefloquine (AS-MQ), and dihydroartemisinin-piperaquine (DP).\n\nMethods\nFactors associated with gametocytaemia prior to, and following, ACT treatment were identified in multivariable logistic or Cox regression analysis with random effects. All relevant studies were identified through a systematic review of PubMed. Risk of bias was evaluated based on study design, methodology, and missing data.\n\nResults\nThe systematic review identified 169 published and 9 unpublished studies, 126 of which were shared with the WorldWide Antimalarial Resistance Network (WWARN) and 121 trials including 48,840 patients were included in the analysis. Prevalence of gametocytaemia by microscopy at enrolment was 12.1 % (5887/48,589), and increased with decreasing age, decreasing asexual parasite density and decreasing haemoglobin concentration, and was higher in patients without fever at presentation. After ACT treatment, gametocytaemia appeared in 1.9 % (95 % CI, 1.7–2.1) of patients. The appearance of gametocytaemia was lowest after AS-MQ and AL and significantly higher after DP (adjusted hazard ratio (AHR), 2.03; 95 % CI, 1.24–3.12; P = 0.005 compared to AL) and AS-AQ fixed dose combination (FDC) (AHR, 4.01; 95 % CI, 2.40–6.72; P &lt; 0.001 compared to AL). Among individuals who had gametocytaemia before treatment, gametocytaemia clearance was significantly faster with AS-MQ (AHR, 1.26; 95 % CI, 1.00–1.60; P = 0.054) and slower with DP (AHR, 0.74; 95 % CI, 0.63–0.88; P = 0.001) compared to AL. Both recrudescent (adjusted odds ratio (AOR), 9.05; 95 % CI, 3.74–21.90; P &lt; 0.001) and new (AOR, 3.03; 95 % CI, 1.66–5.54; P &lt; 0.001) infections with asexual-stage parasites were strongly associated with development of gametocytaemia after day 7.\n\nConclusions\nAS-MQ and AL are more effective than DP and AS-AQ FDC in preventing gametocytaemia shortly after treatment, suggesting that the non-artemisinin partner drug or the timing of artemisinin dosing are important determinants of post-treatment gametocyte dynamics.\n\nElectronic supplementary material\nThe online version of this article (doi:10.1186/s12916-016-0621-7) contains supplementary material, which is available to authorized users.","container-title":"BMC Medicine","DOI":"10.1186/s12916-016-0621-7","ISSN":"1741-7015","journalAbbreviation":"BMC Med","note":"PMID: 27221542\nPMCID: PMC4879753","page":"79","source":"PubMed Central","title":"Gametocyte carriage in uncomplicated Plasmodium falciparum malaria following treatment with artemisinin combination therapy: a systematic review and meta-analysis of individual patient data","title-short":"Gametocyte carriage in uncomplicated Plasmodium falciparum malaria following treatment with artemisinin combination therapy","volume":"14","issued":{"date-parts":[["2016",5,24]]}}}],"schema":"https://github.com/citation-style-language/schema/raw/master/csl-citation.json"} </w:instrText>
      </w:r>
      <w:r w:rsidR="00DA55BC">
        <w:rPr>
          <w:rFonts w:cs="Arial"/>
          <w:szCs w:val="22"/>
        </w:rPr>
        <w:fldChar w:fldCharType="separate"/>
      </w:r>
      <w:r w:rsidR="00DA55BC">
        <w:rPr>
          <w:rFonts w:cs="Arial"/>
          <w:noProof/>
          <w:szCs w:val="22"/>
        </w:rPr>
        <w:t>[2]</w:t>
      </w:r>
      <w:r w:rsidR="00DA55BC">
        <w:rPr>
          <w:rFonts w:cs="Arial"/>
          <w:szCs w:val="22"/>
        </w:rPr>
        <w:fldChar w:fldCharType="end"/>
      </w:r>
      <w:r w:rsidR="008A59C4">
        <w:rPr>
          <w:rFonts w:cs="Arial"/>
          <w:szCs w:val="22"/>
        </w:rPr>
        <w:t xml:space="preserve"> and </w:t>
      </w:r>
      <w:r w:rsidR="00AF16EC">
        <w:rPr>
          <w:rFonts w:cs="Arial"/>
          <w:szCs w:val="22"/>
        </w:rPr>
        <w:t>the added benefit of</w:t>
      </w:r>
      <w:r w:rsidR="00B818E0">
        <w:rPr>
          <w:rFonts w:cs="Arial"/>
          <w:szCs w:val="22"/>
        </w:rPr>
        <w:t xml:space="preserve"> </w:t>
      </w:r>
      <w:r w:rsidR="00AF16EC">
        <w:rPr>
          <w:rFonts w:cs="Arial"/>
          <w:szCs w:val="22"/>
        </w:rPr>
        <w:t xml:space="preserve">SLD PQ </w:t>
      </w:r>
      <w:r w:rsidR="00B818E0">
        <w:rPr>
          <w:rFonts w:cs="Arial"/>
          <w:szCs w:val="22"/>
        </w:rPr>
        <w:t>in combination with</w:t>
      </w:r>
      <w:r w:rsidR="00AF16EC">
        <w:rPr>
          <w:rFonts w:cs="Arial"/>
          <w:szCs w:val="22"/>
        </w:rPr>
        <w:t xml:space="preserve"> ASAQ remains unknown.</w:t>
      </w:r>
      <w:r w:rsidR="00B818E0">
        <w:rPr>
          <w:rFonts w:cs="Arial"/>
          <w:szCs w:val="22"/>
        </w:rPr>
        <w:t xml:space="preserve"> </w:t>
      </w:r>
      <w:r w:rsidR="00A148EA" w:rsidRPr="00A148EA">
        <w:rPr>
          <w:rFonts w:cs="Arial"/>
          <w:szCs w:val="22"/>
        </w:rPr>
        <w:t xml:space="preserve">We previously showed that Artemether-Lumefantrine (AL) is a more potent ACT in terms of gametocyte clearance and transmission reduction efficacy compared to </w:t>
      </w:r>
      <w:proofErr w:type="spellStart"/>
      <w:r w:rsidR="00A148EA" w:rsidRPr="00A148EA">
        <w:rPr>
          <w:rFonts w:cs="Arial"/>
          <w:szCs w:val="22"/>
        </w:rPr>
        <w:t>Dihydroartemisinin</w:t>
      </w:r>
      <w:proofErr w:type="spellEnd"/>
      <w:r w:rsidR="00A148EA" w:rsidRPr="00A148EA">
        <w:rPr>
          <w:rFonts w:cs="Arial"/>
          <w:szCs w:val="22"/>
        </w:rPr>
        <w:t xml:space="preserve">-Piperaquine (DP) </w:t>
      </w:r>
      <w:r w:rsidR="00B818E0">
        <w:rPr>
          <w:rFonts w:cs="Arial"/>
          <w:szCs w:val="22"/>
        </w:rPr>
        <w:fldChar w:fldCharType="begin"/>
      </w:r>
      <w:r w:rsidR="00FB2554">
        <w:rPr>
          <w:rFonts w:cs="Arial"/>
          <w:szCs w:val="22"/>
        </w:rPr>
        <w:instrText xml:space="preserve"> ADDIN ZOTERO_ITEM CSL_CITATION {"citationID":"v3Q8sBqy","properties":{"formattedCitation":"[3], [4]","plainCitation":"[3], [4]","noteIndex":0},"citationItems":[{"id":737,"uris":["http://zotero.org/users/7806423/items/XW32ELGQ"],"itemData":{"id":737,"type":"article-journal","abstract":"Background Pyronaridine–artesunate is the most recently licensed artemisinin-based combination therapy. WHO has recommended that a single low dose of primaquine could be added to artemisinin-based combination therapies to reduce Plasmodium falciparum transmission in areas aiming for elimination of malaria or areas facing artemisinin resistance. We aimed to determine the efficacy of pyronaridine–artesunate and dihydroartemisinin–piperaquine with and without single low-dose primaquine for reducing gametocyte density and transmission to mosquitoes.","container-title":"The Lancet Microbe","DOI":"10.1016/S2666-5247(21)00192-0","ISSN":"26665247","issue":"1","journalAbbreviation":"The Lancet Microbe","language":"en","page":"e41-e51","source":"DOI.org (Crossref)","title":"Pyronaridine–artesunate or dihydroartemisinin–piperaquine combined with single low-dose primaquine to prevent Plasmodium falciparum malaria transmission in Ouélessébougou, Mali: a four-arm, single-blind, phase 2/3, randomised trial","title-short":"Pyronaridine–artesunate or dihydroartemisinin–piperaquine combined with single low-dose primaquine to prevent Plasmodium falciparum malaria transmission in Ouélessébougou, Mali","volume":"3","author":[{"family":"Stone","given":"William"},{"family":"Mahamar","given":"Almahamoudou"},{"family":"Sanogo","given":"Koualy"},{"family":"Sinaba","given":"Youssouf"},{"family":"Niambele","given":"Sidi M"},{"family":"Sacko","given":"Adama"},{"family":"Keita","given":"Sekouba"},{"family":"Youssouf","given":"Ahamadou"},{"family":"Diallo","given":"Makonon"},{"family":"Soumare","given":"Harouna M"},{"family":"Kaur","given":"Harparkash"},{"family":"Lanke","given":"Kjerstin"},{"family":"Heine","given":"Rob","non-dropping-particle":"ter"},{"family":"Bradley","given":"John"},{"family":"Issiaka","given":"Djibrilla"},{"family":"Diawara","given":"Halimatou"},{"family":"Traore","given":"Sekou F"},{"family":"Bousema","given":"Teun"},{"family":"Drakeley","given":"Chris"},{"family":"Dicko","given":"Alassane"}],"issued":{"date-parts":[["2022",1]]}}},{"id":1266,"uris":["http://zotero.org/users/7806423/items/4UVL37JW"],"itemData":{"id":1266,"type":"article-journal","abstract":"Background Tafenoquine was recently approved as a prophylaxis and radical cure for Plasmodium vivax infection, but its Plasmodium falciparum transmission-blocking efficacy is unclear. We aimed to establish the efficacy and safety of three single low doses of tafenoquine in combination with dihydroartemisinin–piperaquine for reducing gametocyte density and transmission to mosquitoes.","container-title":"The Lancet Microbe","DOI":"10.1016/S2666-5247(21)00356-6","ISSN":"26665247","issue":"5","journalAbbreviation":"The Lancet Microbe","language":"en","page":"e336-e347","source":"DOI.org (Crossref)","title":"Single low-dose tafenoquine combined with dihydroartemisinin–piperaquine to reduce Plasmodium falciparum transmission in Ouelessebougou, Mali: a phase 2, single-blind, randomised clinical trial","title-short":"Single low-dose tafenoquine combined with dihydroartemisinin–piperaquine to reduce Plasmodium falciparum transmission in Ouelessebougou, Mali","volume":"3","author":[{"family":"Stone","given":"Will"},{"family":"Mahamar","given":"Almahamoudou"},{"family":"Smit","given":"Merel J"},{"family":"Sanogo","given":"Koualy"},{"family":"Sinaba","given":"Youssouf"},{"family":"Niambele","given":"Sidi M"},{"family":"Sacko","given":"Adama"},{"family":"Keita","given":"Sekouba"},{"family":"Dicko","given":"Oumar M"},{"family":"Diallo","given":"Makonon"},{"family":"Maguiraga","given":"Seydina O"},{"family":"Samake","given":"Siaka"},{"family":"Attaher","given":"Oumar"},{"family":"Lanke","given":"Kjerstin"},{"family":"Heine","given":"Rob","non-dropping-particle":"ter"},{"family":"Bradley","given":"John"},{"family":"McCall","given":"Matthew B B"},{"family":"Issiaka","given":"Djibrilla"},{"family":"Traore","given":"Sekou F"},{"family":"Bousema","given":"Teun"},{"family":"Drakeley","given":"Chris"},{"family":"Dicko","given":"Alassane"}],"issued":{"date-parts":[["2022",5]]}}}],"schema":"https://github.com/citation-style-language/schema/raw/master/csl-citation.json"} </w:instrText>
      </w:r>
      <w:r w:rsidR="00B818E0">
        <w:rPr>
          <w:rFonts w:cs="Arial"/>
          <w:szCs w:val="22"/>
        </w:rPr>
        <w:fldChar w:fldCharType="separate"/>
      </w:r>
      <w:r w:rsidR="00FB2554">
        <w:rPr>
          <w:rFonts w:cs="Arial"/>
          <w:noProof/>
          <w:szCs w:val="22"/>
        </w:rPr>
        <w:t>[3], [4]</w:t>
      </w:r>
      <w:r w:rsidR="00B818E0">
        <w:rPr>
          <w:rFonts w:cs="Arial"/>
          <w:szCs w:val="22"/>
        </w:rPr>
        <w:fldChar w:fldCharType="end"/>
      </w:r>
      <w:r w:rsidR="00B818E0">
        <w:rPr>
          <w:rFonts w:cs="Arial"/>
          <w:szCs w:val="22"/>
        </w:rPr>
        <w:t xml:space="preserve"> [NECTAR3, in preparation]. Recently, triple artemisinin-based combination therapies (TACT) such as </w:t>
      </w:r>
      <w:r w:rsidR="00B818E0" w:rsidRPr="00B818E0">
        <w:rPr>
          <w:rFonts w:cs="Arial"/>
          <w:szCs w:val="22"/>
        </w:rPr>
        <w:t>Artemether-Lumefantrine plus Amodiaquine (ALAQ</w:t>
      </w:r>
      <w:r w:rsidR="00B818E0">
        <w:rPr>
          <w:rFonts w:cs="Arial"/>
          <w:szCs w:val="22"/>
        </w:rPr>
        <w:t xml:space="preserve">) have been proposed to delay the emergence of drug resistance and to provide efficacious treatment for multi-drug resistance </w:t>
      </w:r>
      <w:r w:rsidR="00B818E0" w:rsidRPr="00A148EA">
        <w:rPr>
          <w:rFonts w:cs="Arial"/>
          <w:i/>
          <w:iCs/>
          <w:szCs w:val="22"/>
        </w:rPr>
        <w:t>P. falciparum</w:t>
      </w:r>
      <w:r w:rsidR="00B818E0">
        <w:rPr>
          <w:rFonts w:cs="Arial"/>
          <w:szCs w:val="22"/>
        </w:rPr>
        <w:t xml:space="preserve"> infections </w:t>
      </w:r>
      <w:r w:rsidR="00B818E0">
        <w:rPr>
          <w:rFonts w:cs="Arial"/>
          <w:szCs w:val="22"/>
        </w:rPr>
        <w:fldChar w:fldCharType="begin"/>
      </w:r>
      <w:r w:rsidR="004C2AEA">
        <w:rPr>
          <w:rFonts w:cs="Arial"/>
          <w:szCs w:val="22"/>
        </w:rPr>
        <w:instrText xml:space="preserve"> ADDIN ZOTERO_ITEM CSL_CITATION {"citationID":"2JtF6POd","properties":{"formattedCitation":"[5], [6]","plainCitation":"[5], [6]","noteIndex":0},"citationItems":[{"id":628,"uris":["http://zotero.org/users/7806423/items/LG6TPZYM"],"itemData":{"id":628,"type":"article-journal","abstract":"Background Artemisinin and partner-drug resistance in Plasmodium falciparum are major threats to malaria control and elimination. Triple artemisinin-based combination therapies (TACTs), which combine existing co-formulated ACTs with a second partner drug that is slowly eliminated, might provide effective treatment and delay emergence of antimalarial drug resistance.","container-title":"The Lancet","DOI":"10.1016/S0140-6736(20)30552-3","ISSN":"01406736","issue":"10233","journalAbbreviation":"The Lancet","language":"en","note":"Is TRACII","page":"1345-1360","source":"DOI.org (Crossref)","title":"Triple artemisinin-based combination therapies versus artemisinin-based combination therapies for uncomplicated Plasmodium falciparum malaria: a multicentre, open-label, randomised clinical trial","title-short":"Triple artemisinin-based combination therapies versus artemisinin-based combination therapies for uncomplicated Plasmodium falciparum malaria","volume":"395","author":[{"family":"Pluijm","given":"Rob W","non-dropping-particle":"van der"},{"family":"Tripura","given":"Rupam"},{"family":"Hoglund","given":"Richard M"},{"family":"Pyae Phyo","given":"Aung"},{"family":"Lek","given":"Dysoley"},{"family":"Islam","given":"Akhter","non-dropping-particle":"ul"},{"family":"Anvikar","given":"Anupkumar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Thanh"},{"family":"Kwiatkowski","given":"Dominic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Tinh"},{"family":"Valecha","given":"Neena"},{"family":"Smithuis","given":"Frank"},{"family":"Pukrittayakamee","given":"Sasithon"},{"family":"Faiz","given":"Abul"},{"family":"Miotto","given":"Olivo"},{"family":"Tarning","given":"Joel"},{"family":"Day","given":"Nicholas P J"},{"family":"White","given":"Nicholas J"},{"family":"Dondorp","given":"Arjen M"},{"family":"Pluijm","given":"Rob W","non-dropping-particle":"van der"},{"family":"Tripura","given":"Rupam"},{"family":"Hoglund","given":"Richard M"},{"family":"Phyo","given":"Aung Pyae"},{"family":"Lek","given":"Dysoley"},{"family":"Islam","given":"Akhter","non-dropping-particle":"ul"},{"family":"Anvikar","given":"Anupkumar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Tinh"},{"family":"Valeche","given":"Neena"},{"family":"Smithuis","given":"Frank"},{"family":"Pukrittayakamee","given":"Sasithon"},{"family":"Faiz","given":"Abul"},{"family":"Miotto","given":"Olivo"},{"family":"Tarning","given":"Joel"},{"family":"Day","given":"Nicholas PJ"},{"family":"White","given":"Nicholas J"},{"family":"Dondorp","given":"Arjen M"}],"issued":{"date-parts":[["2020",4]]}}},{"id":682,"uris":["http://zotero.org/users/7806423/items/SQVUC4J6"],"itemData":{"id":682,"type":"article-journal","abstract":"BACKGROUND: Late treatment failures after artemisinin-based combination therapies (ACTs) for falciparum malaria have increased in the Greater Mekong subregion in southeast Asia. Addition of amodiaquine to artemether-lumefantrine could provide an efficacious treatment for multidrug-resistant infections.\nMETHODS: We conducted an open-label, randomised trial at five hospitals or health centres in three locations (western Cambodia, eastern Cambodia, and Vietnam). Eligible participants were male and female patients aged 2-65 years with uncomplicated Plasmodium falciparum malaria. Patients were randomly allocated (1:1 in blocks of eight to 12) to either artemether-lumefantrine alone (dosed according to WHO guidelines) or artemether-lumefantrine plus amodiaquine (10 mg base per kg/day), both given orally as six doses over 3 days. All received a single dose of primaquine (0·25 mg/kg) 24 h after the start of study treatment to limit transmission of the parasite. Parasites were genotyped, identifying artemisinin resistance. The primary outcome was Kaplan-Meier 42-day PCR-corrected efficacy against recrudescence of the original parasite, assessed by intent-to-treat. Safety was a secondary outcome. This completed trial is registered at ClinicalTrials.gov (NCT03355664).\nFINDINGS: Between March 18, 2018, and Jan 30, 2020, 310 patients received randomly allocated treatment; 154 received artemether-lumefantrine alone and 156 received artemether-lumefantrine plus amodiaquine. Parasites from 305 of these patients were genotyped. 42-day PCR-corrected treatment efficacy was noted in 151 (97%, 95% CI 92-99) of 156 patients with artemether-lumefantrine plus amodiaquine versus 146 (95%, 89-97) of 154 patients with artemether-lumefantrine alone; hazard ratio (HR) for recrudescence 0·6 (95% CI 0·2-1·9, p=0·38). Of the 13 recrudescences, 12 were in 174 (57%) of 305 infections with pfkelch13 mutations indicating artemisinin resistance, for which 42-day efficacy was noted in 89 (96%) of 93 infections with artemether-lumefantrine plus amodiaquine versus 73 (90%) of 81 infections with artemether-lumefantrine alone; HR for recrudescence 0·44 (95% CI 0·14-1·40, p=0·17). Artemether-lumefantrine plus amodiaquine was generally well tolerated, but the number of mild (grade 1-2) adverse events, mainly gastrointestinal, was greater in this group compared with artemether-lumefantrine alone (vomiting, 12 [8%] with artemether-lumefantrine plus amodiaquine vs three [2%] with artemether-lumefantrine alone, p=0·03; and nausea, 11 [7%] with artemether-lumefantrine plus amodiaquine vs three [2%] with artemether-lumefantrine alone, p=0·05). Early vomiting within 1 h of treatment, requiring retreatment, occurred in no patients of 154 with artemether-lumefantrine alone versus five (3%) of 156 with artemether-lumefantrine plus amodiaquine, p=0·06. Bradycardia (≤54 beats/min) of any grade was noted in 59 (38%) of 154 patients with artemether-lumefantrine alone and 95 (61%) of 156 with artemether-lumefantrine plus amodiaquine, p=0·0001.\nINTERPRETATION: Artemether-lumefantrine plus amodiaquine provides an alternative to artemether-lumefantrine alone as first-line treatment for multidrug-resistant P falciparum malaria in the Greater Mekong subregion, and could prolong the therapeutic lifetime of artemether-lumefantrine in malaria-endemic populations.\nFUNDING: Bill &amp; Melinda Gates Foundation, Wellcome Trust.","container-title":"The Lancet. Infectious Diseases","DOI":"10.1016/S1473-3099(21)00692-7","ISSN":"1474-4457","journalAbbreviation":"Lancet Infect Dis","language":"eng","note":"PMID: 35276064","page":"S1473-3099(21)00692-7","source":"PubMed","title":"Triple therapy with artemether-lumefantrine plus amodiaquine versus artemether-lumefantrine alone for artemisinin-resistant, uncomplicated falciparum malaria: an open-label, randomised, multicentre trial","title-short":"Triple therapy with artemether-lumefantrine plus amodiaquine versus artemether-lumefantrine alone for artemisinin-resistant, uncomplicated falciparum malaria","author":[{"family":"Peto","given":"Thomas J."},{"family":"Tripura","given":"Rupam"},{"family":"Callery","given":"James J."},{"family":"Lek","given":"Dysoley"},{"family":"Nghia","given":"Ho Dang Trung"},{"family":"Nguon","given":"Chea"},{"family":"Thuong","given":"Nguyen Thi Huyen"},{"family":"Pluijm","given":"Rob W.","non-dropping-particle":"van der"},{"family":"Dung","given":"Nguyen Thi Phuong"},{"family":"Sokha","given":"Meas"},{"family":"Van Luong","given":"Vo"},{"family":"Long","given":"Le Thanh"},{"family":"Sovann","given":"Yok"},{"family":"Duanguppama","given":"Jureeporn"},{"family":"Waithira","given":"Naomi"},{"family":"Hoglund","given":"Richard M."},{"family":"Chotsiri","given":"Palang"},{"family":"Chau","given":"Nguyen Hoang"},{"family":"Ruecker","given":"Andrea"},{"family":"Amaratunga","given":"Chanaki"},{"family":"Dhorda","given":"Mehul"},{"family":"Miotto","given":"Olivo"},{"family":"Maude","given":"Richard J."},{"family":"Rekol","given":"Huy"},{"family":"Chotivanich","given":"Kesinee"},{"family":"Tarning","given":"Joel"},{"family":"Seidlein","given":"Lorenz","non-dropping-particle":"von"},{"family":"Imwong","given":"Mallika"},{"family":"Mukaka","given":"Mavuto"},{"family":"Day","given":"Nicholas P. J."},{"family":"Hien","given":"Tran Tinh"},{"family":"White","given":"Nicholas J."},{"family":"Dondorp","given":"Arjen M."}],"issued":{"date-parts":[["2022",3,8]]}}}],"schema":"https://github.com/citation-style-language/schema/raw/master/csl-citation.json"} </w:instrText>
      </w:r>
      <w:r w:rsidR="00B818E0">
        <w:rPr>
          <w:rFonts w:cs="Arial"/>
          <w:szCs w:val="22"/>
        </w:rPr>
        <w:fldChar w:fldCharType="separate"/>
      </w:r>
      <w:r w:rsidR="004C2AEA">
        <w:rPr>
          <w:rFonts w:cs="Arial"/>
          <w:noProof/>
          <w:szCs w:val="22"/>
        </w:rPr>
        <w:t>[5], [6]</w:t>
      </w:r>
      <w:r w:rsidR="00B818E0">
        <w:rPr>
          <w:rFonts w:cs="Arial"/>
          <w:szCs w:val="22"/>
        </w:rPr>
        <w:fldChar w:fldCharType="end"/>
      </w:r>
      <w:r w:rsidR="00B818E0">
        <w:rPr>
          <w:rFonts w:cs="Arial"/>
          <w:szCs w:val="22"/>
        </w:rPr>
        <w:t>.</w:t>
      </w:r>
      <w:r w:rsidR="00B818E0" w:rsidRPr="00B818E0">
        <w:t xml:space="preserve"> </w:t>
      </w:r>
      <w:r w:rsidR="00B818E0" w:rsidRPr="00B818E0">
        <w:rPr>
          <w:rFonts w:cs="Arial"/>
          <w:szCs w:val="22"/>
        </w:rPr>
        <w:t>The transmission reducing efficacy of ALAQ</w:t>
      </w:r>
      <w:r w:rsidR="00442788">
        <w:rPr>
          <w:rFonts w:cs="Arial"/>
          <w:szCs w:val="22"/>
        </w:rPr>
        <w:t xml:space="preserve"> or ALAQ-PQ</w:t>
      </w:r>
      <w:r w:rsidR="00B818E0" w:rsidRPr="00B818E0">
        <w:rPr>
          <w:rFonts w:cs="Arial"/>
          <w:szCs w:val="22"/>
        </w:rPr>
        <w:t xml:space="preserve"> has not yet been tested.</w:t>
      </w:r>
    </w:p>
    <w:p w14:paraId="1999A229" w14:textId="0B44CA8B" w:rsidR="005406E7" w:rsidRPr="00F042EA" w:rsidRDefault="00352643" w:rsidP="00164E47">
      <w:pPr>
        <w:jc w:val="both"/>
        <w:rPr>
          <w:rFonts w:cs="Arial"/>
          <w:szCs w:val="22"/>
        </w:rPr>
      </w:pPr>
      <w:r w:rsidRPr="00F042EA">
        <w:rPr>
          <w:rFonts w:cs="Arial"/>
          <w:szCs w:val="22"/>
        </w:rPr>
        <w:t>In this study we aim to determine transmission reducing efficacy of Artesunate-Amodiaquine (ASAQ) with and without a single low dose (0.25mg/kg) of Primaquine (SLD PQ) and Artemether-Lumefantrine (AL) with and without Amodiaquine (AQ)</w:t>
      </w:r>
      <w:r w:rsidR="00442788">
        <w:rPr>
          <w:rFonts w:cs="Arial"/>
          <w:szCs w:val="22"/>
        </w:rPr>
        <w:t xml:space="preserve"> and Primaquine (PQ)</w:t>
      </w:r>
      <w:r w:rsidRPr="00F042EA">
        <w:rPr>
          <w:rFonts w:cs="Arial"/>
          <w:szCs w:val="22"/>
        </w:rPr>
        <w:t xml:space="preserve">. </w:t>
      </w:r>
      <w:r w:rsidR="005406E7" w:rsidRPr="00F042EA">
        <w:rPr>
          <w:rFonts w:cs="Arial"/>
          <w:szCs w:val="22"/>
        </w:rPr>
        <w:t>To achieve this, we propose to conduct a five-arm, single-blind, randomised control trial to test the gametocytocidal and transmission-blocking efficacy of SLD PQ in combination with Artesunate-Amodiaquine and Artemether-Lumefantrine</w:t>
      </w:r>
      <w:r w:rsidR="00B36121">
        <w:rPr>
          <w:rFonts w:cs="Arial"/>
          <w:szCs w:val="22"/>
        </w:rPr>
        <w:t>-</w:t>
      </w:r>
      <w:r w:rsidR="00B51162">
        <w:rPr>
          <w:rFonts w:cs="Arial"/>
          <w:szCs w:val="22"/>
        </w:rPr>
        <w:t>Amodiaquine</w:t>
      </w:r>
      <w:r w:rsidR="005406E7" w:rsidRPr="00F042EA">
        <w:rPr>
          <w:rFonts w:cs="Arial"/>
          <w:szCs w:val="22"/>
        </w:rPr>
        <w:t>. Individuals will be recruited to an AL</w:t>
      </w:r>
      <w:r w:rsidR="00B818E0">
        <w:rPr>
          <w:rFonts w:cs="Arial"/>
          <w:szCs w:val="22"/>
        </w:rPr>
        <w:t>-</w:t>
      </w:r>
      <w:r w:rsidR="005406E7" w:rsidRPr="00F042EA">
        <w:rPr>
          <w:rFonts w:cs="Arial"/>
          <w:szCs w:val="22"/>
        </w:rPr>
        <w:t>only arm as an internal control for the ALAQ arm, and for comparison to recent trials at the same site</w:t>
      </w:r>
      <w:r w:rsidR="00B51162">
        <w:rPr>
          <w:rFonts w:cs="Arial"/>
          <w:szCs w:val="22"/>
        </w:rPr>
        <w:t xml:space="preserve"> </w:t>
      </w:r>
      <w:r w:rsidR="00E904FC">
        <w:rPr>
          <w:rFonts w:cs="Arial"/>
          <w:szCs w:val="22"/>
        </w:rPr>
        <w:t>[NECTAR3, in preparation]</w:t>
      </w:r>
      <w:r w:rsidR="005406E7" w:rsidRPr="00F042EA">
        <w:rPr>
          <w:rFonts w:cs="Arial"/>
          <w:szCs w:val="22"/>
        </w:rPr>
        <w:t xml:space="preserve">. Individuals who meet inclusion criteria will be randomised in a </w:t>
      </w:r>
      <w:proofErr w:type="gramStart"/>
      <w:r w:rsidR="00B51162">
        <w:rPr>
          <w:rFonts w:cs="Arial"/>
          <w:szCs w:val="22"/>
        </w:rPr>
        <w:t>1</w:t>
      </w:r>
      <w:r w:rsidR="005406E7" w:rsidRPr="00F042EA">
        <w:rPr>
          <w:rFonts w:cs="Arial"/>
          <w:szCs w:val="22"/>
        </w:rPr>
        <w:t>:</w:t>
      </w:r>
      <w:r w:rsidR="00B51162">
        <w:rPr>
          <w:rFonts w:cs="Arial"/>
          <w:szCs w:val="22"/>
        </w:rPr>
        <w:t>1</w:t>
      </w:r>
      <w:r w:rsidR="005406E7" w:rsidRPr="00F042EA">
        <w:rPr>
          <w:rFonts w:cs="Arial"/>
          <w:szCs w:val="22"/>
        </w:rPr>
        <w:t>:</w:t>
      </w:r>
      <w:r w:rsidR="00B51162">
        <w:rPr>
          <w:rFonts w:cs="Arial"/>
          <w:szCs w:val="22"/>
        </w:rPr>
        <w:t>1</w:t>
      </w:r>
      <w:r w:rsidR="005406E7" w:rsidRPr="00F042EA">
        <w:rPr>
          <w:rFonts w:cs="Arial"/>
          <w:szCs w:val="22"/>
        </w:rPr>
        <w:t>:</w:t>
      </w:r>
      <w:r w:rsidR="00B51162">
        <w:rPr>
          <w:rFonts w:cs="Arial"/>
          <w:szCs w:val="22"/>
        </w:rPr>
        <w:t>1</w:t>
      </w:r>
      <w:r w:rsidR="005406E7" w:rsidRPr="00F042EA">
        <w:rPr>
          <w:rFonts w:cs="Arial"/>
          <w:szCs w:val="22"/>
        </w:rPr>
        <w:t>:1</w:t>
      </w:r>
      <w:proofErr w:type="gramEnd"/>
      <w:r w:rsidR="005406E7" w:rsidRPr="00F042EA">
        <w:rPr>
          <w:rFonts w:cs="Arial"/>
          <w:szCs w:val="22"/>
        </w:rPr>
        <w:t xml:space="preserve"> ratio to: ASAQ, ASAQ-PQ, AL, ALAQ, </w:t>
      </w:r>
      <w:r w:rsidR="00B51162">
        <w:rPr>
          <w:rFonts w:cs="Arial"/>
          <w:szCs w:val="22"/>
        </w:rPr>
        <w:t>ALAQ-PQ</w:t>
      </w:r>
      <w:r w:rsidR="005406E7" w:rsidRPr="00F042EA">
        <w:rPr>
          <w:rFonts w:cs="Arial"/>
          <w:szCs w:val="22"/>
        </w:rPr>
        <w:t>.</w:t>
      </w:r>
    </w:p>
    <w:p w14:paraId="326B0CA8" w14:textId="691AFB34" w:rsidR="005406E7" w:rsidRPr="00F042EA" w:rsidRDefault="005406E7" w:rsidP="00164E47">
      <w:pPr>
        <w:jc w:val="both"/>
        <w:rPr>
          <w:rFonts w:cs="Arial"/>
          <w:szCs w:val="22"/>
        </w:rPr>
      </w:pPr>
      <w:r w:rsidRPr="00F042EA">
        <w:rPr>
          <w:rFonts w:cs="Arial"/>
          <w:szCs w:val="22"/>
        </w:rPr>
        <w:t xml:space="preserve">For participation in the trial, individuals between 10-50 years will be recruited from villages around </w:t>
      </w:r>
      <w:proofErr w:type="spellStart"/>
      <w:r w:rsidRPr="00F042EA">
        <w:rPr>
          <w:rFonts w:cs="Arial"/>
          <w:szCs w:val="22"/>
        </w:rPr>
        <w:t>Ouelessebougou</w:t>
      </w:r>
      <w:proofErr w:type="spellEnd"/>
      <w:r w:rsidRPr="00F042EA">
        <w:rPr>
          <w:rFonts w:cs="Arial"/>
          <w:szCs w:val="22"/>
        </w:rPr>
        <w:t>, near Bamako in Mali. Written, informed consent will be obtained. Inclusion criteria include presence of ≥16 gametocytes/µL, absence of other non-</w:t>
      </w:r>
      <w:r w:rsidRPr="00F443A0">
        <w:rPr>
          <w:rFonts w:cs="Arial"/>
          <w:i/>
          <w:iCs/>
          <w:szCs w:val="22"/>
        </w:rPr>
        <w:t>P. falciparum</w:t>
      </w:r>
      <w:r w:rsidRPr="00F042EA">
        <w:rPr>
          <w:rFonts w:cs="Arial"/>
          <w:szCs w:val="22"/>
        </w:rPr>
        <w:t xml:space="preserve"> species on blood film, absence of symptomatic falciparum malaria, haemoglobin ≥ 10 g/dL, and no evidence of acute severe or chronic disease or pregnancy. Recruitment will continue until </w:t>
      </w:r>
      <w:r w:rsidR="00E904FC">
        <w:rPr>
          <w:rFonts w:cs="Arial"/>
          <w:szCs w:val="22"/>
        </w:rPr>
        <w:t>100</w:t>
      </w:r>
      <w:r w:rsidRPr="00F042EA">
        <w:rPr>
          <w:rFonts w:cs="Arial"/>
          <w:szCs w:val="22"/>
        </w:rPr>
        <w:t xml:space="preserve"> individuals </w:t>
      </w:r>
      <w:r w:rsidR="008A59C4">
        <w:rPr>
          <w:rFonts w:cs="Arial"/>
          <w:szCs w:val="22"/>
        </w:rPr>
        <w:t>who</w:t>
      </w:r>
      <w:r w:rsidR="008A59C4" w:rsidRPr="00F042EA">
        <w:rPr>
          <w:rFonts w:cs="Arial"/>
          <w:szCs w:val="22"/>
        </w:rPr>
        <w:t xml:space="preserve"> </w:t>
      </w:r>
      <w:r w:rsidRPr="00F042EA">
        <w:rPr>
          <w:rFonts w:cs="Arial"/>
          <w:szCs w:val="22"/>
        </w:rPr>
        <w:t>meet the inclusion criteria are recruited and randomised. G6PD enzyme status will not be tested.</w:t>
      </w:r>
    </w:p>
    <w:p w14:paraId="2D9CA4CE" w14:textId="3E29978B" w:rsidR="005406E7" w:rsidRPr="00B91D68" w:rsidRDefault="005406E7" w:rsidP="00164E47">
      <w:pPr>
        <w:jc w:val="both"/>
        <w:rPr>
          <w:rFonts w:cs="Arial"/>
          <w:szCs w:val="22"/>
        </w:rPr>
      </w:pPr>
      <w:r w:rsidRPr="00F042EA">
        <w:rPr>
          <w:rFonts w:cs="Arial"/>
          <w:szCs w:val="22"/>
        </w:rPr>
        <w:t>Participants will be followed for 28 days. Blood samples will be taken pre-treatment, and at days 2, 7, 14, 21 and 28 post-treatment for parasitology, genetic, haematology and biochemistry analysis. MFA will be conducted pre-treatment, and at days 2,</w:t>
      </w:r>
      <w:r w:rsidR="00A83D63">
        <w:rPr>
          <w:rFonts w:cs="Arial"/>
          <w:szCs w:val="22"/>
        </w:rPr>
        <w:t xml:space="preserve"> </w:t>
      </w:r>
      <w:r w:rsidRPr="00F042EA">
        <w:rPr>
          <w:rFonts w:cs="Arial"/>
          <w:szCs w:val="22"/>
        </w:rPr>
        <w:t>7 and 14 post-treatment</w:t>
      </w:r>
      <w:r w:rsidR="00DE3540">
        <w:rPr>
          <w:rFonts w:cs="Arial"/>
          <w:szCs w:val="22"/>
        </w:rPr>
        <w:t>.</w:t>
      </w:r>
      <w:r w:rsidR="0017490D">
        <w:rPr>
          <w:rFonts w:cs="Arial"/>
          <w:szCs w:val="22"/>
        </w:rPr>
        <w:t xml:space="preserve"> MFA will also be conducted </w:t>
      </w:r>
      <w:r w:rsidR="0017490D">
        <w:rPr>
          <w:rFonts w:eastAsiaTheme="majorEastAsia" w:cstheme="majorBidi"/>
          <w:color w:val="000000" w:themeColor="text1"/>
          <w:szCs w:val="28"/>
          <w:lang w:val="en-CA"/>
        </w:rPr>
        <w:t xml:space="preserve">at </w:t>
      </w:r>
      <w:r w:rsidR="0017490D" w:rsidRPr="00D6230D">
        <w:rPr>
          <w:rFonts w:eastAsiaTheme="majorEastAsia" w:cstheme="majorBidi"/>
          <w:color w:val="000000" w:themeColor="text1"/>
          <w:szCs w:val="28"/>
          <w:lang w:val="en-CA"/>
        </w:rPr>
        <w:t>day 21 for any individuals infectious at day 7 or 14; and at day 28 for any individuals infectious at day 14 or 21.</w:t>
      </w:r>
      <w:r w:rsidR="00DE3540">
        <w:rPr>
          <w:rFonts w:cs="Arial"/>
          <w:szCs w:val="22"/>
        </w:rPr>
        <w:t xml:space="preserve"> </w:t>
      </w:r>
      <w:r w:rsidRPr="00F042EA">
        <w:rPr>
          <w:rFonts w:cs="Arial"/>
          <w:szCs w:val="22"/>
        </w:rPr>
        <w:t xml:space="preserve">Magnetic-activated cell sorting (MACS) to enrich for gametocytes will be done at </w:t>
      </w:r>
      <w:r w:rsidR="0017490D">
        <w:rPr>
          <w:rFonts w:cs="Arial"/>
          <w:szCs w:val="22"/>
        </w:rPr>
        <w:t xml:space="preserve">two </w:t>
      </w:r>
      <w:r w:rsidRPr="00F042EA">
        <w:rPr>
          <w:rFonts w:cs="Arial"/>
          <w:szCs w:val="22"/>
        </w:rPr>
        <w:t>timepoints per individual</w:t>
      </w:r>
      <w:r w:rsidR="008A59C4">
        <w:rPr>
          <w:rFonts w:cs="Arial"/>
          <w:szCs w:val="22"/>
        </w:rPr>
        <w:t xml:space="preserve"> to determine per-gametocyte infectivity and confirm whether PQ sterilizes gametocytes</w:t>
      </w:r>
      <w:r w:rsidRPr="00F042EA">
        <w:rPr>
          <w:rFonts w:cs="Arial"/>
          <w:szCs w:val="22"/>
        </w:rPr>
        <w:t>, followed by MFA. The primary outcome will be the reduction in mosquito infection rate within each arm at day 2 post-treatment. Secondary outcomes include within and between arm comparisons in other mosquito infection, gametocyte, safety, and biochemical parameters.</w:t>
      </w:r>
    </w:p>
    <w:p w14:paraId="08E036A4" w14:textId="77777777" w:rsidR="00F978DA" w:rsidRDefault="00855B8A">
      <w:pPr>
        <w:pStyle w:val="Heading1"/>
      </w:pPr>
      <w:bookmarkStart w:id="25" w:name="_Toc100231683"/>
      <w:bookmarkStart w:id="26" w:name="_Toc100231815"/>
      <w:bookmarkStart w:id="27" w:name="_Toc100231922"/>
      <w:bookmarkStart w:id="28" w:name="_Toc100232045"/>
      <w:bookmarkStart w:id="29" w:name="_Toc100306358"/>
      <w:bookmarkStart w:id="30" w:name="_Toc100324436"/>
      <w:bookmarkStart w:id="31" w:name="_Toc101204953"/>
      <w:bookmarkStart w:id="32" w:name="_Toc101205072"/>
      <w:bookmarkStart w:id="33" w:name="_Toc101205219"/>
      <w:bookmarkStart w:id="34" w:name="_Toc102984935"/>
      <w:bookmarkStart w:id="35" w:name="_Toc102985786"/>
      <w:bookmarkStart w:id="36" w:name="_Toc104981619"/>
      <w:bookmarkStart w:id="37" w:name="_Toc106288864"/>
      <w:r w:rsidRPr="00D676AC">
        <w:t>STUDY BACKGROUND AND RATIONALE</w:t>
      </w:r>
      <w:bookmarkStart w:id="38" w:name="_Toc100231684"/>
      <w:bookmarkStart w:id="39" w:name="_Toc100231816"/>
      <w:bookmarkStart w:id="40" w:name="_Toc100231923"/>
      <w:bookmarkStart w:id="41" w:name="_Toc100232046"/>
      <w:bookmarkStart w:id="42" w:name="_Toc100306359"/>
      <w:bookmarkStart w:id="43" w:name="_Toc100324437"/>
      <w:bookmarkEnd w:id="25"/>
      <w:bookmarkEnd w:id="26"/>
      <w:bookmarkEnd w:id="27"/>
      <w:bookmarkEnd w:id="28"/>
      <w:bookmarkEnd w:id="29"/>
      <w:bookmarkEnd w:id="30"/>
      <w:bookmarkEnd w:id="31"/>
      <w:bookmarkEnd w:id="32"/>
      <w:bookmarkEnd w:id="33"/>
      <w:bookmarkEnd w:id="34"/>
      <w:bookmarkEnd w:id="35"/>
      <w:bookmarkEnd w:id="36"/>
      <w:bookmarkEnd w:id="37"/>
    </w:p>
    <w:p w14:paraId="038CDD34" w14:textId="60596F76" w:rsidR="00F042EA" w:rsidRPr="00F978DA" w:rsidRDefault="00F042EA">
      <w:pPr>
        <w:pStyle w:val="Heading2"/>
      </w:pPr>
      <w:bookmarkStart w:id="44" w:name="_Toc101204954"/>
      <w:bookmarkStart w:id="45" w:name="_Toc101205073"/>
      <w:bookmarkStart w:id="46" w:name="_Toc101205220"/>
      <w:bookmarkStart w:id="47" w:name="_Toc102984936"/>
      <w:bookmarkStart w:id="48" w:name="_Toc102985787"/>
      <w:bookmarkStart w:id="49" w:name="_Toc104981620"/>
      <w:bookmarkStart w:id="50" w:name="_Toc106288865"/>
      <w:r w:rsidRPr="00F978DA">
        <w:t>Background</w:t>
      </w:r>
      <w:bookmarkEnd w:id="38"/>
      <w:bookmarkEnd w:id="39"/>
      <w:bookmarkEnd w:id="40"/>
      <w:bookmarkEnd w:id="41"/>
      <w:bookmarkEnd w:id="42"/>
      <w:bookmarkEnd w:id="43"/>
      <w:bookmarkEnd w:id="44"/>
      <w:bookmarkEnd w:id="45"/>
      <w:bookmarkEnd w:id="46"/>
      <w:bookmarkEnd w:id="47"/>
      <w:bookmarkEnd w:id="48"/>
      <w:bookmarkEnd w:id="49"/>
      <w:bookmarkEnd w:id="50"/>
    </w:p>
    <w:p w14:paraId="7203D7EB" w14:textId="4D416C5E" w:rsidR="00261865" w:rsidRDefault="0069258A" w:rsidP="00164E47">
      <w:pPr>
        <w:jc w:val="both"/>
        <w:rPr>
          <w:rFonts w:cs="Arial"/>
          <w:szCs w:val="22"/>
        </w:rPr>
      </w:pPr>
      <w:r>
        <w:rPr>
          <w:rFonts w:cs="Arial"/>
          <w:szCs w:val="22"/>
        </w:rPr>
        <w:t>Worldwide malaria morbidity and mortality remains unacceptably high</w:t>
      </w:r>
      <w:r w:rsidRPr="0069258A">
        <w:rPr>
          <w:rFonts w:cs="Arial"/>
          <w:szCs w:val="22"/>
        </w:rPr>
        <w:t xml:space="preserve">, with </w:t>
      </w:r>
      <w:r w:rsidR="001B4343">
        <w:rPr>
          <w:rFonts w:cs="Arial"/>
          <w:szCs w:val="22"/>
        </w:rPr>
        <w:t>an estimated</w:t>
      </w:r>
      <w:r w:rsidRPr="0069258A">
        <w:rPr>
          <w:rFonts w:cs="Arial"/>
          <w:szCs w:val="22"/>
        </w:rPr>
        <w:t xml:space="preserve"> 2</w:t>
      </w:r>
      <w:r w:rsidR="001B4343">
        <w:rPr>
          <w:rFonts w:cs="Arial"/>
          <w:szCs w:val="22"/>
        </w:rPr>
        <w:t>41</w:t>
      </w:r>
      <w:r w:rsidRPr="0069258A">
        <w:rPr>
          <w:rFonts w:cs="Arial"/>
          <w:szCs w:val="22"/>
        </w:rPr>
        <w:t xml:space="preserve"> million cases </w:t>
      </w:r>
      <w:r w:rsidR="00CA7297">
        <w:rPr>
          <w:rFonts w:cs="Arial"/>
          <w:szCs w:val="22"/>
        </w:rPr>
        <w:t xml:space="preserve">in </w:t>
      </w:r>
      <w:r w:rsidRPr="0069258A">
        <w:rPr>
          <w:rFonts w:cs="Arial"/>
          <w:szCs w:val="22"/>
        </w:rPr>
        <w:t>2020</w:t>
      </w:r>
      <w:r w:rsidR="001B4343">
        <w:rPr>
          <w:rFonts w:cs="Arial"/>
          <w:szCs w:val="22"/>
        </w:rPr>
        <w:t>, a substantial increase from 214 million in 2015</w:t>
      </w:r>
      <w:r>
        <w:rPr>
          <w:rFonts w:cs="Arial"/>
          <w:szCs w:val="22"/>
        </w:rPr>
        <w:t xml:space="preserve"> </w:t>
      </w:r>
      <w:r>
        <w:rPr>
          <w:rFonts w:cs="Arial"/>
          <w:szCs w:val="22"/>
        </w:rPr>
        <w:fldChar w:fldCharType="begin"/>
      </w:r>
      <w:r w:rsidR="00FB2554">
        <w:rPr>
          <w:rFonts w:cs="Arial"/>
          <w:szCs w:val="22"/>
        </w:rPr>
        <w:instrText xml:space="preserve"> ADDIN ZOTERO_ITEM CSL_CITATION {"citationID":"VNbDxe7C","properties":{"formattedCitation":"[7]","plainCitation":"[7]","noteIndex":0},"citationItems":[{"id":817,"uris":["http://zotero.org/users/7806423/items/Y8AK6MEV"],"itemData":{"id":817,"type":"book","event-place":"Geneva","ISBN":"978-92-4-004049-6","language":"en","note":"section: liv, 263 p.","publisher":"World Health Organization","publisher-place":"Geneva","source":"WHO IRIS","title":"World malaria report 2021","URL":"https://apps.who.int/iris/handle/10665/350147","author":[{"literal":"World Health Organization"}],"accessed":{"date-parts":[["2022",4,4]]},"issued":{"date-parts":[["2021"]]}}}],"schema":"https://github.com/citation-style-language/schema/raw/master/csl-citation.json"} </w:instrText>
      </w:r>
      <w:r>
        <w:rPr>
          <w:rFonts w:cs="Arial"/>
          <w:szCs w:val="22"/>
        </w:rPr>
        <w:fldChar w:fldCharType="separate"/>
      </w:r>
      <w:r w:rsidR="00FB2554">
        <w:rPr>
          <w:rFonts w:cs="Arial"/>
          <w:noProof/>
          <w:szCs w:val="22"/>
        </w:rPr>
        <w:t>[7]</w:t>
      </w:r>
      <w:r>
        <w:rPr>
          <w:rFonts w:cs="Arial"/>
          <w:szCs w:val="22"/>
        </w:rPr>
        <w:fldChar w:fldCharType="end"/>
      </w:r>
      <w:r>
        <w:rPr>
          <w:rFonts w:cs="Arial"/>
          <w:szCs w:val="22"/>
        </w:rPr>
        <w:t>.</w:t>
      </w:r>
      <w:r w:rsidRPr="0069258A">
        <w:rPr>
          <w:rFonts w:cs="Arial"/>
          <w:szCs w:val="22"/>
        </w:rPr>
        <w:t xml:space="preserve"> </w:t>
      </w:r>
      <w:r w:rsidR="003E53BB">
        <w:rPr>
          <w:rFonts w:cs="Arial"/>
          <w:szCs w:val="22"/>
        </w:rPr>
        <w:t xml:space="preserve">In addition to this, the emergence and spread of resistance to first-line drugs </w:t>
      </w:r>
      <w:r w:rsidR="00CA7297">
        <w:rPr>
          <w:rFonts w:cs="Arial"/>
          <w:szCs w:val="22"/>
        </w:rPr>
        <w:t xml:space="preserve">is threatening to </w:t>
      </w:r>
      <w:r w:rsidR="00B3090C">
        <w:rPr>
          <w:rFonts w:cs="Arial"/>
          <w:szCs w:val="22"/>
        </w:rPr>
        <w:t xml:space="preserve">further </w:t>
      </w:r>
      <w:r w:rsidR="00CA7297">
        <w:rPr>
          <w:rFonts w:cs="Arial"/>
          <w:szCs w:val="22"/>
        </w:rPr>
        <w:t xml:space="preserve">increase this rise in malaria cases and deaths. </w:t>
      </w:r>
      <w:r w:rsidR="003E53BB">
        <w:rPr>
          <w:rFonts w:cs="Arial"/>
          <w:szCs w:val="22"/>
        </w:rPr>
        <w:t>Therefore, there is a clear need for interventions that reduce malaria</w:t>
      </w:r>
      <w:r w:rsidR="00261865" w:rsidRPr="00261865">
        <w:rPr>
          <w:rFonts w:cs="Arial"/>
          <w:szCs w:val="22"/>
        </w:rPr>
        <w:t xml:space="preserve"> transmission</w:t>
      </w:r>
      <w:r w:rsidR="003E53BB">
        <w:rPr>
          <w:rFonts w:cs="Arial"/>
          <w:szCs w:val="22"/>
        </w:rPr>
        <w:t>.</w:t>
      </w:r>
    </w:p>
    <w:p w14:paraId="014B7A5C" w14:textId="5A9EC06C" w:rsidR="00954B9B" w:rsidRDefault="0068271E" w:rsidP="00164E47">
      <w:pPr>
        <w:jc w:val="both"/>
        <w:rPr>
          <w:rFonts w:cs="Arial"/>
          <w:szCs w:val="22"/>
        </w:rPr>
      </w:pPr>
      <w:r>
        <w:rPr>
          <w:rFonts w:cs="Arial"/>
          <w:szCs w:val="22"/>
        </w:rPr>
        <w:lastRenderedPageBreak/>
        <w:t>Artemisinin combination</w:t>
      </w:r>
      <w:r w:rsidR="00C7066C">
        <w:rPr>
          <w:rFonts w:cs="Arial"/>
          <w:szCs w:val="22"/>
        </w:rPr>
        <w:t>-</w:t>
      </w:r>
      <w:r>
        <w:rPr>
          <w:rFonts w:cs="Arial"/>
          <w:szCs w:val="22"/>
        </w:rPr>
        <w:t>base</w:t>
      </w:r>
      <w:r w:rsidR="00C7066C">
        <w:rPr>
          <w:rFonts w:cs="Arial"/>
          <w:szCs w:val="22"/>
        </w:rPr>
        <w:t>d</w:t>
      </w:r>
      <w:r>
        <w:rPr>
          <w:rFonts w:cs="Arial"/>
          <w:szCs w:val="22"/>
        </w:rPr>
        <w:t xml:space="preserve"> therapies (ACTs) are the first-line treatment for uncomplicated </w:t>
      </w:r>
      <w:r w:rsidRPr="0068271E">
        <w:rPr>
          <w:rFonts w:cs="Arial"/>
          <w:i/>
          <w:iCs/>
          <w:szCs w:val="22"/>
        </w:rPr>
        <w:t>P. falciparum</w:t>
      </w:r>
      <w:r>
        <w:rPr>
          <w:rFonts w:cs="Arial"/>
          <w:szCs w:val="22"/>
        </w:rPr>
        <w:t xml:space="preserve"> </w:t>
      </w:r>
      <w:r w:rsidR="00E723F5">
        <w:rPr>
          <w:rFonts w:cs="Arial"/>
          <w:szCs w:val="22"/>
        </w:rPr>
        <w:t>malaria;</w:t>
      </w:r>
      <w:r>
        <w:rPr>
          <w:rFonts w:cs="Arial"/>
          <w:szCs w:val="22"/>
        </w:rPr>
        <w:t xml:space="preserve"> however, they have very limited activity against mature gametocytes, the stages responsible for transmission to the mosquito. The 8-aminoquinolone primaquine is </w:t>
      </w:r>
      <w:r w:rsidR="00954B9B">
        <w:rPr>
          <w:rFonts w:cs="Arial"/>
          <w:szCs w:val="22"/>
        </w:rPr>
        <w:t xml:space="preserve">a potent and fast-acting gametocytocidal drug and is </w:t>
      </w:r>
      <w:r>
        <w:rPr>
          <w:rFonts w:cs="Arial"/>
          <w:szCs w:val="22"/>
        </w:rPr>
        <w:t>currently the only drug recommended for blocking malaria transmission</w:t>
      </w:r>
      <w:r w:rsidR="00F95099">
        <w:rPr>
          <w:rFonts w:cs="Arial"/>
          <w:szCs w:val="22"/>
        </w:rPr>
        <w:t>.</w:t>
      </w:r>
      <w:r w:rsidR="00954B9B">
        <w:rPr>
          <w:rFonts w:cs="Arial"/>
          <w:szCs w:val="22"/>
        </w:rPr>
        <w:t xml:space="preserve"> </w:t>
      </w:r>
      <w:r w:rsidR="00F95099" w:rsidRPr="00F042EA">
        <w:rPr>
          <w:rFonts w:cs="Arial"/>
          <w:szCs w:val="22"/>
        </w:rPr>
        <w:t xml:space="preserve">To reduce </w:t>
      </w:r>
      <w:r w:rsidR="00F95099" w:rsidRPr="00F042EA">
        <w:rPr>
          <w:rFonts w:cs="Arial"/>
          <w:i/>
          <w:iCs/>
          <w:szCs w:val="22"/>
        </w:rPr>
        <w:t>P. falciparum</w:t>
      </w:r>
      <w:r w:rsidR="00F95099" w:rsidRPr="00F042EA">
        <w:rPr>
          <w:rFonts w:cs="Arial"/>
          <w:szCs w:val="22"/>
        </w:rPr>
        <w:t xml:space="preserve"> transmission, the World Health Organisation (WHO) recommends the addition of a single low dose of primaquine</w:t>
      </w:r>
      <w:r w:rsidR="00AB5C4B">
        <w:rPr>
          <w:rFonts w:cs="Arial"/>
          <w:szCs w:val="22"/>
        </w:rPr>
        <w:t xml:space="preserve"> (SLD PQ)</w:t>
      </w:r>
      <w:r w:rsidR="00F95099" w:rsidRPr="00F042EA">
        <w:rPr>
          <w:rFonts w:cs="Arial"/>
          <w:szCs w:val="22"/>
        </w:rPr>
        <w:t xml:space="preserve"> (0.25 mg/kg), to ACT</w:t>
      </w:r>
      <w:r w:rsidR="00F95099">
        <w:rPr>
          <w:rFonts w:cs="Arial"/>
          <w:szCs w:val="22"/>
        </w:rPr>
        <w:t xml:space="preserve">. </w:t>
      </w:r>
      <w:r w:rsidR="0088199E">
        <w:rPr>
          <w:rFonts w:cs="Arial"/>
          <w:szCs w:val="22"/>
        </w:rPr>
        <w:t xml:space="preserve">The benefit of </w:t>
      </w:r>
      <w:r w:rsidR="00AB5C4B">
        <w:rPr>
          <w:rFonts w:cs="Arial"/>
          <w:szCs w:val="22"/>
        </w:rPr>
        <w:t xml:space="preserve">adding SLD </w:t>
      </w:r>
      <w:r w:rsidR="0088199E">
        <w:rPr>
          <w:rFonts w:cs="Arial"/>
          <w:szCs w:val="22"/>
        </w:rPr>
        <w:t xml:space="preserve">PQ has been assessed with </w:t>
      </w:r>
      <w:proofErr w:type="spellStart"/>
      <w:r w:rsidR="00C7066C" w:rsidRPr="00F042EA">
        <w:rPr>
          <w:rFonts w:cs="Arial"/>
          <w:szCs w:val="22"/>
        </w:rPr>
        <w:t>Dihydroartemisinin</w:t>
      </w:r>
      <w:proofErr w:type="spellEnd"/>
      <w:r w:rsidR="00C7066C" w:rsidRPr="00F042EA">
        <w:rPr>
          <w:rFonts w:cs="Arial"/>
          <w:szCs w:val="22"/>
        </w:rPr>
        <w:t>-Piperaquine</w:t>
      </w:r>
      <w:r w:rsidR="00C7066C">
        <w:rPr>
          <w:rFonts w:cs="Arial"/>
          <w:szCs w:val="22"/>
        </w:rPr>
        <w:t xml:space="preserve"> (DP)</w:t>
      </w:r>
      <w:r w:rsidR="0088199E">
        <w:rPr>
          <w:rFonts w:cs="Arial"/>
          <w:szCs w:val="22"/>
        </w:rPr>
        <w:t xml:space="preserve">, Pyronaridine-Artesunate (PA) and </w:t>
      </w:r>
      <w:r w:rsidR="00C7066C" w:rsidRPr="00F042EA">
        <w:rPr>
          <w:rFonts w:cs="Arial"/>
          <w:szCs w:val="22"/>
        </w:rPr>
        <w:t>Artemet</w:t>
      </w:r>
      <w:r w:rsidR="00C7066C">
        <w:rPr>
          <w:rFonts w:cs="Arial"/>
          <w:szCs w:val="22"/>
        </w:rPr>
        <w:t>h</w:t>
      </w:r>
      <w:r w:rsidR="00C7066C" w:rsidRPr="00F042EA">
        <w:rPr>
          <w:rFonts w:cs="Arial"/>
          <w:szCs w:val="22"/>
        </w:rPr>
        <w:t>er-Lumefantrine</w:t>
      </w:r>
      <w:r w:rsidR="00C7066C">
        <w:rPr>
          <w:rFonts w:cs="Arial"/>
          <w:szCs w:val="22"/>
        </w:rPr>
        <w:t xml:space="preserve"> (</w:t>
      </w:r>
      <w:r w:rsidR="0088199E">
        <w:rPr>
          <w:rFonts w:cs="Arial"/>
          <w:szCs w:val="22"/>
        </w:rPr>
        <w:t>AL</w:t>
      </w:r>
      <w:r w:rsidR="00C7066C">
        <w:rPr>
          <w:rFonts w:cs="Arial"/>
          <w:szCs w:val="22"/>
        </w:rPr>
        <w:t>)</w:t>
      </w:r>
      <w:r w:rsidR="00B3090C">
        <w:rPr>
          <w:rFonts w:cs="Arial"/>
          <w:szCs w:val="22"/>
        </w:rPr>
        <w:t xml:space="preserve">, concluding effective blockage of transmission within 48 hours </w:t>
      </w:r>
      <w:r w:rsidR="00AB5C4B">
        <w:rPr>
          <w:rFonts w:cs="Arial"/>
          <w:szCs w:val="22"/>
        </w:rPr>
        <w:t xml:space="preserve"> </w:t>
      </w:r>
      <w:r w:rsidR="00AB5C4B">
        <w:rPr>
          <w:rFonts w:cs="Arial"/>
          <w:szCs w:val="22"/>
        </w:rPr>
        <w:fldChar w:fldCharType="begin"/>
      </w:r>
      <w:r w:rsidR="00FB2554">
        <w:rPr>
          <w:rFonts w:cs="Arial"/>
          <w:szCs w:val="22"/>
        </w:rPr>
        <w:instrText xml:space="preserve"> ADDIN ZOTERO_ITEM CSL_CITATION {"citationID":"gD5Zf6Bb","properties":{"formattedCitation":"[3], [8]","plainCitation":"[3], [8]","noteIndex":0},"citationItems":[{"id":737,"uris":["http://zotero.org/users/7806423/items/XW32ELGQ"],"itemData":{"id":737,"type":"article-journal","abstract":"Background Pyronaridine–artesunate is the most recently licensed artemisinin-based combination therapy. WHO has recommended that a single low dose of primaquine could be added to artemisinin-based combination therapies to reduce Plasmodium falciparum transmission in areas aiming for elimination of malaria or areas facing artemisinin resistance. We aimed to determine the efficacy of pyronaridine–artesunate and dihydroartemisinin–piperaquine with and without single low-dose primaquine for reducing gametocyte density and transmission to mosquitoes.","container-title":"The Lancet Microbe","DOI":"10.1016/S2666-5247(21)00192-0","ISSN":"26665247","issue":"1","journalAbbreviation":"The Lancet Microbe","language":"en","page":"e41-e51","source":"DOI.org (Crossref)","title":"Pyronaridine–artesunate or dihydroartemisinin–piperaquine combined with single low-dose primaquine to prevent Plasmodium falciparum malaria transmission in Ouélessébougou, Mali: a four-arm, single-blind, phase 2/3, randomised trial","title-short":"Pyronaridine–artesunate or dihydroartemisinin–piperaquine combined with single low-dose primaquine to prevent Plasmodium falciparum malaria transmission in Ouélessébougou, Mali","volume":"3","author":[{"family":"Stone","given":"William"},{"family":"Mahamar","given":"Almahamoudou"},{"family":"Sanogo","given":"Koualy"},{"family":"Sinaba","given":"Youssouf"},{"family":"Niambele","given":"Sidi M"},{"family":"Sacko","given":"Adama"},{"family":"Keita","given":"Sekouba"},{"family":"Youssouf","given":"Ahamadou"},{"family":"Diallo","given":"Makonon"},{"family":"Soumare","given":"Harouna M"},{"family":"Kaur","given":"Harparkash"},{"family":"Lanke","given":"Kjerstin"},{"family":"Heine","given":"Rob","non-dropping-particle":"ter"},{"family":"Bradley","given":"John"},{"family":"Issiaka","given":"Djibrilla"},{"family":"Diawara","given":"Halimatou"},{"family":"Traore","given":"Sekou F"},{"family":"Bousema","given":"Teun"},{"family":"Drakeley","given":"Chris"},{"family":"Dicko","given":"Alassane"}],"issued":{"date-parts":[["2022",1]]}}},{"id":148,"uris":["http://zotero.org/users/7806423/items/JRKRIFND"],"itemData":{"id":148,"type":"article-journal","abstract":"BACKGROUND: Single low doses of primaquine, when added to artemisinin-based combination therapy, might prevent transmission of Plasmodium falciparum malaria to mosquitoes. We aimed to establish the activity and safety of four low doses of primaquine combined with dihydroartemisinin-piperaquine in male patients in Mali.\nMETHODS: In this phase 2, single-blind, dose-ranging, adaptive randomised trial, we enrolled boys and men with uncomplicated P falciparum malaria at the Malaria Research and Training Centre (MRTC) field site in Ouelessebougou, Mali. All participants were confirmed positive carriers of gametocytes through microscopy and had normal function of glucose-6-phosphate dehydrogenase (G6PD) on colorimetric quantification. In the first phase, participants were randomly assigned (1:1:1) to one of three primaquine doses: 0 mg/kg (control), 0·125 mg/kg, and 0·5 mg/kg. Randomisation was done with a computer-generated randomisation list (in block sizes of six) and concealed with sealed, opaque envelopes. In the second phase, different participants were sequentially assigned (1:1) to 0·25 mg/kg primaquine or 0·0625 mg/kg primaquine. Primaquine tablets were dissolved into a solution and administered orally in a single dose. Participants were also given a 3 day course of dihydroartemisinin-piperaquine, administered by weight (320 mg dihydroartemisinin and 40 mg piperaquine per tablet). Outcome assessors were masked to treatment allocation, but participants were permitted to find out group assignment. Infectivity was assessed through membrane-feeding assays, which were optimised through the beginning part of phase one. The primary efficacy endpoint was the mean within-person percentage change in mosquito infectivity 2 days after primaquine treatment in participants who completed the study after optimisation of the infectivity assay, had both a pre-treatment infectivity measurement and at least one follow-up infectivity measurement, and who were given the correct primaquine dose. The safety endpoint was the mean within-person change in haemoglobin concentration during 28 days of study follow-up in participants with at least one follow-up visit. This study is registered with ClinicalTrials.gov, number NCT01743820.\nFINDINGS: Between Jan 2, 2013, and Nov 27, 2014, we enrolled 81 participants. In the primary analysis sample (n=71), participants in the 0·25 mg/kg primaquine dose group (n=15) and 0·5 mg/kg primaquine dose group (n=14) had significantly lower mean within-person reductions in infectivity at day 2-92·6% (95% CI 78·3-100; p=0·0014) for the 0·25 mg/kg group; and 75·0% (45·7-100; p=0·014) for the 0·5 mg/kg primaquine group-compared with those in the control group (n=14; 11·3% [-27·4 to 50·0]). Reductions were not significantly different from control for participants assigned to the 0·0625 mg/kg dose group (n=16; 41·9% [1·4-82·5]; p=0·16) and the 0·125 mg/kg dose group (n=12; 54·9% [13·4-96·3]; p=0·096). No clinically meaningful or statistically significant drops in haemoglobin were recorded in any individual in the haemoglobin analysis (n=70) during follow-up. No serious adverse events were reported and adverse events did not differ between treatment groups.\nINTERPRETATION: A single dose of 0·25 mg/kg primaquine, given alongside dihydroartemisinin-piperaquine, was safe and efficacious for the prevention of P falciparum malaria transmission in boys and men who are not deficient in G6PD. Future studies should assess the safety of single-dose primaquine in G6PD-deficient individuals to define the therapeutic range of primaquine to enable the safe roll-out of community interventions with primaquine.\nFUNDING: Bill &amp; Melinda Gates Foundation.","container-title":"The Lancet. Infectious Diseases","DOI":"10.1016/S1473-3099(15)00479-X","ISSN":"1474-4457","issue":"6","journalAbbreviation":"Lancet Infect Dis","language":"eng","note":"PMID: 26906747","page":"674-684","source":"PubMed","title":"Primaquine to reduce transmission of Plasmodium falciparum malaria in Mali: a single-blind, dose-ranging, adaptive randomised phase 2 trial","title-short":"Primaquine to reduce transmission of Plasmodium falciparum malaria in Mali","volume":"16","author":[{"family":"Dicko","given":"Alassane"},{"family":"Brown","given":"Joelle M."},{"family":"Diawara","given":"Halimatou"},{"family":"Baber","given":"Ibrahima"},{"family":"Mahamar","given":"Almahamoudou"},{"family":"Soumare","given":"Harouna M."},{"family":"Sanogo","given":"Koualy"},{"family":"Koita","given":"Fanta"},{"family":"Keita","given":"Sekouba"},{"family":"Traore","given":"Sekou F."},{"family":"Chen","given":"Ingrid"},{"family":"Poirot","given":"Eugenie"},{"family":"Hwang","given":"Jimee"},{"family":"McCulloch","given":"Charles"},{"family":"Lanke","given":"Kjerstin"},{"family":"Pett","given":"Helmi"},{"family":"Niemi","given":"Mikko"},{"family":"Nosten","given":"François"},{"family":"Bousema","given":"Teun"},{"family":"Gosling","given":"Roly"}],"issued":{"date-parts":[["2016",6]]}}}],"schema":"https://github.com/citation-style-language/schema/raw/master/csl-citation.json"} </w:instrText>
      </w:r>
      <w:r w:rsidR="00AB5C4B">
        <w:rPr>
          <w:rFonts w:cs="Arial"/>
          <w:szCs w:val="22"/>
        </w:rPr>
        <w:fldChar w:fldCharType="separate"/>
      </w:r>
      <w:r w:rsidR="00FB2554">
        <w:rPr>
          <w:rFonts w:cs="Arial"/>
          <w:noProof/>
          <w:szCs w:val="22"/>
        </w:rPr>
        <w:t>[3], [8]</w:t>
      </w:r>
      <w:r w:rsidR="00AB5C4B">
        <w:rPr>
          <w:rFonts w:cs="Arial"/>
          <w:szCs w:val="22"/>
        </w:rPr>
        <w:fldChar w:fldCharType="end"/>
      </w:r>
      <w:r w:rsidR="00AB5C4B">
        <w:rPr>
          <w:rFonts w:cs="Arial"/>
          <w:szCs w:val="22"/>
        </w:rPr>
        <w:t xml:space="preserve"> [NECTAR3, in preparation]</w:t>
      </w:r>
      <w:r w:rsidR="00B3090C">
        <w:rPr>
          <w:rFonts w:cs="Arial"/>
          <w:szCs w:val="22"/>
        </w:rPr>
        <w:t>.</w:t>
      </w:r>
      <w:r w:rsidR="00AB5C4B">
        <w:rPr>
          <w:rFonts w:cs="Arial"/>
          <w:szCs w:val="22"/>
        </w:rPr>
        <w:t xml:space="preserve"> </w:t>
      </w:r>
      <w:r w:rsidR="0088199E">
        <w:rPr>
          <w:rFonts w:cs="Arial"/>
          <w:szCs w:val="22"/>
        </w:rPr>
        <w:t xml:space="preserve">However, the added benefit of combining PQ with </w:t>
      </w:r>
      <w:r w:rsidR="00C7066C">
        <w:rPr>
          <w:rFonts w:cs="Arial"/>
          <w:szCs w:val="22"/>
        </w:rPr>
        <w:t>Artesunate-Amodiaquine (</w:t>
      </w:r>
      <w:r w:rsidR="0088199E">
        <w:rPr>
          <w:rFonts w:cs="Arial"/>
          <w:szCs w:val="22"/>
        </w:rPr>
        <w:t>ASAQ</w:t>
      </w:r>
      <w:r w:rsidR="00C7066C">
        <w:rPr>
          <w:rFonts w:cs="Arial"/>
          <w:szCs w:val="22"/>
        </w:rPr>
        <w:t>)</w:t>
      </w:r>
      <w:r w:rsidR="0088199E">
        <w:rPr>
          <w:rFonts w:cs="Arial"/>
          <w:szCs w:val="22"/>
        </w:rPr>
        <w:t xml:space="preserve"> has not </w:t>
      </w:r>
      <w:r w:rsidR="00BA27FB">
        <w:rPr>
          <w:rFonts w:cs="Arial"/>
          <w:szCs w:val="22"/>
        </w:rPr>
        <w:t xml:space="preserve">yet </w:t>
      </w:r>
      <w:r w:rsidR="0088199E">
        <w:rPr>
          <w:rFonts w:cs="Arial"/>
          <w:szCs w:val="22"/>
        </w:rPr>
        <w:t>been tested</w:t>
      </w:r>
      <w:r w:rsidR="00BA27FB">
        <w:rPr>
          <w:rFonts w:cs="Arial"/>
          <w:szCs w:val="22"/>
        </w:rPr>
        <w:t xml:space="preserve">, despite ASAQ being the first-line ACT in many countries </w:t>
      </w:r>
      <w:r w:rsidR="00BA27FB">
        <w:rPr>
          <w:rFonts w:cs="Arial"/>
          <w:szCs w:val="22"/>
        </w:rPr>
        <w:fldChar w:fldCharType="begin"/>
      </w:r>
      <w:r w:rsidR="00FB2554">
        <w:rPr>
          <w:rFonts w:cs="Arial"/>
          <w:szCs w:val="22"/>
        </w:rPr>
        <w:instrText xml:space="preserve"> ADDIN ZOTERO_ITEM CSL_CITATION {"citationID":"M2dJTwiK","properties":{"formattedCitation":"[7]","plainCitation":"[7]","noteIndex":0},"citationItems":[{"id":817,"uris":["http://zotero.org/users/7806423/items/Y8AK6MEV"],"itemData":{"id":817,"type":"book","event-place":"Geneva","ISBN":"978-92-4-004049-6","language":"en","note":"section: liv, 263 p.","publisher":"World Health Organization","publisher-place":"Geneva","source":"WHO IRIS","title":"World malaria report 2021","URL":"https://apps.who.int/iris/handle/10665/350147","author":[{"literal":"World Health Organization"}],"accessed":{"date-parts":[["2022",4,4]]},"issued":{"date-parts":[["2021"]]}}}],"schema":"https://github.com/citation-style-language/schema/raw/master/csl-citation.json"} </w:instrText>
      </w:r>
      <w:r w:rsidR="00BA27FB">
        <w:rPr>
          <w:rFonts w:cs="Arial"/>
          <w:szCs w:val="22"/>
        </w:rPr>
        <w:fldChar w:fldCharType="separate"/>
      </w:r>
      <w:r w:rsidR="00FB2554">
        <w:rPr>
          <w:rFonts w:cs="Arial"/>
          <w:noProof/>
          <w:szCs w:val="22"/>
        </w:rPr>
        <w:t>[7]</w:t>
      </w:r>
      <w:r w:rsidR="00BA27FB">
        <w:rPr>
          <w:rFonts w:cs="Arial"/>
          <w:szCs w:val="22"/>
        </w:rPr>
        <w:fldChar w:fldCharType="end"/>
      </w:r>
      <w:r w:rsidR="00BA27FB">
        <w:rPr>
          <w:rFonts w:cs="Arial"/>
          <w:szCs w:val="22"/>
        </w:rPr>
        <w:t>.</w:t>
      </w:r>
      <w:r w:rsidR="00A90E9F">
        <w:rPr>
          <w:rFonts w:cs="Arial"/>
          <w:szCs w:val="22"/>
        </w:rPr>
        <w:t xml:space="preserve"> Importantly, an individual-level meta-analysis of gametocyte data before and after ACT treatment suggested that ASAQ may be inefficient in clearing gametocytes with a fourfold higher odds of gametocyte carriage compared to the most widely used ACT that is AL</w:t>
      </w:r>
      <w:r w:rsidR="00DA55BC">
        <w:rPr>
          <w:rFonts w:cs="Arial"/>
          <w:szCs w:val="22"/>
        </w:rPr>
        <w:t xml:space="preserve"> </w:t>
      </w:r>
      <w:r w:rsidR="00DA55BC">
        <w:rPr>
          <w:rFonts w:cs="Arial"/>
          <w:szCs w:val="22"/>
        </w:rPr>
        <w:fldChar w:fldCharType="begin"/>
      </w:r>
      <w:r w:rsidR="00DA55BC">
        <w:rPr>
          <w:rFonts w:cs="Arial"/>
          <w:szCs w:val="22"/>
        </w:rPr>
        <w:instrText xml:space="preserve"> ADDIN ZOTERO_ITEM CSL_CITATION {"citationID":"ODWDLZDG","properties":{"formattedCitation":"[2]","plainCitation":"[2]","noteIndex":0},"citationItems":[{"id":712,"uris":["http://zotero.org/users/7806423/items/TGRBPZSK"],"itemData":{"id":712,"type":"article-journal","abstract":"Background\nGametocytes are responsible for transmission of malaria from human to mosquito. Artemisinin combination therapy (ACT) reduces post-treatment gametocyte carriage, dependent upon host, parasite and pharmacodynamic factors. The gametocytocidal properties of antimalarial drugs are important for malaria elimination efforts. An individual patient clinical data meta-analysis was undertaken to identify the determinants of gametocyte carriage and the comparative effects of four ACTs: artemether-lumefantrine (AL), artesunate/amodiaquine (AS-AQ), artesunate/mefloquine (AS-MQ), and dihydroartemisinin-piperaquine (DP).\n\nMethods\nFactors associated with gametocytaemia prior to, and following, ACT treatment were identified in multivariable logistic or Cox regression analysis with random effects. All relevant studies were identified through a systematic review of PubMed. Risk of bias was evaluated based on study design, methodology, and missing data.\n\nResults\nThe systematic review identified 169 published and 9 unpublished studies, 126 of which were shared with the WorldWide Antimalarial Resistance Network (WWARN) and 121 trials including 48,840 patients were included in the analysis. Prevalence of gametocytaemia by microscopy at enrolment was 12.1 % (5887/48,589), and increased with decreasing age, decreasing asexual parasite density and decreasing haemoglobin concentration, and was higher in patients without fever at presentation. After ACT treatment, gametocytaemia appeared in 1.9 % (95 % CI, 1.7–2.1) of patients. The appearance of gametocytaemia was lowest after AS-MQ and AL and significantly higher after DP (adjusted hazard ratio (AHR), 2.03; 95 % CI, 1.24–3.12; P = 0.005 compared to AL) and AS-AQ fixed dose combination (FDC) (AHR, 4.01; 95 % CI, 2.40–6.72; P &lt; 0.001 compared to AL). Among individuals who had gametocytaemia before treatment, gametocytaemia clearance was significantly faster with AS-MQ (AHR, 1.26; 95 % CI, 1.00–1.60; P = 0.054) and slower with DP (AHR, 0.74; 95 % CI, 0.63–0.88; P = 0.001) compared to AL. Both recrudescent (adjusted odds ratio (AOR), 9.05; 95 % CI, 3.74–21.90; P &lt; 0.001) and new (AOR, 3.03; 95 % CI, 1.66–5.54; P &lt; 0.001) infections with asexual-stage parasites were strongly associated with development of gametocytaemia after day 7.\n\nConclusions\nAS-MQ and AL are more effective than DP and AS-AQ FDC in preventing gametocytaemia shortly after treatment, suggesting that the non-artemisinin partner drug or the timing of artemisinin dosing are important determinants of post-treatment gametocyte dynamics.\n\nElectronic supplementary material\nThe online version of this article (doi:10.1186/s12916-016-0621-7) contains supplementary material, which is available to authorized users.","container-title":"BMC Medicine","DOI":"10.1186/s12916-016-0621-7","ISSN":"1741-7015","journalAbbreviation":"BMC Med","note":"PMID: 27221542\nPMCID: PMC4879753","page":"79","source":"PubMed Central","title":"Gametocyte carriage in uncomplicated Plasmodium falciparum malaria following treatment with artemisinin combination therapy: a systematic review and meta-analysis of individual patient data","title-short":"Gametocyte carriage in uncomplicated Plasmodium falciparum malaria following treatment with artemisinin combination therapy","volume":"14","issued":{"date-parts":[["2016",5,24]]}}}],"schema":"https://github.com/citation-style-language/schema/raw/master/csl-citation.json"} </w:instrText>
      </w:r>
      <w:r w:rsidR="00DA55BC">
        <w:rPr>
          <w:rFonts w:cs="Arial"/>
          <w:szCs w:val="22"/>
        </w:rPr>
        <w:fldChar w:fldCharType="separate"/>
      </w:r>
      <w:r w:rsidR="00DA55BC">
        <w:rPr>
          <w:rFonts w:cs="Arial"/>
          <w:noProof/>
          <w:szCs w:val="22"/>
        </w:rPr>
        <w:t>[2]</w:t>
      </w:r>
      <w:r w:rsidR="00DA55BC">
        <w:rPr>
          <w:rFonts w:cs="Arial"/>
          <w:szCs w:val="22"/>
        </w:rPr>
        <w:fldChar w:fldCharType="end"/>
      </w:r>
      <w:r w:rsidR="00A90E9F">
        <w:rPr>
          <w:rFonts w:cs="Arial"/>
          <w:szCs w:val="22"/>
        </w:rPr>
        <w:t xml:space="preserve">. </w:t>
      </w:r>
    </w:p>
    <w:p w14:paraId="1BB508CC" w14:textId="308431D8" w:rsidR="001F0B2D" w:rsidRDefault="003E53BB" w:rsidP="00164E47">
      <w:pPr>
        <w:jc w:val="both"/>
        <w:rPr>
          <w:rFonts w:cs="Arial"/>
          <w:szCs w:val="22"/>
        </w:rPr>
      </w:pPr>
      <w:r>
        <w:rPr>
          <w:rFonts w:cs="Arial"/>
          <w:szCs w:val="22"/>
        </w:rPr>
        <w:t xml:space="preserve">The stagnation of </w:t>
      </w:r>
      <w:r w:rsidR="00EE45F1">
        <w:rPr>
          <w:rFonts w:cs="Arial"/>
          <w:szCs w:val="22"/>
        </w:rPr>
        <w:t xml:space="preserve">progress toward reducing </w:t>
      </w:r>
      <w:r>
        <w:rPr>
          <w:rFonts w:cs="Arial"/>
          <w:szCs w:val="22"/>
        </w:rPr>
        <w:t xml:space="preserve">global malaria morbidity and mortality </w:t>
      </w:r>
      <w:r w:rsidR="00BF0173">
        <w:rPr>
          <w:rFonts w:cs="Arial"/>
          <w:szCs w:val="22"/>
        </w:rPr>
        <w:t>may be</w:t>
      </w:r>
      <w:r>
        <w:rPr>
          <w:rFonts w:cs="Arial"/>
          <w:szCs w:val="22"/>
        </w:rPr>
        <w:t xml:space="preserve"> compounded by</w:t>
      </w:r>
      <w:r w:rsidR="0024129E" w:rsidRPr="001F0B2D">
        <w:rPr>
          <w:rFonts w:cs="Arial"/>
          <w:szCs w:val="22"/>
        </w:rPr>
        <w:t xml:space="preserve"> the emergence of artemisinin resistanc</w:t>
      </w:r>
      <w:r>
        <w:rPr>
          <w:rFonts w:cs="Arial"/>
          <w:szCs w:val="22"/>
        </w:rPr>
        <w:t xml:space="preserve">e. </w:t>
      </w:r>
      <w:r w:rsidR="001F0B2D" w:rsidRPr="001F0B2D">
        <w:rPr>
          <w:rFonts w:cs="Arial"/>
          <w:szCs w:val="22"/>
        </w:rPr>
        <w:t xml:space="preserve">Artemisinin resistance, </w:t>
      </w:r>
      <w:r w:rsidR="00261865">
        <w:rPr>
          <w:rFonts w:cs="Arial"/>
          <w:szCs w:val="22"/>
        </w:rPr>
        <w:t>characterized by</w:t>
      </w:r>
      <w:r w:rsidR="001F0B2D" w:rsidRPr="001F0B2D">
        <w:rPr>
          <w:rFonts w:cs="Arial"/>
          <w:szCs w:val="22"/>
        </w:rPr>
        <w:t xml:space="preserve"> slow parasite </w:t>
      </w:r>
      <w:r w:rsidR="00584B0A">
        <w:rPr>
          <w:rFonts w:cs="Arial"/>
          <w:szCs w:val="22"/>
        </w:rPr>
        <w:t>clearance</w:t>
      </w:r>
      <w:r w:rsidR="00773CC9">
        <w:rPr>
          <w:rFonts w:cs="Arial"/>
          <w:szCs w:val="22"/>
        </w:rPr>
        <w:t xml:space="preserve"> </w:t>
      </w:r>
      <w:r w:rsidR="00773CC9">
        <w:rPr>
          <w:rFonts w:cs="Arial"/>
          <w:szCs w:val="22"/>
        </w:rPr>
        <w:fldChar w:fldCharType="begin"/>
      </w:r>
      <w:r w:rsidR="00FB2554">
        <w:rPr>
          <w:rFonts w:cs="Arial"/>
          <w:szCs w:val="22"/>
        </w:rPr>
        <w:instrText xml:space="preserve"> ADDIN ZOTERO_ITEM CSL_CITATION {"citationID":"5yrP4Cn7","properties":{"formattedCitation":"[9], [10]","plainCitation":"[9], [10]","noteIndex":0},"citationItems":[{"id":971,"uris":["http://zotero.org/users/7806423/items/SEMSXEQ6"],"itemData":{"id":971,"type":"article-journal","abstract":"Artemisinin therapy is a first-line approach to malaria treatment in many parts of the world. Resistance to this class of agents is an emerging threat to malaria treatment and control. In two studies conducted in Thailand and Cambodia, P. falciparum was found to have reduced in vivo susceptibility to artesunate, characterized by slow parasite clearance.","container-title":"New England Journal of Medicine","DOI":"10.1056/NEJMoa0808859","ISSN":"0028-4793","issue":"5","note":"publisher: Massachusetts Medical Society\n_eprint: https://doi.org/10.1056/NEJMoa0808859\nPMID: 19641202","page":"455-467","source":"Taylor and Francis+NEJM","title":"Artemisinin Resistance in Plasmodium falciparum Malaria","volume":"361","author":[{"family":"Dondorp","given":"Arjen M."},{"family":"Nosten","given":"François"},{"family":"Yi","given":"Poravuth"},{"family":"Das","given":"Debashish"},{"family":"Phyo","given":"Aung Phae"},{"family":"Tarning","given":"Joel"},{"family":"Lwin","given":"Khin Maung"},{"family":"Ariey","given":"Frederic"},{"family":"Hanpithakpong","given":"Warunee"},{"family":"Lee","given":"Sue J."},{"family":"Ringwald","given":"Pascal"},{"family":"Silamut","given":"Kamolrat"},{"family":"Imwong","given":"Mallika"},{"family":"Chotivanich","given":"Kesinee"},{"family":"Lim","given":"Pharath"},{"family":"Herdman","given":"Trent"},{"family":"An","given":"Sen Sam"},{"family":"Yeung","given":"Shunmay"},{"family":"Singhasivanon","given":"Pratap"},{"family":"Day","given":"Nicholas P.J."},{"family":"Lindegardh","given":"Niklas"},{"family":"Socheat","given":"Duong"},{"family":"White","given":"Nicholas J."}],"issued":{"date-parts":[["2009",7,30]]}}},{"id":970,"uris":["http://zotero.org/users/7806423/items/4PE5UCAQ"],"itemData":{"id":970,"type":"article-journal","abstract":"To the Editor: Although artemisinins are potent and rapidly acting antimalarial drugs, their widespread use for treating patients with Plasmodium falciparum malaria raises the question of emerging drug resistance.1,2 Artemisinin monotherapy should not be used in areas where malaria is endemic; it requires an extended administration period and may lead to treatment failure, most frequently because of problems with compliance. Recent reports of high failure rates associated with artemisinin-based combination therapy, as well as in vitro drug-susceptibility data, suggest the possibility of clinical artemisinin resistance along the Thai–Cambodian border.3,4 We studied the potential emergence of artemisinin resistance using . . .","container-title":"New England Journal of Medicine","DOI":"10.1056/NEJMc0805011","ISSN":"0028-4793","issue":"24","note":"publisher: Massachusetts Medical Society\n_eprint: https://doi.org/10.1056/NEJMc0805011\nPMID: 19064625","page":"2619-2620","source":"Taylor and Francis+NEJM","title":"Evidence of Artemisinin-Resistant Malaria in Western Cambodia","volume":"359","author":[{"family":"Noedl","given":"Harald"},{"family":"Se","given":"Youry"},{"family":"Schaecher","given":"Kurt"},{"family":"Smith","given":"Bryan L."},{"family":"Socheat","given":"Duong"},{"family":"Fukuda","given":"Mark M."}],"issued":{"date-parts":[["2008",12,11]]}}}],"schema":"https://github.com/citation-style-language/schema/raw/master/csl-citation.json"} </w:instrText>
      </w:r>
      <w:r w:rsidR="00773CC9">
        <w:rPr>
          <w:rFonts w:cs="Arial"/>
          <w:szCs w:val="22"/>
        </w:rPr>
        <w:fldChar w:fldCharType="separate"/>
      </w:r>
      <w:r w:rsidR="00FB2554">
        <w:rPr>
          <w:rFonts w:cs="Arial"/>
          <w:noProof/>
          <w:szCs w:val="22"/>
        </w:rPr>
        <w:t>[9], [10]</w:t>
      </w:r>
      <w:r w:rsidR="00773CC9">
        <w:rPr>
          <w:rFonts w:cs="Arial"/>
          <w:szCs w:val="22"/>
        </w:rPr>
        <w:fldChar w:fldCharType="end"/>
      </w:r>
      <w:r w:rsidR="00261865">
        <w:rPr>
          <w:rFonts w:cs="Arial"/>
          <w:szCs w:val="22"/>
        </w:rPr>
        <w:t xml:space="preserve"> because of reduced susceptibility of ring-stage parasites</w:t>
      </w:r>
      <w:r w:rsidR="00773CC9">
        <w:rPr>
          <w:rFonts w:cs="Arial"/>
          <w:szCs w:val="22"/>
        </w:rPr>
        <w:t xml:space="preserve"> </w:t>
      </w:r>
      <w:r w:rsidR="00D77A27">
        <w:rPr>
          <w:rFonts w:cs="Arial"/>
          <w:szCs w:val="22"/>
        </w:rPr>
        <w:fldChar w:fldCharType="begin"/>
      </w:r>
      <w:r w:rsidR="00FB2554">
        <w:rPr>
          <w:rFonts w:cs="Arial"/>
          <w:szCs w:val="22"/>
        </w:rPr>
        <w:instrText xml:space="preserve"> ADDIN ZOTERO_ITEM CSL_CITATION {"citationID":"k4JI9yqE","properties":{"formattedCitation":"[11]","plainCitation":"[11]","noteIndex":0},"citationItems":[{"id":968,"uris":["http://zotero.org/users/7806423/items/EEKDF9ME"],"itemData":{"id":968,"type":"article-journal","container-title":"Proceedings of the National Academy of Sciences","DOI":"10.1073/pnas.1006113108","issue":"1","note":"publisher: Proceedings of the National Academy of Sciences","page":"397-402","source":"pnas.org (Atypon)","title":"Intrahost modeling of artemisinin resistance in Plasmodium falciparum","volume":"108","author":[{"family":"Saralamba","given":"Sompob"},{"family":"Pan-Ngum","given":"Wirichada"},{"family":"Maude","given":"Richard J."},{"family":"Lee","given":"Sue J."},{"family":"Tarning","given":"Joel"},{"family":"Lindegårdh","given":"Niklas"},{"family":"Chotivanich","given":"Kesinee"},{"family":"Nosten","given":"François"},{"family":"Day","given":"Nicholas P. J."},{"family":"Socheat","given":"Duong"},{"family":"White","given":"Nicholas J."},{"family":"Dondorp","given":"Arjen M."},{"family":"White","given":"Lisa J."}],"issued":{"date-parts":[["2011",1,4]]}}}],"schema":"https://github.com/citation-style-language/schema/raw/master/csl-citation.json"} </w:instrText>
      </w:r>
      <w:r w:rsidR="00D77A27">
        <w:rPr>
          <w:rFonts w:cs="Arial"/>
          <w:szCs w:val="22"/>
        </w:rPr>
        <w:fldChar w:fldCharType="separate"/>
      </w:r>
      <w:r w:rsidR="00FB2554">
        <w:rPr>
          <w:rFonts w:cs="Arial"/>
          <w:noProof/>
          <w:szCs w:val="22"/>
        </w:rPr>
        <w:t>[11]</w:t>
      </w:r>
      <w:r w:rsidR="00D77A27">
        <w:rPr>
          <w:rFonts w:cs="Arial"/>
          <w:szCs w:val="22"/>
        </w:rPr>
        <w:fldChar w:fldCharType="end"/>
      </w:r>
      <w:r w:rsidR="00584B0A">
        <w:rPr>
          <w:rFonts w:cs="Arial"/>
          <w:szCs w:val="22"/>
        </w:rPr>
        <w:t>,</w:t>
      </w:r>
      <w:r w:rsidR="001F0B2D" w:rsidRPr="001F0B2D">
        <w:rPr>
          <w:rFonts w:cs="Arial"/>
          <w:szCs w:val="22"/>
        </w:rPr>
        <w:t xml:space="preserve"> first emerged in Southeast Asia, </w:t>
      </w:r>
      <w:r w:rsidR="00261865">
        <w:rPr>
          <w:rFonts w:cs="Arial"/>
          <w:szCs w:val="22"/>
        </w:rPr>
        <w:t xml:space="preserve">a </w:t>
      </w:r>
      <w:r w:rsidR="001F0B2D" w:rsidRPr="001F0B2D">
        <w:rPr>
          <w:rFonts w:cs="Arial"/>
          <w:szCs w:val="22"/>
        </w:rPr>
        <w:t xml:space="preserve">region </w:t>
      </w:r>
      <w:r w:rsidR="00261865">
        <w:rPr>
          <w:rFonts w:cs="Arial"/>
          <w:szCs w:val="22"/>
        </w:rPr>
        <w:t xml:space="preserve">that has been the </w:t>
      </w:r>
      <w:r w:rsidR="001F0B2D" w:rsidRPr="001F0B2D">
        <w:rPr>
          <w:rFonts w:cs="Arial"/>
          <w:szCs w:val="22"/>
        </w:rPr>
        <w:t>epicent</w:t>
      </w:r>
      <w:r w:rsidR="00261865">
        <w:rPr>
          <w:rFonts w:cs="Arial"/>
          <w:szCs w:val="22"/>
        </w:rPr>
        <w:t>re for resistance development against all the major anti-malaria drugs in the past.</w:t>
      </w:r>
      <w:r w:rsidR="00773CC9">
        <w:rPr>
          <w:rFonts w:cs="Arial"/>
          <w:szCs w:val="22"/>
        </w:rPr>
        <w:t xml:space="preserve"> </w:t>
      </w:r>
      <w:r w:rsidR="001F0B2D" w:rsidRPr="001F0B2D">
        <w:rPr>
          <w:rFonts w:cs="Arial"/>
          <w:szCs w:val="22"/>
        </w:rPr>
        <w:t xml:space="preserve">In many areas with artemisinin resistance, resistance to the partner drug has now emerged as well, </w:t>
      </w:r>
      <w:r w:rsidR="00C55FF8">
        <w:rPr>
          <w:rFonts w:cs="Arial"/>
          <w:szCs w:val="22"/>
        </w:rPr>
        <w:t>leading to</w:t>
      </w:r>
      <w:r w:rsidR="00773CC9">
        <w:rPr>
          <w:rFonts w:cs="Arial"/>
          <w:szCs w:val="22"/>
        </w:rPr>
        <w:t xml:space="preserve"> </w:t>
      </w:r>
      <w:r w:rsidR="00B3090C">
        <w:rPr>
          <w:rFonts w:cs="Arial"/>
          <w:szCs w:val="22"/>
        </w:rPr>
        <w:t xml:space="preserve">a </w:t>
      </w:r>
      <w:r w:rsidR="00773CC9">
        <w:rPr>
          <w:rFonts w:cs="Arial"/>
          <w:szCs w:val="22"/>
        </w:rPr>
        <w:t xml:space="preserve">rapid rise in </w:t>
      </w:r>
      <w:r w:rsidR="001F0B2D" w:rsidRPr="001F0B2D">
        <w:rPr>
          <w:rFonts w:cs="Arial"/>
          <w:szCs w:val="22"/>
        </w:rPr>
        <w:t>treatment failure</w:t>
      </w:r>
      <w:r w:rsidR="00773CC9">
        <w:rPr>
          <w:rFonts w:cs="Arial"/>
          <w:szCs w:val="22"/>
        </w:rPr>
        <w:t>s</w:t>
      </w:r>
      <w:r w:rsidR="001F0B2D" w:rsidRPr="001F0B2D">
        <w:rPr>
          <w:rFonts w:cs="Arial"/>
          <w:szCs w:val="22"/>
        </w:rPr>
        <w:t xml:space="preserve"> </w:t>
      </w:r>
      <w:r w:rsidR="00773CC9">
        <w:rPr>
          <w:rFonts w:cs="Arial"/>
          <w:szCs w:val="22"/>
        </w:rPr>
        <w:t>following</w:t>
      </w:r>
      <w:r w:rsidR="001F0B2D" w:rsidRPr="001F0B2D">
        <w:rPr>
          <w:rFonts w:cs="Arial"/>
          <w:szCs w:val="22"/>
        </w:rPr>
        <w:t xml:space="preserve"> ACT</w:t>
      </w:r>
      <w:r w:rsidR="00773CC9">
        <w:rPr>
          <w:rFonts w:cs="Arial"/>
          <w:szCs w:val="22"/>
        </w:rPr>
        <w:t xml:space="preserve"> </w:t>
      </w:r>
      <w:r w:rsidR="00773CC9">
        <w:rPr>
          <w:rFonts w:cs="Arial"/>
          <w:szCs w:val="22"/>
        </w:rPr>
        <w:fldChar w:fldCharType="begin"/>
      </w:r>
      <w:r w:rsidR="00FB2554">
        <w:rPr>
          <w:rFonts w:cs="Arial"/>
          <w:szCs w:val="22"/>
        </w:rPr>
        <w:instrText xml:space="preserve"> ADDIN ZOTERO_ITEM CSL_CITATION {"citationID":"OaWqPTAf","properties":{"formattedCitation":"[12], [13]","plainCitation":"[12], [13]","noteIndex":0},"citationItems":[{"id":977,"uris":["http://zotero.org/users/7806423/items/JAMPHMHL"],"itemData":{"id":977,"type":"article-journal","abstract":"We conducted a study in Binh Phuoc, Vietnam, in 2015 on the therapeutic efficacy of dihydroartemisinin/piperaquine for Plasmodium falciparum malaria. A high number of treatment failures (14/40) was found, and piperaquine resistance in Vietnam was confirmed. A change in the malaria treatment policy for Vietnam is in process.","container-title":"Emerging Infectious Diseases","DOI":"10.3201/eid2304.161872","ISSN":"1080-6040","issue":"4","journalAbbreviation":"Emerg Infect Dis","note":"PMID: 28322709\nPMCID: PMC5367417","page":"715-717","source":"PubMed Central","title":"Treatment Failure of Dihydroartemisinin/Piperaquine for Plasmodium falciparum Malaria, Vietnam","volume":"23","author":[{"family":"Phuc","given":"Bui Quang"},{"family":"Rasmussen","given":"Charlotte"},{"family":"Duong","given":"Tran Thanh"},{"family":"Dong","given":"Le Than"},{"family":"Loi","given":"Mai Anh"},{"family":"Ménard","given":"Didier"},{"family":"Tarning","given":"Joel"},{"family":"Bustos","given":"Dorina"},{"family":"Ringwald","given":"Pascal"},{"family":"Galappaththy","given":"Gawrie Loku"},{"family":"Thieu","given":"Nguyen Quang"}],"issued":{"date-parts":[["2017",4]]}}},{"id":976,"uris":["http://zotero.org/users/7806423/items/3UI7L7YS"],"itemData":{"id":976,"type":"article-journal","abstract":"Background:  Artemisinin resistant Plasmodium falciparum has emerged in the countries of the Greater Mekong sub-region posing a serious threat to global malaria elimination efforts. The relationship of artemisinin resistance to treatment failure has been unclear.\nMethods:  In annual studies conducted in three malaria endemic provinces in the south of Vietnam (Binh Phuoc, Ninh Thuan and Gia Lai) between 2011 and 2015, 489 patients with uncomplicated P. falciparum malaria were enrolled in detailed clinical, parasitological and molecular therapeutic response assessments with 42 days follow up. Patients received the national recommended first-line treatment dihydroartemisinin-piperaquine for three days.\nResults:  Over the 5 years the proportion of patients with detectable parasitaemia on day 3 rose steadily from 38 to 57% (P &lt; 0.001). In Binh Phuoc province, the parasite clearance half-life increased from 3.75 h in 2011 to 6.60 h in 2015 (P &lt; 0.001), while treatment failures rose from 0% in 2012 and 2013, to 7% in 2014 and 26% in 2015 (P &lt; 0.001). Recrudescence was associated with in vitro evidence of artemisinin and piperaquine resistance. In the treatment fail</w:instrText>
      </w:r>
      <w:r w:rsidR="00FB2554">
        <w:rPr>
          <w:rFonts w:ascii="Cambria Math" w:hAnsi="Cambria Math" w:cs="Cambria Math"/>
          <w:szCs w:val="22"/>
        </w:rPr>
        <w:instrText>‑</w:instrText>
      </w:r>
      <w:r w:rsidR="00FB2554">
        <w:rPr>
          <w:rFonts w:cs="Arial"/>
          <w:szCs w:val="22"/>
        </w:rPr>
        <w:instrText>ures cases of 2015, all 14 parasite isolates carried the C580Y Pfkelch 13 gene, marker of artemisinin resistance and 93% (13/14) of them carried exoE415G mutations, markers of piperaquine resistance.\nConclusions:  In the south of Vietnam recent emergence of piperaquine resistant P. falciparum strains has accelerated the reduced response to artemisinin and has led to treatment failure rates of up to 26% to dihydroartemisinin-pipe</w:instrText>
      </w:r>
      <w:r w:rsidR="00FB2554">
        <w:rPr>
          <w:rFonts w:ascii="Cambria Math" w:hAnsi="Cambria Math" w:cs="Cambria Math"/>
          <w:szCs w:val="22"/>
        </w:rPr>
        <w:instrText>‑</w:instrText>
      </w:r>
      <w:r w:rsidR="00FB2554">
        <w:rPr>
          <w:rFonts w:cs="Arial"/>
          <w:szCs w:val="22"/>
        </w:rPr>
        <w:instrText xml:space="preserve">raquine, Vietnam’s current first-line ACT. Alternative treatments are urgently needed.","container-title":"Malaria Journal","DOI":"10.1186/s12936-017-1680-8","ISSN":"1475-2875","issue":"1","journalAbbreviation":"Malar J","language":"en","page":"27","source":"DOI.org (Crossref)","title":"Rapid decline in the susceptibility of Plasmodium falciparum to dihydroartemisinin–piperaquine in the south of Vietnam","volume":"16","author":[{"family":"Thanh","given":"Ngo Viet"},{"family":"Thuy-Nhien","given":"Nguyen"},{"family":"Tuyen","given":"Nguyen Thi Kim"},{"family":"Tong","given":"Nguyen Thanh"},{"family":"Nha-Ca","given":"Nguyen Thuy"},{"family":"Dong","given":"Le Thanh"},{"family":"Quang","given":"Huynh Hong"},{"family":"Farrar","given":"Jeremy"},{"family":"Thwaites","given":"Guy"},{"family":"White","given":"Nicholas J."},{"family":"Wolbers","given":"Marcel"},{"family":"Hien","given":"Tran Tinh"}],"issued":{"date-parts":[["2017",12]]}}}],"schema":"https://github.com/citation-style-language/schema/raw/master/csl-citation.json"} </w:instrText>
      </w:r>
      <w:r w:rsidR="00773CC9">
        <w:rPr>
          <w:rFonts w:cs="Arial"/>
          <w:szCs w:val="22"/>
        </w:rPr>
        <w:fldChar w:fldCharType="separate"/>
      </w:r>
      <w:r w:rsidR="00FB2554">
        <w:rPr>
          <w:rFonts w:cs="Arial"/>
          <w:noProof/>
          <w:szCs w:val="22"/>
        </w:rPr>
        <w:t>[12], [13]</w:t>
      </w:r>
      <w:r w:rsidR="00773CC9">
        <w:rPr>
          <w:rFonts w:cs="Arial"/>
          <w:szCs w:val="22"/>
        </w:rPr>
        <w:fldChar w:fldCharType="end"/>
      </w:r>
      <w:r w:rsidR="001F0B2D" w:rsidRPr="001F0B2D">
        <w:rPr>
          <w:rFonts w:cs="Arial"/>
          <w:szCs w:val="22"/>
        </w:rPr>
        <w:t xml:space="preserve">. </w:t>
      </w:r>
    </w:p>
    <w:p w14:paraId="00B1FCB7" w14:textId="0937AFAE" w:rsidR="00BE6CC9" w:rsidRDefault="00D23F06" w:rsidP="00164E47">
      <w:pPr>
        <w:jc w:val="both"/>
        <w:rPr>
          <w:rFonts w:cs="Arial"/>
          <w:szCs w:val="22"/>
        </w:rPr>
      </w:pPr>
      <w:r w:rsidRPr="0070269A">
        <w:rPr>
          <w:rFonts w:cs="Arial"/>
          <w:szCs w:val="22"/>
        </w:rPr>
        <w:t>Artemisinin resistance is mediated by mutations in the propeller region of the</w:t>
      </w:r>
      <w:r w:rsidR="00A6060C" w:rsidRPr="0070269A">
        <w:rPr>
          <w:rFonts w:cs="Arial"/>
          <w:szCs w:val="22"/>
        </w:rPr>
        <w:t xml:space="preserve"> </w:t>
      </w:r>
      <w:proofErr w:type="spellStart"/>
      <w:r w:rsidR="00A6060C" w:rsidRPr="0070269A">
        <w:rPr>
          <w:rFonts w:cs="Arial"/>
          <w:i/>
          <w:iCs/>
          <w:szCs w:val="22"/>
        </w:rPr>
        <w:t>Kelch</w:t>
      </w:r>
      <w:proofErr w:type="spellEnd"/>
      <w:r w:rsidR="00A6060C" w:rsidRPr="0070269A">
        <w:rPr>
          <w:rFonts w:cs="Arial"/>
          <w:i/>
          <w:iCs/>
          <w:szCs w:val="22"/>
        </w:rPr>
        <w:t xml:space="preserve"> 13</w:t>
      </w:r>
      <w:r w:rsidR="00A6060C" w:rsidRPr="0070269A">
        <w:rPr>
          <w:rFonts w:cs="Arial"/>
          <w:szCs w:val="22"/>
        </w:rPr>
        <w:t xml:space="preserve"> (K13)</w:t>
      </w:r>
      <w:r w:rsidRPr="0070269A">
        <w:rPr>
          <w:rFonts w:cs="Arial"/>
          <w:szCs w:val="22"/>
        </w:rPr>
        <w:t xml:space="preserve"> gen</w:t>
      </w:r>
      <w:r w:rsidR="000508EA" w:rsidRPr="0070269A">
        <w:rPr>
          <w:rFonts w:cs="Arial"/>
          <w:szCs w:val="22"/>
        </w:rPr>
        <w:t>e</w:t>
      </w:r>
      <w:r w:rsidR="00A6060C" w:rsidRPr="0070269A">
        <w:rPr>
          <w:rFonts w:cs="Arial"/>
          <w:szCs w:val="22"/>
        </w:rPr>
        <w:t>.</w:t>
      </w:r>
      <w:r w:rsidR="00261865">
        <w:rPr>
          <w:rFonts w:cs="Arial"/>
          <w:szCs w:val="22"/>
        </w:rPr>
        <w:t xml:space="preserve"> </w:t>
      </w:r>
      <w:r w:rsidR="00955319">
        <w:rPr>
          <w:rFonts w:cs="Arial"/>
          <w:szCs w:val="22"/>
        </w:rPr>
        <w:t xml:space="preserve">Recently, K13 </w:t>
      </w:r>
      <w:r w:rsidR="00261865">
        <w:rPr>
          <w:rFonts w:cs="Arial"/>
          <w:szCs w:val="22"/>
        </w:rPr>
        <w:t>mutations</w:t>
      </w:r>
      <w:r w:rsidR="00E93EDB">
        <w:rPr>
          <w:rFonts w:cs="Arial"/>
          <w:szCs w:val="22"/>
        </w:rPr>
        <w:t xml:space="preserve"> and associated delayed clearance of parasites</w:t>
      </w:r>
      <w:r w:rsidR="00261865">
        <w:rPr>
          <w:rFonts w:cs="Arial"/>
          <w:szCs w:val="22"/>
        </w:rPr>
        <w:t xml:space="preserve"> </w:t>
      </w:r>
      <w:r w:rsidR="00955319">
        <w:rPr>
          <w:rFonts w:cs="Arial"/>
          <w:szCs w:val="22"/>
        </w:rPr>
        <w:t xml:space="preserve">have been found </w:t>
      </w:r>
      <w:r w:rsidR="00261865">
        <w:rPr>
          <w:rFonts w:cs="Arial"/>
          <w:szCs w:val="22"/>
        </w:rPr>
        <w:t>in East-Africa as well</w:t>
      </w:r>
      <w:r w:rsidR="0070269A">
        <w:rPr>
          <w:rFonts w:cs="Arial"/>
          <w:szCs w:val="22"/>
        </w:rPr>
        <w:t xml:space="preserve"> </w:t>
      </w:r>
      <w:r w:rsidR="00E76E51">
        <w:rPr>
          <w:rFonts w:cs="Arial"/>
          <w:szCs w:val="22"/>
        </w:rPr>
        <w:fldChar w:fldCharType="begin"/>
      </w:r>
      <w:r w:rsidR="00FB2554">
        <w:rPr>
          <w:rFonts w:cs="Arial"/>
          <w:szCs w:val="22"/>
        </w:rPr>
        <w:instrText xml:space="preserve"> ADDIN ZOTERO_ITEM CSL_CITATION {"citationID":"4tcwembd","properties":{"formattedCitation":"[14], [15]","plainCitation":"[14], [15]","noteIndex":0},"citationItems":[{"id":288,"uris":["http://zotero.org/users/7806423/items/3ISTD29W"],"itemData":{"id":288,"type":"article-journal","abstract":"Abstract\n            \n              Artemisinin resistance (delayed\n              P. falciparum\n              clearance following artemisinin-based combination therapy), is widespread across Southeast Asia but to date has not been reported in Africa\n              1–4\n              . Here we genotyped the\n              P. falciparum K13\n              (\n              Pfkelch13\n              ) propeller domain, mutations in which can mediate artemisinin resistance\n              5,6\n              , in pretreatment samples collected from recent dihydroarteminisin-piperaquine and artemether-lumefantrine efficacy trials in Rwanda\n              7\n              . While cure rates were &gt;95% in both treatment arms, the\n              Pfkelch13\n              R561H mutation was identified in 19 of 257 (7.4%) patients at Masaka. Phylogenetic analysis revealed the expansion of an indigenous R561H lineage. Gene editing confirmed that this mutation can drive artemisinin resistance in vitro. This study provides evidence for the de novo emergence of\n              Pfkelch13\n              -mediated artemisinin resistance in Rwanda, potentially compromising the continued success of antimalarial chemotherapy in Africa.","container-title":"Nature Medicine","DOI":"10.1038/s41591-020-1005-2","ISSN":"1078-8956, 1546-170X","issue":"10","journalAbbreviation":"Nat Med","language":"en","page":"1602-1608","source":"DOI.org (Crossref)","title":"Emergence and clonal expansion of in vitro artemisinin-resistant Plasmodium falciparum kelch13 R561H mutant parasites in Rwanda","volume":"26","author":[{"family":"Uwimana","given":"Aline"},{"family":"Legrand","given":"Eric"},{"family":"Stokes","given":"Barbara H."},{"family":"Ndikumana","given":"Jean-Louis Mangala"},{"family":"Warsame","given":"Marian"},{"family":"Umulisa","given":"Noella"},{"family":"Ngamije","given":"Daniel"},{"family":"Munyaneza","given":"Tharcisse"},{"family":"Mazarati","given":"Jean-Baptiste"},{"family":"Munguti","given":"Kaendi"},{"family":"Campagne","given":"Pascal"},{"family":"Criscuolo","given":"Alexis"},{"family":"Ariey","given":"Frédéric"},{"family":"Murindahabi","given":"Monique"},{"family":"Ringwald","given":"Pascal"},{"family":"Fidock","given":"David A."},{"family":"Mbituyumuremyi","given":"Aimable"},{"family":"Menard","given":"Didier"}],"issued":{"date-parts":[["2020",10,1]]}}},{"id":991,"uris":["http://zotero.org/users/7806423/items/MZ3FESC8"],"itemData":{"id":991,"type":"article-journal","abstract":"The prevalence of genetic polymorphisms associated with antimalarial drug resistance in Plasmodium falciparum collected from 16 sites across Uganda was studied. Most concerning was increasing prevalence of mutations associated with resistance to antifolates and artemisinins.","container-title":"The Journal of Infectious Diseases","DOI":"10.1093/infdis/jiaa687","ISSN":"0022-1899","issue":"6","journalAbbreviation":"J Infect Dis","note":"PMID: 33146722\nPMCID: PMC8006419","page":"985-994","source":"PubMed Central","title":"Changing Prevalence of Potential Mediators of Aminoquinoline, Antifolate, and Artemisinin Resistance Across Uganda","volume":"223","author":[{"family":"Asua","given":"Victor"},{"family":"Conrad","given":"Melissa D"},{"family":"Aydemir","given":"Ozkan"},{"family":"Duvalsaint","given":"Marvin"},{"family":"Legac","given":"Jennifer"},{"family":"Duarte","given":"Elias"},{"family":"Tumwebaze","given":"Patrick"},{"family":"Chin","given":"Deborah M"},{"family":"Cooper","given":"Roland A"},{"family":"Yeka","given":"Adoke"},{"family":"Kamya","given":"Moses R"},{"family":"Dorsey","given":"Grant"},{"family":"Nsobya","given":"Sam L"},{"family":"Bailey","given":"Jeffrey"},{"family":"Rosenthal","given":"Philip J"}],"issued":{"date-parts":[["2020",11,4]]}}}],"schema":"https://github.com/citation-style-language/schema/raw/master/csl-citation.json"} </w:instrText>
      </w:r>
      <w:r w:rsidR="00E76E51">
        <w:rPr>
          <w:rFonts w:cs="Arial"/>
          <w:szCs w:val="22"/>
        </w:rPr>
        <w:fldChar w:fldCharType="separate"/>
      </w:r>
      <w:r w:rsidR="00FB2554">
        <w:rPr>
          <w:rFonts w:cs="Arial"/>
          <w:noProof/>
          <w:szCs w:val="22"/>
        </w:rPr>
        <w:t>[14], [15]</w:t>
      </w:r>
      <w:r w:rsidR="00E76E51">
        <w:rPr>
          <w:rFonts w:cs="Arial"/>
          <w:szCs w:val="22"/>
        </w:rPr>
        <w:fldChar w:fldCharType="end"/>
      </w:r>
      <w:r w:rsidR="00261865" w:rsidRPr="0070269A">
        <w:rPr>
          <w:rFonts w:cs="Arial"/>
          <w:szCs w:val="22"/>
        </w:rPr>
        <w:t>.</w:t>
      </w:r>
      <w:r w:rsidR="00AE06D4">
        <w:rPr>
          <w:rFonts w:cs="Arial"/>
          <w:szCs w:val="22"/>
        </w:rPr>
        <w:t xml:space="preserve"> </w:t>
      </w:r>
      <w:r w:rsidR="0070269A">
        <w:rPr>
          <w:rFonts w:cs="Arial"/>
          <w:szCs w:val="22"/>
        </w:rPr>
        <w:t xml:space="preserve">Wider spread of artemisinin resistance across the African continent, which bears the vast majority of the global malaria burden, could be disastrous. In order to avert a public health emergency, there </w:t>
      </w:r>
      <w:r w:rsidR="00BE6CC9">
        <w:rPr>
          <w:rFonts w:cs="Arial"/>
          <w:szCs w:val="22"/>
        </w:rPr>
        <w:t xml:space="preserve">is an urgent need for alternative treatments </w:t>
      </w:r>
      <w:r w:rsidR="0070269A">
        <w:rPr>
          <w:rFonts w:cs="Arial"/>
          <w:szCs w:val="22"/>
        </w:rPr>
        <w:t xml:space="preserve">with </w:t>
      </w:r>
      <w:r w:rsidR="0070269A" w:rsidRPr="00B3090C">
        <w:rPr>
          <w:rFonts w:cs="Arial"/>
          <w:szCs w:val="22"/>
        </w:rPr>
        <w:t xml:space="preserve">combinations of existing drugs </w:t>
      </w:r>
      <w:r w:rsidR="00532B20" w:rsidRPr="00B3090C">
        <w:rPr>
          <w:rFonts w:cs="Arial"/>
          <w:szCs w:val="22"/>
        </w:rPr>
        <w:t>that</w:t>
      </w:r>
      <w:r w:rsidR="0070269A" w:rsidRPr="00B3090C">
        <w:rPr>
          <w:rFonts w:cs="Arial"/>
          <w:szCs w:val="22"/>
        </w:rPr>
        <w:t xml:space="preserve"> could be deployed rapidly.</w:t>
      </w:r>
      <w:r w:rsidR="0070269A">
        <w:rPr>
          <w:rFonts w:cs="Arial"/>
          <w:szCs w:val="22"/>
        </w:rPr>
        <w:t xml:space="preserve"> </w:t>
      </w:r>
      <w:r w:rsidR="00AE06D4">
        <w:rPr>
          <w:rFonts w:cs="Arial"/>
          <w:szCs w:val="22"/>
        </w:rPr>
        <w:t>Triple Artemisinin-based Combination Therapies (</w:t>
      </w:r>
      <w:r w:rsidR="00261865">
        <w:rPr>
          <w:rFonts w:cs="Arial"/>
          <w:szCs w:val="22"/>
        </w:rPr>
        <w:t>TACT</w:t>
      </w:r>
      <w:r w:rsidR="00AE06D4">
        <w:rPr>
          <w:rFonts w:cs="Arial"/>
          <w:szCs w:val="22"/>
        </w:rPr>
        <w:t>)</w:t>
      </w:r>
      <w:r w:rsidR="00BE6CC9">
        <w:rPr>
          <w:rFonts w:cs="Arial"/>
          <w:szCs w:val="22"/>
        </w:rPr>
        <w:t xml:space="preserve">, </w:t>
      </w:r>
      <w:r w:rsidR="00BE6CC9" w:rsidRPr="00F042EA">
        <w:rPr>
          <w:rFonts w:cs="Arial"/>
          <w:szCs w:val="22"/>
        </w:rPr>
        <w:t xml:space="preserve">which combine an existing ACT with a second partner drug that is slowly eliminated, </w:t>
      </w:r>
      <w:r w:rsidR="00BE6CC9">
        <w:rPr>
          <w:rFonts w:cs="Arial"/>
          <w:szCs w:val="22"/>
        </w:rPr>
        <w:t>could be part of such an approach.</w:t>
      </w:r>
      <w:r w:rsidR="00816DAE">
        <w:rPr>
          <w:rFonts w:cs="Arial"/>
          <w:szCs w:val="22"/>
        </w:rPr>
        <w:t xml:space="preserve"> </w:t>
      </w:r>
    </w:p>
    <w:p w14:paraId="7C5CAEA4" w14:textId="4B23E962" w:rsidR="005406E7" w:rsidRPr="00B91D68" w:rsidRDefault="00816DAE" w:rsidP="00B91D68">
      <w:pPr>
        <w:jc w:val="both"/>
        <w:rPr>
          <w:rFonts w:cs="Arial"/>
          <w:szCs w:val="22"/>
        </w:rPr>
      </w:pPr>
      <w:r>
        <w:rPr>
          <w:rFonts w:cs="Arial"/>
          <w:szCs w:val="22"/>
        </w:rPr>
        <w:t>The rationale for TACT is similar to the one underlying ACT. By c</w:t>
      </w:r>
      <w:r w:rsidR="00BE6CC9">
        <w:rPr>
          <w:rFonts w:cs="Arial"/>
          <w:szCs w:val="22"/>
        </w:rPr>
        <w:t>ombining drugs with different treatment targets and/or resistance m</w:t>
      </w:r>
      <w:r w:rsidR="000508EA">
        <w:rPr>
          <w:rFonts w:cs="Arial"/>
          <w:szCs w:val="22"/>
        </w:rPr>
        <w:t>e</w:t>
      </w:r>
      <w:r w:rsidR="00BE6CC9">
        <w:rPr>
          <w:rFonts w:cs="Arial"/>
          <w:szCs w:val="22"/>
        </w:rPr>
        <w:t>chanisms</w:t>
      </w:r>
      <w:r>
        <w:rPr>
          <w:rFonts w:cs="Arial"/>
          <w:szCs w:val="22"/>
        </w:rPr>
        <w:t xml:space="preserve">, the probability that resistance will emerge to the combination is </w:t>
      </w:r>
      <w:r w:rsidR="00B7624C">
        <w:rPr>
          <w:rFonts w:cs="Arial"/>
          <w:szCs w:val="22"/>
        </w:rPr>
        <w:t>very low</w:t>
      </w:r>
      <w:r w:rsidR="00E723F5">
        <w:rPr>
          <w:rFonts w:cs="Arial"/>
          <w:szCs w:val="22"/>
        </w:rPr>
        <w:t xml:space="preserve"> (i.e., the product of the probabilities for each individual drug)</w:t>
      </w:r>
      <w:r w:rsidR="00B7624C">
        <w:rPr>
          <w:rFonts w:cs="Arial"/>
          <w:szCs w:val="22"/>
        </w:rPr>
        <w:t xml:space="preserve">. </w:t>
      </w:r>
      <w:r w:rsidR="00E723F5">
        <w:rPr>
          <w:rFonts w:cs="Arial"/>
          <w:szCs w:val="22"/>
        </w:rPr>
        <w:t xml:space="preserve">TACT could counteract resistance emergence and provide efficacious treatment against drug resistant infections. </w:t>
      </w:r>
      <w:r w:rsidR="00B7624C">
        <w:rPr>
          <w:rFonts w:cs="Arial"/>
          <w:szCs w:val="22"/>
        </w:rPr>
        <w:t>Artemether-Lumefantrine with Amodiaquine (</w:t>
      </w:r>
      <w:r>
        <w:rPr>
          <w:rFonts w:cs="Arial"/>
          <w:szCs w:val="22"/>
        </w:rPr>
        <w:t>ALAQ</w:t>
      </w:r>
      <w:r w:rsidR="00B7624C">
        <w:rPr>
          <w:rFonts w:cs="Arial"/>
          <w:szCs w:val="22"/>
        </w:rPr>
        <w:t>)</w:t>
      </w:r>
      <w:r>
        <w:rPr>
          <w:rFonts w:cs="Arial"/>
          <w:szCs w:val="22"/>
        </w:rPr>
        <w:t xml:space="preserve"> </w:t>
      </w:r>
      <w:r w:rsidR="00E723F5">
        <w:rPr>
          <w:rFonts w:cs="Arial"/>
          <w:szCs w:val="22"/>
        </w:rPr>
        <w:t xml:space="preserve">is one such TACT and </w:t>
      </w:r>
      <w:r>
        <w:rPr>
          <w:rFonts w:cs="Arial"/>
          <w:szCs w:val="22"/>
        </w:rPr>
        <w:t>h</w:t>
      </w:r>
      <w:r w:rsidR="00BE6CC9">
        <w:rPr>
          <w:rFonts w:cs="Arial"/>
          <w:szCs w:val="22"/>
        </w:rPr>
        <w:t>a</w:t>
      </w:r>
      <w:r w:rsidR="00E723F5">
        <w:rPr>
          <w:rFonts w:cs="Arial"/>
          <w:szCs w:val="22"/>
        </w:rPr>
        <w:t>s</w:t>
      </w:r>
      <w:r w:rsidR="00BE6CC9">
        <w:rPr>
          <w:rFonts w:cs="Arial"/>
          <w:szCs w:val="22"/>
        </w:rPr>
        <w:t xml:space="preserve"> been proven</w:t>
      </w:r>
      <w:r w:rsidR="00E723F5">
        <w:rPr>
          <w:rFonts w:cs="Arial"/>
          <w:szCs w:val="22"/>
        </w:rPr>
        <w:t xml:space="preserve"> a</w:t>
      </w:r>
      <w:r w:rsidR="00BE6CC9">
        <w:rPr>
          <w:rFonts w:cs="Arial"/>
          <w:szCs w:val="22"/>
        </w:rPr>
        <w:t xml:space="preserve"> safe</w:t>
      </w:r>
      <w:r w:rsidR="005A6A96">
        <w:rPr>
          <w:rFonts w:cs="Arial"/>
          <w:szCs w:val="22"/>
        </w:rPr>
        <w:t xml:space="preserve">, well-tolerated and </w:t>
      </w:r>
      <w:r w:rsidR="00B7624C">
        <w:rPr>
          <w:rFonts w:cs="Arial"/>
          <w:szCs w:val="22"/>
        </w:rPr>
        <w:t>efficacious</w:t>
      </w:r>
      <w:r w:rsidR="005A6A96">
        <w:rPr>
          <w:rFonts w:cs="Arial"/>
          <w:szCs w:val="22"/>
        </w:rPr>
        <w:t xml:space="preserve"> treatment for uncomplicated </w:t>
      </w:r>
      <w:r w:rsidR="005A6A96" w:rsidRPr="00E723F5">
        <w:rPr>
          <w:rFonts w:cs="Arial"/>
          <w:i/>
          <w:iCs/>
          <w:szCs w:val="22"/>
        </w:rPr>
        <w:t xml:space="preserve">P. falciparum </w:t>
      </w:r>
      <w:r w:rsidR="005A6A96">
        <w:rPr>
          <w:rFonts w:cs="Arial"/>
          <w:szCs w:val="22"/>
        </w:rPr>
        <w:t xml:space="preserve">malaria, including in areas with artemisinin and partner-drug resistance </w:t>
      </w:r>
      <w:r w:rsidR="005A6A96">
        <w:rPr>
          <w:rFonts w:cs="Arial"/>
          <w:szCs w:val="22"/>
        </w:rPr>
        <w:fldChar w:fldCharType="begin"/>
      </w:r>
      <w:r w:rsidR="004C2AEA">
        <w:rPr>
          <w:rFonts w:cs="Arial"/>
          <w:szCs w:val="22"/>
        </w:rPr>
        <w:instrText xml:space="preserve"> ADDIN ZOTERO_ITEM CSL_CITATION {"citationID":"aPh5zQPO","properties":{"formattedCitation":"[5], [6]","plainCitation":"[5], [6]","noteIndex":0},"citationItems":[{"id":628,"uris":["http://zotero.org/users/7806423/items/LG6TPZYM"],"itemData":{"id":628,"type":"article-journal","abstract":"Background Artemisinin and partner-drug resistance in Plasmodium falciparum are major threats to malaria control and elimination. Triple artemisinin-based combination therapies (TACTs), which combine existing co-formulated ACTs with a second partner drug that is slowly eliminated, might provide effective treatment and delay emergence of antimalarial drug resistance.","container-title":"The Lancet","DOI":"10.1016/S0140-6736(20)30552-3","ISSN":"01406736","issue":"10233","journalAbbreviation":"The Lancet","language":"en","note":"Is TRACII","page":"1345-1360","source":"DOI.org (Crossref)","title":"Triple artemisinin-based combination therapies versus artemisinin-based combination therapies for uncomplicated Plasmodium falciparum malaria: a multicentre, open-label, randomised clinical trial","title-short":"Triple artemisinin-based combination therapies versus artemisinin-based combination therapies for uncomplicated Plasmodium falciparum malaria","volume":"395","author":[{"family":"Pluijm","given":"Rob W","non-dropping-particle":"van der"},{"family":"Tripura","given":"Rupam"},{"family":"Hoglund","given":"Richard M"},{"family":"Pyae Phyo","given":"Aung"},{"family":"Lek","given":"Dysoley"},{"family":"Islam","given":"Akhter","non-dropping-particle":"ul"},{"family":"Anvikar","given":"Anupkumar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Thanh"},{"family":"Kwiatkowski","given":"Dominic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Tinh"},{"family":"Valecha","given":"Neena"},{"family":"Smithuis","given":"Frank"},{"family":"Pukrittayakamee","given":"Sasithon"},{"family":"Faiz","given":"Abul"},{"family":"Miotto","given":"Olivo"},{"family":"Tarning","given":"Joel"},{"family":"Day","given":"Nicholas P J"},{"family":"White","given":"Nicholas J"},{"family":"Dondorp","given":"Arjen M"},{"family":"Pluijm","given":"Rob W","non-dropping-particle":"van der"},{"family":"Tripura","given":"Rupam"},{"family":"Hoglund","given":"Richard M"},{"family":"Phyo","given":"Aung Pyae"},{"family":"Lek","given":"Dysoley"},{"family":"Islam","given":"Akhter","non-dropping-particle":"ul"},{"family":"Anvikar","given":"Anupkumar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Tinh"},{"family":"Valeche","given":"Neena"},{"family":"Smithuis","given":"Frank"},{"family":"Pukrittayakamee","given":"Sasithon"},{"family":"Faiz","given":"Abul"},{"family":"Miotto","given":"Olivo"},{"family":"Tarning","given":"Joel"},{"family":"Day","given":"Nicholas PJ"},{"family":"White","given":"Nicholas J"},{"family":"Dondorp","given":"Arjen M"}],"issued":{"date-parts":[["2020",4]]}}},{"id":682,"uris":["http://zotero.org/users/7806423/items/SQVUC4J6"],"itemData":{"id":682,"type":"article-journal","abstract":"BACKGROUND: Late treatment failures after artemisinin-based combination therapies (ACTs) for falciparum malaria have increased in the Greater Mekong subregion in southeast Asia. Addition of amodiaquine to artemether-lumefantrine could provide an efficacious treatment for multidrug-resistant infections.\nMETHODS: We conducted an open-label, randomised trial at five hospitals or health centres in three locations (western Cambodia, eastern Cambodia, and Vietnam). Eligible participants were male and female patients aged 2-65 years with uncomplicated Plasmodium falciparum malaria. Patients were randomly allocated (1:1 in blocks of eight to 12) to either artemether-lumefantrine alone (dosed according to WHO guidelines) or artemether-lumefantrine plus amodiaquine (10 mg base per kg/day), both given orally as six doses over 3 days. All received a single dose of primaquine (0·25 mg/kg) 24 h after the start of study treatment to limit transmission of the parasite. Parasites were genotyped, identifying artemisinin resistance. The primary outcome was Kaplan-Meier 42-day PCR-corrected efficacy against recrudescence of the original parasite, assessed by intent-to-treat. Safety was a secondary outcome. This completed trial is registered at ClinicalTrials.gov (NCT03355664).\nFINDINGS: Between March 18, 2018, and Jan 30, 2020, 310 patients received randomly allocated treatment; 154 received artemether-lumefantrine alone and 156 received artemether-lumefantrine plus amodiaquine. Parasites from 305 of these patients were genotyped. 42-day PCR-corrected treatment efficacy was noted in 151 (97%, 95% CI 92-99) of 156 patients with artemether-lumefantrine plus amodiaquine versus 146 (95%, 89-97) of 154 patients with artemether-lumefantrine alone; hazard ratio (HR) for recrudescence 0·6 (95% CI 0·2-1·9, p=0·38). Of the 13 recrudescences, 12 were in 174 (57%) of 305 infections with pfkelch13 mutations indicating artemisinin resistance, for which 42-day efficacy was noted in 89 (96%) of 93 infections with artemether-lumefantrine plus amodiaquine versus 73 (90%) of 81 infections with artemether-lumefantrine alone; HR for recrudescence 0·44 (95% CI 0·14-1·40, p=0·17). Artemether-lumefantrine plus amodiaquine was generally well tolerated, but the number of mild (grade 1-2) adverse events, mainly gastrointestinal, was greater in this group compared with artemether-lumefantrine alone (vomiting, 12 [8%] with artemether-lumefantrine plus amodiaquine vs three [2%] with artemether-lumefantrine alone, p=0·03; and nausea, 11 [7%] with artemether-lumefantrine plus amodiaquine vs three [2%] with artemether-lumefantrine alone, p=0·05). Early vomiting within 1 h of treatment, requiring retreatment, occurred in no patients of 154 with artemether-lumefantrine alone versus five (3%) of 156 with artemether-lumefantrine plus amodiaquine, p=0·06. Bradycardia (≤54 beats/min) of any grade was noted in 59 (38%) of 154 patients with artemether-lumefantrine alone and 95 (61%) of 156 with artemether-lumefantrine plus amodiaquine, p=0·0001.\nINTERPRETATION: Artemether-lumefantrine plus amodiaquine provides an alternative to artemether-lumefantrine alone as first-line treatment for multidrug-resistant P falciparum malaria in the Greater Mekong subregion, and could prolong the therapeutic lifetime of artemether-lumefantrine in malaria-endemic populations.\nFUNDING: Bill &amp; Melinda Gates Foundation, Wellcome Trust.","container-title":"The Lancet. Infectious Diseases","DOI":"10.1016/S1473-3099(21)00692-7","ISSN":"1474-4457","journalAbbreviation":"Lancet Infect Dis","language":"eng","note":"PMID: 35276064","page":"S1473-3099(21)00692-7","source":"PubMed","title":"Triple therapy with artemether-lumefantrine plus amodiaquine versus artemether-lumefantrine alone for artemisinin-resistant, uncomplicated falciparum malaria: an open-label, randomised, multicentre trial","title-short":"Triple therapy with artemether-lumefantrine plus amodiaquine versus artemether-lumefantrine alone for artemisinin-resistant, uncomplicated falciparum malaria","author":[{"family":"Peto","given":"Thomas J."},{"family":"Tripura","given":"Rupam"},{"family":"Callery","given":"James J."},{"family":"Lek","given":"Dysoley"},{"family":"Nghia","given":"Ho Dang Trung"},{"family":"Nguon","given":"Chea"},{"family":"Thuong","given":"Nguyen Thi Huyen"},{"family":"Pluijm","given":"Rob W.","non-dropping-particle":"van der"},{"family":"Dung","given":"Nguyen Thi Phuong"},{"family":"Sokha","given":"Meas"},{"family":"Van Luong","given":"Vo"},{"family":"Long","given":"Le Thanh"},{"family":"Sovann","given":"Yok"},{"family":"Duanguppama","given":"Jureeporn"},{"family":"Waithira","given":"Naomi"},{"family":"Hoglund","given":"Richard M."},{"family":"Chotsiri","given":"Palang"},{"family":"Chau","given":"Nguyen Hoang"},{"family":"Ruecker","given":"Andrea"},{"family":"Amaratunga","given":"Chanaki"},{"family":"Dhorda","given":"Mehul"},{"family":"Miotto","given":"Olivo"},{"family":"Maude","given":"Richard J."},{"family":"Rekol","given":"Huy"},{"family":"Chotivanich","given":"Kesinee"},{"family":"Tarning","given":"Joel"},{"family":"Seidlein","given":"Lorenz","non-dropping-particle":"von"},{"family":"Imwong","given":"Mallika"},{"family":"Mukaka","given":"Mavuto"},{"family":"Day","given":"Nicholas P. J."},{"family":"Hien","given":"Tran Tinh"},{"family":"White","given":"Nicholas J."},{"family":"Dondorp","given":"Arjen M."}],"issued":{"date-parts":[["2022",3,8]]}}}],"schema":"https://github.com/citation-style-language/schema/raw/master/csl-citation.json"} </w:instrText>
      </w:r>
      <w:r w:rsidR="005A6A96">
        <w:rPr>
          <w:rFonts w:cs="Arial"/>
          <w:szCs w:val="22"/>
        </w:rPr>
        <w:fldChar w:fldCharType="separate"/>
      </w:r>
      <w:r w:rsidR="004C2AEA">
        <w:rPr>
          <w:rFonts w:cs="Arial"/>
          <w:noProof/>
          <w:szCs w:val="22"/>
        </w:rPr>
        <w:t>[5], [6]</w:t>
      </w:r>
      <w:r w:rsidR="005A6A96">
        <w:rPr>
          <w:rFonts w:cs="Arial"/>
          <w:szCs w:val="22"/>
        </w:rPr>
        <w:fldChar w:fldCharType="end"/>
      </w:r>
      <w:r w:rsidR="005A6A96">
        <w:rPr>
          <w:rFonts w:cs="Arial"/>
          <w:szCs w:val="22"/>
        </w:rPr>
        <w:t>.</w:t>
      </w:r>
      <w:r w:rsidR="00B7624C">
        <w:rPr>
          <w:rFonts w:cs="Arial"/>
          <w:szCs w:val="22"/>
        </w:rPr>
        <w:t xml:space="preserve"> The effect of ALAQ on mature gametocytes and infectivity is unknow</w:t>
      </w:r>
      <w:r w:rsidR="001C44F7">
        <w:rPr>
          <w:rFonts w:cs="Arial"/>
          <w:szCs w:val="22"/>
        </w:rPr>
        <w:t xml:space="preserve">n, as well as </w:t>
      </w:r>
      <w:r w:rsidR="00E904FC">
        <w:rPr>
          <w:rFonts w:cs="Arial"/>
          <w:szCs w:val="22"/>
        </w:rPr>
        <w:t>the added benefit of combining PQ with ALA</w:t>
      </w:r>
      <w:r w:rsidR="001C44F7">
        <w:rPr>
          <w:rFonts w:cs="Arial"/>
          <w:szCs w:val="22"/>
        </w:rPr>
        <w:t>Q</w:t>
      </w:r>
      <w:r w:rsidR="00B7624C">
        <w:rPr>
          <w:rFonts w:cs="Arial"/>
          <w:szCs w:val="22"/>
        </w:rPr>
        <w:t>.</w:t>
      </w:r>
      <w:r w:rsidR="00A90E9F">
        <w:rPr>
          <w:rFonts w:cs="Arial"/>
          <w:szCs w:val="22"/>
        </w:rPr>
        <w:t xml:space="preserve"> Given that a major rationale for using TACT is a reduction in the transmission of artemisinin resistanc</w:t>
      </w:r>
      <w:r w:rsidR="00DA55BC">
        <w:rPr>
          <w:rFonts w:cs="Arial"/>
          <w:szCs w:val="22"/>
        </w:rPr>
        <w:t>e</w:t>
      </w:r>
      <w:r w:rsidR="00A90E9F">
        <w:rPr>
          <w:rFonts w:cs="Arial"/>
          <w:szCs w:val="22"/>
        </w:rPr>
        <w:t xml:space="preserve">, it is pressing to understand the impact of TACT on gametocyte production and infectivity. </w:t>
      </w:r>
    </w:p>
    <w:p w14:paraId="73A5638C" w14:textId="70E7FC01" w:rsidR="00371F6D" w:rsidRPr="00D676AC" w:rsidRDefault="00F042EA">
      <w:pPr>
        <w:pStyle w:val="Heading2"/>
      </w:pPr>
      <w:bookmarkStart w:id="51" w:name="_Toc100231685"/>
      <w:bookmarkStart w:id="52" w:name="_Toc100231817"/>
      <w:bookmarkStart w:id="53" w:name="_Toc100231924"/>
      <w:bookmarkStart w:id="54" w:name="_Toc100232047"/>
      <w:bookmarkStart w:id="55" w:name="_Toc100306360"/>
      <w:bookmarkStart w:id="56" w:name="_Toc100324438"/>
      <w:bookmarkStart w:id="57" w:name="_Toc101204955"/>
      <w:bookmarkStart w:id="58" w:name="_Toc101205074"/>
      <w:bookmarkStart w:id="59" w:name="_Toc101205221"/>
      <w:bookmarkStart w:id="60" w:name="_Toc102984937"/>
      <w:bookmarkStart w:id="61" w:name="_Toc102985788"/>
      <w:bookmarkStart w:id="62" w:name="_Toc104981621"/>
      <w:bookmarkStart w:id="63" w:name="_Toc106288866"/>
      <w:r w:rsidRPr="00D676AC">
        <w:t>Rationale</w:t>
      </w:r>
      <w:bookmarkEnd w:id="51"/>
      <w:bookmarkEnd w:id="52"/>
      <w:bookmarkEnd w:id="53"/>
      <w:bookmarkEnd w:id="54"/>
      <w:bookmarkEnd w:id="55"/>
      <w:bookmarkEnd w:id="56"/>
      <w:bookmarkEnd w:id="57"/>
      <w:bookmarkEnd w:id="58"/>
      <w:bookmarkEnd w:id="59"/>
      <w:bookmarkEnd w:id="60"/>
      <w:bookmarkEnd w:id="61"/>
      <w:bookmarkEnd w:id="62"/>
      <w:bookmarkEnd w:id="63"/>
    </w:p>
    <w:p w14:paraId="2347B1B4" w14:textId="3DECD683" w:rsidR="005672CB" w:rsidRDefault="003D2E7B" w:rsidP="00164E47">
      <w:pPr>
        <w:jc w:val="both"/>
        <w:rPr>
          <w:rFonts w:cs="Arial"/>
          <w:szCs w:val="22"/>
        </w:rPr>
      </w:pPr>
      <w:r w:rsidRPr="00F042EA">
        <w:rPr>
          <w:rFonts w:cs="Arial"/>
          <w:szCs w:val="22"/>
        </w:rPr>
        <w:t xml:space="preserve">Artesunate-Amodiaquine (ASAQ) is a commonly used ACT, however, its transmission reducing efficacy remains largely unknown. Studies microscopically assessing gametocyte carriage post-ASAQ treatment reached very different conclusions, ranging from increased </w:t>
      </w:r>
      <w:r w:rsidRPr="00F042EA">
        <w:rPr>
          <w:rFonts w:cs="Arial"/>
          <w:szCs w:val="22"/>
        </w:rPr>
        <w:lastRenderedPageBreak/>
        <w:t xml:space="preserve">gametocyte carriage until day 3 </w:t>
      </w:r>
      <w:r w:rsidRPr="00F042EA">
        <w:rPr>
          <w:rFonts w:cs="Arial"/>
          <w:szCs w:val="22"/>
        </w:rPr>
        <w:fldChar w:fldCharType="begin"/>
      </w:r>
      <w:r w:rsidR="00FB2554">
        <w:rPr>
          <w:rFonts w:cs="Arial"/>
          <w:szCs w:val="22"/>
        </w:rPr>
        <w:instrText xml:space="preserve"> ADDIN ZOTERO_ITEM CSL_CITATION {"citationID":"YFUKPaGJ","properties":{"formattedCitation":"[16]","plainCitation":"[16]","noteIndex":0},"citationItems":[{"id":704,"uris":["http://zotero.org/users/7806423/items/FPWCIDX9"],"itemData":{"id":704,"type":"article-journal","abstract":"Since 2005, the Togo National Malaria Control Programme has recommended two different formulations of artemisinin-based combination therapy (ACT), artesunate–amodiaquine (ASAQ) and artemether-lumefantrine (AL), for the treatment of uncomplicated malaria. Regular efficacy monitoring of these two combinations is conducted every 2 or 3 years. This paper reports the latest efficacy assessment results and the investigation of mutations in the k13 propeller domain.","container-title":"Malaria Journal","DOI":"10.1186/s12936-016-1381-8","ISSN":"1475-2875","issue":"1","journalAbbreviation":"Malaria Journal","page":"331","source":"BioMed Central","title":"Therapeutic efficacy trial of artemisinin-based combination therapy for the treatment of uncomplicated malaria and investigation of mutations in k13 propeller domain in Togo, 2012–2013","volume":"15","author":[{"family":"Dorkenoo","given":"Améyo M."},{"family":"Yehadji","given":"Degninou"},{"family":"Agbo","given":"Yao M."},{"family":"Layibo","given":"Yao"},{"family":"Agbeko","given":"Foli"},{"family":"Adjeloh","given":"Poukpessi"},{"family":"Yakpa","given":"Kossi"},{"family":"Sossou","given":"Efoe"},{"family":"Awokou","given":"Fantchè"},{"family":"Ringwald","given":"Pascal"}],"issued":{"date-parts":[["2016",6,22]]}}}],"schema":"https://github.com/citation-style-language/schema/raw/master/csl-citation.json"} </w:instrText>
      </w:r>
      <w:r w:rsidRPr="00F042EA">
        <w:rPr>
          <w:rFonts w:cs="Arial"/>
          <w:szCs w:val="22"/>
        </w:rPr>
        <w:fldChar w:fldCharType="separate"/>
      </w:r>
      <w:r w:rsidR="00FB2554">
        <w:rPr>
          <w:rFonts w:cs="Arial"/>
          <w:szCs w:val="22"/>
        </w:rPr>
        <w:t>[16]</w:t>
      </w:r>
      <w:r w:rsidRPr="00F042EA">
        <w:rPr>
          <w:rFonts w:cs="Arial"/>
          <w:szCs w:val="22"/>
        </w:rPr>
        <w:fldChar w:fldCharType="end"/>
      </w:r>
      <w:r w:rsidRPr="00F042EA">
        <w:rPr>
          <w:rFonts w:cs="Arial"/>
          <w:szCs w:val="22"/>
        </w:rPr>
        <w:t xml:space="preserve"> or day 7 </w:t>
      </w:r>
      <w:r w:rsidRPr="00F042EA">
        <w:rPr>
          <w:rFonts w:cs="Arial"/>
          <w:szCs w:val="22"/>
        </w:rPr>
        <w:fldChar w:fldCharType="begin"/>
      </w:r>
      <w:r w:rsidR="00FB2554">
        <w:rPr>
          <w:rFonts w:cs="Arial"/>
          <w:szCs w:val="22"/>
        </w:rPr>
        <w:instrText xml:space="preserve"> ADDIN ZOTERO_ITEM CSL_CITATION {"citationID":"HtELEJ5V","properties":{"formattedCitation":"[17]","plainCitation":"[17]","noteIndex":0},"citationItems":[{"id":664,"uris":["http://zotero.org/users/7806423/items/H5JTNHPN"],"itemData":{"id":664,"type":"article-journal","abstract":"Background\nMost malaria-endemic countries use artemisinin-based combination therapy (ACT) as their first-line treatment. ACTs are known to be highly effective on asexual stages of the malaria parasite. Malaria transmission and the spread of resistant parasites depend on the infectivity of gametocytes. The effect of the current ACT regimens on gametocyte infectivity is unclear.\n\nObjectives\nThis study aimed to determine the infectivity of gametocytes to Anopheles gambiae following ACT treatment in the field.\n\nMethods\nDuring a randomised controlled trial in Bougoula-Hameau, Mali, conducted from July 2005 to July 2007, volunteers with uncomplicated malaria were randomised to receive artemether-lumefantrine, artesunate-amodiaquine, or artesunate-sulfadoxine/pyrimethamine. Volunteers were followed for 28 days, and gametocyte carriage was assessed. Direct skin feeding assays were performed on gametocyte carriers before and after ACT administration.\n\nResults\nFollowing artemether-lumefantrine treatment, gametocyte carriage decreased steadily from Day 0 to Day 21 post-treatment initiation. In contrast, for the artesunate-amodiaquine and artesunate-sulfadoxine/pyrimethamine arms, gametocyte carriage increased on Day 3 and remained constant until Day 7 before decreasing afterward. Mosquito feeding assays showed that artemether-lumefantrine and artesunate-amodiaquine significantly increased gametocyte infectivity to Anopheles gambiae sensu lato (s.l.) (p &lt; 10−4), whereas artesunate-sulfadoxine/pyrimethamine decreased gametocyte infectivity in this setting (p = 0.03).\n\nConclusion\nDifferent ACT regimens could lead to gametocyte populations with different capacity to infect the Anopheles vector. Frequent assessment of the effect of antimalarials on gametocytogenesis and gametocyte infectivity may be required for the full assessment of treatment efficacy, the potential for spread of drug resistance and malaria transmission in the field.","container-title":"African Journal of Laboratory Medicine","DOI":"10.4102/ajlm.v7i2.784","ISSN":"2225-2002","issue":"2","journalAbbreviation":"Afr J Lab Med","note":"PMID: 30568901\nPMCID: PMC6295776","page":"784","source":"PubMed Central","title":"Differential infectivity of gametocytes after artemisinin-based combination therapy of uncomplicated falciparum malaria","volume":"7","author":[{"family":"Ouologuem","given":"Dinkorma T."},{"family":"Kone","given":"Cheick O."},{"family":"Fofana","given":"Bakary"},{"family":"Sidibe","given":"Bakary"},{"family":"Togo","given":"Amadou H."},{"family":"Dembele","given":"Demba"},{"family":"Toure","given":"Sekou"},{"family":"Koumare","given":"Sekou"},{"family":"Toure","given":"Ousmane"},{"family":"Sagara","given":"Issaka"},{"family":"Toure","given":"Abdoulaye"},{"family":"Dao","given":"Adama"},{"family":"Doumbo","given":"Ogobara K."},{"family":"Djimde","given":"Abdoulaye A."}],"issued":{"date-parts":[["2018",12,6]]}}}],"schema":"https://github.com/citation-style-language/schema/raw/master/csl-citation.json"} </w:instrText>
      </w:r>
      <w:r w:rsidRPr="00F042EA">
        <w:rPr>
          <w:rFonts w:cs="Arial"/>
          <w:szCs w:val="22"/>
        </w:rPr>
        <w:fldChar w:fldCharType="separate"/>
      </w:r>
      <w:r w:rsidR="00FB2554">
        <w:rPr>
          <w:rFonts w:cs="Arial"/>
          <w:szCs w:val="22"/>
        </w:rPr>
        <w:t>[17]</w:t>
      </w:r>
      <w:r w:rsidRPr="00F042EA">
        <w:rPr>
          <w:rFonts w:cs="Arial"/>
          <w:szCs w:val="22"/>
        </w:rPr>
        <w:fldChar w:fldCharType="end"/>
      </w:r>
      <w:r w:rsidRPr="00F042EA">
        <w:rPr>
          <w:rFonts w:cs="Arial"/>
          <w:szCs w:val="22"/>
        </w:rPr>
        <w:t xml:space="preserve"> post-treatment to an immediate decrease in gametocytaemia </w:t>
      </w:r>
      <w:r w:rsidRPr="00F042EA">
        <w:rPr>
          <w:rFonts w:cs="Arial"/>
          <w:szCs w:val="22"/>
        </w:rPr>
        <w:fldChar w:fldCharType="begin"/>
      </w:r>
      <w:r w:rsidR="00FB2554">
        <w:rPr>
          <w:rFonts w:cs="Arial"/>
          <w:szCs w:val="22"/>
        </w:rPr>
        <w:instrText xml:space="preserve"> ADDIN ZOTERO_ITEM CSL_CITATION {"citationID":"wY5tWNIf","properties":{"formattedCitation":"[18]","plainCitation":"[18]","noteIndex":0},"citationItems":[{"id":687,"uris":["http://zotero.org/users/7806423/items/BJUIV9I3"],"itemData":{"id":687,"type":"article-journal","abstract":"The safety and efficacy of the two most widely used fixed-dose artemisinin-based combination therapies (ACT), artesunate-amodiaquine (ASAQ) and artemether-lumefantrine (AL) are well established for single episodes of uncomplicated Plasmodium falciparum malaria, but the effects of repeated, long-term use are not well documented. We conducted a 2-year randomized, open-label, longitudinal, phase IV clinical trial comparing the efficacy and safety of fixed-dose ASAQ and AL for repeated treatment of uncomplicated malaria in children under 5 years at Nagongera Health Centre, Uganda. Participants were randomized to ASAQ or AL and all subsequent malaria episodes were treated with the same regimen. 413 children were enrolled and experienced a total of 6027 malaria episodes (mean 15; range, 1–26). For the first malaria episode, the PCR-corrected-cure rate for ASAQ (97.5%) was non-inferior to that for AL (97.0%; 95% CI [−0.028; 0.037]). PCR-corrected cure rates for subsequent malaria episodes that had over 100 cases (episodes 2–18), ranged from 88.1% to 98.9% per episode, with no clear difference between the treatment arms. Parasites were completely cleared by day 3 for all malaria episodes and gametocyte carriage was less than 1% by day 21. Fever clearance was faster in the ASAQ group for the first episode. Treatment compliance for subsequent episodes (only first dose administration observed) was close to 100%. Adverse events though common were similar between treatment arms and mostly related to the disease. Serious adverse events were uncommon, comparable between treatment arms and resolved spontaneously. Anemia and neutropenia occurred in &lt;0.5% of cases per episode, abnormal liver function tests occurred in 0.3% to 1.4% of cases. Both regimens were safe and effective for repeated treatment of malaria. Trial Registration Current Controlled Trials NCT00699920","container-title":"PLOS ONE","DOI":"10.1371/journal.pone.0113311","ISSN":"1932-6203","issue":"12","journalAbbreviation":"PLOS ONE","language":"en","note":"publisher: Public Library of Science","page":"e113311","source":"PLoS Journals","title":"Efficacy and Safety of Fixed-Dose Artesunate-Amodiaquine vs. Artemether-Lumefantrine for Repeated Treatment of Uncomplicated Malaria in Ugandan Children","volume":"9","author":[{"family":"Yeka","given":"Adoke"},{"family":"Lameyre","given":"Valerie"},{"family":"Afizi","given":"Kibuuka"},{"family":"Fredrick","given":"Mudangha"},{"family":"Lukwago","given":"Robinson"},{"family":"Kamya","given":"Moses R."},{"family":"Talisuna","given":"Ambrose O."}],"issued":{"date-parts":[["2014",12,1]]}}}],"schema":"https://github.com/citation-style-language/schema/raw/master/csl-citation.json"} </w:instrText>
      </w:r>
      <w:r w:rsidRPr="00F042EA">
        <w:rPr>
          <w:rFonts w:cs="Arial"/>
          <w:szCs w:val="22"/>
        </w:rPr>
        <w:fldChar w:fldCharType="separate"/>
      </w:r>
      <w:r w:rsidR="00FB2554">
        <w:rPr>
          <w:rFonts w:cs="Arial"/>
          <w:szCs w:val="22"/>
        </w:rPr>
        <w:t>[18]</w:t>
      </w:r>
      <w:r w:rsidRPr="00F042EA">
        <w:rPr>
          <w:rFonts w:cs="Arial"/>
          <w:szCs w:val="22"/>
        </w:rPr>
        <w:fldChar w:fldCharType="end"/>
      </w:r>
      <w:r w:rsidRPr="00F042EA">
        <w:rPr>
          <w:rFonts w:cs="Arial"/>
          <w:szCs w:val="22"/>
        </w:rPr>
        <w:t xml:space="preserve">. </w:t>
      </w:r>
      <w:r w:rsidR="00534CD6">
        <w:rPr>
          <w:rFonts w:cs="Arial"/>
          <w:szCs w:val="22"/>
        </w:rPr>
        <w:t>Compared to AL, ASAQ appears to be less efficient in preventing post-treatment gametocyte carriage</w:t>
      </w:r>
      <w:r w:rsidR="00DA55BC">
        <w:rPr>
          <w:rFonts w:cs="Arial"/>
          <w:szCs w:val="22"/>
        </w:rPr>
        <w:t xml:space="preserve"> </w:t>
      </w:r>
      <w:r w:rsidR="00DA55BC">
        <w:rPr>
          <w:rFonts w:cs="Arial"/>
          <w:szCs w:val="22"/>
        </w:rPr>
        <w:fldChar w:fldCharType="begin"/>
      </w:r>
      <w:r w:rsidR="00DA55BC">
        <w:rPr>
          <w:rFonts w:cs="Arial"/>
          <w:szCs w:val="22"/>
        </w:rPr>
        <w:instrText xml:space="preserve"> ADDIN ZOTERO_ITEM CSL_CITATION {"citationID":"zepXYsB5","properties":{"formattedCitation":"[2]","plainCitation":"[2]","noteIndex":0},"citationItems":[{"id":712,"uris":["http://zotero.org/users/7806423/items/TGRBPZSK"],"itemData":{"id":712,"type":"article-journal","abstract":"Background\nGametocytes are responsible for transmission of malaria from human to mosquito. Artemisinin combination therapy (ACT) reduces post-treatment gametocyte carriage, dependent upon host, parasite and pharmacodynamic factors. The gametocytocidal properties of antimalarial drugs are important for malaria elimination efforts. An individual patient clinical data meta-analysis was undertaken to identify the determinants of gametocyte carriage and the comparative effects of four ACTs: artemether-lumefantrine (AL), artesunate/amodiaquine (AS-AQ), artesunate/mefloquine (AS-MQ), and dihydroartemisinin-piperaquine (DP).\n\nMethods\nFactors associated with gametocytaemia prior to, and following, ACT treatment were identified in multivariable logistic or Cox regression analysis with random effects. All relevant studies were identified through a systematic review of PubMed. Risk of bias was evaluated based on study design, methodology, and missing data.\n\nResults\nThe systematic review identified 169 published and 9 unpublished studies, 126 of which were shared with the WorldWide Antimalarial Resistance Network (WWARN) and 121 trials including 48,840 patients were included in the analysis. Prevalence of gametocytaemia by microscopy at enrolment was 12.1 % (5887/48,589), and increased with decreasing age, decreasing asexual parasite density and decreasing haemoglobin concentration, and was higher in patients without fever at presentation. After ACT treatment, gametocytaemia appeared in 1.9 % (95 % CI, 1.7–2.1) of patients. The appearance of gametocytaemia was lowest after AS-MQ and AL and significantly higher after DP (adjusted hazard ratio (AHR), 2.03; 95 % CI, 1.24–3.12; P = 0.005 compared to AL) and AS-AQ fixed dose combination (FDC) (AHR, 4.01; 95 % CI, 2.40–6.72; P &lt; 0.001 compared to AL). Among individuals who had gametocytaemia before treatment, gametocytaemia clearance was significantly faster with AS-MQ (AHR, 1.26; 95 % CI, 1.00–1.60; P = 0.054) and slower with DP (AHR, 0.74; 95 % CI, 0.63–0.88; P = 0.001) compared to AL. Both recrudescent (adjusted odds ratio (AOR), 9.05; 95 % CI, 3.74–21.90; P &lt; 0.001) and new (AOR, 3.03; 95 % CI, 1.66–5.54; P &lt; 0.001) infections with asexual-stage parasites were strongly associated with development of gametocytaemia after day 7.\n\nConclusions\nAS-MQ and AL are more effective than DP and AS-AQ FDC in preventing gametocytaemia shortly after treatment, suggesting that the non-artemisinin partner drug or the timing of artemisinin dosing are important determinants of post-treatment gametocyte dynamics.\n\nElectronic supplementary material\nThe online version of this article (doi:10.1186/s12916-016-0621-7) contains supplementary material, which is available to authorized users.","container-title":"BMC Medicine","DOI":"10.1186/s12916-016-0621-7","ISSN":"1741-7015","journalAbbreviation":"BMC Med","note":"PMID: 27221542\nPMCID: PMC4879753","page":"79","source":"PubMed Central","title":"Gametocyte carriage in uncomplicated Plasmodium falciparum malaria following treatment with artemisinin combination therapy: a systematic review and meta-analysis of individual patient data","title-short":"Gametocyte carriage in uncomplicated Plasmodium falciparum malaria following treatment with artemisinin combination therapy","volume":"14","issued":{"date-parts":[["2016",5,24]]}}}],"schema":"https://github.com/citation-style-language/schema/raw/master/csl-citation.json"} </w:instrText>
      </w:r>
      <w:r w:rsidR="00DA55BC">
        <w:rPr>
          <w:rFonts w:cs="Arial"/>
          <w:szCs w:val="22"/>
        </w:rPr>
        <w:fldChar w:fldCharType="separate"/>
      </w:r>
      <w:r w:rsidR="00DA55BC">
        <w:rPr>
          <w:rFonts w:cs="Arial"/>
          <w:noProof/>
          <w:szCs w:val="22"/>
        </w:rPr>
        <w:t>[2]</w:t>
      </w:r>
      <w:r w:rsidR="00DA55BC">
        <w:rPr>
          <w:rFonts w:cs="Arial"/>
          <w:szCs w:val="22"/>
        </w:rPr>
        <w:fldChar w:fldCharType="end"/>
      </w:r>
      <w:r w:rsidR="00DA55BC">
        <w:rPr>
          <w:rFonts w:cs="Arial"/>
          <w:szCs w:val="22"/>
        </w:rPr>
        <w:t xml:space="preserve">. </w:t>
      </w:r>
      <w:r w:rsidRPr="00F042EA">
        <w:rPr>
          <w:rFonts w:cs="Arial"/>
          <w:szCs w:val="22"/>
        </w:rPr>
        <w:t xml:space="preserve">In addition, it is important to note that gametocyte carriage is a poor measurement for human-to-mosquito transmission, as antimalarial drugs can sterilise gametocytes before removing them from the blood stream </w:t>
      </w:r>
      <w:r w:rsidRPr="00F042EA">
        <w:rPr>
          <w:rFonts w:cs="Arial"/>
          <w:szCs w:val="22"/>
        </w:rPr>
        <w:fldChar w:fldCharType="begin"/>
      </w:r>
      <w:r w:rsidR="00FB2554">
        <w:rPr>
          <w:rFonts w:cs="Arial"/>
          <w:szCs w:val="22"/>
        </w:rPr>
        <w:instrText xml:space="preserve"> ADDIN ZOTERO_ITEM CSL_CITATION {"citationID":"KiLTwFiw","properties":{"formattedCitation":"[19]","plainCitation":"[19]","noteIndex":0},"citationItems":[{"id":105,"uris":["http://zotero.org/users/7806423/items/SXHI5JGT"],"itemData":{"id":105,"type":"article-journal","abstract":"Gametocyte density and sex ratio can predict the proportion of mosquitoes that will become infected after feeding on blood of patients receiving nongametocytocidal drugs. Because primaquine and methylene blue sterilize gametocytes before affecting their density and sex ratio, mosquito feeding experiments are required to demonstrate their early transmission-blocking effects.","container-title":"Clinical Infectious Diseases","DOI":"10.1093/cid/ciz134","ISSN":"1058-4838","issue":"8","journalAbbreviation":"Clinical Infectious Diseases","page":"1436-1439","source":"Silverchair","title":"Transmission-blocking Effects of Primaquine and Methylene Blue Suggest Plasmodium falciparum Gametocyte Sterilization Rather Than Effects on Sex Ratio","volume":"69","author":[{"family":"Bradley","given":"John"},{"family":"Soumaré","given":"Harouna M"},{"family":"Mahamar","given":"Almahamoudou"},{"family":"Diawara","given":"Halimatou"},{"family":"Roh","given":"Michelle"},{"family":"Delves","given":"Michael"},{"family":"Drakeley","given":"Chris"},{"family":"Churcher","given":"Thomas S"},{"family":"Dicko","given":"Alassane"},{"family":"Gosling","given":"Roly"},{"family":"Bousema","given":"Teun"}],"issued":{"date-parts":[["2019",9,27]]}}}],"schema":"https://github.com/citation-style-language/schema/raw/master/csl-citation.json"} </w:instrText>
      </w:r>
      <w:r w:rsidRPr="00F042EA">
        <w:rPr>
          <w:rFonts w:cs="Arial"/>
          <w:szCs w:val="22"/>
        </w:rPr>
        <w:fldChar w:fldCharType="separate"/>
      </w:r>
      <w:r w:rsidR="00FB2554">
        <w:rPr>
          <w:rFonts w:cs="Arial"/>
          <w:szCs w:val="22"/>
        </w:rPr>
        <w:t>[19]</w:t>
      </w:r>
      <w:r w:rsidRPr="00F042EA">
        <w:rPr>
          <w:rFonts w:cs="Arial"/>
          <w:szCs w:val="22"/>
        </w:rPr>
        <w:fldChar w:fldCharType="end"/>
      </w:r>
      <w:r w:rsidRPr="00F042EA">
        <w:rPr>
          <w:rFonts w:cs="Arial"/>
          <w:szCs w:val="22"/>
        </w:rPr>
        <w:t xml:space="preserve"> and transmissible gametocytes can persist at </w:t>
      </w:r>
      <w:proofErr w:type="spellStart"/>
      <w:r w:rsidRPr="00F042EA">
        <w:rPr>
          <w:rFonts w:cs="Arial"/>
          <w:szCs w:val="22"/>
        </w:rPr>
        <w:t>submicroscopic</w:t>
      </w:r>
      <w:proofErr w:type="spellEnd"/>
      <w:r w:rsidRPr="00F042EA">
        <w:rPr>
          <w:rFonts w:cs="Arial"/>
          <w:szCs w:val="22"/>
        </w:rPr>
        <w:t xml:space="preserve"> densities </w:t>
      </w:r>
      <w:r w:rsidRPr="00F042EA">
        <w:rPr>
          <w:rFonts w:cs="Arial"/>
          <w:szCs w:val="22"/>
        </w:rPr>
        <w:fldChar w:fldCharType="begin"/>
      </w:r>
      <w:r w:rsidR="00FB2554">
        <w:rPr>
          <w:rFonts w:cs="Arial"/>
          <w:szCs w:val="22"/>
        </w:rPr>
        <w:instrText xml:space="preserve"> ADDIN ZOTERO_ITEM CSL_CITATION {"citationID":"cQpk2Kyj","properties":{"formattedCitation":"[20]","plainCitation":"[20]","noteIndex":0},"citationItems":[{"id":738,"uris":["http://zotero.org/users/7806423/items/QHC6QWIM"],"itemData":{"id":738,"type":"article-journal","abstract":"The effects of drugs on Plasmodium falciparum transmission stages may reduce the spread of parasites in the population and contribute to malaria control. Detailed quantitative studies on (sub)microscopic gametocytaemia have become feasible with the availability of real-time Pfs25 quantitative Nucleic Acid Sequence-based Amplification (QT-NASBA), which can be used to detect gametocyte densities above 20 gametocytes per millilitre from in vitro cultures. Gametocyte dynamics were investigated in children with uncomplicated P. falciparum malaria after treatment with sulphadoxine-pyrimethamine (SP) or a combination of SP and artesunate (SP+AS), in a 28-days drug efficacy study. This study demonstrated that gametocyte prevalence in 873 samples from symptomatic Kenyan children was 2.8 times higher by QT-NASBA compared with microscopy. Microscopy-positive cases showed a significant correlation with QT-NASBA for gametocyte density. At enrolment, gametocyte prevalence was 86% by QT-NASBA compared with 22% by microscopy. Gametocytes were detected in 97% of children in at least one blood sample and in 38% of children in all samples obtained during the 28-days follow-up. Both the risk of gametocyte carriage and gametocyte density were considerably higher after treatment with SP compared with SP+AS. Gametocyte prevalence and density decreased with time in the SP+AS group, but not in the SP-treated children. Our data suggest that the potential of malaria transmission remains high even after treatment with artemisinin combination therapy, although prevalence and density of gametocytes is lower after SP+AS.","container-title":"International Journal for Parasitology","DOI":"10.1016/j.ijpara.2006.01.002","ISSN":"0020-7519","issue":"4","journalAbbreviation":"International Journal for Parasitology","language":"en","page":"403-408","source":"ScienceDirect","title":"(Sub)microscopic Plasmodium falciparum gametocytaemia in Kenyan children after treatment with sulphadoxine-pyrimethamine monotherapy or in combination with artesunate","volume":"36","author":[{"family":"Schneider","given":"Petra"},{"family":"Bousema","given":"Teun"},{"family":"Omar","given":"Sabah"},{"family":"Gouagna","given":"Louis"},{"family":"Sawa","given":"Patrick"},{"family":"Schallig","given":"Henk"},{"family":"Sauerwein","given":"Robert"}],"issued":{"date-parts":[["2006",4,1]]}}}],"schema":"https://github.com/citation-style-language/schema/raw/master/csl-citation.json"} </w:instrText>
      </w:r>
      <w:r w:rsidRPr="00F042EA">
        <w:rPr>
          <w:rFonts w:cs="Arial"/>
          <w:szCs w:val="22"/>
        </w:rPr>
        <w:fldChar w:fldCharType="separate"/>
      </w:r>
      <w:r w:rsidR="00FB2554">
        <w:rPr>
          <w:rFonts w:cs="Arial"/>
          <w:szCs w:val="22"/>
        </w:rPr>
        <w:t>[20]</w:t>
      </w:r>
      <w:r w:rsidRPr="00F042EA">
        <w:rPr>
          <w:rFonts w:cs="Arial"/>
          <w:szCs w:val="22"/>
        </w:rPr>
        <w:fldChar w:fldCharType="end"/>
      </w:r>
      <w:r w:rsidRPr="00F042EA">
        <w:rPr>
          <w:rFonts w:cs="Arial"/>
          <w:szCs w:val="22"/>
        </w:rPr>
        <w:t xml:space="preserve">. Membrane feeding assays (MFA) are therefore the most reliable method to assess transmission. </w:t>
      </w:r>
      <w:r w:rsidR="005672CB">
        <w:rPr>
          <w:rFonts w:cs="Arial"/>
          <w:szCs w:val="22"/>
        </w:rPr>
        <w:t xml:space="preserve">MFA can be supported by magnetic enrichment of gametocytes that can allow for assessments of infectivity of increased gametocyte densities </w:t>
      </w:r>
      <w:r w:rsidR="00DA55BC">
        <w:rPr>
          <w:rFonts w:cs="Arial"/>
          <w:szCs w:val="22"/>
        </w:rPr>
        <w:fldChar w:fldCharType="begin"/>
      </w:r>
      <w:r w:rsidR="00FB2554">
        <w:rPr>
          <w:rFonts w:cs="Arial"/>
          <w:szCs w:val="22"/>
        </w:rPr>
        <w:instrText xml:space="preserve"> ADDIN ZOTERO_ITEM CSL_CITATION {"citationID":"gaaShoUd","properties":{"formattedCitation":"[21]","plainCitation":"[21]","noteIndex":0},"citationItems":[{"id":1243,"uris":["http://zotero.org/users/7806423/items/5ZMST28Q"],"itemData":{"id":1243,"type":"article-journal","abstract":"Background\nMosquito-feeding assays are important tools to guide the development and support the evaluation of transmission-blocking interventions. These functional bioassays measure the sporogonic development of gametocytes in blood-fed mosquitoes. Measuring the infectivity of low gametocyte densities has become increasingly important in malaria elimination scenarios. This will pose challenges to the sensitivity and throughput of existing mosquito-feeding assay protocols. Here, different gametocyte concentration methods of blood samples were explored to optimize conditions for detection of positive mosquito infections.\n\nMethods\nMature gametocytes of Plasmodium falciparum were diluted into whole blood samples of malaria-naïve volunteers. Standard centrifugation, Percoll gradient, magnetic cell sorting (MACS) enrichment were compared using starting blood volumes larger than the control (direct) feed.\n\nResults\nMACS gametocyte enrichment resulted in the highest infection intensity with statistically significant increases in mean oocyst density in 2 of 3 experiments (p = 0.0003; p ≤ 0.0001; p = 0.2348). The Percoll gradient and standard centrifugation procedures resulted in variable infectivity. A significant increase in the proportion of infected mosquitoes and oocyst density was found when larger volumes of gametocyte-infected blood were used with the MACS procedure.\n\nConclusions\nThe current study demonstrates that concentration methods of P. falciparum gametocyte-infected whole blood samples can enhance transmission in mosquito-feeding assays. Gametocyte purification by MACS was the most efficient method, allowing the assessment of gametocyte infectivity in low-density gametocyte infections, as can be expected in natural or experimental conditions.\n\nElectronic supplementary material\nThe online version of this article (doi:10.1186/s12936-017-1959-9) contains supplementary material, which is available to authorized users.","container-title":"Malaria Journal","DOI":"10.1186/s12936-017-1959-9","ISSN":"1475-2875","journalAbbreviation":"Malar J","note":"PMID: 28779750\nPMCID: PMC5545093","page":"315","source":"PubMed Central","title":"Concentration of Plasmodium falciparum gametocytes in whole blood samples by magnetic cell sorting enhances parasite infection rates in mosquito feeding assays","volume":"16","author":[{"family":"Reuling","given":"Isaie J."},{"family":"Stone","given":"Will J. R."},{"family":"Vegte-Bolmer","given":"Marga","non-dropping-particle":"van de"},{"family":"Gemert","given":"Geert-Jan","non-dropping-particle":"van"},{"family":"Siebelink-Stoter","given":"Rianne"},{"family":"Graumans","given":"Wouter"},{"family":"Lanke","given":"Kjerstin"},{"family":"Bousema","given":"Teun"},{"family":"Sauerwein","given":"Robert W."}],"issued":{"date-parts":[["2017",8,5]]}}}],"schema":"https://github.com/citation-style-language/schema/raw/master/csl-citation.json"} </w:instrText>
      </w:r>
      <w:r w:rsidR="00DA55BC">
        <w:rPr>
          <w:rFonts w:cs="Arial"/>
          <w:szCs w:val="22"/>
        </w:rPr>
        <w:fldChar w:fldCharType="separate"/>
      </w:r>
      <w:r w:rsidR="00FB2554">
        <w:rPr>
          <w:rFonts w:cs="Arial"/>
          <w:noProof/>
          <w:szCs w:val="22"/>
        </w:rPr>
        <w:t>[21]</w:t>
      </w:r>
      <w:r w:rsidR="00DA55BC">
        <w:rPr>
          <w:rFonts w:cs="Arial"/>
          <w:szCs w:val="22"/>
        </w:rPr>
        <w:fldChar w:fldCharType="end"/>
      </w:r>
      <w:r w:rsidR="00DA55BC">
        <w:rPr>
          <w:rFonts w:cs="Arial"/>
          <w:szCs w:val="22"/>
        </w:rPr>
        <w:t xml:space="preserve"> </w:t>
      </w:r>
      <w:r w:rsidR="005672CB">
        <w:rPr>
          <w:rFonts w:cs="Arial"/>
          <w:szCs w:val="22"/>
        </w:rPr>
        <w:t>and differentiate between lack of infectivity because of gametocyte densities that are too low to permit transmission and gametocyte sterilization</w:t>
      </w:r>
      <w:r w:rsidR="00DA55BC">
        <w:rPr>
          <w:rFonts w:cs="Arial"/>
          <w:szCs w:val="22"/>
        </w:rPr>
        <w:t xml:space="preserve"> </w:t>
      </w:r>
      <w:r w:rsidR="00DA55BC">
        <w:rPr>
          <w:rFonts w:cs="Arial"/>
          <w:szCs w:val="22"/>
        </w:rPr>
        <w:fldChar w:fldCharType="begin"/>
      </w:r>
      <w:r w:rsidR="00FB2554">
        <w:rPr>
          <w:rFonts w:cs="Arial"/>
          <w:szCs w:val="22"/>
        </w:rPr>
        <w:instrText xml:space="preserve"> ADDIN ZOTERO_ITEM CSL_CITATION {"citationID":"WdTcf0jC","properties":{"formattedCitation":"[22]","plainCitation":"[22]","noteIndex":0},"citationItems":[{"id":1246,"uris":["http://zotero.org/users/7806423/items/KYXRDKSB"],"itemData":{"id":1246,"type":"article-journal","abstract":"The parasite that causes malaria, named Plasmodium falciparum, has a life cycle that involves both humans and mosquitoes. Starting in the saliva of female Anopheles mosquitoes, it enters a person’s bloodstream when the insects feed. It then moves to the person’s liver, where it infects liver cells and matures into a stage known as schizonts. The schizonts then divide to form thousands of so-called merozoites, which burst out of the liver cells and into the bloodstream. The merozoites infect red blood cells, producing more schizonts and yet more merozoites, which continue the infection., To complete its life cycle, the parasite must return to a mosquito. Some of the parasites in the person’s blood transform into male and female cells called gametocytes that are taken up by a mosquito when it feeds on that person. Inside the mosquito, male and female parasites reproduce to create the next generation of parasites. The new parasites then move to the mosquito’s salivary glands, ready to begin another infection. Stopping the parasite being transmitted from humans to mosquitoes will stop the spread of malaria in the population. Yet it has proven difficult to study this part of the life cycle from natural infections., Here, Reuling et al. report a new method for generating gametocytes in human volunteers that will enable closer study of the biology of malaria transmission. The method is developed using the Controlled Human Malaria Infection (CHMI) model. Healthy volunteers without a history of malaria are bitten by mosquitoes infected with malaria parasites. Shortly afterwards, the volunteers are given a drug treatment to control and reduce their symptoms. The gametocytes form during this phase of the infection. At the end of the experiment, all the volunteers receive a final treatment that completely cures the infection., Reuling et al. recruited 16 volunteers and assigned them to four groups at random. Each group received a different drug regime. Roughly a week after the mosquito bites, all participants showed malaria parasites in their blood, and between 8.5 and 12 days later, mature gametocytes started to appear. This early appearance suggests that the parasites start to transform into gametocytes when they first emerge from the liver. The experiment also revealed that female gametocytes stay in the blood for a longer period than their male counterparts., These results are proof of principle for a new way to investigate malaria infection. The new model provides a controlled method for studying P. falciparum gametocytes in people. In the future, it could help to test the impact of drugs and vaccines on gametocytes. Understanding more about these parasites’ biology could lead to treatments that block malaria transmission.","container-title":"eLife","DOI":"10.7554/eLife.31549","ISSN":"2050-084X","journalAbbreviation":"eLife","note":"PMID: 29482720\nPMCID: PMC5828662","page":"e31549","source":"PubMed Central","title":"A randomized feasibility trial comparing four antimalarial drug regimens to induce Plasmodium falciparum gametocytemia in the controlled human malaria infection model","volume":"7","author":[{"family":"Reuling","given":"Isaie J"},{"family":"Schans","given":"Lisanne A","non-dropping-particle":"van de"},{"family":"Coffeng","given":"Luc E"},{"family":"Lanke","given":"Kjerstin"},{"family":"Meerstein-Kessel","given":"Lisette"},{"family":"Graumans","given":"Wouter"},{"family":"Gemert","given":"Geert-Jan","non-dropping-particle":"van"},{"family":"Teelen","given":"Karina"},{"family":"Siebelink-Stoter","given":"Rianne"},{"family":"Vegte-Bolmer","given":"Marga","non-dropping-particle":"van de"},{"family":"Mast","given":"Quirijn","non-dropping-particle":"de"},{"family":"Ven","given":"André J","non-dropping-particle":"van der"},{"family":"Ivinson","given":"Karen"},{"family":"Hermsen","given":"Cornelus C"},{"family":"Vlas","given":"Sake","non-dropping-particle":"de"},{"family":"Bradley","given":"John"},{"family":"Collins","given":"Katharine A"},{"family":"Ockenhouse","given":"Christian F"},{"family":"McCarthy","given":"James"},{"family":"Sauerwein","given":"Robert W"},{"family":"Bousema","given":"Teun"}],"issued":{"date-parts":[["2018"]]}}}],"schema":"https://github.com/citation-style-language/schema/raw/master/csl-citation.json"} </w:instrText>
      </w:r>
      <w:r w:rsidR="00DA55BC">
        <w:rPr>
          <w:rFonts w:cs="Arial"/>
          <w:szCs w:val="22"/>
        </w:rPr>
        <w:fldChar w:fldCharType="separate"/>
      </w:r>
      <w:r w:rsidR="00FB2554">
        <w:rPr>
          <w:rFonts w:cs="Arial"/>
          <w:noProof/>
          <w:szCs w:val="22"/>
        </w:rPr>
        <w:t>[22]</w:t>
      </w:r>
      <w:r w:rsidR="00DA55BC">
        <w:rPr>
          <w:rFonts w:cs="Arial"/>
          <w:szCs w:val="22"/>
        </w:rPr>
        <w:fldChar w:fldCharType="end"/>
      </w:r>
      <w:r w:rsidR="00DA55BC">
        <w:rPr>
          <w:rFonts w:cs="Arial"/>
          <w:szCs w:val="22"/>
        </w:rPr>
        <w:t>.</w:t>
      </w:r>
      <w:r w:rsidR="005672CB">
        <w:rPr>
          <w:rFonts w:cs="Arial"/>
          <w:szCs w:val="22"/>
        </w:rPr>
        <w:t>This is relevant since uncertainties remain about the exact working mechanism of transmission-blocking antimalarial drugs that may clear gametocytes, distort their sex-ratio or sterilize gametocytes without clearance from circulation</w:t>
      </w:r>
      <w:r w:rsidR="00DA55BC">
        <w:rPr>
          <w:rFonts w:cs="Arial"/>
          <w:szCs w:val="22"/>
        </w:rPr>
        <w:t xml:space="preserve"> </w:t>
      </w:r>
      <w:r w:rsidR="00DA55BC">
        <w:rPr>
          <w:rFonts w:cs="Arial"/>
          <w:szCs w:val="22"/>
        </w:rPr>
        <w:fldChar w:fldCharType="begin"/>
      </w:r>
      <w:r w:rsidR="00FB2554">
        <w:rPr>
          <w:rFonts w:cs="Arial"/>
          <w:szCs w:val="22"/>
        </w:rPr>
        <w:instrText xml:space="preserve"> ADDIN ZOTERO_ITEM CSL_CITATION {"citationID":"X4Cbi6qe","properties":{"formattedCitation":"[19]","plainCitation":"[19]","noteIndex":0},"citationItems":[{"id":105,"uris":["http://zotero.org/users/7806423/items/SXHI5JGT"],"itemData":{"id":105,"type":"article-journal","abstract":"Gametocyte density and sex ratio can predict the proportion of mosquitoes that will become infected after feeding on blood of patients receiving nongametocytocidal drugs. Because primaquine and methylene blue sterilize gametocytes before affecting their density and sex ratio, mosquito feeding experiments are required to demonstrate their early transmission-blocking effects.","container-title":"Clinical Infectious Diseases","DOI":"10.1093/cid/ciz134","ISSN":"1058-4838","issue":"8","journalAbbreviation":"Clinical Infectious Diseases","page":"1436-1439","source":"Silverchair","title":"Transmission-blocking Effects of Primaquine and Methylene Blue Suggest Plasmodium falciparum Gametocyte Sterilization Rather Than Effects on Sex Ratio","volume":"69","author":[{"family":"Bradley","given":"John"},{"family":"Soumaré","given":"Harouna M"},{"family":"Mahamar","given":"Almahamoudou"},{"family":"Diawara","given":"Halimatou"},{"family":"Roh","given":"Michelle"},{"family":"Delves","given":"Michael"},{"family":"Drakeley","given":"Chris"},{"family":"Churcher","given":"Thomas S"},{"family":"Dicko","given":"Alassane"},{"family":"Gosling","given":"Roly"},{"family":"Bousema","given":"Teun"}],"issued":{"date-parts":[["2019",9,27]]}}}],"schema":"https://github.com/citation-style-language/schema/raw/master/csl-citation.json"} </w:instrText>
      </w:r>
      <w:r w:rsidR="00DA55BC">
        <w:rPr>
          <w:rFonts w:cs="Arial"/>
          <w:szCs w:val="22"/>
        </w:rPr>
        <w:fldChar w:fldCharType="separate"/>
      </w:r>
      <w:r w:rsidR="00FB2554">
        <w:rPr>
          <w:rFonts w:cs="Arial"/>
          <w:noProof/>
          <w:szCs w:val="22"/>
        </w:rPr>
        <w:t>[19]</w:t>
      </w:r>
      <w:r w:rsidR="00DA55BC">
        <w:rPr>
          <w:rFonts w:cs="Arial"/>
          <w:szCs w:val="22"/>
        </w:rPr>
        <w:fldChar w:fldCharType="end"/>
      </w:r>
      <w:r w:rsidR="00DA55BC">
        <w:rPr>
          <w:rFonts w:cs="Arial"/>
          <w:szCs w:val="22"/>
        </w:rPr>
        <w:t xml:space="preserve">. </w:t>
      </w:r>
      <w:r w:rsidR="005672CB">
        <w:rPr>
          <w:rFonts w:cs="Arial"/>
          <w:szCs w:val="22"/>
        </w:rPr>
        <w:t>Understanding the mode by which transmission is prevented can support drug development.</w:t>
      </w:r>
    </w:p>
    <w:p w14:paraId="10BB56EB" w14:textId="20135374" w:rsidR="003D2E7B" w:rsidRPr="00F042EA" w:rsidRDefault="003D2E7B" w:rsidP="00164E47">
      <w:pPr>
        <w:jc w:val="both"/>
        <w:rPr>
          <w:rFonts w:cs="Arial"/>
          <w:szCs w:val="22"/>
        </w:rPr>
      </w:pPr>
      <w:r w:rsidRPr="00F042EA">
        <w:rPr>
          <w:rFonts w:cs="Arial"/>
          <w:szCs w:val="22"/>
        </w:rPr>
        <w:t xml:space="preserve">Only one study has performed MFA after ASAQ treatment, reporting an increase in transmission </w:t>
      </w:r>
      <w:r w:rsidRPr="00F042EA">
        <w:rPr>
          <w:rFonts w:cs="Arial"/>
          <w:szCs w:val="22"/>
        </w:rPr>
        <w:fldChar w:fldCharType="begin"/>
      </w:r>
      <w:r w:rsidR="00FB2554">
        <w:rPr>
          <w:rFonts w:cs="Arial"/>
          <w:szCs w:val="22"/>
        </w:rPr>
        <w:instrText xml:space="preserve"> ADDIN ZOTERO_ITEM CSL_CITATION {"citationID":"kKwHK11L","properties":{"formattedCitation":"[17]","plainCitation":"[17]","noteIndex":0},"citationItems":[{"id":664,"uris":["http://zotero.org/users/7806423/items/H5JTNHPN"],"itemData":{"id":664,"type":"article-journal","abstract":"Background\nMost malaria-endemic countries use artemisinin-based combination therapy (ACT) as their first-line treatment. ACTs are known to be highly effective on asexual stages of the malaria parasite. Malaria transmission and the spread of resistant parasites depend on the infectivity of gametocytes. The effect of the current ACT regimens on gametocyte infectivity is unclear.\n\nObjectives\nThis study aimed to determine the infectivity of gametocytes to Anopheles gambiae following ACT treatment in the field.\n\nMethods\nDuring a randomised controlled trial in Bougoula-Hameau, Mali, conducted from July 2005 to July 2007, volunteers with uncomplicated malaria were randomised to receive artemether-lumefantrine, artesunate-amodiaquine, or artesunate-sulfadoxine/pyrimethamine. Volunteers were followed for 28 days, and gametocyte carriage was assessed. Direct skin feeding assays were performed on gametocyte carriers before and after ACT administration.\n\nResults\nFollowing artemether-lumefantrine treatment, gametocyte carriage decreased steadily from Day 0 to Day 21 post-treatment initiation. In contrast, for the artesunate-amodiaquine and artesunate-sulfadoxine/pyrimethamine arms, gametocyte carriage increased on Day 3 and remained constant until Day 7 before decreasing afterward. Mosquito feeding assays showed that artemether-lumefantrine and artesunate-amodiaquine significantly increased gametocyte infectivity to Anopheles gambiae sensu lato (s.l.) (p &lt; 10−4), whereas artesunate-sulfadoxine/pyrimethamine decreased gametocyte infectivity in this setting (p = 0.03).\n\nConclusion\nDifferent ACT regimens could lead to gametocyte populations with different capacity to infect the Anopheles vector. Frequent assessment of the effect of antimalarials on gametocytogenesis and gametocyte infectivity may be required for the full assessment of treatment efficacy, the potential for spread of drug resistance and malaria transmission in the field.","container-title":"African Journal of Laboratory Medicine","DOI":"10.4102/ajlm.v7i2.784","ISSN":"2225-2002","issue":"2","journalAbbreviation":"Afr J Lab Med","note":"PMID: 30568901\nPMCID: PMC6295776","page":"784","source":"PubMed Central","title":"Differential infectivity of gametocytes after artemisinin-based combination therapy of uncomplicated falciparum malaria","volume":"7","author":[{"family":"Ouologuem","given":"Dinkorma T."},{"family":"Kone","given":"Cheick O."},{"family":"Fofana","given":"Bakary"},{"family":"Sidibe","given":"Bakary"},{"family":"Togo","given":"Amadou H."},{"family":"Dembele","given":"Demba"},{"family":"Toure","given":"Sekou"},{"family":"Koumare","given":"Sekou"},{"family":"Toure","given":"Ousmane"},{"family":"Sagara","given":"Issaka"},{"family":"Toure","given":"Abdoulaye"},{"family":"Dao","given":"Adama"},{"family":"Doumbo","given":"Ogobara K."},{"family":"Djimde","given":"Abdoulaye A."}],"issued":{"date-parts":[["2018",12,6]]}}}],"schema":"https://github.com/citation-style-language/schema/raw/master/csl-citation.json"} </w:instrText>
      </w:r>
      <w:r w:rsidRPr="00F042EA">
        <w:rPr>
          <w:rFonts w:cs="Arial"/>
          <w:szCs w:val="22"/>
        </w:rPr>
        <w:fldChar w:fldCharType="separate"/>
      </w:r>
      <w:r w:rsidR="00FB2554">
        <w:rPr>
          <w:rFonts w:cs="Arial"/>
          <w:szCs w:val="22"/>
        </w:rPr>
        <w:t>[17]</w:t>
      </w:r>
      <w:r w:rsidRPr="00F042EA">
        <w:rPr>
          <w:rFonts w:cs="Arial"/>
          <w:szCs w:val="22"/>
        </w:rPr>
        <w:fldChar w:fldCharType="end"/>
      </w:r>
      <w:r w:rsidRPr="00F042EA">
        <w:rPr>
          <w:rFonts w:cs="Arial"/>
          <w:szCs w:val="22"/>
        </w:rPr>
        <w:t xml:space="preserve">. If there is indeed substantial transmission after treatment with ASAQ, the addition of a single low dose PQ may be considered. To date, the added benefit of PQ when used in combination with ASAQ is unknown. </w:t>
      </w:r>
    </w:p>
    <w:p w14:paraId="7E022BFE" w14:textId="57FA3003" w:rsidR="003D2E7B" w:rsidRPr="00F042EA" w:rsidRDefault="003D2E7B" w:rsidP="00164E47">
      <w:pPr>
        <w:jc w:val="both"/>
        <w:rPr>
          <w:rFonts w:cs="Arial"/>
          <w:szCs w:val="22"/>
        </w:rPr>
      </w:pPr>
      <w:r w:rsidRPr="00F042EA">
        <w:rPr>
          <w:rFonts w:cs="Arial"/>
          <w:szCs w:val="22"/>
        </w:rPr>
        <w:t xml:space="preserve">We previously showed that Artemether-Lumefantrine (AL) is a more potent ACT in terms of gametocyte clearance and transmission reduction efficacy compared to </w:t>
      </w:r>
      <w:proofErr w:type="spellStart"/>
      <w:r w:rsidRPr="00F042EA">
        <w:rPr>
          <w:rFonts w:cs="Arial"/>
          <w:szCs w:val="22"/>
        </w:rPr>
        <w:t>Dihydroartemisinin</w:t>
      </w:r>
      <w:proofErr w:type="spellEnd"/>
      <w:r w:rsidRPr="00F042EA">
        <w:rPr>
          <w:rFonts w:cs="Arial"/>
          <w:szCs w:val="22"/>
        </w:rPr>
        <w:t xml:space="preserve">-Piperaquine (DP) </w:t>
      </w:r>
      <w:r w:rsidRPr="00F042EA">
        <w:rPr>
          <w:rFonts w:cs="Arial"/>
          <w:szCs w:val="22"/>
        </w:rPr>
        <w:fldChar w:fldCharType="begin"/>
      </w:r>
      <w:r w:rsidR="00FB2554">
        <w:rPr>
          <w:rFonts w:cs="Arial"/>
          <w:szCs w:val="22"/>
        </w:rPr>
        <w:instrText xml:space="preserve"> ADDIN ZOTERO_ITEM CSL_CITATION {"citationID":"xxSpXBjz","properties":{"formattedCitation":"[3], [4]","plainCitation":"[3], [4]","noteIndex":0},"citationItems":[{"id":737,"uris":["http://zotero.org/users/7806423/items/XW32ELGQ"],"itemData":{"id":737,"type":"article-journal","abstract":"Background Pyronaridine–artesunate is the most recently licensed artemisinin-based combination therapy. WHO has recommended that a single low dose of primaquine could be added to artemisinin-based combination therapies to reduce Plasmodium falciparum transmission in areas aiming for elimination of malaria or areas facing artemisinin resistance. We aimed to determine the efficacy of pyronaridine–artesunate and dihydroartemisinin–piperaquine with and without single low-dose primaquine for reducing gametocyte density and transmission to mosquitoes.","container-title":"The Lancet Microbe","DOI":"10.1016/S2666-5247(21)00192-0","ISSN":"26665247","issue":"1","journalAbbreviation":"The Lancet Microbe","language":"en","page":"e41-e51","source":"DOI.org (Crossref)","title":"Pyronaridine–artesunate or dihydroartemisinin–piperaquine combined with single low-dose primaquine to prevent Plasmodium falciparum malaria transmission in Ouélessébougou, Mali: a four-arm, single-blind, phase 2/3, randomised trial","title-short":"Pyronaridine–artesunate or dihydroartemisinin–piperaquine combined with single low-dose primaquine to prevent Plasmodium falciparum malaria transmission in Ouélessébougou, Mali","volume":"3","author":[{"family":"Stone","given":"William"},{"family":"Mahamar","given":"Almahamoudou"},{"family":"Sanogo","given":"Koualy"},{"family":"Sinaba","given":"Youssouf"},{"family":"Niambele","given":"Sidi M"},{"family":"Sacko","given":"Adama"},{"family":"Keita","given":"Sekouba"},{"family":"Youssouf","given":"Ahamadou"},{"family":"Diallo","given":"Makonon"},{"family":"Soumare","given":"Harouna M"},{"family":"Kaur","given":"Harparkash"},{"family":"Lanke","given":"Kjerstin"},{"family":"Heine","given":"Rob","non-dropping-particle":"ter"},{"family":"Bradley","given":"John"},{"family":"Issiaka","given":"Djibrilla"},{"family":"Diawara","given":"Halimatou"},{"family":"Traore","given":"Sekou F"},{"family":"Bousema","given":"Teun"},{"family":"Drakeley","given":"Chris"},{"family":"Dicko","given":"Alassane"}],"issued":{"date-parts":[["2022",1]]}}},{"id":1266,"uris":["http://zotero.org/users/7806423/items/4UVL37JW"],"itemData":{"id":1266,"type":"article-journal","abstract":"Background Tafenoquine was recently approved as a prophylaxis and radical cure for Plasmodium vivax infection, but its Plasmodium falciparum transmission-blocking efficacy is unclear. We aimed to establish the efficacy and safety of three single low doses of tafenoquine in combination with dihydroartemisinin–piperaquine for reducing gametocyte density and transmission to mosquitoes.","container-title":"The Lancet Microbe","DOI":"10.1016/S2666-5247(21)00356-6","ISSN":"26665247","issue":"5","journalAbbreviation":"The Lancet Microbe","language":"en","page":"e336-e347","source":"DOI.org (Crossref)","title":"Single low-dose tafenoquine combined with dihydroartemisinin–piperaquine to reduce Plasmodium falciparum transmission in Ouelessebougou, Mali: a phase 2, single-blind, randomised clinical trial","title-short":"Single low-dose tafenoquine combined with dihydroartemisinin–piperaquine to reduce Plasmodium falciparum transmission in Ouelessebougou, Mali","volume":"3","author":[{"family":"Stone","given":"Will"},{"family":"Mahamar","given":"Almahamoudou"},{"family":"Smit","given":"Merel J"},{"family":"Sanogo","given":"Koualy"},{"family":"Sinaba","given":"Youssouf"},{"family":"Niambele","given":"Sidi M"},{"family":"Sacko","given":"Adama"},{"family":"Keita","given":"Sekouba"},{"family":"Dicko","given":"Oumar M"},{"family":"Diallo","given":"Makonon"},{"family":"Maguiraga","given":"Seydina O"},{"family":"Samake","given":"Siaka"},{"family":"Attaher","given":"Oumar"},{"family":"Lanke","given":"Kjerstin"},{"family":"Heine","given":"Rob","non-dropping-particle":"ter"},{"family":"Bradley","given":"John"},{"family":"McCall","given":"Matthew B B"},{"family":"Issiaka","given":"Djibrilla"},{"family":"Traore","given":"Sekou F"},{"family":"Bousema","given":"Teun"},{"family":"Drakeley","given":"Chris"},{"family":"Dicko","given":"Alassane"}],"issued":{"date-parts":[["2022",5]]}}}],"schema":"https://github.com/citation-style-language/schema/raw/master/csl-citation.json"} </w:instrText>
      </w:r>
      <w:r w:rsidRPr="00F042EA">
        <w:rPr>
          <w:rFonts w:cs="Arial"/>
          <w:szCs w:val="22"/>
        </w:rPr>
        <w:fldChar w:fldCharType="separate"/>
      </w:r>
      <w:r w:rsidR="00FB2554">
        <w:rPr>
          <w:rFonts w:cs="Arial"/>
          <w:szCs w:val="22"/>
        </w:rPr>
        <w:t>[3], [4]</w:t>
      </w:r>
      <w:r w:rsidRPr="00F042EA">
        <w:rPr>
          <w:rFonts w:cs="Arial"/>
          <w:szCs w:val="22"/>
        </w:rPr>
        <w:fldChar w:fldCharType="end"/>
      </w:r>
      <w:r w:rsidRPr="00F042EA">
        <w:rPr>
          <w:rFonts w:cs="Arial"/>
          <w:szCs w:val="22"/>
        </w:rPr>
        <w:t xml:space="preserve">, [NECTAR3, in preparation]. </w:t>
      </w:r>
      <w:r w:rsidR="00844E90">
        <w:rPr>
          <w:rFonts w:cs="Arial"/>
          <w:szCs w:val="22"/>
        </w:rPr>
        <w:t xml:space="preserve">It is currently unclear what the reason is for this marked difference and whether gametocyte-sterilization plays a role or the effect is driven by gametocyte-clearance. </w:t>
      </w:r>
      <w:r w:rsidRPr="00F042EA">
        <w:rPr>
          <w:rFonts w:cs="Arial"/>
          <w:szCs w:val="22"/>
        </w:rPr>
        <w:t xml:space="preserve">Recently, triple artemisinin-based combination therapies (TACT) such as Artemether-Lumefantrine plus Amodiaquine (ALAQ), which combine an existing ACT with a second partner drug that is slowly eliminated, have been proposed to provide efficacious treatment for multidrug-resistant </w:t>
      </w:r>
      <w:r w:rsidRPr="000C0FBA">
        <w:rPr>
          <w:rFonts w:cs="Arial"/>
          <w:i/>
          <w:iCs/>
          <w:szCs w:val="22"/>
        </w:rPr>
        <w:t>P. falciparum</w:t>
      </w:r>
      <w:r w:rsidRPr="00F042EA">
        <w:rPr>
          <w:rFonts w:cs="Arial"/>
          <w:szCs w:val="22"/>
        </w:rPr>
        <w:t xml:space="preserve"> infections and to delay the emergence of drug resistance </w:t>
      </w:r>
      <w:r w:rsidRPr="00F042EA">
        <w:rPr>
          <w:rFonts w:cs="Arial"/>
          <w:szCs w:val="22"/>
        </w:rPr>
        <w:fldChar w:fldCharType="begin"/>
      </w:r>
      <w:r w:rsidR="004C2AEA">
        <w:rPr>
          <w:rFonts w:cs="Arial"/>
          <w:szCs w:val="22"/>
        </w:rPr>
        <w:instrText xml:space="preserve"> ADDIN ZOTERO_ITEM CSL_CITATION {"citationID":"uhisTWSS","properties":{"formattedCitation":"[5], [6]","plainCitation":"[5], [6]","noteIndex":0},"citationItems":[{"id":628,"uris":["http://zotero.org/users/7806423/items/LG6TPZYM"],"itemData":{"id":628,"type":"article-journal","abstract":"Background Artemisinin and partner-drug resistance in Plasmodium falciparum are major threats to malaria control and elimination. Triple artemisinin-based combination therapies (TACTs), which combine existing co-formulated ACTs with a second partner drug that is slowly eliminated, might provide effective treatment and delay emergence of antimalarial drug resistance.","container-title":"The Lancet","DOI":"10.1016/S0140-6736(20)30552-3","ISSN":"01406736","issue":"10233","journalAbbreviation":"The Lancet","language":"en","note":"Is TRACII","page":"1345-1360","source":"DOI.org (Crossref)","title":"Triple artemisinin-based combination therapies versus artemisinin-based combination therapies for uncomplicated Plasmodium falciparum malaria: a multicentre, open-label, randomised clinical trial","title-short":"Triple artemisinin-based combination therapies versus artemisinin-based combination therapies for uncomplicated Plasmodium falciparum malaria","volume":"395","author":[{"family":"Pluijm","given":"Rob W","non-dropping-particle":"van der"},{"family":"Tripura","given":"Rupam"},{"family":"Hoglund","given":"Richard M"},{"family":"Pyae Phyo","given":"Aung"},{"family":"Lek","given":"Dysoley"},{"family":"Islam","given":"Akhter","non-dropping-particle":"ul"},{"family":"Anvikar","given":"Anupkumar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Thanh"},{"family":"Kwiatkowski","given":"Dominic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Tinh"},{"family":"Valecha","given":"Neena"},{"family":"Smithuis","given":"Frank"},{"family":"Pukrittayakamee","given":"Sasithon"},{"family":"Faiz","given":"Abul"},{"family":"Miotto","given":"Olivo"},{"family":"Tarning","given":"Joel"},{"family":"Day","given":"Nicholas P J"},{"family":"White","given":"Nicholas J"},{"family":"Dondorp","given":"Arjen M"},{"family":"Pluijm","given":"Rob W","non-dropping-particle":"van der"},{"family":"Tripura","given":"Rupam"},{"family":"Hoglund","given":"Richard M"},{"family":"Phyo","given":"Aung Pyae"},{"family":"Lek","given":"Dysoley"},{"family":"Islam","given":"Akhter","non-dropping-particle":"ul"},{"family":"Anvikar","given":"Anupkumar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Tinh"},{"family":"Valeche","given":"Neena"},{"family":"Smithuis","given":"Frank"},{"family":"Pukrittayakamee","given":"Sasithon"},{"family":"Faiz","given":"Abul"},{"family":"Miotto","given":"Olivo"},{"family":"Tarning","given":"Joel"},{"family":"Day","given":"Nicholas PJ"},{"family":"White","given":"Nicholas J"},{"family":"Dondorp","given":"Arjen M"}],"issued":{"date-parts":[["2020",4]]}}},{"id":682,"uris":["http://zotero.org/users/7806423/items/SQVUC4J6"],"itemData":{"id":682,"type":"article-journal","abstract":"BACKGROUND: Late treatment failures after artemisinin-based combination therapies (ACTs) for falciparum malaria have increased in the Greater Mekong subregion in southeast Asia. Addition of amodiaquine to artemether-lumefantrine could provide an efficacious treatment for multidrug-resistant infections.\nMETHODS: We conducted an open-label, randomised trial at five hospitals or health centres in three locations (western Cambodia, eastern Cambodia, and Vietnam). Eligible participants were male and female patients aged 2-65 years with uncomplicated Plasmodium falciparum malaria. Patients were randomly allocated (1:1 in blocks of eight to 12) to either artemether-lumefantrine alone (dosed according to WHO guidelines) or artemether-lumefantrine plus amodiaquine (10 mg base per kg/day), both given orally as six doses over 3 days. All received a single dose of primaquine (0·25 mg/kg) 24 h after the start of study treatment to limit transmission of the parasite. Parasites were genotyped, identifying artemisinin resistance. The primary outcome was Kaplan-Meier 42-day PCR-corrected efficacy against recrudescence of the original parasite, assessed by intent-to-treat. Safety was a secondary outcome. This completed trial is registered at ClinicalTrials.gov (NCT03355664).\nFINDINGS: Between March 18, 2018, and Jan 30, 2020, 310 patients received randomly allocated treatment; 154 received artemether-lumefantrine alone and 156 received artemether-lumefantrine plus amodiaquine. Parasites from 305 of these patients were genotyped. 42-day PCR-corrected treatment efficacy was noted in 151 (97%, 95% CI 92-99) of 156 patients with artemether-lumefantrine plus amodiaquine versus 146 (95%, 89-97) of 154 patients with artemether-lumefantrine alone; hazard ratio (HR) for recrudescence 0·6 (95% CI 0·2-1·9, p=0·38). Of the 13 recrudescences, 12 were in 174 (57%) of 305 infections with pfkelch13 mutations indicating artemisinin resistance, for which 42-day efficacy was noted in 89 (96%) of 93 infections with artemether-lumefantrine plus amodiaquine versus 73 (90%) of 81 infections with artemether-lumefantrine alone; HR for recrudescence 0·44 (95% CI 0·14-1·40, p=0·17). Artemether-lumefantrine plus amodiaquine was generally well tolerated, but the number of mild (grade 1-2) adverse events, mainly gastrointestinal, was greater in this group compared with artemether-lumefantrine alone (vomiting, 12 [8%] with artemether-lumefantrine plus amodiaquine vs three [2%] with artemether-lumefantrine alone, p=0·03; and nausea, 11 [7%] with artemether-lumefantrine plus amodiaquine vs three [2%] with artemether-lumefantrine alone, p=0·05). Early vomiting within 1 h of treatment, requiring retreatment, occurred in no patients of 154 with artemether-lumefantrine alone versus five (3%) of 156 with artemether-lumefantrine plus amodiaquine, p=0·06. Bradycardia (≤54 beats/min) of any grade was noted in 59 (38%) of 154 patients with artemether-lumefantrine alone and 95 (61%) of 156 with artemether-lumefantrine plus amodiaquine, p=0·0001.\nINTERPRETATION: Artemether-lumefantrine plus amodiaquine provides an alternative to artemether-lumefantrine alone as first-line treatment for multidrug-resistant P falciparum malaria in the Greater Mekong subregion, and could prolong the therapeutic lifetime of artemether-lumefantrine in malaria-endemic populations.\nFUNDING: Bill &amp; Melinda Gates Foundation, Wellcome Trust.","container-title":"The Lancet. Infectious Diseases","DOI":"10.1016/S1473-3099(21)00692-7","ISSN":"1474-4457","journalAbbreviation":"Lancet Infect Dis","language":"eng","note":"PMID: 35276064","page":"S1473-3099(21)00692-7","source":"PubMed","title":"Triple therapy with artemether-lumefantrine plus amodiaquine versus artemether-lumefantrine alone for artemisinin-resistant, uncomplicated falciparum malaria: an open-label, randomised, multicentre trial","title-short":"Triple therapy with artemether-lumefantrine plus amodiaquine versus artemether-lumefantrine alone for artemisinin-resistant, uncomplicated falciparum malaria","author":[{"family":"Peto","given":"Thomas J."},{"family":"Tripura","given":"Rupam"},{"family":"Callery","given":"James J."},{"family":"Lek","given":"Dysoley"},{"family":"Nghia","given":"Ho Dang Trung"},{"family":"Nguon","given":"Chea"},{"family":"Thuong","given":"Nguyen Thi Huyen"},{"family":"Pluijm","given":"Rob W.","non-dropping-particle":"van der"},{"family":"Dung","given":"Nguyen Thi Phuong"},{"family":"Sokha","given":"Meas"},{"family":"Van Luong","given":"Vo"},{"family":"Long","given":"Le Thanh"},{"family":"Sovann","given":"Yok"},{"family":"Duanguppama","given":"Jureeporn"},{"family":"Waithira","given":"Naomi"},{"family":"Hoglund","given":"Richard M."},{"family":"Chotsiri","given":"Palang"},{"family":"Chau","given":"Nguyen Hoang"},{"family":"Ruecker","given":"Andrea"},{"family":"Amaratunga","given":"Chanaki"},{"family":"Dhorda","given":"Mehul"},{"family":"Miotto","given":"Olivo"},{"family":"Maude","given":"Richard J."},{"family":"Rekol","given":"Huy"},{"family":"Chotivanich","given":"Kesinee"},{"family":"Tarning","given":"Joel"},{"family":"Seidlein","given":"Lorenz","non-dropping-particle":"von"},{"family":"Imwong","given":"Mallika"},{"family":"Mukaka","given":"Mavuto"},{"family":"Day","given":"Nicholas P. J."},{"family":"Hien","given":"Tran Tinh"},{"family":"White","given":"Nicholas J."},{"family":"Dondorp","given":"Arjen M."}],"issued":{"date-parts":[["2022",3,8]]}}}],"schema":"https://github.com/citation-style-language/schema/raw/master/csl-citation.json"} </w:instrText>
      </w:r>
      <w:r w:rsidRPr="00F042EA">
        <w:rPr>
          <w:rFonts w:cs="Arial"/>
          <w:szCs w:val="22"/>
        </w:rPr>
        <w:fldChar w:fldCharType="separate"/>
      </w:r>
      <w:r w:rsidR="004C2AEA">
        <w:rPr>
          <w:rFonts w:cs="Arial"/>
          <w:szCs w:val="22"/>
        </w:rPr>
        <w:t>[5], [6]</w:t>
      </w:r>
      <w:r w:rsidRPr="00F042EA">
        <w:rPr>
          <w:rFonts w:cs="Arial"/>
          <w:szCs w:val="22"/>
        </w:rPr>
        <w:fldChar w:fldCharType="end"/>
      </w:r>
      <w:r w:rsidRPr="00F042EA">
        <w:rPr>
          <w:rFonts w:cs="Arial"/>
          <w:szCs w:val="22"/>
        </w:rPr>
        <w:t>. The transmission reducing efficacy of ALAQ</w:t>
      </w:r>
      <w:r w:rsidR="001C44F7">
        <w:rPr>
          <w:rFonts w:cs="Arial"/>
          <w:szCs w:val="22"/>
        </w:rPr>
        <w:t xml:space="preserve"> or ALAQ combined with a single dose of PQ</w:t>
      </w:r>
      <w:r w:rsidRPr="00F042EA">
        <w:rPr>
          <w:rFonts w:cs="Arial"/>
          <w:szCs w:val="22"/>
        </w:rPr>
        <w:t xml:space="preserve"> has not yet been tested. </w:t>
      </w:r>
    </w:p>
    <w:p w14:paraId="0B0CE22E" w14:textId="27BE9461" w:rsidR="002A5DE9" w:rsidRPr="002A5DE9" w:rsidRDefault="002A5DE9" w:rsidP="002A5DE9">
      <w:pPr>
        <w:jc w:val="both"/>
        <w:rPr>
          <w:rFonts w:cs="Arial"/>
          <w:szCs w:val="22"/>
        </w:rPr>
      </w:pPr>
      <w:r w:rsidRPr="002A5DE9">
        <w:rPr>
          <w:rFonts w:cs="Arial"/>
          <w:szCs w:val="22"/>
        </w:rPr>
        <w:t xml:space="preserve">Therefore, we propose to conduct a five-arm, </w:t>
      </w:r>
      <w:r>
        <w:rPr>
          <w:rFonts w:cs="Arial"/>
          <w:szCs w:val="22"/>
        </w:rPr>
        <w:t xml:space="preserve">phase 2, </w:t>
      </w:r>
      <w:r w:rsidRPr="002A5DE9">
        <w:rPr>
          <w:rFonts w:cs="Arial"/>
          <w:szCs w:val="22"/>
        </w:rPr>
        <w:t>single-blind, randomised control trial to test the gametocytocidal and transmission-blocking efficacy of SLD PQ in combination with Artesunate-Amodiaquine and Artemether-Lumefantrine</w:t>
      </w:r>
      <w:r w:rsidR="00B36121">
        <w:rPr>
          <w:rFonts w:cs="Arial"/>
          <w:szCs w:val="22"/>
        </w:rPr>
        <w:t>-Amodiaquine</w:t>
      </w:r>
      <w:r w:rsidRPr="002A5DE9">
        <w:rPr>
          <w:rFonts w:cs="Arial"/>
          <w:szCs w:val="22"/>
        </w:rPr>
        <w:t xml:space="preserve">. Individuals will be recruited to an AL only arm as an internal control for the ALAQ arm, and </w:t>
      </w:r>
      <w:r w:rsidR="00B36121">
        <w:rPr>
          <w:rFonts w:cs="Arial"/>
          <w:szCs w:val="22"/>
        </w:rPr>
        <w:t xml:space="preserve">for comparison to recent trial [NECTAR3, in prep]. </w:t>
      </w:r>
      <w:r w:rsidRPr="002A5DE9">
        <w:rPr>
          <w:rFonts w:cs="Arial"/>
          <w:szCs w:val="22"/>
        </w:rPr>
        <w:t xml:space="preserve">Individuals who meet inclusion criteria will be randomised in a </w:t>
      </w:r>
      <w:proofErr w:type="gramStart"/>
      <w:r w:rsidR="00B36121">
        <w:rPr>
          <w:rFonts w:cs="Arial"/>
          <w:szCs w:val="22"/>
        </w:rPr>
        <w:t>1</w:t>
      </w:r>
      <w:r w:rsidRPr="002A5DE9">
        <w:rPr>
          <w:rFonts w:cs="Arial"/>
          <w:szCs w:val="22"/>
        </w:rPr>
        <w:t>:</w:t>
      </w:r>
      <w:r w:rsidR="00B36121">
        <w:rPr>
          <w:rFonts w:cs="Arial"/>
          <w:szCs w:val="22"/>
        </w:rPr>
        <w:t>1</w:t>
      </w:r>
      <w:r w:rsidRPr="002A5DE9">
        <w:rPr>
          <w:rFonts w:cs="Arial"/>
          <w:szCs w:val="22"/>
        </w:rPr>
        <w:t>:</w:t>
      </w:r>
      <w:r w:rsidR="00B36121">
        <w:rPr>
          <w:rFonts w:cs="Arial"/>
          <w:szCs w:val="22"/>
        </w:rPr>
        <w:t>1</w:t>
      </w:r>
      <w:r w:rsidRPr="002A5DE9">
        <w:rPr>
          <w:rFonts w:cs="Arial"/>
          <w:szCs w:val="22"/>
        </w:rPr>
        <w:t>:</w:t>
      </w:r>
      <w:r w:rsidR="00B36121">
        <w:rPr>
          <w:rFonts w:cs="Arial"/>
          <w:szCs w:val="22"/>
        </w:rPr>
        <w:t>1</w:t>
      </w:r>
      <w:r w:rsidRPr="002A5DE9">
        <w:rPr>
          <w:rFonts w:cs="Arial"/>
          <w:szCs w:val="22"/>
        </w:rPr>
        <w:t>:1</w:t>
      </w:r>
      <w:proofErr w:type="gramEnd"/>
      <w:r w:rsidRPr="002A5DE9">
        <w:rPr>
          <w:rFonts w:cs="Arial"/>
          <w:szCs w:val="22"/>
        </w:rPr>
        <w:t xml:space="preserve"> ratio to: ASAQ, ASAQ-PQ, AL, ALAQ, </w:t>
      </w:r>
      <w:r w:rsidR="00B36121">
        <w:rPr>
          <w:rFonts w:cs="Arial"/>
          <w:szCs w:val="22"/>
        </w:rPr>
        <w:t>ALAQ-PQ</w:t>
      </w:r>
      <w:r>
        <w:rPr>
          <w:rFonts w:cs="Arial"/>
          <w:szCs w:val="22"/>
        </w:rPr>
        <w:t>.</w:t>
      </w:r>
    </w:p>
    <w:p w14:paraId="24D02785" w14:textId="4DF48DD1" w:rsidR="00F042EA" w:rsidRPr="00D676AC" w:rsidRDefault="00855B8A">
      <w:pPr>
        <w:pStyle w:val="Heading1"/>
      </w:pPr>
      <w:bookmarkStart w:id="64" w:name="_Toc100231686"/>
      <w:bookmarkStart w:id="65" w:name="_Toc100231818"/>
      <w:bookmarkStart w:id="66" w:name="_Toc100231925"/>
      <w:bookmarkStart w:id="67" w:name="_Toc100232048"/>
      <w:bookmarkStart w:id="68" w:name="_Toc100306361"/>
      <w:bookmarkStart w:id="69" w:name="_Toc100324439"/>
      <w:bookmarkStart w:id="70" w:name="_Toc101204956"/>
      <w:bookmarkStart w:id="71" w:name="_Toc101205075"/>
      <w:bookmarkStart w:id="72" w:name="_Toc101205222"/>
      <w:bookmarkStart w:id="73" w:name="_Toc102984938"/>
      <w:bookmarkStart w:id="74" w:name="_Toc102985789"/>
      <w:bookmarkStart w:id="75" w:name="_Toc104981622"/>
      <w:bookmarkStart w:id="76" w:name="_Toc106288867"/>
      <w:r w:rsidRPr="00D676AC">
        <w:t>OBJECTIVES</w:t>
      </w:r>
      <w:bookmarkEnd w:id="64"/>
      <w:bookmarkEnd w:id="65"/>
      <w:bookmarkEnd w:id="66"/>
      <w:bookmarkEnd w:id="67"/>
      <w:bookmarkEnd w:id="68"/>
      <w:bookmarkEnd w:id="69"/>
      <w:bookmarkEnd w:id="70"/>
      <w:bookmarkEnd w:id="71"/>
      <w:bookmarkEnd w:id="72"/>
      <w:bookmarkEnd w:id="73"/>
      <w:bookmarkEnd w:id="74"/>
      <w:bookmarkEnd w:id="75"/>
      <w:bookmarkEnd w:id="76"/>
    </w:p>
    <w:p w14:paraId="0D608CA9" w14:textId="7A0D96C3" w:rsidR="00D511CD" w:rsidRPr="00D676AC" w:rsidRDefault="00D511CD">
      <w:pPr>
        <w:pStyle w:val="Heading2"/>
      </w:pPr>
      <w:bookmarkStart w:id="77" w:name="_Toc100231687"/>
      <w:bookmarkStart w:id="78" w:name="_Toc100231819"/>
      <w:bookmarkStart w:id="79" w:name="_Toc100231926"/>
      <w:bookmarkStart w:id="80" w:name="_Toc100232049"/>
      <w:bookmarkStart w:id="81" w:name="_Toc100306362"/>
      <w:bookmarkStart w:id="82" w:name="_Toc100324440"/>
      <w:bookmarkStart w:id="83" w:name="_Toc101204957"/>
      <w:bookmarkStart w:id="84" w:name="_Toc101205076"/>
      <w:bookmarkStart w:id="85" w:name="_Toc101205223"/>
      <w:bookmarkStart w:id="86" w:name="_Toc102984939"/>
      <w:bookmarkStart w:id="87" w:name="_Toc102985790"/>
      <w:bookmarkStart w:id="88" w:name="_Toc104981623"/>
      <w:bookmarkStart w:id="89" w:name="_Toc106288868"/>
      <w:r w:rsidRPr="00D676AC">
        <w:t>Primary specific objective</w:t>
      </w:r>
      <w:bookmarkEnd w:id="77"/>
      <w:bookmarkEnd w:id="78"/>
      <w:bookmarkEnd w:id="79"/>
      <w:bookmarkEnd w:id="80"/>
      <w:bookmarkEnd w:id="81"/>
      <w:bookmarkEnd w:id="82"/>
      <w:bookmarkEnd w:id="83"/>
      <w:bookmarkEnd w:id="84"/>
      <w:bookmarkEnd w:id="85"/>
      <w:bookmarkEnd w:id="86"/>
      <w:bookmarkEnd w:id="87"/>
      <w:bookmarkEnd w:id="88"/>
      <w:bookmarkEnd w:id="89"/>
    </w:p>
    <w:p w14:paraId="5AA8D2D6" w14:textId="7F2BD40D" w:rsidR="00164E47" w:rsidRPr="00855B8A" w:rsidRDefault="00855B8A" w:rsidP="00164E47">
      <w:pPr>
        <w:jc w:val="both"/>
        <w:rPr>
          <w:rFonts w:cs="Arial"/>
          <w:szCs w:val="22"/>
        </w:rPr>
      </w:pPr>
      <w:r w:rsidRPr="00855B8A">
        <w:rPr>
          <w:rFonts w:cs="Arial"/>
          <w:szCs w:val="22"/>
        </w:rPr>
        <w:t>To a</w:t>
      </w:r>
      <w:r w:rsidR="003D2E7B" w:rsidRPr="00855B8A">
        <w:rPr>
          <w:rFonts w:cs="Arial"/>
          <w:szCs w:val="22"/>
        </w:rPr>
        <w:t xml:space="preserve">ssess the </w:t>
      </w:r>
      <w:r w:rsidR="00844E90">
        <w:rPr>
          <w:rFonts w:cs="Arial"/>
          <w:szCs w:val="22"/>
        </w:rPr>
        <w:t xml:space="preserve">within-person </w:t>
      </w:r>
      <w:r w:rsidR="003D2E7B" w:rsidRPr="00855B8A">
        <w:rPr>
          <w:rFonts w:cs="Arial"/>
          <w:szCs w:val="22"/>
        </w:rPr>
        <w:t xml:space="preserve">reduction of infectivity of gametocytes following administration of </w:t>
      </w:r>
      <w:r w:rsidRPr="00855B8A">
        <w:rPr>
          <w:rFonts w:cs="Arial"/>
          <w:szCs w:val="22"/>
        </w:rPr>
        <w:t xml:space="preserve">ASAQ alone or with single-dose PQ and </w:t>
      </w:r>
      <w:r w:rsidR="003D2E7B" w:rsidRPr="00855B8A">
        <w:rPr>
          <w:rFonts w:cs="Arial"/>
          <w:szCs w:val="22"/>
        </w:rPr>
        <w:t xml:space="preserve">AL alone or with </w:t>
      </w:r>
      <w:r w:rsidRPr="00855B8A">
        <w:rPr>
          <w:rFonts w:cs="Arial"/>
          <w:szCs w:val="22"/>
        </w:rPr>
        <w:t>AQ</w:t>
      </w:r>
      <w:r w:rsidR="00F86C2B">
        <w:rPr>
          <w:rFonts w:cs="Arial"/>
          <w:szCs w:val="22"/>
        </w:rPr>
        <w:t xml:space="preserve"> and ALAQ alone or with single-dose PQ</w:t>
      </w:r>
      <w:r w:rsidR="003D2E7B" w:rsidRPr="00855B8A">
        <w:rPr>
          <w:rFonts w:cs="Arial"/>
          <w:szCs w:val="22"/>
        </w:rPr>
        <w:t xml:space="preserve"> in children and adults at day 2 post-treatment compared to pre-treatment (day 0)</w:t>
      </w:r>
      <w:r w:rsidR="00F443A0">
        <w:rPr>
          <w:rFonts w:cs="Arial"/>
          <w:szCs w:val="22"/>
        </w:rPr>
        <w:t>.</w:t>
      </w:r>
    </w:p>
    <w:p w14:paraId="71472792" w14:textId="658AA9BF" w:rsidR="00855B8A" w:rsidRPr="00D676AC" w:rsidRDefault="00D511CD">
      <w:pPr>
        <w:pStyle w:val="Heading2"/>
      </w:pPr>
      <w:bookmarkStart w:id="90" w:name="_Toc100231688"/>
      <w:bookmarkStart w:id="91" w:name="_Toc100231820"/>
      <w:bookmarkStart w:id="92" w:name="_Toc100231927"/>
      <w:bookmarkStart w:id="93" w:name="_Toc100232050"/>
      <w:bookmarkStart w:id="94" w:name="_Toc100306363"/>
      <w:bookmarkStart w:id="95" w:name="_Toc100324441"/>
      <w:bookmarkStart w:id="96" w:name="_Toc101204958"/>
      <w:bookmarkStart w:id="97" w:name="_Toc101205077"/>
      <w:bookmarkStart w:id="98" w:name="_Toc101205224"/>
      <w:bookmarkStart w:id="99" w:name="_Toc102984940"/>
      <w:bookmarkStart w:id="100" w:name="_Toc102985791"/>
      <w:bookmarkStart w:id="101" w:name="_Toc104981624"/>
      <w:bookmarkStart w:id="102" w:name="_Toc106288869"/>
      <w:r w:rsidRPr="00D676AC">
        <w:lastRenderedPageBreak/>
        <w:t>Secondary specific objectives</w:t>
      </w:r>
      <w:bookmarkEnd w:id="90"/>
      <w:bookmarkEnd w:id="91"/>
      <w:bookmarkEnd w:id="92"/>
      <w:bookmarkEnd w:id="93"/>
      <w:bookmarkEnd w:id="94"/>
      <w:bookmarkEnd w:id="95"/>
      <w:bookmarkEnd w:id="96"/>
      <w:bookmarkEnd w:id="97"/>
      <w:bookmarkEnd w:id="98"/>
      <w:bookmarkEnd w:id="99"/>
      <w:bookmarkEnd w:id="100"/>
      <w:bookmarkEnd w:id="101"/>
      <w:bookmarkEnd w:id="102"/>
    </w:p>
    <w:p w14:paraId="63256794" w14:textId="554F1E4F" w:rsidR="00DA2D22" w:rsidRPr="00DA2D22" w:rsidRDefault="00A00FB4">
      <w:pPr>
        <w:pStyle w:val="ListParagraph"/>
        <w:numPr>
          <w:ilvl w:val="0"/>
          <w:numId w:val="3"/>
        </w:numPr>
        <w:ind w:left="284" w:hanging="284"/>
        <w:jc w:val="both"/>
        <w:rPr>
          <w:rFonts w:cs="Arial"/>
          <w:szCs w:val="22"/>
        </w:rPr>
      </w:pPr>
      <w:r w:rsidRPr="00A00FB4">
        <w:rPr>
          <w:rFonts w:cs="Arial"/>
          <w:szCs w:val="22"/>
        </w:rPr>
        <w:t>To assess</w:t>
      </w:r>
      <w:r>
        <w:rPr>
          <w:rFonts w:cs="Arial"/>
          <w:szCs w:val="22"/>
        </w:rPr>
        <w:t xml:space="preserve"> differences in other mosquito infectivity parameters (mosquito infection rate, change in infection rate, infectivity to mosquitoes, and oocyst density) following treatment with </w:t>
      </w:r>
      <w:r w:rsidR="00E67B86">
        <w:rPr>
          <w:rFonts w:cs="Arial"/>
          <w:szCs w:val="22"/>
        </w:rPr>
        <w:t xml:space="preserve">ASAQ, ASAQ-PQ, AL, ALAQ and </w:t>
      </w:r>
      <w:r w:rsidR="00F86C2B">
        <w:rPr>
          <w:rFonts w:cs="Arial"/>
          <w:szCs w:val="22"/>
        </w:rPr>
        <w:t>ALAQ-PQ</w:t>
      </w:r>
      <w:r w:rsidR="00E67B86">
        <w:rPr>
          <w:rFonts w:cs="Arial"/>
          <w:szCs w:val="22"/>
        </w:rPr>
        <w:t xml:space="preserve"> in children and adults at all feeding timepoints compared to pre-treatment (day 0) and between treatment matched arms (ASAQ vs ASAQ-PQ, AL vs ALAQ</w:t>
      </w:r>
      <w:r w:rsidR="00F86C2B">
        <w:rPr>
          <w:rFonts w:cs="Arial"/>
          <w:szCs w:val="22"/>
        </w:rPr>
        <w:t>, ALAQ vs ALAQ-PQ</w:t>
      </w:r>
      <w:r w:rsidR="00E67B86">
        <w:rPr>
          <w:rFonts w:cs="Arial"/>
          <w:szCs w:val="22"/>
        </w:rPr>
        <w:t>).</w:t>
      </w:r>
    </w:p>
    <w:p w14:paraId="60DBC550" w14:textId="574AAB11" w:rsidR="00E67B86" w:rsidRDefault="00E67B86">
      <w:pPr>
        <w:pStyle w:val="ListParagraph"/>
        <w:numPr>
          <w:ilvl w:val="0"/>
          <w:numId w:val="3"/>
        </w:numPr>
        <w:ind w:left="284" w:hanging="284"/>
        <w:jc w:val="both"/>
        <w:rPr>
          <w:rFonts w:cs="Arial"/>
          <w:szCs w:val="22"/>
        </w:rPr>
      </w:pPr>
      <w:r>
        <w:rPr>
          <w:rFonts w:cs="Arial"/>
          <w:szCs w:val="22"/>
        </w:rPr>
        <w:t xml:space="preserve">To assess differences in gametocyte parameters (prevalence, density, circulation time, area-under-the-curve, sex-ratio) following treatment with ASAQ, ASAQ-PQ, AL, ALAQ and </w:t>
      </w:r>
      <w:r w:rsidR="00F86C2B">
        <w:rPr>
          <w:rFonts w:cs="Arial"/>
          <w:szCs w:val="22"/>
        </w:rPr>
        <w:t>ALAQ-PQ</w:t>
      </w:r>
      <w:r>
        <w:rPr>
          <w:rFonts w:cs="Arial"/>
          <w:szCs w:val="22"/>
        </w:rPr>
        <w:t xml:space="preserve"> in children and adults at all feeding timepoints compared to pre-treatment (day 0) and between treatment matched arms (ASAQ vs ASAQ-PQ, AL vs ALAQ</w:t>
      </w:r>
      <w:r w:rsidR="00F86C2B">
        <w:rPr>
          <w:rFonts w:cs="Arial"/>
          <w:szCs w:val="22"/>
        </w:rPr>
        <w:t>, ALAQ vs ALAQ-PQ</w:t>
      </w:r>
      <w:r>
        <w:rPr>
          <w:rFonts w:cs="Arial"/>
          <w:szCs w:val="22"/>
        </w:rPr>
        <w:t>).</w:t>
      </w:r>
    </w:p>
    <w:p w14:paraId="62B16D2E" w14:textId="66919A5E" w:rsidR="00E67B86" w:rsidRDefault="00E67B86">
      <w:pPr>
        <w:pStyle w:val="ListParagraph"/>
        <w:numPr>
          <w:ilvl w:val="0"/>
          <w:numId w:val="3"/>
        </w:numPr>
        <w:ind w:left="284" w:hanging="284"/>
        <w:jc w:val="both"/>
        <w:rPr>
          <w:rFonts w:cs="Arial"/>
          <w:szCs w:val="22"/>
        </w:rPr>
      </w:pPr>
      <w:r>
        <w:rPr>
          <w:rFonts w:cs="Arial"/>
          <w:szCs w:val="22"/>
        </w:rPr>
        <w:t xml:space="preserve">To assess differences in safety parameters (AE frequency, Hb density, median drop in Hb) following treatment with ASAQ, ASAQ-PQ, AL, ALAQ and </w:t>
      </w:r>
      <w:r w:rsidR="00F86C2B">
        <w:rPr>
          <w:rFonts w:cs="Arial"/>
          <w:szCs w:val="22"/>
        </w:rPr>
        <w:t>ALAQ-PQ</w:t>
      </w:r>
      <w:r>
        <w:rPr>
          <w:rFonts w:cs="Arial"/>
          <w:szCs w:val="22"/>
        </w:rPr>
        <w:t xml:space="preserve"> in children and adults at all feeding timepoints compared to pre-treatment (day 0) and between treatment matched arms (ASAQ vs ASAQ-PQ, AL vs ALAQ</w:t>
      </w:r>
      <w:r w:rsidR="00F86C2B">
        <w:rPr>
          <w:rFonts w:cs="Arial"/>
          <w:szCs w:val="22"/>
        </w:rPr>
        <w:t>, ALAQ vs ALAQ-PQ</w:t>
      </w:r>
      <w:r>
        <w:rPr>
          <w:rFonts w:cs="Arial"/>
          <w:szCs w:val="22"/>
        </w:rPr>
        <w:t>).</w:t>
      </w:r>
    </w:p>
    <w:p w14:paraId="37435B75" w14:textId="63A9D3DA" w:rsidR="00164E47" w:rsidRPr="00B91D68" w:rsidRDefault="00E67B86">
      <w:pPr>
        <w:pStyle w:val="ListParagraph"/>
        <w:numPr>
          <w:ilvl w:val="0"/>
          <w:numId w:val="3"/>
        </w:numPr>
        <w:ind w:left="284" w:hanging="284"/>
        <w:jc w:val="both"/>
        <w:rPr>
          <w:rFonts w:cs="Arial"/>
          <w:szCs w:val="22"/>
        </w:rPr>
      </w:pPr>
      <w:bookmarkStart w:id="103" w:name="_Toc100231689"/>
      <w:bookmarkStart w:id="104" w:name="_Toc100231821"/>
      <w:bookmarkStart w:id="105" w:name="_Toc100231928"/>
      <w:bookmarkStart w:id="106" w:name="_Toc100232051"/>
      <w:r>
        <w:rPr>
          <w:rFonts w:cs="Arial"/>
          <w:szCs w:val="22"/>
        </w:rPr>
        <w:t xml:space="preserve">To assess differences in biochemical parameters (ALT, CBC, Creatinine) following treatment with ASAQ, ASAQ-PQ, AL, ALAQ and </w:t>
      </w:r>
      <w:r w:rsidR="00F86C2B">
        <w:rPr>
          <w:rFonts w:cs="Arial"/>
          <w:szCs w:val="22"/>
        </w:rPr>
        <w:t>ALAQ-PQ</w:t>
      </w:r>
      <w:r>
        <w:rPr>
          <w:rFonts w:cs="Arial"/>
          <w:szCs w:val="22"/>
        </w:rPr>
        <w:t xml:space="preserve"> in children and adults at all feeding timepoints compared to pre-treatment (day 0) and between treatment matched arms (ASAQ vs ASAQ-PQ, AL vs ALAQ</w:t>
      </w:r>
      <w:r w:rsidR="00F86C2B">
        <w:rPr>
          <w:rFonts w:cs="Arial"/>
          <w:szCs w:val="22"/>
        </w:rPr>
        <w:t>, ALAQ vs ALAQ-PQ</w:t>
      </w:r>
      <w:r>
        <w:rPr>
          <w:rFonts w:cs="Arial"/>
          <w:szCs w:val="22"/>
        </w:rPr>
        <w:t>).</w:t>
      </w:r>
    </w:p>
    <w:p w14:paraId="0CA1A12B" w14:textId="1387C11D" w:rsidR="00D511CD" w:rsidRPr="00D676AC" w:rsidRDefault="00D511CD">
      <w:pPr>
        <w:pStyle w:val="Heading2"/>
      </w:pPr>
      <w:bookmarkStart w:id="107" w:name="_Toc100306364"/>
      <w:bookmarkStart w:id="108" w:name="_Toc100324442"/>
      <w:bookmarkStart w:id="109" w:name="_Toc101204959"/>
      <w:bookmarkStart w:id="110" w:name="_Toc101205078"/>
      <w:bookmarkStart w:id="111" w:name="_Toc101205225"/>
      <w:bookmarkStart w:id="112" w:name="_Toc102984941"/>
      <w:bookmarkStart w:id="113" w:name="_Toc102985792"/>
      <w:bookmarkStart w:id="114" w:name="_Toc104981625"/>
      <w:bookmarkStart w:id="115" w:name="_Toc106288870"/>
      <w:r w:rsidRPr="00D676AC">
        <w:t>Exploratory objectives</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4E79FF1" w14:textId="3DEE7749" w:rsidR="00855B8A" w:rsidRDefault="00E67B86">
      <w:pPr>
        <w:pStyle w:val="ListParagraph"/>
        <w:numPr>
          <w:ilvl w:val="0"/>
          <w:numId w:val="3"/>
        </w:numPr>
        <w:ind w:left="284" w:hanging="284"/>
        <w:jc w:val="both"/>
        <w:rPr>
          <w:rFonts w:cs="Arial"/>
          <w:szCs w:val="22"/>
        </w:rPr>
      </w:pPr>
      <w:r w:rsidRPr="00E67B86">
        <w:rPr>
          <w:rFonts w:cs="Arial"/>
          <w:szCs w:val="22"/>
        </w:rPr>
        <w:t>To ass</w:t>
      </w:r>
      <w:r>
        <w:rPr>
          <w:rFonts w:cs="Arial"/>
          <w:szCs w:val="22"/>
        </w:rPr>
        <w:t>ess parasite genomic and transcriptomic variation at baseline and at select post-treatment timepoints.</w:t>
      </w:r>
    </w:p>
    <w:p w14:paraId="0063042A" w14:textId="1AB53E9A" w:rsidR="00E67B86" w:rsidRDefault="00E67B86">
      <w:pPr>
        <w:pStyle w:val="ListParagraph"/>
        <w:numPr>
          <w:ilvl w:val="0"/>
          <w:numId w:val="3"/>
        </w:numPr>
        <w:ind w:left="284" w:hanging="284"/>
        <w:jc w:val="both"/>
        <w:rPr>
          <w:rFonts w:cs="Arial"/>
          <w:szCs w:val="22"/>
        </w:rPr>
      </w:pPr>
      <w:r>
        <w:rPr>
          <w:rFonts w:cs="Arial"/>
          <w:szCs w:val="22"/>
        </w:rPr>
        <w:t>To assess human genomic variation (</w:t>
      </w:r>
      <w:r w:rsidR="00DA2D22">
        <w:rPr>
          <w:rFonts w:cs="Arial"/>
          <w:szCs w:val="22"/>
        </w:rPr>
        <w:t>i.e., HBB type) and association with parasite measures.</w:t>
      </w:r>
    </w:p>
    <w:p w14:paraId="362F5836" w14:textId="3147F4B2" w:rsidR="00DA2D22" w:rsidRDefault="00DA2D22">
      <w:pPr>
        <w:pStyle w:val="ListParagraph"/>
        <w:numPr>
          <w:ilvl w:val="0"/>
          <w:numId w:val="3"/>
        </w:numPr>
        <w:ind w:left="284" w:hanging="284"/>
        <w:jc w:val="both"/>
        <w:rPr>
          <w:rFonts w:cs="Arial"/>
          <w:szCs w:val="22"/>
        </w:rPr>
      </w:pPr>
      <w:r>
        <w:rPr>
          <w:rFonts w:cs="Arial"/>
          <w:szCs w:val="22"/>
        </w:rPr>
        <w:t xml:space="preserve">To assess the </w:t>
      </w:r>
      <w:r w:rsidR="00367F96">
        <w:rPr>
          <w:rFonts w:cs="Arial"/>
          <w:szCs w:val="22"/>
        </w:rPr>
        <w:t xml:space="preserve">association </w:t>
      </w:r>
      <w:r>
        <w:rPr>
          <w:rFonts w:cs="Arial"/>
          <w:szCs w:val="22"/>
        </w:rPr>
        <w:t xml:space="preserve">of </w:t>
      </w:r>
      <w:r w:rsidR="00367F96">
        <w:rPr>
          <w:rFonts w:cs="Arial"/>
          <w:szCs w:val="22"/>
        </w:rPr>
        <w:t xml:space="preserve">parasite and </w:t>
      </w:r>
      <w:r>
        <w:rPr>
          <w:rFonts w:cs="Arial"/>
          <w:szCs w:val="22"/>
        </w:rPr>
        <w:t>plasma biomarkers on malaria transmission efficiency.</w:t>
      </w:r>
    </w:p>
    <w:p w14:paraId="4D4E3C61" w14:textId="657483BD" w:rsidR="00B91D68" w:rsidRDefault="006F2234">
      <w:pPr>
        <w:pStyle w:val="ListParagraph"/>
        <w:numPr>
          <w:ilvl w:val="0"/>
          <w:numId w:val="3"/>
        </w:numPr>
        <w:ind w:left="284" w:hanging="284"/>
        <w:jc w:val="both"/>
        <w:rPr>
          <w:rFonts w:cs="Arial"/>
          <w:szCs w:val="22"/>
        </w:rPr>
      </w:pPr>
      <w:r w:rsidRPr="00AC68E8">
        <w:rPr>
          <w:rFonts w:cs="Arial"/>
          <w:szCs w:val="22"/>
        </w:rPr>
        <w:t>To assess</w:t>
      </w:r>
      <w:r w:rsidR="00367F96">
        <w:rPr>
          <w:rFonts w:cs="Arial"/>
          <w:szCs w:val="22"/>
        </w:rPr>
        <w:t xml:space="preserve"> the</w:t>
      </w:r>
      <w:r w:rsidR="00B54352">
        <w:rPr>
          <w:rFonts w:cs="Arial"/>
          <w:szCs w:val="22"/>
        </w:rPr>
        <w:t xml:space="preserve"> efficiency of </w:t>
      </w:r>
      <w:r w:rsidR="00B54352" w:rsidRPr="001558AD">
        <w:rPr>
          <w:rFonts w:cs="Arial"/>
          <w:i/>
          <w:iCs/>
          <w:szCs w:val="22"/>
        </w:rPr>
        <w:t>Plasmodium</w:t>
      </w:r>
      <w:r w:rsidR="00B54352">
        <w:rPr>
          <w:rFonts w:cs="Arial"/>
          <w:szCs w:val="22"/>
        </w:rPr>
        <w:t xml:space="preserve"> transmission to mosquitoes </w:t>
      </w:r>
      <w:r w:rsidR="00844E90">
        <w:rPr>
          <w:rFonts w:cs="Arial"/>
          <w:szCs w:val="22"/>
        </w:rPr>
        <w:t xml:space="preserve">before and </w:t>
      </w:r>
      <w:r w:rsidR="001558AD">
        <w:rPr>
          <w:rFonts w:cs="Arial"/>
          <w:szCs w:val="22"/>
        </w:rPr>
        <w:t xml:space="preserve">after </w:t>
      </w:r>
      <w:r w:rsidR="00367F96">
        <w:rPr>
          <w:rFonts w:cs="Arial"/>
          <w:szCs w:val="22"/>
        </w:rPr>
        <w:t xml:space="preserve">enrichment </w:t>
      </w:r>
      <w:r w:rsidR="00844E90">
        <w:rPr>
          <w:rFonts w:cs="Arial"/>
          <w:szCs w:val="22"/>
        </w:rPr>
        <w:t xml:space="preserve">of gametocytes </w:t>
      </w:r>
      <w:r w:rsidR="00367F96">
        <w:rPr>
          <w:rFonts w:cs="Arial"/>
          <w:szCs w:val="22"/>
        </w:rPr>
        <w:t xml:space="preserve">by </w:t>
      </w:r>
      <w:r w:rsidRPr="00AC68E8">
        <w:rPr>
          <w:rFonts w:cs="Arial"/>
          <w:szCs w:val="22"/>
        </w:rPr>
        <w:t>MACS</w:t>
      </w:r>
      <w:r w:rsidR="001558AD">
        <w:rPr>
          <w:rFonts w:cs="Arial"/>
          <w:szCs w:val="22"/>
        </w:rPr>
        <w:t>.</w:t>
      </w:r>
    </w:p>
    <w:p w14:paraId="41EEE990" w14:textId="5DE6417F" w:rsidR="00844E90" w:rsidRPr="00B91D68" w:rsidRDefault="00844E90">
      <w:pPr>
        <w:pStyle w:val="ListParagraph"/>
        <w:numPr>
          <w:ilvl w:val="0"/>
          <w:numId w:val="3"/>
        </w:numPr>
        <w:ind w:left="284" w:hanging="284"/>
        <w:jc w:val="both"/>
        <w:rPr>
          <w:rFonts w:cs="Arial"/>
          <w:szCs w:val="22"/>
        </w:rPr>
      </w:pPr>
      <w:r>
        <w:rPr>
          <w:rFonts w:cs="Arial"/>
          <w:szCs w:val="22"/>
        </w:rPr>
        <w:t>To determine the association between gametocyte density and mosquito infection rates, before and after MACS enrichment, to estimate possible loss in per-gametocyte infectivity following treatment.</w:t>
      </w:r>
    </w:p>
    <w:p w14:paraId="731B8DF4" w14:textId="1BD674E2" w:rsidR="00855B8A" w:rsidRDefault="00855B8A">
      <w:pPr>
        <w:pStyle w:val="Heading1"/>
      </w:pPr>
      <w:bookmarkStart w:id="116" w:name="_Toc100231690"/>
      <w:bookmarkStart w:id="117" w:name="_Toc100231822"/>
      <w:bookmarkStart w:id="118" w:name="_Toc100231929"/>
      <w:bookmarkStart w:id="119" w:name="_Toc100232052"/>
      <w:bookmarkStart w:id="120" w:name="_Toc100306365"/>
      <w:bookmarkStart w:id="121" w:name="_Toc100324443"/>
      <w:bookmarkStart w:id="122" w:name="_Toc101204960"/>
      <w:bookmarkStart w:id="123" w:name="_Toc101205079"/>
      <w:bookmarkStart w:id="124" w:name="_Toc101205226"/>
      <w:bookmarkStart w:id="125" w:name="_Toc102984942"/>
      <w:bookmarkStart w:id="126" w:name="_Toc102985793"/>
      <w:bookmarkStart w:id="127" w:name="_Toc104981626"/>
      <w:bookmarkStart w:id="128" w:name="_Toc106288871"/>
      <w:r w:rsidRPr="00D676AC">
        <w:t xml:space="preserve">STUDY </w:t>
      </w:r>
      <w:r w:rsidR="008E48CA" w:rsidRPr="00D676AC">
        <w:t>DESIGN</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505CF288" w14:textId="547DB579" w:rsidR="002958A6" w:rsidRPr="002958A6" w:rsidRDefault="002958A6" w:rsidP="00164E47">
      <w:pPr>
        <w:jc w:val="both"/>
        <w:rPr>
          <w:rFonts w:eastAsiaTheme="majorEastAsia" w:cstheme="majorBidi"/>
          <w:color w:val="000000" w:themeColor="text1"/>
          <w:szCs w:val="28"/>
        </w:rPr>
      </w:pPr>
      <w:r w:rsidRPr="002958A6">
        <w:rPr>
          <w:rFonts w:eastAsiaTheme="majorEastAsia" w:cstheme="majorBidi"/>
          <w:color w:val="000000" w:themeColor="text1"/>
          <w:szCs w:val="28"/>
        </w:rPr>
        <w:t xml:space="preserve">This is a </w:t>
      </w:r>
      <w:r w:rsidR="00B81457">
        <w:rPr>
          <w:rFonts w:eastAsiaTheme="majorEastAsia" w:cstheme="majorBidi"/>
          <w:color w:val="000000" w:themeColor="text1"/>
          <w:szCs w:val="28"/>
        </w:rPr>
        <w:t>five</w:t>
      </w:r>
      <w:r w:rsidRPr="002958A6">
        <w:rPr>
          <w:rFonts w:eastAsiaTheme="majorEastAsia" w:cstheme="majorBidi"/>
          <w:color w:val="000000" w:themeColor="text1"/>
          <w:szCs w:val="28"/>
        </w:rPr>
        <w:t xml:space="preserve"> arm, single-blinded, randomized clinical trial. The study will be conducted according to the following steps for each individual:</w:t>
      </w:r>
    </w:p>
    <w:p w14:paraId="36E5045D" w14:textId="35439155" w:rsidR="002958A6" w:rsidRPr="002958A6" w:rsidRDefault="002958A6" w:rsidP="00164E47">
      <w:pPr>
        <w:jc w:val="both"/>
        <w:rPr>
          <w:rFonts w:eastAsiaTheme="majorEastAsia" w:cstheme="majorBidi"/>
          <w:color w:val="000000" w:themeColor="text1"/>
          <w:szCs w:val="28"/>
        </w:rPr>
      </w:pPr>
      <w:r w:rsidRPr="002958A6">
        <w:rPr>
          <w:rFonts w:eastAsiaTheme="majorEastAsia" w:cstheme="majorBidi"/>
          <w:color w:val="000000" w:themeColor="text1"/>
          <w:szCs w:val="28"/>
        </w:rPr>
        <w:t xml:space="preserve">Individuals aged 10-50 years will be invited to participate. They will be asked to provide informed consent and assent (for those under 18 years of age). After obtaining the informed consent and assent (if applicable), participants will undergo a screening including clinical evaluation and for the presence of microscopically detectable </w:t>
      </w:r>
      <w:r w:rsidRPr="0090749A">
        <w:rPr>
          <w:rFonts w:eastAsiaTheme="majorEastAsia" w:cstheme="majorBidi"/>
          <w:i/>
          <w:iCs/>
          <w:color w:val="000000" w:themeColor="text1"/>
          <w:szCs w:val="28"/>
        </w:rPr>
        <w:t>P. falciparum</w:t>
      </w:r>
      <w:r w:rsidRPr="002958A6">
        <w:rPr>
          <w:rFonts w:eastAsiaTheme="majorEastAsia" w:cstheme="majorBidi"/>
          <w:color w:val="000000" w:themeColor="text1"/>
          <w:szCs w:val="28"/>
        </w:rPr>
        <w:t xml:space="preserve"> infection. Individuals with ≥16 gametocytes/µL will be recruited and go through additional screening including haemoglobin measurement, CBC, assessment of renal and liver functions, and pregnancy tests. Recruitment will continue until </w:t>
      </w:r>
      <w:r w:rsidR="004F1CEA">
        <w:rPr>
          <w:rFonts w:eastAsiaTheme="majorEastAsia" w:cstheme="majorBidi"/>
          <w:color w:val="000000" w:themeColor="text1"/>
          <w:szCs w:val="28"/>
        </w:rPr>
        <w:t>10</w:t>
      </w:r>
      <w:r w:rsidRPr="002958A6">
        <w:rPr>
          <w:rFonts w:eastAsiaTheme="majorEastAsia" w:cstheme="majorBidi"/>
          <w:color w:val="000000" w:themeColor="text1"/>
          <w:szCs w:val="28"/>
        </w:rPr>
        <w:t xml:space="preserve">0 infected individuals with microscopically detectable </w:t>
      </w:r>
      <w:r w:rsidRPr="00B81457">
        <w:rPr>
          <w:rFonts w:eastAsiaTheme="majorEastAsia" w:cstheme="majorBidi"/>
          <w:i/>
          <w:iCs/>
          <w:color w:val="000000" w:themeColor="text1"/>
          <w:szCs w:val="28"/>
        </w:rPr>
        <w:t>P. falciparum</w:t>
      </w:r>
      <w:r w:rsidRPr="002958A6">
        <w:rPr>
          <w:rFonts w:eastAsiaTheme="majorEastAsia" w:cstheme="majorBidi"/>
          <w:color w:val="000000" w:themeColor="text1"/>
          <w:szCs w:val="28"/>
        </w:rPr>
        <w:t xml:space="preserve"> gametocytes (≥16/µL) are recruited and randomised.</w:t>
      </w:r>
    </w:p>
    <w:p w14:paraId="0AE5463F" w14:textId="18EFE361" w:rsidR="002958A6" w:rsidRDefault="002958A6" w:rsidP="00164E47">
      <w:pPr>
        <w:jc w:val="both"/>
        <w:rPr>
          <w:rFonts w:eastAsiaTheme="majorEastAsia" w:cstheme="majorBidi"/>
          <w:color w:val="000000" w:themeColor="text1"/>
          <w:szCs w:val="28"/>
        </w:rPr>
      </w:pPr>
      <w:r w:rsidRPr="002958A6">
        <w:rPr>
          <w:rFonts w:eastAsiaTheme="majorEastAsia" w:cstheme="majorBidi"/>
          <w:color w:val="000000" w:themeColor="text1"/>
          <w:szCs w:val="28"/>
        </w:rPr>
        <w:lastRenderedPageBreak/>
        <w:t>Individuals who m</w:t>
      </w:r>
      <w:r w:rsidR="0090749A">
        <w:rPr>
          <w:rFonts w:eastAsiaTheme="majorEastAsia" w:cstheme="majorBidi"/>
          <w:color w:val="000000" w:themeColor="text1"/>
          <w:szCs w:val="28"/>
        </w:rPr>
        <w:t>e</w:t>
      </w:r>
      <w:r w:rsidRPr="002958A6">
        <w:rPr>
          <w:rFonts w:eastAsiaTheme="majorEastAsia" w:cstheme="majorBidi"/>
          <w:color w:val="000000" w:themeColor="text1"/>
          <w:szCs w:val="28"/>
        </w:rPr>
        <w:t xml:space="preserve">et the inclusion and exclusion criteria will be randomised in a </w:t>
      </w:r>
      <w:proofErr w:type="gramStart"/>
      <w:r w:rsidR="00F86C2B">
        <w:rPr>
          <w:rFonts w:eastAsiaTheme="majorEastAsia" w:cstheme="majorBidi"/>
          <w:color w:val="000000" w:themeColor="text1"/>
          <w:szCs w:val="28"/>
        </w:rPr>
        <w:t>1</w:t>
      </w:r>
      <w:r w:rsidRPr="002958A6">
        <w:rPr>
          <w:rFonts w:eastAsiaTheme="majorEastAsia" w:cstheme="majorBidi"/>
          <w:color w:val="000000" w:themeColor="text1"/>
          <w:szCs w:val="28"/>
        </w:rPr>
        <w:t>:</w:t>
      </w:r>
      <w:r w:rsidR="00F86C2B">
        <w:rPr>
          <w:rFonts w:eastAsiaTheme="majorEastAsia" w:cstheme="majorBidi"/>
          <w:color w:val="000000" w:themeColor="text1"/>
          <w:szCs w:val="28"/>
        </w:rPr>
        <w:t>1</w:t>
      </w:r>
      <w:r w:rsidRPr="002958A6">
        <w:rPr>
          <w:rFonts w:eastAsiaTheme="majorEastAsia" w:cstheme="majorBidi"/>
          <w:color w:val="000000" w:themeColor="text1"/>
          <w:szCs w:val="28"/>
        </w:rPr>
        <w:t>:</w:t>
      </w:r>
      <w:r w:rsidR="00F86C2B">
        <w:rPr>
          <w:rFonts w:eastAsiaTheme="majorEastAsia" w:cstheme="majorBidi"/>
          <w:color w:val="000000" w:themeColor="text1"/>
          <w:szCs w:val="28"/>
        </w:rPr>
        <w:t>1</w:t>
      </w:r>
      <w:r w:rsidRPr="002958A6">
        <w:rPr>
          <w:rFonts w:eastAsiaTheme="majorEastAsia" w:cstheme="majorBidi"/>
          <w:color w:val="000000" w:themeColor="text1"/>
          <w:szCs w:val="28"/>
        </w:rPr>
        <w:t>:</w:t>
      </w:r>
      <w:r w:rsidR="00F86C2B">
        <w:rPr>
          <w:rFonts w:eastAsiaTheme="majorEastAsia" w:cstheme="majorBidi"/>
          <w:color w:val="000000" w:themeColor="text1"/>
          <w:szCs w:val="28"/>
        </w:rPr>
        <w:t>1</w:t>
      </w:r>
      <w:r w:rsidR="00B81457">
        <w:rPr>
          <w:rFonts w:eastAsiaTheme="majorEastAsia" w:cstheme="majorBidi"/>
          <w:color w:val="000000" w:themeColor="text1"/>
          <w:szCs w:val="28"/>
        </w:rPr>
        <w:t>:</w:t>
      </w:r>
      <w:r w:rsidRPr="002958A6">
        <w:rPr>
          <w:rFonts w:eastAsiaTheme="majorEastAsia" w:cstheme="majorBidi"/>
          <w:color w:val="000000" w:themeColor="text1"/>
          <w:szCs w:val="28"/>
        </w:rPr>
        <w:t>1</w:t>
      </w:r>
      <w:proofErr w:type="gramEnd"/>
      <w:r w:rsidRPr="002958A6">
        <w:rPr>
          <w:rFonts w:eastAsiaTheme="majorEastAsia" w:cstheme="majorBidi"/>
          <w:color w:val="000000" w:themeColor="text1"/>
          <w:szCs w:val="28"/>
        </w:rPr>
        <w:t xml:space="preserve"> ratio into </w:t>
      </w:r>
      <w:r w:rsidR="00B81457">
        <w:rPr>
          <w:rFonts w:eastAsiaTheme="majorEastAsia" w:cstheme="majorBidi"/>
          <w:color w:val="000000" w:themeColor="text1"/>
          <w:szCs w:val="28"/>
        </w:rPr>
        <w:t>five</w:t>
      </w:r>
      <w:r w:rsidRPr="002958A6">
        <w:rPr>
          <w:rFonts w:eastAsiaTheme="majorEastAsia" w:cstheme="majorBidi"/>
          <w:color w:val="000000" w:themeColor="text1"/>
          <w:szCs w:val="28"/>
        </w:rPr>
        <w:t xml:space="preserve"> groups (arms); A</w:t>
      </w:r>
      <w:r w:rsidR="00B81457">
        <w:rPr>
          <w:rFonts w:eastAsiaTheme="majorEastAsia" w:cstheme="majorBidi"/>
          <w:color w:val="000000" w:themeColor="text1"/>
          <w:szCs w:val="28"/>
        </w:rPr>
        <w:t>SAQ</w:t>
      </w:r>
      <w:r w:rsidRPr="002958A6">
        <w:rPr>
          <w:rFonts w:eastAsiaTheme="majorEastAsia" w:cstheme="majorBidi"/>
          <w:color w:val="000000" w:themeColor="text1"/>
          <w:szCs w:val="28"/>
        </w:rPr>
        <w:t xml:space="preserve">, </w:t>
      </w:r>
      <w:r w:rsidR="00B81457">
        <w:rPr>
          <w:rFonts w:eastAsiaTheme="majorEastAsia" w:cstheme="majorBidi"/>
          <w:color w:val="000000" w:themeColor="text1"/>
          <w:szCs w:val="28"/>
        </w:rPr>
        <w:t>ASAQ</w:t>
      </w:r>
      <w:r w:rsidRPr="002958A6">
        <w:rPr>
          <w:rFonts w:eastAsiaTheme="majorEastAsia" w:cstheme="majorBidi"/>
          <w:color w:val="000000" w:themeColor="text1"/>
          <w:szCs w:val="28"/>
        </w:rPr>
        <w:t xml:space="preserve">-PQ (0.25mg/kg), </w:t>
      </w:r>
      <w:r w:rsidR="00B81457">
        <w:rPr>
          <w:rFonts w:eastAsiaTheme="majorEastAsia" w:cstheme="majorBidi"/>
          <w:color w:val="000000" w:themeColor="text1"/>
          <w:szCs w:val="28"/>
        </w:rPr>
        <w:t>AL</w:t>
      </w:r>
      <w:r w:rsidRPr="002958A6">
        <w:rPr>
          <w:rFonts w:eastAsiaTheme="majorEastAsia" w:cstheme="majorBidi"/>
          <w:color w:val="000000" w:themeColor="text1"/>
          <w:szCs w:val="28"/>
        </w:rPr>
        <w:t xml:space="preserve">, </w:t>
      </w:r>
      <w:r w:rsidR="00B81457">
        <w:rPr>
          <w:rFonts w:eastAsiaTheme="majorEastAsia" w:cstheme="majorBidi"/>
          <w:color w:val="000000" w:themeColor="text1"/>
          <w:szCs w:val="28"/>
        </w:rPr>
        <w:t xml:space="preserve">ALAQ, </w:t>
      </w:r>
      <w:r w:rsidR="00F86C2B">
        <w:rPr>
          <w:rFonts w:eastAsiaTheme="majorEastAsia" w:cstheme="majorBidi"/>
          <w:color w:val="000000" w:themeColor="text1"/>
          <w:szCs w:val="28"/>
        </w:rPr>
        <w:t>ALAQ-PQ</w:t>
      </w:r>
      <w:r w:rsidR="00B81457">
        <w:rPr>
          <w:rFonts w:eastAsiaTheme="majorEastAsia" w:cstheme="majorBidi"/>
          <w:color w:val="000000" w:themeColor="text1"/>
          <w:szCs w:val="28"/>
        </w:rPr>
        <w:t xml:space="preserve"> (</w:t>
      </w:r>
      <w:r w:rsidR="00B81457" w:rsidRPr="00B81457">
        <w:rPr>
          <w:rFonts w:eastAsiaTheme="majorEastAsia" w:cstheme="majorBidi"/>
          <w:b/>
          <w:bCs/>
          <w:color w:val="000000" w:themeColor="text1"/>
          <w:szCs w:val="28"/>
        </w:rPr>
        <w:t>Table 1</w:t>
      </w:r>
      <w:r w:rsidR="00B81457">
        <w:rPr>
          <w:rFonts w:eastAsiaTheme="majorEastAsia" w:cstheme="majorBidi"/>
          <w:color w:val="000000" w:themeColor="text1"/>
          <w:szCs w:val="28"/>
        </w:rPr>
        <w:t xml:space="preserve">). </w:t>
      </w:r>
      <w:r w:rsidRPr="002958A6">
        <w:rPr>
          <w:rFonts w:eastAsiaTheme="majorEastAsia" w:cstheme="majorBidi"/>
          <w:color w:val="000000" w:themeColor="text1"/>
          <w:szCs w:val="28"/>
        </w:rPr>
        <w:t>Randomisation will be performed by the study pharmacist. All other staff will be blinded to the treatment allocation.</w:t>
      </w:r>
    </w:p>
    <w:p w14:paraId="0414EDBE" w14:textId="2FDACA9D" w:rsidR="00B81457" w:rsidRPr="00B81457" w:rsidRDefault="00B81457" w:rsidP="00164E47">
      <w:pPr>
        <w:jc w:val="both"/>
        <w:rPr>
          <w:rFonts w:eastAsiaTheme="majorEastAsia" w:cstheme="majorBidi"/>
          <w:b/>
          <w:bCs/>
          <w:color w:val="000000" w:themeColor="text1"/>
          <w:szCs w:val="28"/>
        </w:rPr>
      </w:pPr>
      <w:r w:rsidRPr="00B81457">
        <w:rPr>
          <w:rFonts w:eastAsiaTheme="majorEastAsia" w:cstheme="majorBidi"/>
          <w:b/>
          <w:bCs/>
          <w:color w:val="000000" w:themeColor="text1"/>
          <w:szCs w:val="28"/>
        </w:rPr>
        <w:t>Table 1. Treatment arms</w:t>
      </w:r>
    </w:p>
    <w:tbl>
      <w:tblPr>
        <w:tblStyle w:val="TableGrid"/>
        <w:tblW w:w="0" w:type="auto"/>
        <w:tblLayout w:type="fixed"/>
        <w:tblLook w:val="04A0" w:firstRow="1" w:lastRow="0" w:firstColumn="1" w:lastColumn="0" w:noHBand="0" w:noVBand="1"/>
      </w:tblPr>
      <w:tblGrid>
        <w:gridCol w:w="617"/>
        <w:gridCol w:w="800"/>
        <w:gridCol w:w="1283"/>
        <w:gridCol w:w="1362"/>
      </w:tblGrid>
      <w:tr w:rsidR="00164E47" w:rsidRPr="00490CAC" w14:paraId="1996E40A" w14:textId="77777777" w:rsidTr="00164E47">
        <w:trPr>
          <w:trHeight w:val="495"/>
        </w:trPr>
        <w:tc>
          <w:tcPr>
            <w:tcW w:w="617" w:type="dxa"/>
            <w:shd w:val="clear" w:color="auto" w:fill="D9D9D9" w:themeFill="background1" w:themeFillShade="D9"/>
          </w:tcPr>
          <w:p w14:paraId="76A71CED" w14:textId="77777777" w:rsidR="00B81457" w:rsidRPr="00164E47" w:rsidRDefault="00B81457" w:rsidP="00164E47">
            <w:pPr>
              <w:jc w:val="both"/>
              <w:rPr>
                <w:rFonts w:cs="Arial"/>
                <w:b/>
                <w:bCs/>
                <w:sz w:val="20"/>
                <w:szCs w:val="20"/>
                <w:lang w:val="en-CA"/>
              </w:rPr>
            </w:pPr>
            <w:r w:rsidRPr="00164E47">
              <w:rPr>
                <w:rFonts w:cs="Arial"/>
                <w:b/>
                <w:bCs/>
                <w:sz w:val="20"/>
                <w:szCs w:val="20"/>
                <w:lang w:val="en-CA"/>
              </w:rPr>
              <w:t>Arm</w:t>
            </w:r>
          </w:p>
        </w:tc>
        <w:tc>
          <w:tcPr>
            <w:tcW w:w="800" w:type="dxa"/>
            <w:shd w:val="clear" w:color="auto" w:fill="D9D9D9" w:themeFill="background1" w:themeFillShade="D9"/>
          </w:tcPr>
          <w:p w14:paraId="040DB46D" w14:textId="77777777" w:rsidR="00B81457" w:rsidRPr="00164E47" w:rsidRDefault="00B81457" w:rsidP="00164E47">
            <w:pPr>
              <w:jc w:val="both"/>
              <w:rPr>
                <w:rFonts w:cs="Arial"/>
                <w:b/>
                <w:bCs/>
                <w:sz w:val="20"/>
                <w:szCs w:val="20"/>
                <w:lang w:val="en-CA"/>
              </w:rPr>
            </w:pPr>
            <w:r w:rsidRPr="00164E47">
              <w:rPr>
                <w:rFonts w:cs="Arial"/>
                <w:b/>
                <w:bCs/>
                <w:sz w:val="20"/>
                <w:szCs w:val="20"/>
                <w:lang w:val="en-CA"/>
              </w:rPr>
              <w:t>ACT</w:t>
            </w:r>
          </w:p>
        </w:tc>
        <w:tc>
          <w:tcPr>
            <w:tcW w:w="1283" w:type="dxa"/>
            <w:shd w:val="clear" w:color="auto" w:fill="D9D9D9" w:themeFill="background1" w:themeFillShade="D9"/>
          </w:tcPr>
          <w:p w14:paraId="1CCF64AF" w14:textId="77777777" w:rsidR="00B81457" w:rsidRPr="00164E47" w:rsidRDefault="00B81457" w:rsidP="00164E47">
            <w:pPr>
              <w:jc w:val="both"/>
              <w:rPr>
                <w:rFonts w:cs="Arial"/>
                <w:b/>
                <w:bCs/>
                <w:sz w:val="20"/>
                <w:szCs w:val="20"/>
                <w:lang w:val="en-CA"/>
              </w:rPr>
            </w:pPr>
            <w:r w:rsidRPr="00164E47">
              <w:rPr>
                <w:rFonts w:cs="Arial"/>
                <w:b/>
                <w:bCs/>
                <w:sz w:val="20"/>
                <w:szCs w:val="20"/>
                <w:lang w:val="en-CA"/>
              </w:rPr>
              <w:t>PQ (mg/kg)</w:t>
            </w:r>
          </w:p>
        </w:tc>
        <w:tc>
          <w:tcPr>
            <w:tcW w:w="1362" w:type="dxa"/>
            <w:shd w:val="clear" w:color="auto" w:fill="D9D9D9" w:themeFill="background1" w:themeFillShade="D9"/>
          </w:tcPr>
          <w:p w14:paraId="5B56520F" w14:textId="77777777" w:rsidR="00B81457" w:rsidRPr="00164E47" w:rsidRDefault="00B81457" w:rsidP="00164E47">
            <w:pPr>
              <w:jc w:val="both"/>
              <w:rPr>
                <w:rFonts w:cs="Arial"/>
                <w:b/>
                <w:bCs/>
                <w:sz w:val="20"/>
                <w:szCs w:val="20"/>
                <w:lang w:val="en-CA"/>
              </w:rPr>
            </w:pPr>
            <w:r w:rsidRPr="00164E47">
              <w:rPr>
                <w:rFonts w:cs="Arial"/>
                <w:b/>
                <w:bCs/>
                <w:sz w:val="20"/>
                <w:szCs w:val="20"/>
                <w:lang w:val="en-CA"/>
              </w:rPr>
              <w:t>Sample size</w:t>
            </w:r>
          </w:p>
        </w:tc>
      </w:tr>
      <w:tr w:rsidR="00B81457" w:rsidRPr="00490CAC" w14:paraId="77415593" w14:textId="77777777" w:rsidTr="00164E47">
        <w:trPr>
          <w:trHeight w:val="238"/>
        </w:trPr>
        <w:tc>
          <w:tcPr>
            <w:tcW w:w="617" w:type="dxa"/>
          </w:tcPr>
          <w:p w14:paraId="4CB71E43" w14:textId="77777777" w:rsidR="00B81457" w:rsidRPr="009C027D" w:rsidRDefault="00B81457" w:rsidP="00164E47">
            <w:pPr>
              <w:jc w:val="both"/>
              <w:rPr>
                <w:rFonts w:cs="Arial"/>
                <w:sz w:val="21"/>
                <w:szCs w:val="21"/>
                <w:lang w:val="en-CA"/>
              </w:rPr>
            </w:pPr>
            <w:r w:rsidRPr="009C027D">
              <w:rPr>
                <w:rFonts w:cs="Arial"/>
                <w:sz w:val="21"/>
                <w:szCs w:val="21"/>
                <w:lang w:val="en-CA"/>
              </w:rPr>
              <w:t>1</w:t>
            </w:r>
          </w:p>
        </w:tc>
        <w:tc>
          <w:tcPr>
            <w:tcW w:w="800" w:type="dxa"/>
          </w:tcPr>
          <w:p w14:paraId="2810C6E2" w14:textId="77777777" w:rsidR="00B81457" w:rsidRPr="009C027D" w:rsidRDefault="00B81457" w:rsidP="00164E47">
            <w:pPr>
              <w:jc w:val="both"/>
              <w:rPr>
                <w:rFonts w:cs="Arial"/>
                <w:sz w:val="21"/>
                <w:szCs w:val="21"/>
                <w:lang w:val="en-CA"/>
              </w:rPr>
            </w:pPr>
            <w:r w:rsidRPr="009C027D">
              <w:rPr>
                <w:rFonts w:cs="Arial"/>
                <w:sz w:val="21"/>
                <w:szCs w:val="21"/>
                <w:lang w:val="en-CA"/>
              </w:rPr>
              <w:t>ASAQ</w:t>
            </w:r>
          </w:p>
        </w:tc>
        <w:tc>
          <w:tcPr>
            <w:tcW w:w="1283" w:type="dxa"/>
          </w:tcPr>
          <w:p w14:paraId="26AA9E13" w14:textId="77777777" w:rsidR="00B81457" w:rsidRPr="009C027D" w:rsidRDefault="00B81457" w:rsidP="00164E47">
            <w:pPr>
              <w:jc w:val="both"/>
              <w:rPr>
                <w:rFonts w:cs="Arial"/>
                <w:sz w:val="21"/>
                <w:szCs w:val="21"/>
                <w:lang w:val="en-CA"/>
              </w:rPr>
            </w:pPr>
          </w:p>
        </w:tc>
        <w:tc>
          <w:tcPr>
            <w:tcW w:w="1362" w:type="dxa"/>
          </w:tcPr>
          <w:p w14:paraId="7A7F0DCC" w14:textId="77777777" w:rsidR="00B81457" w:rsidRPr="009C027D" w:rsidRDefault="00B81457" w:rsidP="00164E47">
            <w:pPr>
              <w:jc w:val="both"/>
              <w:rPr>
                <w:rFonts w:cs="Arial"/>
                <w:sz w:val="21"/>
                <w:szCs w:val="21"/>
                <w:lang w:val="en-CA"/>
              </w:rPr>
            </w:pPr>
            <w:r w:rsidRPr="009C027D">
              <w:rPr>
                <w:rFonts w:cs="Arial"/>
                <w:sz w:val="21"/>
                <w:szCs w:val="21"/>
                <w:lang w:val="en-CA"/>
              </w:rPr>
              <w:t>20</w:t>
            </w:r>
          </w:p>
        </w:tc>
      </w:tr>
      <w:tr w:rsidR="00B81457" w:rsidRPr="00490CAC" w14:paraId="7A894C31" w14:textId="77777777" w:rsidTr="00164E47">
        <w:trPr>
          <w:trHeight w:val="256"/>
        </w:trPr>
        <w:tc>
          <w:tcPr>
            <w:tcW w:w="617" w:type="dxa"/>
          </w:tcPr>
          <w:p w14:paraId="207CDC05" w14:textId="77777777" w:rsidR="00B81457" w:rsidRPr="009C027D" w:rsidRDefault="00B81457" w:rsidP="00164E47">
            <w:pPr>
              <w:jc w:val="both"/>
              <w:rPr>
                <w:rFonts w:cs="Arial"/>
                <w:sz w:val="21"/>
                <w:szCs w:val="21"/>
                <w:lang w:val="en-CA"/>
              </w:rPr>
            </w:pPr>
            <w:r w:rsidRPr="009C027D">
              <w:rPr>
                <w:rFonts w:cs="Arial"/>
                <w:sz w:val="21"/>
                <w:szCs w:val="21"/>
                <w:lang w:val="en-CA"/>
              </w:rPr>
              <w:t>2</w:t>
            </w:r>
          </w:p>
        </w:tc>
        <w:tc>
          <w:tcPr>
            <w:tcW w:w="800" w:type="dxa"/>
          </w:tcPr>
          <w:p w14:paraId="711169C8" w14:textId="77777777" w:rsidR="00B81457" w:rsidRPr="009C027D" w:rsidRDefault="00B81457" w:rsidP="00164E47">
            <w:pPr>
              <w:jc w:val="both"/>
              <w:rPr>
                <w:rFonts w:cs="Arial"/>
                <w:sz w:val="21"/>
                <w:szCs w:val="21"/>
                <w:lang w:val="en-CA"/>
              </w:rPr>
            </w:pPr>
            <w:r w:rsidRPr="009C027D">
              <w:rPr>
                <w:rFonts w:cs="Arial"/>
                <w:sz w:val="21"/>
                <w:szCs w:val="21"/>
                <w:lang w:val="en-CA"/>
              </w:rPr>
              <w:t>ASAQ</w:t>
            </w:r>
          </w:p>
        </w:tc>
        <w:tc>
          <w:tcPr>
            <w:tcW w:w="1283" w:type="dxa"/>
          </w:tcPr>
          <w:p w14:paraId="4413FFD0" w14:textId="77777777" w:rsidR="00B81457" w:rsidRPr="009C027D" w:rsidRDefault="00B81457" w:rsidP="00164E47">
            <w:pPr>
              <w:jc w:val="both"/>
              <w:rPr>
                <w:rFonts w:cs="Arial"/>
                <w:sz w:val="21"/>
                <w:szCs w:val="21"/>
                <w:lang w:val="en-CA"/>
              </w:rPr>
            </w:pPr>
            <w:r w:rsidRPr="009C027D">
              <w:rPr>
                <w:rFonts w:cs="Arial"/>
                <w:sz w:val="21"/>
                <w:szCs w:val="21"/>
                <w:lang w:val="en-CA"/>
              </w:rPr>
              <w:t xml:space="preserve">0.25 </w:t>
            </w:r>
          </w:p>
        </w:tc>
        <w:tc>
          <w:tcPr>
            <w:tcW w:w="1362" w:type="dxa"/>
          </w:tcPr>
          <w:p w14:paraId="4E49A69A" w14:textId="77777777" w:rsidR="00B81457" w:rsidRPr="009C027D" w:rsidRDefault="00B81457" w:rsidP="00164E47">
            <w:pPr>
              <w:jc w:val="both"/>
              <w:rPr>
                <w:rFonts w:cs="Arial"/>
                <w:sz w:val="21"/>
                <w:szCs w:val="21"/>
                <w:lang w:val="en-CA"/>
              </w:rPr>
            </w:pPr>
            <w:r w:rsidRPr="009C027D">
              <w:rPr>
                <w:rFonts w:cs="Arial"/>
                <w:sz w:val="21"/>
                <w:szCs w:val="21"/>
                <w:lang w:val="en-CA"/>
              </w:rPr>
              <w:t>20</w:t>
            </w:r>
          </w:p>
        </w:tc>
      </w:tr>
      <w:tr w:rsidR="00B81457" w:rsidRPr="00490CAC" w14:paraId="36DD5E0C" w14:textId="77777777" w:rsidTr="00164E47">
        <w:trPr>
          <w:trHeight w:val="238"/>
        </w:trPr>
        <w:tc>
          <w:tcPr>
            <w:tcW w:w="617" w:type="dxa"/>
          </w:tcPr>
          <w:p w14:paraId="003CE360" w14:textId="77777777" w:rsidR="00B81457" w:rsidRPr="009C027D" w:rsidRDefault="00B81457" w:rsidP="00164E47">
            <w:pPr>
              <w:jc w:val="both"/>
              <w:rPr>
                <w:rFonts w:cs="Arial"/>
                <w:sz w:val="21"/>
                <w:szCs w:val="21"/>
                <w:lang w:val="en-CA"/>
              </w:rPr>
            </w:pPr>
            <w:r w:rsidRPr="009C027D">
              <w:rPr>
                <w:rFonts w:cs="Arial"/>
                <w:sz w:val="21"/>
                <w:szCs w:val="21"/>
                <w:lang w:val="en-CA"/>
              </w:rPr>
              <w:t>3</w:t>
            </w:r>
          </w:p>
        </w:tc>
        <w:tc>
          <w:tcPr>
            <w:tcW w:w="800" w:type="dxa"/>
          </w:tcPr>
          <w:p w14:paraId="3AEB78D2" w14:textId="77777777" w:rsidR="00B81457" w:rsidRPr="009C027D" w:rsidRDefault="00B81457" w:rsidP="00164E47">
            <w:pPr>
              <w:jc w:val="both"/>
              <w:rPr>
                <w:rFonts w:cs="Arial"/>
                <w:sz w:val="21"/>
                <w:szCs w:val="21"/>
                <w:lang w:val="en-CA"/>
              </w:rPr>
            </w:pPr>
            <w:r w:rsidRPr="009C027D">
              <w:rPr>
                <w:rFonts w:cs="Arial"/>
                <w:sz w:val="21"/>
                <w:szCs w:val="21"/>
                <w:lang w:val="en-CA"/>
              </w:rPr>
              <w:t>AL</w:t>
            </w:r>
          </w:p>
        </w:tc>
        <w:tc>
          <w:tcPr>
            <w:tcW w:w="1283" w:type="dxa"/>
          </w:tcPr>
          <w:p w14:paraId="7686EACD" w14:textId="77777777" w:rsidR="00B81457" w:rsidRPr="009C027D" w:rsidRDefault="00B81457" w:rsidP="00164E47">
            <w:pPr>
              <w:jc w:val="both"/>
              <w:rPr>
                <w:rFonts w:cs="Arial"/>
                <w:sz w:val="21"/>
                <w:szCs w:val="21"/>
                <w:lang w:val="en-CA"/>
              </w:rPr>
            </w:pPr>
          </w:p>
        </w:tc>
        <w:tc>
          <w:tcPr>
            <w:tcW w:w="1362" w:type="dxa"/>
          </w:tcPr>
          <w:p w14:paraId="30EAB2E2" w14:textId="77777777" w:rsidR="00B81457" w:rsidRPr="009C027D" w:rsidRDefault="00B81457" w:rsidP="00164E47">
            <w:pPr>
              <w:jc w:val="both"/>
              <w:rPr>
                <w:rFonts w:cs="Arial"/>
                <w:sz w:val="21"/>
                <w:szCs w:val="21"/>
                <w:lang w:val="en-CA"/>
              </w:rPr>
            </w:pPr>
            <w:r w:rsidRPr="009C027D">
              <w:rPr>
                <w:rFonts w:cs="Arial"/>
                <w:sz w:val="21"/>
                <w:szCs w:val="21"/>
                <w:lang w:val="en-CA"/>
              </w:rPr>
              <w:t>20</w:t>
            </w:r>
          </w:p>
        </w:tc>
      </w:tr>
      <w:tr w:rsidR="00B81457" w:rsidRPr="00490CAC" w14:paraId="4A4505FC" w14:textId="77777777" w:rsidTr="00164E47">
        <w:trPr>
          <w:trHeight w:val="238"/>
        </w:trPr>
        <w:tc>
          <w:tcPr>
            <w:tcW w:w="617" w:type="dxa"/>
          </w:tcPr>
          <w:p w14:paraId="656DB2F2" w14:textId="77777777" w:rsidR="00B81457" w:rsidRPr="009C027D" w:rsidRDefault="00B81457" w:rsidP="00164E47">
            <w:pPr>
              <w:jc w:val="both"/>
              <w:rPr>
                <w:rFonts w:cs="Arial"/>
                <w:sz w:val="21"/>
                <w:szCs w:val="21"/>
                <w:lang w:val="en-CA"/>
              </w:rPr>
            </w:pPr>
            <w:r w:rsidRPr="009C027D">
              <w:rPr>
                <w:rFonts w:cs="Arial"/>
                <w:sz w:val="21"/>
                <w:szCs w:val="21"/>
                <w:lang w:val="en-CA"/>
              </w:rPr>
              <w:t>4</w:t>
            </w:r>
          </w:p>
        </w:tc>
        <w:tc>
          <w:tcPr>
            <w:tcW w:w="800" w:type="dxa"/>
          </w:tcPr>
          <w:p w14:paraId="3C76DDC8" w14:textId="77777777" w:rsidR="00B81457" w:rsidRPr="009C027D" w:rsidRDefault="00B81457" w:rsidP="00164E47">
            <w:pPr>
              <w:jc w:val="both"/>
              <w:rPr>
                <w:rFonts w:cs="Arial"/>
                <w:sz w:val="21"/>
                <w:szCs w:val="21"/>
                <w:lang w:val="en-CA"/>
              </w:rPr>
            </w:pPr>
            <w:r w:rsidRPr="009C027D">
              <w:rPr>
                <w:rFonts w:cs="Arial"/>
                <w:sz w:val="21"/>
                <w:szCs w:val="21"/>
                <w:lang w:val="en-CA"/>
              </w:rPr>
              <w:t>ALAQ</w:t>
            </w:r>
          </w:p>
        </w:tc>
        <w:tc>
          <w:tcPr>
            <w:tcW w:w="1283" w:type="dxa"/>
          </w:tcPr>
          <w:p w14:paraId="372722C4" w14:textId="77777777" w:rsidR="00B81457" w:rsidRPr="009C027D" w:rsidRDefault="00B81457" w:rsidP="00164E47">
            <w:pPr>
              <w:jc w:val="both"/>
              <w:rPr>
                <w:rFonts w:cs="Arial"/>
                <w:sz w:val="21"/>
                <w:szCs w:val="21"/>
                <w:lang w:val="en-CA"/>
              </w:rPr>
            </w:pPr>
          </w:p>
        </w:tc>
        <w:tc>
          <w:tcPr>
            <w:tcW w:w="1362" w:type="dxa"/>
          </w:tcPr>
          <w:p w14:paraId="736D7C43" w14:textId="77777777" w:rsidR="00B81457" w:rsidRPr="009C027D" w:rsidRDefault="00B81457" w:rsidP="00164E47">
            <w:pPr>
              <w:jc w:val="both"/>
              <w:rPr>
                <w:rFonts w:cs="Arial"/>
                <w:sz w:val="21"/>
                <w:szCs w:val="21"/>
                <w:lang w:val="en-CA"/>
              </w:rPr>
            </w:pPr>
            <w:r w:rsidRPr="009C027D">
              <w:rPr>
                <w:rFonts w:cs="Arial"/>
                <w:sz w:val="21"/>
                <w:szCs w:val="21"/>
                <w:lang w:val="en-CA"/>
              </w:rPr>
              <w:t>20</w:t>
            </w:r>
          </w:p>
        </w:tc>
      </w:tr>
      <w:tr w:rsidR="00B81457" w:rsidRPr="00490CAC" w14:paraId="0656B3FA" w14:textId="77777777" w:rsidTr="00164E47">
        <w:trPr>
          <w:trHeight w:val="321"/>
        </w:trPr>
        <w:tc>
          <w:tcPr>
            <w:tcW w:w="617" w:type="dxa"/>
          </w:tcPr>
          <w:p w14:paraId="550360E6" w14:textId="77777777" w:rsidR="00B81457" w:rsidRPr="009C027D" w:rsidRDefault="00B81457" w:rsidP="00164E47">
            <w:pPr>
              <w:jc w:val="both"/>
              <w:rPr>
                <w:rFonts w:cs="Arial"/>
                <w:sz w:val="21"/>
                <w:szCs w:val="21"/>
                <w:lang w:val="en-CA"/>
              </w:rPr>
            </w:pPr>
            <w:r w:rsidRPr="009C027D">
              <w:rPr>
                <w:rFonts w:cs="Arial"/>
                <w:sz w:val="21"/>
                <w:szCs w:val="21"/>
                <w:lang w:val="en-CA"/>
              </w:rPr>
              <w:t>5</w:t>
            </w:r>
          </w:p>
        </w:tc>
        <w:tc>
          <w:tcPr>
            <w:tcW w:w="800" w:type="dxa"/>
          </w:tcPr>
          <w:p w14:paraId="7DA934E9" w14:textId="45F2CDCA" w:rsidR="00B81457" w:rsidRPr="009C027D" w:rsidRDefault="00F86C2B" w:rsidP="00164E47">
            <w:pPr>
              <w:jc w:val="both"/>
              <w:rPr>
                <w:rFonts w:cs="Arial"/>
                <w:sz w:val="21"/>
                <w:szCs w:val="21"/>
                <w:lang w:val="en-CA"/>
              </w:rPr>
            </w:pPr>
            <w:r>
              <w:rPr>
                <w:rFonts w:cs="Arial"/>
                <w:sz w:val="21"/>
                <w:szCs w:val="21"/>
                <w:lang w:val="en-CA"/>
              </w:rPr>
              <w:t>ALAQ</w:t>
            </w:r>
          </w:p>
        </w:tc>
        <w:tc>
          <w:tcPr>
            <w:tcW w:w="1283" w:type="dxa"/>
          </w:tcPr>
          <w:p w14:paraId="5F5FDB49" w14:textId="421F9B22" w:rsidR="00B81457" w:rsidRPr="009C027D" w:rsidRDefault="00F86C2B" w:rsidP="00164E47">
            <w:pPr>
              <w:jc w:val="both"/>
              <w:rPr>
                <w:rFonts w:cs="Arial"/>
                <w:sz w:val="21"/>
                <w:szCs w:val="21"/>
                <w:lang w:val="en-CA"/>
              </w:rPr>
            </w:pPr>
            <w:r>
              <w:rPr>
                <w:rFonts w:cs="Arial"/>
                <w:sz w:val="21"/>
                <w:szCs w:val="21"/>
                <w:lang w:val="en-CA"/>
              </w:rPr>
              <w:t>0.25</w:t>
            </w:r>
          </w:p>
        </w:tc>
        <w:tc>
          <w:tcPr>
            <w:tcW w:w="1362" w:type="dxa"/>
          </w:tcPr>
          <w:p w14:paraId="7B6C571B" w14:textId="0ECD9826" w:rsidR="00B81457" w:rsidRPr="009C027D" w:rsidRDefault="00F86C2B" w:rsidP="00164E47">
            <w:pPr>
              <w:jc w:val="both"/>
              <w:rPr>
                <w:rFonts w:cs="Arial"/>
                <w:sz w:val="21"/>
                <w:szCs w:val="21"/>
                <w:lang w:val="en-CA"/>
              </w:rPr>
            </w:pPr>
            <w:r>
              <w:rPr>
                <w:rFonts w:cs="Arial"/>
                <w:sz w:val="21"/>
                <w:szCs w:val="21"/>
                <w:lang w:val="en-CA"/>
              </w:rPr>
              <w:t>2</w:t>
            </w:r>
            <w:r w:rsidR="00B81457" w:rsidRPr="009C027D">
              <w:rPr>
                <w:rFonts w:cs="Arial"/>
                <w:sz w:val="21"/>
                <w:szCs w:val="21"/>
                <w:lang w:val="en-CA"/>
              </w:rPr>
              <w:t>0</w:t>
            </w:r>
          </w:p>
        </w:tc>
      </w:tr>
    </w:tbl>
    <w:p w14:paraId="779BB3CF" w14:textId="77777777" w:rsidR="00B81457" w:rsidRDefault="00B81457" w:rsidP="00164E47">
      <w:pPr>
        <w:jc w:val="both"/>
        <w:rPr>
          <w:rFonts w:eastAsiaTheme="majorEastAsia" w:cstheme="majorBidi"/>
          <w:color w:val="000000" w:themeColor="text1"/>
          <w:szCs w:val="28"/>
        </w:rPr>
      </w:pPr>
    </w:p>
    <w:p w14:paraId="00C1E119" w14:textId="77777777" w:rsidR="00B81457" w:rsidRPr="00B81457" w:rsidRDefault="00B81457" w:rsidP="00164E47">
      <w:pPr>
        <w:jc w:val="both"/>
        <w:rPr>
          <w:rFonts w:eastAsiaTheme="majorEastAsia" w:cstheme="majorBidi"/>
          <w:color w:val="000000" w:themeColor="text1"/>
          <w:szCs w:val="28"/>
        </w:rPr>
      </w:pPr>
      <w:r w:rsidRPr="00B81457">
        <w:rPr>
          <w:rFonts w:eastAsiaTheme="majorEastAsia" w:cstheme="majorBidi"/>
          <w:color w:val="000000" w:themeColor="text1"/>
          <w:szCs w:val="28"/>
        </w:rPr>
        <w:t xml:space="preserve">Each participant will be followed for 28 days. Participants will receive a full clinical and parasitological examination on days 2, 7, 14, 21, 28 after receiving the first dose of the study drugs. Blood samples will be taken at all visits for parasitology (microscopy, and whole blood for </w:t>
      </w:r>
      <w:proofErr w:type="spellStart"/>
      <w:r w:rsidRPr="00B81457">
        <w:rPr>
          <w:rFonts w:eastAsiaTheme="majorEastAsia" w:cstheme="majorBidi"/>
          <w:color w:val="000000" w:themeColor="text1"/>
          <w:szCs w:val="28"/>
        </w:rPr>
        <w:t>qRT</w:t>
      </w:r>
      <w:proofErr w:type="spellEnd"/>
      <w:r w:rsidRPr="00B81457">
        <w:rPr>
          <w:rFonts w:eastAsiaTheme="majorEastAsia" w:cstheme="majorBidi"/>
          <w:color w:val="000000" w:themeColor="text1"/>
          <w:szCs w:val="28"/>
        </w:rPr>
        <w:t xml:space="preserve">-PCR) and serology with additional samples for haematology and biochemistry analysis at days 0, 2 and 14. A clinical and haematological examination will also be performed on day 1, at which point no other samples will be collected. </w:t>
      </w:r>
    </w:p>
    <w:p w14:paraId="28E53986" w14:textId="07787405" w:rsidR="00B81457" w:rsidRPr="00B81457" w:rsidRDefault="00B81457" w:rsidP="00164E47">
      <w:pPr>
        <w:jc w:val="both"/>
        <w:rPr>
          <w:rFonts w:eastAsiaTheme="majorEastAsia" w:cstheme="majorBidi"/>
          <w:color w:val="000000" w:themeColor="text1"/>
          <w:szCs w:val="28"/>
        </w:rPr>
      </w:pPr>
      <w:r w:rsidRPr="00B81457">
        <w:rPr>
          <w:rFonts w:eastAsiaTheme="majorEastAsia" w:cstheme="majorBidi"/>
          <w:color w:val="000000" w:themeColor="text1"/>
          <w:szCs w:val="28"/>
        </w:rPr>
        <w:t>Infectivity to locally reared mosquitoes will be assessed with membrane feeding assays at baseline, on the final day of treatment (day 2) and at days 7</w:t>
      </w:r>
      <w:r>
        <w:rPr>
          <w:rFonts w:eastAsiaTheme="majorEastAsia" w:cstheme="majorBidi"/>
          <w:color w:val="000000" w:themeColor="text1"/>
          <w:szCs w:val="28"/>
        </w:rPr>
        <w:t xml:space="preserve"> and 14</w:t>
      </w:r>
      <w:r w:rsidRPr="00B81457">
        <w:rPr>
          <w:rFonts w:eastAsiaTheme="majorEastAsia" w:cstheme="majorBidi"/>
          <w:color w:val="000000" w:themeColor="text1"/>
          <w:szCs w:val="28"/>
        </w:rPr>
        <w:t xml:space="preserve"> for all participants.</w:t>
      </w:r>
      <w:r w:rsidR="00D6230D">
        <w:rPr>
          <w:rFonts w:eastAsiaTheme="majorEastAsia" w:cstheme="majorBidi"/>
          <w:color w:val="000000" w:themeColor="text1"/>
          <w:szCs w:val="28"/>
        </w:rPr>
        <w:t xml:space="preserve"> </w:t>
      </w:r>
      <w:r w:rsidR="00D6230D" w:rsidRPr="00D6230D">
        <w:rPr>
          <w:rFonts w:eastAsiaTheme="majorEastAsia" w:cstheme="majorBidi"/>
          <w:color w:val="000000" w:themeColor="text1"/>
          <w:szCs w:val="28"/>
          <w:lang w:val="en-CA"/>
        </w:rPr>
        <w:t xml:space="preserve">Feeds will then be performed </w:t>
      </w:r>
      <w:r w:rsidR="00062CFA">
        <w:rPr>
          <w:rFonts w:eastAsiaTheme="majorEastAsia" w:cstheme="majorBidi"/>
          <w:color w:val="000000" w:themeColor="text1"/>
          <w:szCs w:val="28"/>
          <w:lang w:val="en-CA"/>
        </w:rPr>
        <w:t xml:space="preserve">at </w:t>
      </w:r>
      <w:r w:rsidR="00D6230D" w:rsidRPr="00D6230D">
        <w:rPr>
          <w:rFonts w:eastAsiaTheme="majorEastAsia" w:cstheme="majorBidi"/>
          <w:color w:val="000000" w:themeColor="text1"/>
          <w:szCs w:val="28"/>
          <w:lang w:val="en-CA"/>
        </w:rPr>
        <w:t>day 21 for any individuals infectious at day 7 or 14; and at day 28 for any individuals infectious at day 14 or 21.</w:t>
      </w:r>
      <w:r w:rsidRPr="00B81457">
        <w:rPr>
          <w:rFonts w:eastAsiaTheme="majorEastAsia" w:cstheme="majorBidi"/>
          <w:color w:val="000000" w:themeColor="text1"/>
          <w:szCs w:val="28"/>
        </w:rPr>
        <w:t xml:space="preserve"> Magnetic-activated cell sorting (MACS) to enrich for gametocytes will be done at </w:t>
      </w:r>
      <w:r w:rsidR="00C94B4B">
        <w:rPr>
          <w:rFonts w:eastAsiaTheme="majorEastAsia" w:cstheme="majorBidi"/>
          <w:color w:val="000000" w:themeColor="text1"/>
          <w:szCs w:val="28"/>
        </w:rPr>
        <w:t xml:space="preserve">two </w:t>
      </w:r>
      <w:r w:rsidRPr="00B81457">
        <w:rPr>
          <w:rFonts w:eastAsiaTheme="majorEastAsia" w:cstheme="majorBidi"/>
          <w:color w:val="000000" w:themeColor="text1"/>
          <w:szCs w:val="28"/>
        </w:rPr>
        <w:t>timepoints per individual, followed by MFA.</w:t>
      </w:r>
    </w:p>
    <w:p w14:paraId="0C861B7B" w14:textId="41BDB591" w:rsidR="00164E47" w:rsidRPr="00164E47" w:rsidRDefault="00B81457" w:rsidP="00164E47">
      <w:pPr>
        <w:jc w:val="both"/>
        <w:rPr>
          <w:rFonts w:eastAsiaTheme="majorEastAsia" w:cstheme="majorBidi"/>
          <w:color w:val="000000" w:themeColor="text1"/>
          <w:szCs w:val="28"/>
        </w:rPr>
      </w:pPr>
      <w:r w:rsidRPr="00B81457">
        <w:rPr>
          <w:rFonts w:eastAsiaTheme="majorEastAsia" w:cstheme="majorBidi"/>
          <w:color w:val="000000" w:themeColor="text1"/>
          <w:szCs w:val="28"/>
        </w:rPr>
        <w:t xml:space="preserve">In addition to this passive monitoring, participants will be prompted to contact the study coordinators if they feel sick at any point during follow up. A full clinical examination will be </w:t>
      </w:r>
      <w:r w:rsidR="00AC68E8" w:rsidRPr="00B81457">
        <w:rPr>
          <w:rFonts w:eastAsiaTheme="majorEastAsia" w:cstheme="majorBidi"/>
          <w:color w:val="000000" w:themeColor="text1"/>
          <w:szCs w:val="28"/>
        </w:rPr>
        <w:t>performed,</w:t>
      </w:r>
      <w:r w:rsidRPr="00B81457">
        <w:rPr>
          <w:rFonts w:eastAsiaTheme="majorEastAsia" w:cstheme="majorBidi"/>
          <w:color w:val="000000" w:themeColor="text1"/>
          <w:szCs w:val="28"/>
        </w:rPr>
        <w:t xml:space="preserve"> and treatment will be provided according to national treatment guidelines.</w:t>
      </w:r>
    </w:p>
    <w:p w14:paraId="59379663" w14:textId="5FE0DBC7" w:rsidR="00DA2D22" w:rsidRDefault="008E48CA">
      <w:pPr>
        <w:pStyle w:val="Heading2"/>
      </w:pPr>
      <w:bookmarkStart w:id="129" w:name="_Toc100231692"/>
      <w:bookmarkStart w:id="130" w:name="_Toc100231824"/>
      <w:bookmarkStart w:id="131" w:name="_Toc100231931"/>
      <w:bookmarkStart w:id="132" w:name="_Toc100232054"/>
      <w:bookmarkStart w:id="133" w:name="_Toc100306366"/>
      <w:bookmarkStart w:id="134" w:name="_Toc100324444"/>
      <w:bookmarkStart w:id="135" w:name="_Toc101204961"/>
      <w:bookmarkStart w:id="136" w:name="_Toc101205080"/>
      <w:bookmarkStart w:id="137" w:name="_Toc101205227"/>
      <w:bookmarkStart w:id="138" w:name="_Toc102984943"/>
      <w:bookmarkStart w:id="139" w:name="_Toc102985794"/>
      <w:bookmarkStart w:id="140" w:name="_Toc104981627"/>
      <w:bookmarkStart w:id="141" w:name="_Toc106288872"/>
      <w:r w:rsidRPr="009D4224">
        <w:t>Study site</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23AA3A1B" w14:textId="395601F0" w:rsidR="00DA2D22" w:rsidRPr="00DE5C91" w:rsidRDefault="00DA2D22" w:rsidP="002A4443">
      <w:pPr>
        <w:jc w:val="both"/>
        <w:rPr>
          <w:rFonts w:cs="Arial"/>
          <w:szCs w:val="22"/>
        </w:rPr>
      </w:pPr>
      <w:r w:rsidRPr="00DE5C91">
        <w:rPr>
          <w:rFonts w:cs="Arial"/>
          <w:szCs w:val="22"/>
        </w:rPr>
        <w:t xml:space="preserve">The Malaria Research and Training Centre (MRTC) in Bamako, Mali will use the field site of </w:t>
      </w:r>
      <w:proofErr w:type="spellStart"/>
      <w:r w:rsidRPr="00DE5C91">
        <w:rPr>
          <w:rFonts w:cs="Arial"/>
          <w:szCs w:val="22"/>
        </w:rPr>
        <w:t>Ouelessebougou</w:t>
      </w:r>
      <w:proofErr w:type="spellEnd"/>
      <w:r w:rsidRPr="00DE5C91">
        <w:rPr>
          <w:rFonts w:cs="Arial"/>
          <w:szCs w:val="22"/>
        </w:rPr>
        <w:t xml:space="preserve"> for recruitment. The MRTC has the unique position of being one of very few sites in Africa that can study malaria transmission endpoints. Since 2013 the MRTC successfully carried out similar trials at this site with great success, </w:t>
      </w:r>
      <w:r w:rsidR="00B06021">
        <w:rPr>
          <w:rFonts w:cs="Arial"/>
          <w:szCs w:val="22"/>
        </w:rPr>
        <w:t xml:space="preserve">in collaboration with </w:t>
      </w:r>
      <w:r w:rsidRPr="00DE5C91">
        <w:rPr>
          <w:rFonts w:cs="Arial"/>
          <w:szCs w:val="22"/>
        </w:rPr>
        <w:t xml:space="preserve">the University of California San Francisco, the London School of Hygiene and Tropical Medicine and the Radboud University </w:t>
      </w:r>
      <w:r w:rsidR="00B06021">
        <w:rPr>
          <w:rFonts w:cs="Arial"/>
          <w:szCs w:val="22"/>
        </w:rPr>
        <w:t xml:space="preserve">Medical </w:t>
      </w:r>
      <w:proofErr w:type="spellStart"/>
      <w:r w:rsidR="00B06021">
        <w:rPr>
          <w:rFonts w:cs="Arial"/>
          <w:szCs w:val="22"/>
        </w:rPr>
        <w:t>Center</w:t>
      </w:r>
      <w:proofErr w:type="spellEnd"/>
      <w:r w:rsidRPr="00DE5C91">
        <w:rPr>
          <w:rFonts w:cs="Arial"/>
          <w:szCs w:val="22"/>
        </w:rPr>
        <w:t xml:space="preserve">, </w:t>
      </w:r>
      <w:r w:rsidR="00B06021">
        <w:rPr>
          <w:rFonts w:cs="Arial"/>
          <w:szCs w:val="22"/>
        </w:rPr>
        <w:t xml:space="preserve">Nijmegen, </w:t>
      </w:r>
      <w:r w:rsidRPr="00DE5C91">
        <w:rPr>
          <w:rFonts w:cs="Arial"/>
          <w:szCs w:val="22"/>
        </w:rPr>
        <w:t xml:space="preserve">the Netherlands. In the 2013-2014 study, the MRTC demonstrated the efficacy of SLD PQ of doses of 0.125mg/kg or greater in combination with </w:t>
      </w:r>
      <w:proofErr w:type="spellStart"/>
      <w:r w:rsidRPr="00DE5C91">
        <w:rPr>
          <w:rFonts w:cs="Arial"/>
          <w:szCs w:val="22"/>
        </w:rPr>
        <w:t>dihydroartemisinin</w:t>
      </w:r>
      <w:proofErr w:type="spellEnd"/>
      <w:r w:rsidRPr="00DE5C91">
        <w:rPr>
          <w:rFonts w:cs="Arial"/>
          <w:szCs w:val="22"/>
        </w:rPr>
        <w:t xml:space="preserve">-piperaquine for blocking P. falciparum transmission safely in G6PD normal Malian males from the age of </w:t>
      </w:r>
      <w:r w:rsidR="007E0E80">
        <w:rPr>
          <w:rFonts w:cs="Arial"/>
          <w:szCs w:val="22"/>
        </w:rPr>
        <w:t>10</w:t>
      </w:r>
      <w:r w:rsidRPr="00DE5C91">
        <w:rPr>
          <w:rFonts w:cs="Arial"/>
          <w:szCs w:val="22"/>
        </w:rPr>
        <w:t>-50 years</w:t>
      </w:r>
      <w:r w:rsidR="002B0717">
        <w:rPr>
          <w:rFonts w:cs="Arial"/>
          <w:szCs w:val="22"/>
        </w:rPr>
        <w:t xml:space="preserve"> </w:t>
      </w:r>
      <w:r w:rsidR="002B0717">
        <w:rPr>
          <w:rFonts w:cs="Arial"/>
          <w:szCs w:val="22"/>
        </w:rPr>
        <w:fldChar w:fldCharType="begin"/>
      </w:r>
      <w:r w:rsidR="00FB2554">
        <w:rPr>
          <w:rFonts w:cs="Arial"/>
          <w:szCs w:val="22"/>
        </w:rPr>
        <w:instrText xml:space="preserve"> ADDIN ZOTERO_ITEM CSL_CITATION {"citationID":"iAbDWEf9","properties":{"formattedCitation":"[8]","plainCitation":"[8]","noteIndex":0},"citationItems":[{"id":148,"uris":["http://zotero.org/users/7806423/items/JRKRIFND"],"itemData":{"id":148,"type":"article-journal","abstract":"BACKGROUND: Single low doses of primaquine, when added to artemisinin-based combination therapy, might prevent transmission of Plasmodium falciparum malaria to mosquitoes. We aimed to establish the activity and safety of four low doses of primaquine combined with dihydroartemisinin-piperaquine in male patients in Mali.\nMETHODS: In this phase 2, single-blind, dose-ranging, adaptive randomised trial, we enrolled boys and men with uncomplicated P falciparum malaria at the Malaria Research and Training Centre (MRTC) field site in Ouelessebougou, Mali. All participants were confirmed positive carriers of gametocytes through microscopy and had normal function of glucose-6-phosphate dehydrogenase (G6PD) on colorimetric quantification. In the first phase, participants were randomly assigned (1:1:1) to one of three primaquine doses: 0 mg/kg (control), 0·125 mg/kg, and 0·5 mg/kg. Randomisation was done with a computer-generated randomisation list (in block sizes of six) and concealed with sealed, opaque envelopes. In the second phase, different participants were sequentially assigned (1:1) to 0·25 mg/kg primaquine or 0·0625 mg/kg primaquine. Primaquine tablets were dissolved into a solution and administered orally in a single dose. Participants were also given a 3 day course of dihydroartemisinin-piperaquine, administered by weight (320 mg dihydroartemisinin and 40 mg piperaquine per tablet). Outcome assessors were masked to treatment allocation, but participants were permitted to find out group assignment. Infectivity was assessed through membrane-feeding assays, which were optimised through the beginning part of phase one. The primary efficacy endpoint was the mean within-person percentage change in mosquito infectivity 2 days after primaquine treatment in participants who completed the study after optimisation of the infectivity assay, had both a pre-treatment infectivity measurement and at least one follow-up infectivity measurement, and who were given the correct primaquine dose. The safety endpoint was the mean within-person change in haemoglobin concentration during 28 days of study follow-up in participants with at least one follow-up visit. This study is registered with ClinicalTrials.gov, number NCT01743820.\nFINDINGS: Between Jan 2, 2013, and Nov 27, 2014, we enrolled 81 participants. In the primary analysis sample (n=71), participants in the 0·25 mg/kg primaquine dose group (n=15) and 0·5 mg/kg primaquine dose group (n=14) had significantly lower mean within-person reductions in infectivity at day 2-92·6% (95% CI 78·3-100; p=0·0014) for the 0·25 mg/kg group; and 75·0% (45·7-100; p=0·014) for the 0·5 mg/kg primaquine group-compared with those in the control group (n=14; 11·3% [-27·4 to 50·0]). Reductions were not significantly different from control for participants assigned to the 0·0625 mg/kg dose group (n=16; 41·9% [1·4-82·5]; p=0·16) and the 0·125 mg/kg dose group (n=12; 54·9% [13·4-96·3]; p=0·096). No clinically meaningful or statistically significant drops in haemoglobin were recorded in any individual in the haemoglobin analysis (n=70) during follow-up. No serious adverse events were reported and adverse events did not differ between treatment groups.\nINTERPRETATION: A single dose of 0·25 mg/kg primaquine, given alongside dihydroartemisinin-piperaquine, was safe and efficacious for the prevention of P falciparum malaria transmission in boys and men who are not deficient in G6PD. Future studies should assess the safety of single-dose primaquine in G6PD-deficient individuals to define the therapeutic range of primaquine to enable the safe roll-out of community interventions with primaquine.\nFUNDING: Bill &amp; Melinda Gates Foundation.","container-title":"The Lancet. Infectious Diseases","DOI":"10.1016/S1473-3099(15)00479-X","ISSN":"1474-4457","issue":"6","journalAbbreviation":"Lancet Infect Dis","language":"eng","note":"PMID: 26906747","page":"674-684","source":"PubMed","title":"Primaquine to reduce transmission of Plasmodium falciparum malaria in Mali: a single-blind, dose-ranging, adaptive randomised phase 2 trial","title-short":"Primaquine to reduce transmission of Plasmodium falciparum malaria in Mali","volume":"16","author":[{"family":"Dicko","given":"Alassane"},{"family":"Brown","given":"Joelle M."},{"family":"Diawara","given":"Halimatou"},{"family":"Baber","given":"Ibrahima"},{"family":"Mahamar","given":"Almahamoudou"},{"family":"Soumare","given":"Harouna M."},{"family":"Sanogo","given":"Koualy"},{"family":"Koita","given":"Fanta"},{"family":"Keita","given":"Sekouba"},{"family":"Traore","given":"Sekou F."},{"family":"Chen","given":"Ingrid"},{"family":"Poirot","given":"Eugenie"},{"family":"Hwang","given":"Jimee"},{"family":"McCulloch","given":"Charles"},{"family":"Lanke","given":"Kjerstin"},{"family":"Pett","given":"Helmi"},{"family":"Niemi","given":"Mikko"},{"family":"Nosten","given":"François"},{"family":"Bousema","given":"Teun"},{"family":"Gosling","given":"Roly"}],"issued":{"date-parts":[["2016",6]]}}}],"schema":"https://github.com/citation-style-language/schema/raw/master/csl-citation.json"} </w:instrText>
      </w:r>
      <w:r w:rsidR="002B0717">
        <w:rPr>
          <w:rFonts w:cs="Arial"/>
          <w:szCs w:val="22"/>
        </w:rPr>
        <w:fldChar w:fldCharType="separate"/>
      </w:r>
      <w:r w:rsidR="00FB2554">
        <w:rPr>
          <w:rFonts w:cs="Arial"/>
          <w:noProof/>
          <w:szCs w:val="22"/>
        </w:rPr>
        <w:t>[8]</w:t>
      </w:r>
      <w:r w:rsidR="002B0717">
        <w:rPr>
          <w:rFonts w:cs="Arial"/>
          <w:szCs w:val="22"/>
        </w:rPr>
        <w:fldChar w:fldCharType="end"/>
      </w:r>
      <w:r w:rsidR="002B0717">
        <w:rPr>
          <w:rFonts w:cs="Arial"/>
          <w:szCs w:val="22"/>
        </w:rPr>
        <w:t>.</w:t>
      </w:r>
      <w:r w:rsidRPr="00DE5C91">
        <w:rPr>
          <w:rFonts w:cs="Arial"/>
          <w:szCs w:val="22"/>
        </w:rPr>
        <w:t xml:space="preserve"> MRTC has already established all the assays required for the study described in this protocol. </w:t>
      </w:r>
    </w:p>
    <w:p w14:paraId="764433B8" w14:textId="4084CD1D" w:rsidR="00164E47" w:rsidRPr="00DE5C91" w:rsidRDefault="00DA2D22" w:rsidP="00B91D68">
      <w:pPr>
        <w:jc w:val="both"/>
        <w:rPr>
          <w:rFonts w:cs="Arial"/>
          <w:szCs w:val="22"/>
        </w:rPr>
      </w:pPr>
      <w:r w:rsidRPr="00DE5C91">
        <w:rPr>
          <w:rFonts w:cs="Arial"/>
          <w:szCs w:val="22"/>
        </w:rPr>
        <w:lastRenderedPageBreak/>
        <w:t xml:space="preserve">The MRTC is experienced in conducting Good Clinical Practice (GCP) compliant clinical trials including phase 1, 2, 3 and 4 of malaria vaccine and drug studies. </w:t>
      </w:r>
      <w:proofErr w:type="spellStart"/>
      <w:r w:rsidRPr="00DE5C91">
        <w:rPr>
          <w:rFonts w:cs="Arial"/>
          <w:szCs w:val="22"/>
        </w:rPr>
        <w:t>Ouelessebougou</w:t>
      </w:r>
      <w:proofErr w:type="spellEnd"/>
      <w:r w:rsidRPr="00DE5C91">
        <w:rPr>
          <w:rFonts w:cs="Arial"/>
          <w:szCs w:val="22"/>
        </w:rPr>
        <w:t xml:space="preserve"> village has been conducting ongoing clinical research since 2008 and is endemic for malaria with marked seasonality and a high burden of malaria in both children and adult populations. In recent years the prevalence of </w:t>
      </w:r>
      <w:r w:rsidRPr="002B0717">
        <w:rPr>
          <w:rFonts w:cs="Arial"/>
          <w:i/>
          <w:iCs/>
          <w:szCs w:val="22"/>
        </w:rPr>
        <w:t>P. falciparum</w:t>
      </w:r>
      <w:r w:rsidRPr="00DE5C91">
        <w:rPr>
          <w:rFonts w:cs="Arial"/>
          <w:szCs w:val="22"/>
        </w:rPr>
        <w:t xml:space="preserve"> malaria in children under 5 years of age has ranged between 14% and 54% during the transmission season. The frequency of G6PD deficiency is in the range of 10 to 15%.</w:t>
      </w:r>
    </w:p>
    <w:p w14:paraId="61E21061" w14:textId="417A3C47" w:rsidR="00D511CD" w:rsidRDefault="008E48CA">
      <w:pPr>
        <w:pStyle w:val="Heading2"/>
      </w:pPr>
      <w:bookmarkStart w:id="142" w:name="_Toc100231693"/>
      <w:bookmarkStart w:id="143" w:name="_Toc100231825"/>
      <w:bookmarkStart w:id="144" w:name="_Toc100231932"/>
      <w:bookmarkStart w:id="145" w:name="_Toc100232055"/>
      <w:bookmarkStart w:id="146" w:name="_Toc100306367"/>
      <w:bookmarkStart w:id="147" w:name="_Toc100324445"/>
      <w:bookmarkStart w:id="148" w:name="_Toc101204962"/>
      <w:bookmarkStart w:id="149" w:name="_Toc101205081"/>
      <w:bookmarkStart w:id="150" w:name="_Toc101205228"/>
      <w:bookmarkStart w:id="151" w:name="_Toc102984944"/>
      <w:bookmarkStart w:id="152" w:name="_Toc102985795"/>
      <w:bookmarkStart w:id="153" w:name="_Toc104981628"/>
      <w:bookmarkStart w:id="154" w:name="_Toc106288873"/>
      <w:r w:rsidRPr="007112DC">
        <w:t>Study population</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1B4BF0E1" w14:textId="77777777" w:rsidR="002958A6" w:rsidRPr="002958A6" w:rsidRDefault="002958A6" w:rsidP="002B0717">
      <w:pPr>
        <w:jc w:val="both"/>
      </w:pPr>
      <w:r w:rsidRPr="002958A6">
        <w:t xml:space="preserve">The study population will be derived from individuals aged 10-50 years with asymptomatic </w:t>
      </w:r>
      <w:r w:rsidRPr="002958A6">
        <w:rPr>
          <w:i/>
        </w:rPr>
        <w:t>P. falciparum</w:t>
      </w:r>
      <w:r w:rsidRPr="002958A6">
        <w:t xml:space="preserve"> malaria infection who agree to be screened for malaria infection.</w:t>
      </w:r>
    </w:p>
    <w:p w14:paraId="77371CCF" w14:textId="0052B483" w:rsidR="00164E47" w:rsidRPr="002958A6" w:rsidRDefault="002958A6" w:rsidP="00B91D68">
      <w:pPr>
        <w:jc w:val="both"/>
      </w:pPr>
      <w:r w:rsidRPr="002958A6">
        <w:t xml:space="preserve">For the randomised trial, we will aim to recruit </w:t>
      </w:r>
      <w:r w:rsidR="00D6230D">
        <w:t>10</w:t>
      </w:r>
      <w:r w:rsidR="00721A19">
        <w:t>0</w:t>
      </w:r>
      <w:r w:rsidR="00721A19" w:rsidRPr="002958A6">
        <w:t xml:space="preserve"> </w:t>
      </w:r>
      <w:r w:rsidRPr="002958A6">
        <w:t xml:space="preserve">individuals. Eligible individuals will have microscopically detectable </w:t>
      </w:r>
      <w:r w:rsidRPr="002958A6">
        <w:rPr>
          <w:i/>
        </w:rPr>
        <w:t>P. falciparum</w:t>
      </w:r>
      <w:r w:rsidRPr="002958A6">
        <w:t xml:space="preserve"> gametocyte densities of ≥16 gametocytes/µL.  </w:t>
      </w:r>
    </w:p>
    <w:p w14:paraId="76A4835D" w14:textId="04B6B6A0" w:rsidR="006402B7" w:rsidRPr="006402B7" w:rsidRDefault="006402B7">
      <w:pPr>
        <w:pStyle w:val="Heading2"/>
      </w:pPr>
      <w:bookmarkStart w:id="155" w:name="_Toc100231694"/>
      <w:bookmarkStart w:id="156" w:name="_Toc100231826"/>
      <w:bookmarkStart w:id="157" w:name="_Toc100231933"/>
      <w:bookmarkStart w:id="158" w:name="_Toc100232056"/>
      <w:bookmarkStart w:id="159" w:name="_Toc100306368"/>
      <w:bookmarkStart w:id="160" w:name="_Toc100324446"/>
      <w:bookmarkStart w:id="161" w:name="_Toc101204963"/>
      <w:bookmarkStart w:id="162" w:name="_Toc101205082"/>
      <w:bookmarkStart w:id="163" w:name="_Toc101205229"/>
      <w:bookmarkStart w:id="164" w:name="_Toc102984945"/>
      <w:bookmarkStart w:id="165" w:name="_Toc102985796"/>
      <w:bookmarkStart w:id="166" w:name="_Toc104981629"/>
      <w:bookmarkStart w:id="167" w:name="_Toc106288874"/>
      <w:r>
        <w:t>Intervention</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1D96BEA5" w14:textId="53334A8E" w:rsidR="00164E47" w:rsidRPr="009C027D" w:rsidRDefault="009C027D" w:rsidP="00B91D68">
      <w:pPr>
        <w:jc w:val="both"/>
      </w:pPr>
      <w:r w:rsidRPr="009C027D">
        <w:t xml:space="preserve">Individuals who meet the inclusion criteria in the current study will be randomised in a </w:t>
      </w:r>
      <w:proofErr w:type="gramStart"/>
      <w:r w:rsidR="00D6230D">
        <w:t>1</w:t>
      </w:r>
      <w:r w:rsidRPr="009C027D">
        <w:t>:</w:t>
      </w:r>
      <w:r w:rsidR="00D6230D">
        <w:t>1</w:t>
      </w:r>
      <w:r w:rsidRPr="009C027D">
        <w:t>:</w:t>
      </w:r>
      <w:r w:rsidR="00D6230D">
        <w:t>1</w:t>
      </w:r>
      <w:r w:rsidRPr="009C027D">
        <w:t>:</w:t>
      </w:r>
      <w:r w:rsidR="00D6230D">
        <w:t>1</w:t>
      </w:r>
      <w:r>
        <w:t>:</w:t>
      </w:r>
      <w:r w:rsidRPr="009C027D">
        <w:t>1</w:t>
      </w:r>
      <w:proofErr w:type="gramEnd"/>
      <w:r w:rsidRPr="009C027D">
        <w:t xml:space="preserve"> ratio into </w:t>
      </w:r>
      <w:r>
        <w:t>five</w:t>
      </w:r>
      <w:r w:rsidRPr="009C027D">
        <w:t xml:space="preserve"> groups (arms); </w:t>
      </w:r>
      <w:r w:rsidRPr="002958A6">
        <w:rPr>
          <w:rFonts w:eastAsiaTheme="majorEastAsia" w:cstheme="majorBidi"/>
          <w:color w:val="000000" w:themeColor="text1"/>
        </w:rPr>
        <w:t>A</w:t>
      </w:r>
      <w:r>
        <w:rPr>
          <w:rFonts w:eastAsiaTheme="majorEastAsia" w:cstheme="majorBidi"/>
          <w:color w:val="000000" w:themeColor="text1"/>
        </w:rPr>
        <w:t>SAQ</w:t>
      </w:r>
      <w:r w:rsidRPr="002958A6">
        <w:rPr>
          <w:rFonts w:eastAsiaTheme="majorEastAsia" w:cstheme="majorBidi"/>
          <w:color w:val="000000" w:themeColor="text1"/>
        </w:rPr>
        <w:t xml:space="preserve">, </w:t>
      </w:r>
      <w:r>
        <w:rPr>
          <w:rFonts w:eastAsiaTheme="majorEastAsia" w:cstheme="majorBidi"/>
          <w:color w:val="000000" w:themeColor="text1"/>
        </w:rPr>
        <w:t>ASAQ</w:t>
      </w:r>
      <w:r w:rsidRPr="002958A6">
        <w:rPr>
          <w:rFonts w:eastAsiaTheme="majorEastAsia" w:cstheme="majorBidi"/>
          <w:color w:val="000000" w:themeColor="text1"/>
        </w:rPr>
        <w:t>-PQ (0.25</w:t>
      </w:r>
      <w:r w:rsidR="00D6230D">
        <w:rPr>
          <w:rFonts w:eastAsiaTheme="majorEastAsia" w:cstheme="majorBidi"/>
          <w:color w:val="000000" w:themeColor="text1"/>
        </w:rPr>
        <w:t xml:space="preserve"> </w:t>
      </w:r>
      <w:r w:rsidRPr="002958A6">
        <w:rPr>
          <w:rFonts w:eastAsiaTheme="majorEastAsia" w:cstheme="majorBidi"/>
          <w:color w:val="000000" w:themeColor="text1"/>
        </w:rPr>
        <w:t xml:space="preserve">mg/kg), </w:t>
      </w:r>
      <w:r>
        <w:rPr>
          <w:rFonts w:eastAsiaTheme="majorEastAsia" w:cstheme="majorBidi"/>
          <w:color w:val="000000" w:themeColor="text1"/>
        </w:rPr>
        <w:t>AL</w:t>
      </w:r>
      <w:r w:rsidRPr="002958A6">
        <w:rPr>
          <w:rFonts w:eastAsiaTheme="majorEastAsia" w:cstheme="majorBidi"/>
          <w:color w:val="000000" w:themeColor="text1"/>
        </w:rPr>
        <w:t xml:space="preserve">, </w:t>
      </w:r>
      <w:r>
        <w:rPr>
          <w:rFonts w:eastAsiaTheme="majorEastAsia" w:cstheme="majorBidi"/>
          <w:color w:val="000000" w:themeColor="text1"/>
        </w:rPr>
        <w:t>ALAQ</w:t>
      </w:r>
      <w:r>
        <w:t xml:space="preserve">, </w:t>
      </w:r>
      <w:r w:rsidR="00D6230D">
        <w:rPr>
          <w:rFonts w:eastAsiaTheme="majorEastAsia" w:cstheme="majorBidi"/>
          <w:color w:val="000000" w:themeColor="text1"/>
        </w:rPr>
        <w:t>ALAQ-PQ (0.25 mg/kg)</w:t>
      </w:r>
      <w:r w:rsidRPr="009C027D">
        <w:t>. Randomisation will be performed by the study pharmacist. All staff other than the study pharmacist and clinician will be blinded to the treatment allocation. Participants will be told prior to enrolment that they can ask at any time which treatment arm they are in</w:t>
      </w:r>
      <w:r>
        <w:t xml:space="preserve">. </w:t>
      </w:r>
      <w:r w:rsidRPr="009C027D">
        <w:t>The clinician or pharmacist will discuss this with them.</w:t>
      </w:r>
    </w:p>
    <w:p w14:paraId="65598D28" w14:textId="55169D4A" w:rsidR="009C027D" w:rsidRDefault="009C027D">
      <w:pPr>
        <w:pStyle w:val="Heading2"/>
      </w:pPr>
      <w:bookmarkStart w:id="168" w:name="_Toc100306369"/>
      <w:bookmarkStart w:id="169" w:name="_Toc100324447"/>
      <w:bookmarkStart w:id="170" w:name="_Toc101204964"/>
      <w:bookmarkStart w:id="171" w:name="_Toc101205083"/>
      <w:bookmarkStart w:id="172" w:name="_Toc101205230"/>
      <w:bookmarkStart w:id="173" w:name="_Toc102984946"/>
      <w:bookmarkStart w:id="174" w:name="_Toc102985797"/>
      <w:bookmarkStart w:id="175" w:name="_Toc104981630"/>
      <w:bookmarkStart w:id="176" w:name="_Toc106288875"/>
      <w:r w:rsidRPr="00DE5C91">
        <w:t>Sample size calculation</w:t>
      </w:r>
      <w:bookmarkEnd w:id="168"/>
      <w:bookmarkEnd w:id="169"/>
      <w:bookmarkEnd w:id="170"/>
      <w:bookmarkEnd w:id="171"/>
      <w:bookmarkEnd w:id="172"/>
      <w:bookmarkEnd w:id="173"/>
      <w:bookmarkEnd w:id="174"/>
      <w:bookmarkEnd w:id="175"/>
      <w:bookmarkEnd w:id="176"/>
    </w:p>
    <w:p w14:paraId="430D64EC" w14:textId="742AFC65" w:rsidR="00591333" w:rsidRPr="00B91D68" w:rsidRDefault="00591333" w:rsidP="00B91D68">
      <w:pPr>
        <w:jc w:val="both"/>
        <w:rPr>
          <w:lang w:val="en-US"/>
        </w:rPr>
      </w:pPr>
      <w:r w:rsidRPr="009B79D7">
        <w:rPr>
          <w:lang w:val="en-US"/>
        </w:rPr>
        <w:t>For sample size considerations, we estimated the infectivity for participants in previous trials in the same study setting</w:t>
      </w:r>
      <w:r w:rsidR="00DA55BC">
        <w:rPr>
          <w:lang w:val="en-US"/>
        </w:rPr>
        <w:t xml:space="preserve"> </w:t>
      </w:r>
      <w:r w:rsidR="00DA55BC">
        <w:rPr>
          <w:lang w:val="en-US"/>
        </w:rPr>
        <w:fldChar w:fldCharType="begin"/>
      </w:r>
      <w:r w:rsidR="00FB2554">
        <w:rPr>
          <w:lang w:val="en-US"/>
        </w:rPr>
        <w:instrText xml:space="preserve"> ADDIN ZOTERO_ITEM CSL_CITATION {"citationID":"G04XHtnv","properties":{"formattedCitation":"[3], [4], [8], [23]","plainCitation":"[3], [4], [8], [23]","noteIndex":0},"citationItems":[{"id":737,"uris":["http://zotero.org/users/7806423/items/XW32ELGQ"],"itemData":{"id":737,"type":"article-journal","abstract":"Background Pyronaridine–artesunate is the most recently licensed artemisinin-based combination therapy. WHO has recommended that a single low dose of primaquine could be added to artemisinin-based combination therapies to reduce Plasmodium falciparum transmission in areas aiming for elimination of malaria or areas facing artemisinin resistance. We aimed to determine the efficacy of pyronaridine–artesunate and dihydroartemisinin–piperaquine with and without single low-dose primaquine for reducing gametocyte density and transmission to mosquitoes.","container-title":"The Lancet Microbe","DOI":"10.1016/S2666-5247(21)00192-0","ISSN":"26665247","issue":"1","journalAbbreviation":"The Lancet Microbe","language":"en","page":"e41-e51","source":"DOI.org (Crossref)","title":"Pyronaridine–artesunate or dihydroartemisinin–piperaquine combined with single low-dose primaquine to prevent Plasmodium falciparum malaria transmission in Ouélessébougou, Mali: a four-arm, single-blind, phase 2/3, randomised trial","title-short":"Pyronaridine–artesunate or dihydroartemisinin–piperaquine combined with single low-dose primaquine to prevent Plasmodium falciparum malaria transmission in Ouélessébougou, Mali","volume":"3","author":[{"family":"Stone","given":"William"},{"family":"Mahamar","given":"Almahamoudou"},{"family":"Sanogo","given":"Koualy"},{"family":"Sinaba","given":"Youssouf"},{"family":"Niambele","given":"Sidi M"},{"family":"Sacko","given":"Adama"},{"family":"Keita","given":"Sekouba"},{"family":"Youssouf","given":"Ahamadou"},{"family":"Diallo","given":"Makonon"},{"family":"Soumare","given":"Harouna M"},{"family":"Kaur","given":"Harparkash"},{"family":"Lanke","given":"Kjerstin"},{"family":"Heine","given":"Rob","non-dropping-particle":"ter"},{"family":"Bradley","given":"John"},{"family":"Issiaka","given":"Djibrilla"},{"family":"Diawara","given":"Halimatou"},{"family":"Traore","given":"Sekou F"},{"family":"Bousema","given":"Teun"},{"family":"Drakeley","given":"Chris"},{"family":"Dicko","given":"Alassane"}],"issued":{"date-parts":[["2022",1]]}}},{"id":1266,"uris":["http://zotero.org/users/7806423/items/4UVL37JW"],"itemData":{"id":1266,"type":"article-journal","abstract":"Background Tafenoquine was recently approved as a prophylaxis and radical cure for Plasmodium vivax infection, but its Plasmodium falciparum transmission-blocking efficacy is unclear. We aimed to establish the efficacy and safety of three single low doses of tafenoquine in combination with dihydroartemisinin–piperaquine for reducing gametocyte density and transmission to mosquitoes.","container-title":"The Lancet Microbe","DOI":"10.1016/S2666-5247(21)00356-6","ISSN":"26665247","issue":"5","journalAbbreviation":"The Lancet Microbe","language":"en","page":"e336-e347","source":"DOI.org (Crossref)","title":"Single low-dose tafenoquine combined with dihydroartemisinin–piperaquine to reduce Plasmodium falciparum transmission in Ouelessebougou, Mali: a phase 2, single-blind, randomised clinical trial","title-short":"Single low-dose tafenoquine combined with dihydroartemisinin–piperaquine to reduce Plasmodium falciparum transmission in Ouelessebougou, Mali","volume":"3","author":[{"family":"Stone","given":"Will"},{"family":"Mahamar","given":"Almahamoudou"},{"family":"Smit","given":"Merel J"},{"family":"Sanogo","given":"Koualy"},{"family":"Sinaba","given":"Youssouf"},{"family":"Niambele","given":"Sidi M"},{"family":"Sacko","given":"Adama"},{"family":"Keita","given":"Sekouba"},{"family":"Dicko","given":"Oumar M"},{"family":"Diallo","given":"Makonon"},{"family":"Maguiraga","given":"Seydina O"},{"family":"Samake","given":"Siaka"},{"family":"Attaher","given":"Oumar"},{"family":"Lanke","given":"Kjerstin"},{"family":"Heine","given":"Rob","non-dropping-particle":"ter"},{"family":"Bradley","given":"John"},{"family":"McCall","given":"Matthew B B"},{"family":"Issiaka","given":"Djibrilla"},{"family":"Traore","given":"Sekou F"},{"family":"Bousema","given":"Teun"},{"family":"Drakeley","given":"Chris"},{"family":"Dicko","given":"Alassane"}],"issued":{"date-parts":[["2022",5]]}}},{"id":148,"uris":["http://zotero.org/users/7806423/items/JRKRIFND"],"itemData":{"id":148,"type":"article-journal","abstract":"BACKGROUND: Single low doses of primaquine, when added to artemisinin-based combination therapy, might prevent transmission of Plasmodium falciparum malaria to mosquitoes. We aimed to establish the activity and safety of four low doses of primaquine combined with dihydroartemisinin-piperaquine in male patients in Mali.\nMETHODS: In this phase 2, single-blind, dose-ranging, adaptive randomised trial, we enrolled boys and men with uncomplicated P falciparum malaria at the Malaria Research and Training Centre (MRTC) field site in Ouelessebougou, Mali. All participants were confirmed positive carriers of gametocytes through microscopy and had normal function of glucose-6-phosphate dehydrogenase (G6PD) on colorimetric quantification. In the first phase, participants were randomly assigned (1:1:1) to one of three primaquine doses: 0 mg/kg (control), 0·125 mg/kg, and 0·5 mg/kg. Randomisation was done with a computer-generated randomisation list (in block sizes of six) and concealed with sealed, opaque envelopes. In the second phase, different participants were sequentially assigned (1:1) to 0·25 mg/kg primaquine or 0·0625 mg/kg primaquine. Primaquine tablets were dissolved into a solution and administered orally in a single dose. Participants were also given a 3 day course of dihydroartemisinin-piperaquine, administered by weight (320 mg dihydroartemisinin and 40 mg piperaquine per tablet). Outcome assessors were masked to treatment allocation, but participants were permitted to find out group assignment. Infectivity was assessed through membrane-feeding assays, which were optimised through the beginning part of phase one. The primary efficacy endpoint was the mean within-person percentage change in mosquito infectivity 2 days after primaquine treatment in participants who completed the study after optimisation of the infectivity assay, had both a pre-treatment infectivity measurement and at least one follow-up infectivity measurement, and who were given the correct primaquine dose. The safety endpoint was the mean within-person change in haemoglobin concentration during 28 days of study follow-up in participants with at least one follow-up visit. This study is registered with ClinicalTrials.gov, number NCT01743820.\nFINDINGS: Between Jan 2, 2013, and Nov 27, 2014, we enrolled 81 participants. In the primary analysis sample (n=71), participants in the 0·25 mg/kg primaquine dose group (n=15) and 0·5 mg/kg primaquine dose group (n=14) had significantly lower mean within-person reductions in infectivity at day 2-92·6% (95% CI 78·3-100; p=0·0014) for the 0·25 mg/kg group; and 75·0% (45·7-100; p=0·014) for the 0·5 mg/kg primaquine group-compared with those in the control group (n=14; 11·3% [-27·4 to 50·0]). Reductions were not significantly different from control for participants assigned to the 0·0625 mg/kg dose group (n=16; 41·9% [1·4-82·5]; p=0·16) and the 0·125 mg/kg dose group (n=12; 54·9% [13·4-96·3]; p=0·096). No clinically meaningful or statistically significant drops in haemoglobin were recorded in any individual in the haemoglobin analysis (n=70) during follow-up. No serious adverse events were reported and adverse events did not differ between treatment groups.\nINTERPRETATION: A single dose of 0·25 mg/kg primaquine, given alongside dihydroartemisinin-piperaquine, was safe and efficacious for the prevention of P falciparum malaria transmission in boys and men who are not deficient in G6PD. Future studies should assess the safety of single-dose primaquine in G6PD-deficient individuals to define the therapeutic range of primaquine to enable the safe roll-out of community interventions with primaquine.\nFUNDING: Bill &amp; Melinda Gates Foundation.","container-title":"The Lancet. Infectious Diseases","DOI":"10.1016/S1473-3099(15)00479-X","ISSN":"1474-4457","issue":"6","journalAbbreviation":"Lancet Infect Dis","language":"eng","note":"PMID: 26906747","page":"674-684","source":"PubMed","title":"Primaquine to reduce transmission of Plasmodium falciparum malaria in Mali: a single-blind, dose-ranging, adaptive randomised phase 2 trial","title-short":"Primaquine to reduce transmission of Plasmodium falciparum malaria in Mali","volume":"16","author":[{"family":"Dicko","given":"Alassane"},{"family":"Brown","given":"Joelle M."},{"family":"Diawara","given":"Halimatou"},{"family":"Baber","given":"Ibrahima"},{"family":"Mahamar","given":"Almahamoudou"},{"family":"Soumare","given":"Harouna M."},{"family":"Sanogo","given":"Koualy"},{"family":"Koita","given":"Fanta"},{"family":"Keita","given":"Sekouba"},{"family":"Traore","given":"Sekou F."},{"family":"Chen","given":"Ingrid"},{"family":"Poirot","given":"Eugenie"},{"family":"Hwang","given":"Jimee"},{"family":"McCulloch","given":"Charles"},{"family":"Lanke","given":"Kjerstin"},{"family":"Pett","given":"Helmi"},{"family":"Niemi","given":"Mikko"},{"family":"Nosten","given":"François"},{"family":"Bousema","given":"Teun"},{"family":"Gosling","given":"Roly"}],"issued":{"date-parts":[["2016",6]]}}},{"id":151,"uris":["http://zotero.org/users/7806423/items/F9ZX7FSI"],"itemData":{"id":151,"type":"article-journal","abstract":"BACKGROUND: Primaquine and methylene blue are gametocytocidal compounds that could prevent Plasmodium falciparum transmission to mosquitoes. We aimed to assess the efficacy and safety of primaquine and methylene blue in preventing human to mosquito transmission of P falciparum among glucose-6-phosphate dehydrogenase (G6PD)-normal, gametocytaemic male participants.\nMETHODS: This was a phase 2, single-blind, randomised controlled trial done at the Clinical Research Centre of the Malaria Research and Training Centre (MRTC) of the University of Bamako (Bamako, Mali). We enrolled male participants aged 5-50 years with asymptomatic P falciparum malaria. G6PD-normal participants with gametocytes detected by blood smear were randomised 1:1:1:1 in block sizes of eight, using a sealed-envelope design, to receive either sulfadoxine-pyrimethamine and amodiaquine, sulfadoxine-pyrimethamine and amodiaquine plus a single dose of 0·25 mg/kg primaquine, dihydroartemisinin-piperaquine, or dihydroartemisinin-piperaquine plus 15 mg/kg per day methylene blue for 3 days. Laboratory staff, investigators, and insectary technicians were masked to the treatment group and gametocyte density of study participants. The study pharmacist and treating physician were not masked. Participants could request unmasking. The primary efficacy endpoint, analysed in all infected patients with at least one infectivity measure before and after treatment, was median within-person percentage change in mosquito infectivity 2 and 7 days after treatment, assessed by membrane feeding. This study is registered with ClinicalTrials.gov, number NCT02831023.\nFINDINGS: Between June 27, 2016, and Nov 1, 2016, 80 participants were enrolled and assigned to the sulfadoxine-pyrimethamine and amodiaquine (n=20), sulfadoxine-pyrimethamine and amodiaquine plus primaquine (n=20), dihydroartemisinin-piperaquine (n=20), or dihydroartemisinin-piperaquine plus methylene blue (n=20) groups. Among participants infectious at baseline (54 [68%] of 80), those in the sulfadoxine-pyrimethamine and amodiaquine plus primaquine group (n=19) had a median 100% (IQR 100 to 100) within-person reduction in mosquito infectivity on day 2, a larger reduction than was noted with sulfadoxine-pyrimethamine and amodiaquine alone (n=12; -10·2%, IQR -143·9 to 56·6; p&lt;0·0001). The dihydroartemisinin-piperaquine plus methylene blue (n=11) group had a median 100% (IQR 100 to 100) within-person reduction in mosquito infectivity on day 2, a larger reduction than was noted with dihydroartemisinin-piperaquine alone (n=12; -6·0%, IQR -126·1 to 86·9; p&lt;0·0001). Haemoglobin changes were similar between gametocytocidal arms and their respective controls. After exclusion of blue urine, adverse events were similar across all groups (59 [74%] of 80 participants had 162 adverse events overall, 145 [90%] of which were mild).\nINTERPRETATION: Adding a single dose of 0·25 mg/kg primaquine to sulfadoxine-pyrimethamine and amodiaquine or 3 days of 15 mg/kg per day methylene blue to dihydroartemisinin-piperaquine was highly efficacious for preventing P falciparum transmission. Both primaquine and methylene blue were well tolerated.\nFUNDING: Bill &amp; Melinda Gates Foundation, European Research Council.","container-title":"The Lancet. Infectious Diseases","DOI":"10.1016/S1473-3099(18)30044-6","ISSN":"1474-4457","issue":"6","journalAbbreviation":"Lancet Infect Dis","language":"eng","note":"PMID: 29422384\nPMCID: PMC5968371","page":"627-639","source":"PubMed","title":"Efficacy and safety of primaquine and methylene blue for prevention of Plasmodium falciparum transmission in Mali: a phase 2, single-blind, randomised controlled trial","title-short":"Efficacy and safety of primaquine and methylene blue for prevention of Plasmodium falciparum transmission in Mali","volume":"18","author":[{"family":"Dicko","given":"Alassane"},{"family":"Roh","given":"Michelle E."},{"family":"Diawara","given":"Halimatou"},{"family":"Mahamar","given":"Almahamoudou"},{"literal":"Harouna M. Soumare"},{"family":"Lanke","given":"Kjerstin"},{"family":"Bradley","given":"John"},{"family":"Sanogo","given":"Koualy"},{"family":"Kone","given":"Daouda T."},{"family":"Diarra","given":"Kalifa"},{"family":"Keita","given":"Sekouba"},{"family":"Issiaka","given":"Djibrilla"},{"family":"Traore","given":"Sekou F."},{"family":"McCulloch","given":"Charles"},{"family":"Stone","given":"Will J. R."},{"family":"Hwang","given":"Jimee"},{"family":"Müller","given":"Olaf"},{"family":"Brown","given":"Joelle M."},{"family":"Srinivasan","given":"Vinay"},{"family":"Drakeley","given":"Chris"},{"family":"Gosling","given":"Roly"},{"family":"Chen","given":"Ingrid"},{"family":"Bousema","given":"Teun"}],"issued":{"date-parts":[["2018",6]]}}}],"schema":"https://github.com/citation-style-language/schema/raw/master/csl-citation.json"} </w:instrText>
      </w:r>
      <w:r w:rsidR="00DA55BC">
        <w:rPr>
          <w:lang w:val="en-US"/>
        </w:rPr>
        <w:fldChar w:fldCharType="separate"/>
      </w:r>
      <w:r w:rsidR="00FB2554">
        <w:rPr>
          <w:noProof/>
          <w:lang w:val="en-US"/>
        </w:rPr>
        <w:t>[3], [4], [8], [23]</w:t>
      </w:r>
      <w:r w:rsidR="00DA55BC">
        <w:rPr>
          <w:lang w:val="en-US"/>
        </w:rPr>
        <w:fldChar w:fldCharType="end"/>
      </w:r>
      <w:r w:rsidR="00DA55BC">
        <w:rPr>
          <w:lang w:val="en-US"/>
        </w:rPr>
        <w:t xml:space="preserve"> </w:t>
      </w:r>
      <w:r w:rsidRPr="009B79D7">
        <w:rPr>
          <w:lang w:val="en-US"/>
        </w:rPr>
        <w:t xml:space="preserve">using a mixed effects logistic regression model that accounted for correlation between mosquito observations from the same participant. </w:t>
      </w:r>
      <w:r w:rsidR="00C94B4B" w:rsidRPr="00C94B4B">
        <w:rPr>
          <w:lang w:val="en-US"/>
        </w:rPr>
        <w:t>Based on a mixed effects logistic regression we looked at 100 simulations with an expected reduction in infectivity of 90%, an expected baseline proportion of infectivity of 17% for the average participant, and an expected intra-cluster correlation of 0.5. We estimated 88% empirical power to detect &gt;80% reduction in infectivity with a one-tailed test with a 0.025 level of significance when including 20 participants and dissecting 50 mosquitos per participant at each timepoint.</w:t>
      </w:r>
    </w:p>
    <w:p w14:paraId="37892574" w14:textId="5DCC24D3" w:rsidR="009C027D" w:rsidRDefault="009C027D">
      <w:pPr>
        <w:pStyle w:val="Heading2"/>
      </w:pPr>
      <w:bookmarkStart w:id="177" w:name="_Toc100306370"/>
      <w:bookmarkStart w:id="178" w:name="_Toc100324448"/>
      <w:bookmarkStart w:id="179" w:name="_Toc101204965"/>
      <w:bookmarkStart w:id="180" w:name="_Toc101205084"/>
      <w:bookmarkStart w:id="181" w:name="_Toc101205231"/>
      <w:bookmarkStart w:id="182" w:name="_Toc102984947"/>
      <w:bookmarkStart w:id="183" w:name="_Toc102985798"/>
      <w:bookmarkStart w:id="184" w:name="_Toc104981631"/>
      <w:bookmarkStart w:id="185" w:name="_Toc106288876"/>
      <w:r w:rsidRPr="00DE5C91">
        <w:t>Inclusion criteria</w:t>
      </w:r>
      <w:bookmarkEnd w:id="177"/>
      <w:bookmarkEnd w:id="178"/>
      <w:bookmarkEnd w:id="179"/>
      <w:bookmarkEnd w:id="180"/>
      <w:bookmarkEnd w:id="181"/>
      <w:bookmarkEnd w:id="182"/>
      <w:bookmarkEnd w:id="183"/>
      <w:bookmarkEnd w:id="184"/>
      <w:bookmarkEnd w:id="185"/>
    </w:p>
    <w:p w14:paraId="36976C71" w14:textId="77777777" w:rsidR="0077191E" w:rsidRPr="009B79D7" w:rsidRDefault="0077191E">
      <w:pPr>
        <w:pStyle w:val="ListParagraph"/>
        <w:numPr>
          <w:ilvl w:val="0"/>
          <w:numId w:val="5"/>
        </w:numPr>
        <w:ind w:left="284" w:hanging="284"/>
        <w:jc w:val="both"/>
      </w:pPr>
      <w:r w:rsidRPr="009B79D7">
        <w:t>Age ≥ 10 years and ≤ 50 years</w:t>
      </w:r>
    </w:p>
    <w:p w14:paraId="1B1FBE36" w14:textId="77777777" w:rsidR="0077191E" w:rsidRPr="009B79D7" w:rsidRDefault="0077191E">
      <w:pPr>
        <w:pStyle w:val="ListParagraph"/>
        <w:numPr>
          <w:ilvl w:val="0"/>
          <w:numId w:val="5"/>
        </w:numPr>
        <w:ind w:left="284" w:hanging="284"/>
        <w:jc w:val="both"/>
      </w:pPr>
      <w:r w:rsidRPr="009B79D7">
        <w:t xml:space="preserve">Absence of symptomatic falciparum malaria, defined by fever on enrolment </w:t>
      </w:r>
    </w:p>
    <w:p w14:paraId="2BD0DF7B" w14:textId="77777777" w:rsidR="0077191E" w:rsidRPr="009B79D7" w:rsidRDefault="0077191E">
      <w:pPr>
        <w:pStyle w:val="ListParagraph"/>
        <w:numPr>
          <w:ilvl w:val="0"/>
          <w:numId w:val="5"/>
        </w:numPr>
        <w:ind w:left="284" w:hanging="284"/>
        <w:jc w:val="both"/>
      </w:pPr>
      <w:r w:rsidRPr="009B79D7">
        <w:t xml:space="preserve">Presence of </w:t>
      </w:r>
      <w:r w:rsidRPr="00240D19">
        <w:rPr>
          <w:i/>
        </w:rPr>
        <w:t xml:space="preserve">P. falciparum </w:t>
      </w:r>
      <w:r w:rsidRPr="009B79D7">
        <w:t>gametocytes on thick blood film at a density &gt;16 gametocytes/µL (i.e. ≥ gametocytes recorded in the thick film against 500 white blood cells)</w:t>
      </w:r>
    </w:p>
    <w:p w14:paraId="071A3E90" w14:textId="77777777" w:rsidR="0077191E" w:rsidRPr="009B79D7" w:rsidRDefault="0077191E">
      <w:pPr>
        <w:pStyle w:val="ListParagraph"/>
        <w:numPr>
          <w:ilvl w:val="0"/>
          <w:numId w:val="5"/>
        </w:numPr>
        <w:ind w:left="284" w:hanging="284"/>
        <w:jc w:val="both"/>
      </w:pPr>
      <w:r w:rsidRPr="009B79D7">
        <w:t>Absence of other non-</w:t>
      </w:r>
      <w:r w:rsidRPr="00240D19">
        <w:rPr>
          <w:i/>
        </w:rPr>
        <w:t xml:space="preserve">P. falciparum </w:t>
      </w:r>
      <w:r w:rsidRPr="009B79D7">
        <w:t>species on blood film</w:t>
      </w:r>
    </w:p>
    <w:p w14:paraId="14DEDBBA" w14:textId="7DFF284F" w:rsidR="0077191E" w:rsidRPr="009B79D7" w:rsidRDefault="004E67BE">
      <w:pPr>
        <w:pStyle w:val="ListParagraph"/>
        <w:numPr>
          <w:ilvl w:val="0"/>
          <w:numId w:val="5"/>
        </w:numPr>
        <w:ind w:left="284" w:hanging="284"/>
        <w:jc w:val="both"/>
      </w:pPr>
      <w:r w:rsidRPr="009B79D7">
        <w:t>Haemoglobin</w:t>
      </w:r>
      <w:r w:rsidR="0077191E" w:rsidRPr="009B79D7">
        <w:t xml:space="preserve"> ≥ 10 g/dL</w:t>
      </w:r>
    </w:p>
    <w:p w14:paraId="44A03800" w14:textId="77777777" w:rsidR="0077191E" w:rsidRPr="009B79D7" w:rsidRDefault="0077191E">
      <w:pPr>
        <w:pStyle w:val="ListParagraph"/>
        <w:numPr>
          <w:ilvl w:val="0"/>
          <w:numId w:val="5"/>
        </w:numPr>
        <w:ind w:left="284" w:hanging="284"/>
        <w:jc w:val="both"/>
      </w:pPr>
      <w:r w:rsidRPr="009B79D7">
        <w:t>Individuals weighing &lt; = 80 kg</w:t>
      </w:r>
    </w:p>
    <w:p w14:paraId="51913223" w14:textId="77777777" w:rsidR="0077191E" w:rsidRPr="009B79D7" w:rsidRDefault="0077191E">
      <w:pPr>
        <w:pStyle w:val="ListParagraph"/>
        <w:numPr>
          <w:ilvl w:val="0"/>
          <w:numId w:val="5"/>
        </w:numPr>
        <w:ind w:left="284" w:hanging="284"/>
        <w:jc w:val="both"/>
      </w:pPr>
      <w:r w:rsidRPr="009B79D7">
        <w:t xml:space="preserve">No evidence of acute severe or chronic disease </w:t>
      </w:r>
    </w:p>
    <w:p w14:paraId="45E51086" w14:textId="0727CF09" w:rsidR="0077191E" w:rsidRPr="0077191E" w:rsidRDefault="0077191E">
      <w:pPr>
        <w:pStyle w:val="ListParagraph"/>
        <w:numPr>
          <w:ilvl w:val="0"/>
          <w:numId w:val="5"/>
        </w:numPr>
        <w:ind w:left="284" w:hanging="284"/>
        <w:jc w:val="both"/>
      </w:pPr>
      <w:r w:rsidRPr="009B79D7">
        <w:t>Written, informed consent</w:t>
      </w:r>
    </w:p>
    <w:p w14:paraId="236E9887" w14:textId="00ADC93E" w:rsidR="009C027D" w:rsidRPr="00DE5C91" w:rsidRDefault="009C027D">
      <w:pPr>
        <w:pStyle w:val="Heading2"/>
      </w:pPr>
      <w:bookmarkStart w:id="186" w:name="_Toc100306371"/>
      <w:bookmarkStart w:id="187" w:name="_Toc100324449"/>
      <w:bookmarkStart w:id="188" w:name="_Toc101204966"/>
      <w:bookmarkStart w:id="189" w:name="_Toc101205085"/>
      <w:bookmarkStart w:id="190" w:name="_Toc101205232"/>
      <w:bookmarkStart w:id="191" w:name="_Toc102984948"/>
      <w:bookmarkStart w:id="192" w:name="_Toc102985799"/>
      <w:bookmarkStart w:id="193" w:name="_Toc104981632"/>
      <w:bookmarkStart w:id="194" w:name="_Toc106288877"/>
      <w:r w:rsidRPr="00DE5C91">
        <w:lastRenderedPageBreak/>
        <w:t>Exclusion criteria</w:t>
      </w:r>
      <w:bookmarkEnd w:id="186"/>
      <w:bookmarkEnd w:id="187"/>
      <w:bookmarkEnd w:id="188"/>
      <w:bookmarkEnd w:id="189"/>
      <w:bookmarkEnd w:id="190"/>
      <w:bookmarkEnd w:id="191"/>
      <w:bookmarkEnd w:id="192"/>
      <w:bookmarkEnd w:id="193"/>
      <w:bookmarkEnd w:id="194"/>
    </w:p>
    <w:p w14:paraId="02BB13F3" w14:textId="77777777" w:rsidR="0077191E" w:rsidRPr="009B79D7" w:rsidRDefault="0077191E">
      <w:pPr>
        <w:pStyle w:val="ListParagraph"/>
        <w:numPr>
          <w:ilvl w:val="0"/>
          <w:numId w:val="4"/>
        </w:numPr>
        <w:ind w:left="284" w:hanging="284"/>
        <w:jc w:val="both"/>
      </w:pPr>
      <w:r w:rsidRPr="00240D19">
        <w:rPr>
          <w:shd w:val="clear" w:color="auto" w:fill="FFFFFF"/>
        </w:rPr>
        <w:t>Women who are pregnant or lactating (tested at baseline). Urine and/or serum pregnancy testing (β-</w:t>
      </w:r>
      <w:proofErr w:type="spellStart"/>
      <w:r w:rsidRPr="00240D19">
        <w:rPr>
          <w:shd w:val="clear" w:color="auto" w:fill="FFFFFF"/>
        </w:rPr>
        <w:t>hCG</w:t>
      </w:r>
      <w:proofErr w:type="spellEnd"/>
      <w:r w:rsidRPr="00240D19">
        <w:rPr>
          <w:shd w:val="clear" w:color="auto" w:fill="FFFFFF"/>
        </w:rPr>
        <w:t>) will be used.</w:t>
      </w:r>
    </w:p>
    <w:p w14:paraId="5DF8FB63" w14:textId="77777777" w:rsidR="0077191E" w:rsidRPr="009B79D7" w:rsidRDefault="0077191E">
      <w:pPr>
        <w:pStyle w:val="ListParagraph"/>
        <w:numPr>
          <w:ilvl w:val="0"/>
          <w:numId w:val="4"/>
        </w:numPr>
        <w:ind w:left="284" w:hanging="284"/>
        <w:jc w:val="both"/>
      </w:pPr>
      <w:r w:rsidRPr="009B79D7">
        <w:t>Detection of a non-</w:t>
      </w:r>
      <w:r w:rsidRPr="00240D19">
        <w:rPr>
          <w:i/>
        </w:rPr>
        <w:t xml:space="preserve">P. falciparum </w:t>
      </w:r>
      <w:r w:rsidRPr="009B79D7">
        <w:t>species by microscopy</w:t>
      </w:r>
    </w:p>
    <w:p w14:paraId="5D9D1F46" w14:textId="77777777" w:rsidR="00243364" w:rsidRDefault="0077191E">
      <w:pPr>
        <w:pStyle w:val="ListParagraph"/>
        <w:numPr>
          <w:ilvl w:val="0"/>
          <w:numId w:val="4"/>
        </w:numPr>
        <w:ind w:left="284" w:hanging="284"/>
        <w:jc w:val="both"/>
      </w:pPr>
      <w:r w:rsidRPr="009B79D7">
        <w:t>Previous reaction to study drugs / known allergy to study drugs</w:t>
      </w:r>
      <w:r w:rsidR="00DD0A48">
        <w:t xml:space="preserve">, such as </w:t>
      </w:r>
      <w:r w:rsidR="009A1BF6">
        <w:t>sudden high fevers</w:t>
      </w:r>
      <w:r w:rsidR="00DD0A48">
        <w:t>, shaking or severe sore throat or ulcers in the mouth during treatment with Amodiaquine</w:t>
      </w:r>
      <w:r w:rsidR="00243364">
        <w:t xml:space="preserve"> </w:t>
      </w:r>
    </w:p>
    <w:p w14:paraId="5E3255D7" w14:textId="73A0C155" w:rsidR="00152525" w:rsidRPr="009B79D7" w:rsidRDefault="00243364">
      <w:pPr>
        <w:pStyle w:val="ListParagraph"/>
        <w:numPr>
          <w:ilvl w:val="0"/>
          <w:numId w:val="4"/>
        </w:numPr>
        <w:ind w:left="284" w:hanging="284"/>
        <w:jc w:val="both"/>
      </w:pPr>
      <w:r>
        <w:t>Current eye disease with retinal damage</w:t>
      </w:r>
    </w:p>
    <w:p w14:paraId="6F792814" w14:textId="7DC87CDE" w:rsidR="0077191E" w:rsidRPr="009B79D7" w:rsidRDefault="0077191E">
      <w:pPr>
        <w:pStyle w:val="ListParagraph"/>
        <w:numPr>
          <w:ilvl w:val="0"/>
          <w:numId w:val="4"/>
        </w:numPr>
        <w:ind w:left="284" w:hanging="284"/>
        <w:jc w:val="both"/>
      </w:pPr>
      <w:r w:rsidRPr="009B79D7">
        <w:t xml:space="preserve">Signs of severe malaria, including </w:t>
      </w:r>
      <w:proofErr w:type="spellStart"/>
      <w:r w:rsidRPr="009B79D7">
        <w:t>hyperparasit</w:t>
      </w:r>
      <w:r w:rsidR="004E67BE">
        <w:t>a</w:t>
      </w:r>
      <w:r w:rsidRPr="009B79D7">
        <w:t>emia</w:t>
      </w:r>
      <w:proofErr w:type="spellEnd"/>
      <w:r w:rsidRPr="009B79D7">
        <w:t xml:space="preserve"> (defined as asexual </w:t>
      </w:r>
      <w:r w:rsidR="004E67BE" w:rsidRPr="009B79D7">
        <w:t>parasitaemia</w:t>
      </w:r>
      <w:r w:rsidRPr="009B79D7">
        <w:t xml:space="preserve"> &gt; 100,000 parasites / µL)</w:t>
      </w:r>
    </w:p>
    <w:p w14:paraId="16036A53" w14:textId="77777777" w:rsidR="0077191E" w:rsidRPr="009B79D7" w:rsidRDefault="0077191E">
      <w:pPr>
        <w:pStyle w:val="ListParagraph"/>
        <w:numPr>
          <w:ilvl w:val="0"/>
          <w:numId w:val="4"/>
        </w:numPr>
        <w:ind w:left="284" w:hanging="284"/>
        <w:jc w:val="both"/>
      </w:pPr>
      <w:r w:rsidRPr="009B79D7">
        <w:t>Signs of acute or chronic illness, including hepatitis</w:t>
      </w:r>
    </w:p>
    <w:p w14:paraId="1C12AABA" w14:textId="7C2B4AFC" w:rsidR="0077191E" w:rsidRPr="009B79D7" w:rsidRDefault="0077191E">
      <w:pPr>
        <w:pStyle w:val="ListParagraph"/>
        <w:numPr>
          <w:ilvl w:val="0"/>
          <w:numId w:val="4"/>
        </w:numPr>
        <w:ind w:left="284" w:hanging="284"/>
        <w:jc w:val="both"/>
      </w:pPr>
      <w:r w:rsidRPr="009B79D7">
        <w:t>The use of other medication (except for paracetamol and/or aspirin)</w:t>
      </w:r>
      <w:r w:rsidR="00243364">
        <w:t xml:space="preserve">, </w:t>
      </w:r>
      <w:r w:rsidR="00D5288A" w:rsidRPr="00D5288A">
        <w:t>including</w:t>
      </w:r>
      <w:r w:rsidR="00243364" w:rsidRPr="00C9762A">
        <w:t xml:space="preserve"> antacids, other medicines used to treat malaria, abnormal heart rhythm, depression or mental illness or HIV/AIDS, and medicines that have antibiotic/antifungal properties</w:t>
      </w:r>
    </w:p>
    <w:p w14:paraId="132C5A5E" w14:textId="77777777" w:rsidR="0077191E" w:rsidRPr="00240D19" w:rsidRDefault="0077191E">
      <w:pPr>
        <w:pStyle w:val="ListParagraph"/>
        <w:numPr>
          <w:ilvl w:val="0"/>
          <w:numId w:val="4"/>
        </w:numPr>
        <w:ind w:left="284" w:hanging="284"/>
        <w:jc w:val="both"/>
        <w:rPr>
          <w:rFonts w:eastAsia="Times New Roman"/>
          <w:lang w:eastAsia="en-CA"/>
        </w:rPr>
      </w:pPr>
      <w:r w:rsidRPr="009B79D7">
        <w:t>Use of antimalarial drugs over the past 7 days (as reported by the participant)</w:t>
      </w:r>
    </w:p>
    <w:p w14:paraId="63E88D88" w14:textId="41D0BFC1" w:rsidR="0077191E" w:rsidRPr="00240D19" w:rsidRDefault="0077191E">
      <w:pPr>
        <w:pStyle w:val="ListParagraph"/>
        <w:numPr>
          <w:ilvl w:val="0"/>
          <w:numId w:val="4"/>
        </w:numPr>
        <w:ind w:left="284" w:hanging="284"/>
        <w:jc w:val="both"/>
        <w:rPr>
          <w:rFonts w:eastAsia="Times New Roman"/>
          <w:lang w:eastAsia="en-CA"/>
        </w:rPr>
      </w:pPr>
      <w:r w:rsidRPr="00240D19">
        <w:rPr>
          <w:rFonts w:eastAsia="Times New Roman"/>
          <w:lang w:eastAsia="en-CA"/>
        </w:rPr>
        <w:t>Clinically significant illness (intercurrent illness e.g., pneumonia, pre-existing condition e.g., renal disease</w:t>
      </w:r>
      <w:r w:rsidR="009041B8">
        <w:rPr>
          <w:rFonts w:eastAsia="Times New Roman"/>
          <w:lang w:eastAsia="en-CA"/>
        </w:rPr>
        <w:t xml:space="preserve"> or HIV/AIDS</w:t>
      </w:r>
      <w:r w:rsidRPr="00240D19">
        <w:rPr>
          <w:rFonts w:eastAsia="Times New Roman"/>
          <w:lang w:eastAsia="en-CA"/>
        </w:rPr>
        <w:t xml:space="preserve">, malignancy or conditions that may affect absorption of study medication e.g., severe </w:t>
      </w:r>
      <w:r w:rsidR="004E67BE" w:rsidRPr="00240D19">
        <w:rPr>
          <w:rFonts w:eastAsia="Times New Roman"/>
          <w:lang w:eastAsia="en-CA"/>
        </w:rPr>
        <w:t>diarrhoea</w:t>
      </w:r>
      <w:r w:rsidRPr="00240D19">
        <w:rPr>
          <w:rFonts w:eastAsia="Times New Roman"/>
          <w:lang w:eastAsia="en-CA"/>
        </w:rPr>
        <w:t xml:space="preserve"> or any signs of malnutrition as defined clinically)</w:t>
      </w:r>
    </w:p>
    <w:p w14:paraId="6B8A833B" w14:textId="77777777" w:rsidR="0077191E" w:rsidRPr="00240D19" w:rsidRDefault="0077191E">
      <w:pPr>
        <w:pStyle w:val="ListParagraph"/>
        <w:numPr>
          <w:ilvl w:val="0"/>
          <w:numId w:val="4"/>
        </w:numPr>
        <w:ind w:left="284" w:hanging="284"/>
        <w:jc w:val="both"/>
        <w:rPr>
          <w:rFonts w:eastAsia="Times New Roman"/>
          <w:lang w:eastAsia="en-CA"/>
        </w:rPr>
      </w:pPr>
      <w:r w:rsidRPr="00240D19">
        <w:rPr>
          <w:rFonts w:eastAsia="Times New Roman"/>
          <w:lang w:eastAsia="en-CA"/>
        </w:rPr>
        <w:t xml:space="preserve">Signs of hepatic injury </w:t>
      </w:r>
      <w:r w:rsidRPr="009B79D7">
        <w:t>(such as nausea and/or abdominal pain associated with jaundice) or known severe liver disease (i.e., decompensated cirrhosis, Child Pugh stage B or C)</w:t>
      </w:r>
    </w:p>
    <w:p w14:paraId="3BD94CB2" w14:textId="77777777" w:rsidR="0077191E" w:rsidRPr="00240D19" w:rsidRDefault="0077191E">
      <w:pPr>
        <w:pStyle w:val="ListParagraph"/>
        <w:numPr>
          <w:ilvl w:val="0"/>
          <w:numId w:val="4"/>
        </w:numPr>
        <w:ind w:left="284" w:hanging="284"/>
        <w:jc w:val="both"/>
        <w:rPr>
          <w:rFonts w:eastAsia="Times New Roman"/>
          <w:lang w:eastAsia="en-CA"/>
        </w:rPr>
      </w:pPr>
      <w:r w:rsidRPr="009B79D7">
        <w:t>Signs, symptoms or known renal impairment</w:t>
      </w:r>
    </w:p>
    <w:p w14:paraId="1A600FA0" w14:textId="67FBE595" w:rsidR="0077191E" w:rsidRPr="00240D19" w:rsidRDefault="0077191E">
      <w:pPr>
        <w:pStyle w:val="ListParagraph"/>
        <w:numPr>
          <w:ilvl w:val="0"/>
          <w:numId w:val="4"/>
        </w:numPr>
        <w:ind w:left="284" w:hanging="284"/>
        <w:jc w:val="both"/>
        <w:rPr>
          <w:rFonts w:eastAsia="Times New Roman"/>
          <w:lang w:eastAsia="en-CA"/>
        </w:rPr>
      </w:pPr>
      <w:r w:rsidRPr="00240D19">
        <w:rPr>
          <w:rFonts w:eastAsia="Times New Roman"/>
          <w:lang w:eastAsia="en-CA"/>
        </w:rPr>
        <w:t xml:space="preserve">Clinically significant abnormal laboratory values as determined by history, physical </w:t>
      </w:r>
      <w:r w:rsidR="00240D19" w:rsidRPr="00240D19">
        <w:rPr>
          <w:rFonts w:eastAsia="Times New Roman"/>
          <w:lang w:eastAsia="en-CA"/>
        </w:rPr>
        <w:t>examination,</w:t>
      </w:r>
      <w:r w:rsidRPr="00240D19">
        <w:rPr>
          <w:rFonts w:eastAsia="Times New Roman"/>
          <w:lang w:eastAsia="en-CA"/>
        </w:rPr>
        <w:t xml:space="preserve"> or routine blood chemistries and </w:t>
      </w:r>
      <w:r w:rsidR="004E67BE" w:rsidRPr="00240D19">
        <w:rPr>
          <w:rFonts w:eastAsia="Times New Roman"/>
          <w:lang w:eastAsia="en-CA"/>
        </w:rPr>
        <w:t>haematology</w:t>
      </w:r>
      <w:r w:rsidRPr="00240D19">
        <w:rPr>
          <w:rFonts w:eastAsia="Times New Roman"/>
          <w:lang w:eastAsia="en-CA"/>
        </w:rPr>
        <w:t xml:space="preserve"> values (laboratory guideline values for exclusion are </w:t>
      </w:r>
      <w:r w:rsidR="004E67BE" w:rsidRPr="00240D19">
        <w:rPr>
          <w:rFonts w:eastAsia="Times New Roman"/>
          <w:lang w:eastAsia="en-CA"/>
        </w:rPr>
        <w:t>haemoglobin</w:t>
      </w:r>
      <w:r w:rsidRPr="00240D19">
        <w:rPr>
          <w:rFonts w:eastAsia="Times New Roman"/>
          <w:lang w:eastAsia="en-CA"/>
        </w:rPr>
        <w:t xml:space="preserve"> &lt; 10 g/dL, platelets &lt; 50,000/</w:t>
      </w:r>
      <w:proofErr w:type="spellStart"/>
      <w:r w:rsidRPr="00240D19">
        <w:rPr>
          <w:rFonts w:eastAsia="Times New Roman"/>
          <w:lang w:eastAsia="en-CA"/>
        </w:rPr>
        <w:t>μl</w:t>
      </w:r>
      <w:proofErr w:type="spellEnd"/>
      <w:r w:rsidRPr="00240D19">
        <w:rPr>
          <w:rFonts w:eastAsia="Times New Roman"/>
          <w:lang w:eastAsia="en-CA"/>
        </w:rPr>
        <w:t>, White Blood Cell count (WBC) &lt; 2000/</w:t>
      </w:r>
      <w:proofErr w:type="spellStart"/>
      <w:r w:rsidRPr="00240D19">
        <w:rPr>
          <w:rFonts w:eastAsia="Times New Roman"/>
          <w:lang w:eastAsia="en-CA"/>
        </w:rPr>
        <w:t>μl</w:t>
      </w:r>
      <w:proofErr w:type="spellEnd"/>
      <w:r w:rsidRPr="00240D19">
        <w:rPr>
          <w:rFonts w:eastAsia="Times New Roman"/>
          <w:lang w:eastAsia="en-CA"/>
        </w:rPr>
        <w:t>, serum creatinine &gt;2.0mg/dL, or ALT more than 3 times the upper limit of normal for age.</w:t>
      </w:r>
    </w:p>
    <w:p w14:paraId="7244211F" w14:textId="77777777" w:rsidR="0077191E" w:rsidRPr="00240D19" w:rsidRDefault="0077191E">
      <w:pPr>
        <w:pStyle w:val="ListParagraph"/>
        <w:numPr>
          <w:ilvl w:val="0"/>
          <w:numId w:val="4"/>
        </w:numPr>
        <w:ind w:left="284" w:hanging="284"/>
        <w:jc w:val="both"/>
        <w:rPr>
          <w:rFonts w:eastAsia="Times New Roman"/>
          <w:lang w:eastAsia="en-CA"/>
        </w:rPr>
      </w:pPr>
      <w:r w:rsidRPr="00240D19">
        <w:rPr>
          <w:rFonts w:eastAsia="Times New Roman"/>
          <w:lang w:eastAsia="en-CA"/>
        </w:rPr>
        <w:t>Blood transfusion in the last 90 days.</w:t>
      </w:r>
    </w:p>
    <w:p w14:paraId="4580E916" w14:textId="2A07AD1C" w:rsidR="00CC66D7" w:rsidRDefault="008306B1">
      <w:pPr>
        <w:pStyle w:val="ListParagraph"/>
        <w:numPr>
          <w:ilvl w:val="0"/>
          <w:numId w:val="4"/>
        </w:numPr>
        <w:ind w:left="284" w:hanging="284"/>
        <w:jc w:val="both"/>
        <w:rPr>
          <w:rFonts w:eastAsia="Times New Roman"/>
          <w:lang w:eastAsia="en-CA"/>
        </w:rPr>
      </w:pPr>
      <w:r>
        <w:rPr>
          <w:rFonts w:eastAsia="Times New Roman"/>
          <w:lang w:eastAsia="en-CA"/>
        </w:rPr>
        <w:t xml:space="preserve">Known </w:t>
      </w:r>
      <w:r w:rsidR="00CC66D7">
        <w:rPr>
          <w:rFonts w:eastAsia="Times New Roman"/>
          <w:lang w:eastAsia="en-CA"/>
        </w:rPr>
        <w:t xml:space="preserve">Electrocardiogram (ECG) corrected QT interval of more than 450 </w:t>
      </w:r>
      <w:proofErr w:type="spellStart"/>
      <w:r w:rsidR="00CC66D7">
        <w:rPr>
          <w:rFonts w:eastAsia="Times New Roman"/>
          <w:lang w:eastAsia="en-CA"/>
        </w:rPr>
        <w:t>ms</w:t>
      </w:r>
      <w:proofErr w:type="spellEnd"/>
    </w:p>
    <w:p w14:paraId="5FB989AC" w14:textId="33859BCB" w:rsidR="00CC66D7" w:rsidRDefault="00CC66D7">
      <w:pPr>
        <w:pStyle w:val="ListParagraph"/>
        <w:numPr>
          <w:ilvl w:val="0"/>
          <w:numId w:val="4"/>
        </w:numPr>
        <w:ind w:left="284" w:hanging="284"/>
        <w:jc w:val="both"/>
        <w:rPr>
          <w:rFonts w:eastAsia="Times New Roman"/>
          <w:lang w:eastAsia="en-CA"/>
        </w:rPr>
      </w:pPr>
      <w:r>
        <w:rPr>
          <w:rFonts w:eastAsia="Times New Roman"/>
          <w:lang w:eastAsia="en-CA"/>
        </w:rPr>
        <w:t>Documented or self-reported history of cardiac conduction problems</w:t>
      </w:r>
    </w:p>
    <w:p w14:paraId="27B68BD2" w14:textId="31436021" w:rsidR="00152525" w:rsidRPr="00B91D68" w:rsidRDefault="00152525">
      <w:pPr>
        <w:pStyle w:val="ListParagraph"/>
        <w:numPr>
          <w:ilvl w:val="0"/>
          <w:numId w:val="4"/>
        </w:numPr>
        <w:ind w:left="284" w:hanging="284"/>
        <w:jc w:val="both"/>
        <w:rPr>
          <w:rFonts w:eastAsia="Times New Roman"/>
          <w:lang w:eastAsia="en-CA"/>
        </w:rPr>
      </w:pPr>
      <w:r>
        <w:rPr>
          <w:rFonts w:eastAsia="Times New Roman"/>
          <w:lang w:eastAsia="en-CA"/>
        </w:rPr>
        <w:t xml:space="preserve">Documented or self-reported history of </w:t>
      </w:r>
      <w:r w:rsidR="00FA7FF1">
        <w:rPr>
          <w:rFonts w:eastAsia="Times New Roman"/>
          <w:lang w:eastAsia="en-CA"/>
        </w:rPr>
        <w:t>epileptic</w:t>
      </w:r>
      <w:r>
        <w:rPr>
          <w:rFonts w:eastAsia="Times New Roman"/>
          <w:lang w:eastAsia="en-CA"/>
        </w:rPr>
        <w:t xml:space="preserve"> seizures</w:t>
      </w:r>
    </w:p>
    <w:p w14:paraId="5C886AB2" w14:textId="301C7BC8" w:rsidR="00D511CD" w:rsidRPr="00D676AC" w:rsidRDefault="008E48CA">
      <w:pPr>
        <w:pStyle w:val="Heading1"/>
      </w:pPr>
      <w:bookmarkStart w:id="195" w:name="_Toc100231695"/>
      <w:bookmarkStart w:id="196" w:name="_Toc100231827"/>
      <w:bookmarkStart w:id="197" w:name="_Toc100231934"/>
      <w:bookmarkStart w:id="198" w:name="_Toc100232057"/>
      <w:bookmarkStart w:id="199" w:name="_Toc100306372"/>
      <w:bookmarkStart w:id="200" w:name="_Toc100324450"/>
      <w:bookmarkStart w:id="201" w:name="_Toc101204967"/>
      <w:bookmarkStart w:id="202" w:name="_Toc101205086"/>
      <w:bookmarkStart w:id="203" w:name="_Toc101205233"/>
      <w:bookmarkStart w:id="204" w:name="_Toc102984949"/>
      <w:bookmarkStart w:id="205" w:name="_Toc102985800"/>
      <w:bookmarkStart w:id="206" w:name="_Toc104981633"/>
      <w:bookmarkStart w:id="207" w:name="_Toc106288878"/>
      <w:r w:rsidRPr="00D676AC">
        <w:t>STUDY DRUGS</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58A27A35" w14:textId="26EADE1E" w:rsidR="00CD22A7" w:rsidRDefault="00CD22A7">
      <w:pPr>
        <w:pStyle w:val="Heading2"/>
      </w:pPr>
      <w:bookmarkStart w:id="208" w:name="_Toc100231696"/>
      <w:bookmarkStart w:id="209" w:name="_Toc100231828"/>
      <w:bookmarkStart w:id="210" w:name="_Toc100231935"/>
      <w:bookmarkStart w:id="211" w:name="_Toc100232058"/>
      <w:bookmarkStart w:id="212" w:name="_Toc100306373"/>
      <w:bookmarkStart w:id="213" w:name="_Toc100324451"/>
      <w:bookmarkStart w:id="214" w:name="_Toc101204968"/>
      <w:bookmarkStart w:id="215" w:name="_Toc101205087"/>
      <w:bookmarkStart w:id="216" w:name="_Toc101205234"/>
      <w:bookmarkStart w:id="217" w:name="_Toc102984950"/>
      <w:bookmarkStart w:id="218" w:name="_Toc102985801"/>
      <w:bookmarkStart w:id="219" w:name="_Toc104981634"/>
      <w:bookmarkStart w:id="220" w:name="_Toc106288879"/>
      <w:r w:rsidRPr="00CD22A7">
        <w:t>Artesunate-Amodiaquine (</w:t>
      </w:r>
      <w:r w:rsidR="00C8279C" w:rsidRPr="00CD22A7">
        <w:t>ASAQ</w:t>
      </w:r>
      <w:r w:rsidRPr="00CD22A7">
        <w:t>)</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8689FC2" w14:textId="6C1DA499" w:rsidR="00A6060C" w:rsidRDefault="00DA55BC" w:rsidP="00A6060C">
      <w:r>
        <w:t>Participants in the ASAQ arm will receive a</w:t>
      </w:r>
      <w:r w:rsidRPr="00203DA3">
        <w:t xml:space="preserve"> fixed-dose combination in tablets containing 50</w:t>
      </w:r>
      <w:r w:rsidR="00D80075">
        <w:t>mg/</w:t>
      </w:r>
      <w:r w:rsidRPr="00203DA3">
        <w:t>135 mg or 100</w:t>
      </w:r>
      <w:r w:rsidR="00D80075">
        <w:t>mg/</w:t>
      </w:r>
      <w:r w:rsidRPr="00203DA3">
        <w:t>270 mg of artesunate</w:t>
      </w:r>
      <w:r w:rsidR="004F1CEA">
        <w:t>/</w:t>
      </w:r>
      <w:r w:rsidRPr="00203DA3">
        <w:t>amodiaquine</w:t>
      </w:r>
      <w:r w:rsidR="004F1CEA">
        <w:t xml:space="preserve"> (Fosun Pharma, Shanghai, China)</w:t>
      </w:r>
      <w:r>
        <w:t xml:space="preserve">. </w:t>
      </w:r>
      <w:r w:rsidR="00203DA3">
        <w:t>Tablets will be administered according to manufacturer guidelines (</w:t>
      </w:r>
      <w:r w:rsidR="00203DA3" w:rsidRPr="00203DA3">
        <w:rPr>
          <w:b/>
          <w:bCs/>
        </w:rPr>
        <w:t>Table 2</w:t>
      </w:r>
      <w:r w:rsidR="00203DA3">
        <w:t>).</w:t>
      </w:r>
    </w:p>
    <w:p w14:paraId="25D394E6" w14:textId="4B6EE727" w:rsidR="00203DA3" w:rsidRDefault="00203DA3" w:rsidP="00A6060C">
      <w:r w:rsidRPr="00203DA3">
        <w:rPr>
          <w:b/>
          <w:bCs/>
        </w:rPr>
        <w:t>Table 2.</w:t>
      </w:r>
      <w:r>
        <w:t xml:space="preserve"> ASAQ dosing</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545"/>
        <w:gridCol w:w="1282"/>
        <w:gridCol w:w="1282"/>
        <w:gridCol w:w="1282"/>
      </w:tblGrid>
      <w:tr w:rsidR="00B54F1E" w:rsidRPr="00B54F1E" w14:paraId="4BE9CB5B" w14:textId="77777777" w:rsidTr="00D56BFE">
        <w:trPr>
          <w:trHeight w:val="360"/>
        </w:trPr>
        <w:tc>
          <w:tcPr>
            <w:tcW w:w="1635" w:type="dxa"/>
            <w:shd w:val="clear" w:color="auto" w:fill="D9D9D9" w:themeFill="background1" w:themeFillShade="D9"/>
            <w:noWrap/>
            <w:vAlign w:val="bottom"/>
            <w:hideMark/>
          </w:tcPr>
          <w:p w14:paraId="5C50264F" w14:textId="77777777" w:rsidR="00B54F1E" w:rsidRPr="00B54F1E" w:rsidRDefault="00B54F1E" w:rsidP="00B54F1E">
            <w:pPr>
              <w:spacing w:before="0" w:after="0" w:line="240" w:lineRule="auto"/>
              <w:rPr>
                <w:b/>
                <w:bCs/>
                <w:color w:val="000000" w:themeColor="text1"/>
                <w:szCs w:val="22"/>
              </w:rPr>
            </w:pPr>
            <w:r w:rsidRPr="00B54F1E">
              <w:rPr>
                <w:b/>
                <w:bCs/>
                <w:color w:val="000000" w:themeColor="text1"/>
                <w:szCs w:val="22"/>
              </w:rPr>
              <w:t>Weight</w:t>
            </w:r>
          </w:p>
        </w:tc>
        <w:tc>
          <w:tcPr>
            <w:tcW w:w="3545" w:type="dxa"/>
            <w:shd w:val="clear" w:color="auto" w:fill="D9D9D9" w:themeFill="background1" w:themeFillShade="D9"/>
            <w:noWrap/>
            <w:vAlign w:val="bottom"/>
            <w:hideMark/>
          </w:tcPr>
          <w:p w14:paraId="09DA9924" w14:textId="77777777" w:rsidR="00B54F1E" w:rsidRPr="00B54F1E" w:rsidRDefault="00B54F1E" w:rsidP="00B54F1E">
            <w:pPr>
              <w:spacing w:before="0" w:after="0" w:line="240" w:lineRule="auto"/>
              <w:rPr>
                <w:b/>
                <w:bCs/>
                <w:color w:val="000000" w:themeColor="text1"/>
                <w:szCs w:val="22"/>
              </w:rPr>
            </w:pPr>
            <w:r w:rsidRPr="00B54F1E">
              <w:rPr>
                <w:b/>
                <w:bCs/>
                <w:color w:val="000000" w:themeColor="text1"/>
                <w:szCs w:val="22"/>
              </w:rPr>
              <w:t>Tablets</w:t>
            </w:r>
          </w:p>
        </w:tc>
        <w:tc>
          <w:tcPr>
            <w:tcW w:w="1282" w:type="dxa"/>
            <w:shd w:val="clear" w:color="auto" w:fill="D9D9D9" w:themeFill="background1" w:themeFillShade="D9"/>
            <w:noWrap/>
            <w:vAlign w:val="bottom"/>
            <w:hideMark/>
          </w:tcPr>
          <w:p w14:paraId="2231B7E5" w14:textId="6BAC10DA" w:rsidR="00B54F1E" w:rsidRPr="00B54F1E" w:rsidRDefault="00B54F1E" w:rsidP="00B54F1E">
            <w:pPr>
              <w:spacing w:before="0" w:after="0" w:line="240" w:lineRule="auto"/>
              <w:rPr>
                <w:b/>
                <w:bCs/>
                <w:color w:val="000000" w:themeColor="text1"/>
                <w:szCs w:val="22"/>
              </w:rPr>
            </w:pPr>
            <w:r w:rsidRPr="00B54F1E">
              <w:rPr>
                <w:b/>
                <w:bCs/>
                <w:color w:val="000000" w:themeColor="text1"/>
                <w:szCs w:val="22"/>
              </w:rPr>
              <w:t>D</w:t>
            </w:r>
            <w:r w:rsidR="00D974F1">
              <w:rPr>
                <w:b/>
                <w:bCs/>
                <w:color w:val="000000" w:themeColor="text1"/>
                <w:szCs w:val="22"/>
              </w:rPr>
              <w:t>0</w:t>
            </w:r>
          </w:p>
        </w:tc>
        <w:tc>
          <w:tcPr>
            <w:tcW w:w="1282" w:type="dxa"/>
            <w:shd w:val="clear" w:color="auto" w:fill="D9D9D9" w:themeFill="background1" w:themeFillShade="D9"/>
            <w:noWrap/>
            <w:vAlign w:val="bottom"/>
            <w:hideMark/>
          </w:tcPr>
          <w:p w14:paraId="6868A069" w14:textId="430F6884" w:rsidR="00B54F1E" w:rsidRPr="00B54F1E" w:rsidRDefault="00B54F1E" w:rsidP="00B54F1E">
            <w:pPr>
              <w:spacing w:before="0" w:after="0" w:line="240" w:lineRule="auto"/>
              <w:rPr>
                <w:b/>
                <w:bCs/>
                <w:color w:val="000000" w:themeColor="text1"/>
                <w:szCs w:val="22"/>
              </w:rPr>
            </w:pPr>
            <w:r w:rsidRPr="00B54F1E">
              <w:rPr>
                <w:b/>
                <w:bCs/>
                <w:color w:val="000000" w:themeColor="text1"/>
                <w:szCs w:val="22"/>
              </w:rPr>
              <w:t>D</w:t>
            </w:r>
            <w:r w:rsidR="00D974F1">
              <w:rPr>
                <w:b/>
                <w:bCs/>
                <w:color w:val="000000" w:themeColor="text1"/>
                <w:szCs w:val="22"/>
              </w:rPr>
              <w:t>1</w:t>
            </w:r>
          </w:p>
        </w:tc>
        <w:tc>
          <w:tcPr>
            <w:tcW w:w="1282" w:type="dxa"/>
            <w:shd w:val="clear" w:color="auto" w:fill="D9D9D9" w:themeFill="background1" w:themeFillShade="D9"/>
            <w:noWrap/>
            <w:vAlign w:val="bottom"/>
            <w:hideMark/>
          </w:tcPr>
          <w:p w14:paraId="10DEBC48" w14:textId="41296A64" w:rsidR="00B54F1E" w:rsidRPr="00B54F1E" w:rsidRDefault="00B54F1E" w:rsidP="00B54F1E">
            <w:pPr>
              <w:spacing w:before="0" w:after="0" w:line="240" w:lineRule="auto"/>
              <w:rPr>
                <w:b/>
                <w:bCs/>
                <w:color w:val="000000" w:themeColor="text1"/>
                <w:szCs w:val="22"/>
              </w:rPr>
            </w:pPr>
            <w:r w:rsidRPr="00B54F1E">
              <w:rPr>
                <w:b/>
                <w:bCs/>
                <w:color w:val="000000" w:themeColor="text1"/>
                <w:szCs w:val="22"/>
              </w:rPr>
              <w:t>D</w:t>
            </w:r>
            <w:r w:rsidR="00D974F1">
              <w:rPr>
                <w:b/>
                <w:bCs/>
                <w:color w:val="000000" w:themeColor="text1"/>
                <w:szCs w:val="22"/>
              </w:rPr>
              <w:t>2</w:t>
            </w:r>
          </w:p>
        </w:tc>
      </w:tr>
      <w:tr w:rsidR="00B54F1E" w:rsidRPr="00B54F1E" w14:paraId="13DAB60A" w14:textId="77777777" w:rsidTr="00B54F1E">
        <w:trPr>
          <w:trHeight w:val="360"/>
        </w:trPr>
        <w:tc>
          <w:tcPr>
            <w:tcW w:w="1635" w:type="dxa"/>
            <w:shd w:val="clear" w:color="auto" w:fill="auto"/>
            <w:noWrap/>
            <w:vAlign w:val="bottom"/>
            <w:hideMark/>
          </w:tcPr>
          <w:p w14:paraId="3AC21ECC"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9 to &lt; 18 kg</w:t>
            </w:r>
          </w:p>
        </w:tc>
        <w:tc>
          <w:tcPr>
            <w:tcW w:w="3545" w:type="dxa"/>
            <w:tcBorders>
              <w:bottom w:val="single" w:sz="4" w:space="0" w:color="auto"/>
            </w:tcBorders>
            <w:shd w:val="clear" w:color="auto" w:fill="auto"/>
            <w:noWrap/>
            <w:vAlign w:val="bottom"/>
            <w:hideMark/>
          </w:tcPr>
          <w:p w14:paraId="4424528C"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50 mg AS/135 mg AQ base</w:t>
            </w:r>
          </w:p>
        </w:tc>
        <w:tc>
          <w:tcPr>
            <w:tcW w:w="1282" w:type="dxa"/>
            <w:shd w:val="clear" w:color="auto" w:fill="auto"/>
            <w:noWrap/>
            <w:vAlign w:val="bottom"/>
            <w:hideMark/>
          </w:tcPr>
          <w:p w14:paraId="407FA7EA"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 tab</w:t>
            </w:r>
          </w:p>
        </w:tc>
        <w:tc>
          <w:tcPr>
            <w:tcW w:w="1282" w:type="dxa"/>
            <w:shd w:val="clear" w:color="auto" w:fill="auto"/>
            <w:noWrap/>
            <w:vAlign w:val="bottom"/>
            <w:hideMark/>
          </w:tcPr>
          <w:p w14:paraId="7C599ACA"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 tab</w:t>
            </w:r>
          </w:p>
        </w:tc>
        <w:tc>
          <w:tcPr>
            <w:tcW w:w="1282" w:type="dxa"/>
            <w:shd w:val="clear" w:color="auto" w:fill="auto"/>
            <w:noWrap/>
            <w:vAlign w:val="bottom"/>
            <w:hideMark/>
          </w:tcPr>
          <w:p w14:paraId="14942EF9"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 tab</w:t>
            </w:r>
          </w:p>
        </w:tc>
      </w:tr>
      <w:tr w:rsidR="00B54F1E" w:rsidRPr="00B54F1E" w14:paraId="6035588D" w14:textId="77777777" w:rsidTr="00B54F1E">
        <w:trPr>
          <w:trHeight w:val="360"/>
        </w:trPr>
        <w:tc>
          <w:tcPr>
            <w:tcW w:w="1635" w:type="dxa"/>
            <w:vMerge w:val="restart"/>
            <w:tcBorders>
              <w:right w:val="single" w:sz="4" w:space="0" w:color="auto"/>
            </w:tcBorders>
            <w:shd w:val="clear" w:color="auto" w:fill="auto"/>
            <w:noWrap/>
            <w:vAlign w:val="bottom"/>
            <w:hideMark/>
          </w:tcPr>
          <w:p w14:paraId="48865E39"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18 to &lt; 36 kg</w:t>
            </w:r>
          </w:p>
        </w:tc>
        <w:tc>
          <w:tcPr>
            <w:tcW w:w="3545" w:type="dxa"/>
            <w:tcBorders>
              <w:top w:val="single" w:sz="4" w:space="0" w:color="auto"/>
              <w:left w:val="single" w:sz="4" w:space="0" w:color="auto"/>
              <w:bottom w:val="nil"/>
              <w:right w:val="single" w:sz="4" w:space="0" w:color="auto"/>
            </w:tcBorders>
            <w:shd w:val="clear" w:color="auto" w:fill="auto"/>
            <w:noWrap/>
            <w:vAlign w:val="bottom"/>
            <w:hideMark/>
          </w:tcPr>
          <w:p w14:paraId="65D97A36"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100 mg AS/270 mg AQ base</w:t>
            </w:r>
          </w:p>
        </w:tc>
        <w:tc>
          <w:tcPr>
            <w:tcW w:w="1282" w:type="dxa"/>
            <w:vMerge w:val="restart"/>
            <w:tcBorders>
              <w:left w:val="single" w:sz="4" w:space="0" w:color="auto"/>
            </w:tcBorders>
            <w:shd w:val="clear" w:color="auto" w:fill="auto"/>
            <w:noWrap/>
            <w:vAlign w:val="bottom"/>
            <w:hideMark/>
          </w:tcPr>
          <w:p w14:paraId="63324AB9"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 tab</w:t>
            </w:r>
          </w:p>
        </w:tc>
        <w:tc>
          <w:tcPr>
            <w:tcW w:w="1282" w:type="dxa"/>
            <w:vMerge w:val="restart"/>
            <w:shd w:val="clear" w:color="auto" w:fill="auto"/>
            <w:noWrap/>
            <w:vAlign w:val="bottom"/>
            <w:hideMark/>
          </w:tcPr>
          <w:p w14:paraId="1B6984A2"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 tab</w:t>
            </w:r>
          </w:p>
        </w:tc>
        <w:tc>
          <w:tcPr>
            <w:tcW w:w="1282" w:type="dxa"/>
            <w:vMerge w:val="restart"/>
            <w:shd w:val="clear" w:color="auto" w:fill="auto"/>
            <w:noWrap/>
            <w:vAlign w:val="bottom"/>
            <w:hideMark/>
          </w:tcPr>
          <w:p w14:paraId="3A120422"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 tab</w:t>
            </w:r>
          </w:p>
        </w:tc>
      </w:tr>
      <w:tr w:rsidR="00B54F1E" w:rsidRPr="00B54F1E" w14:paraId="1A128720" w14:textId="77777777" w:rsidTr="00B54F1E">
        <w:trPr>
          <w:trHeight w:val="360"/>
        </w:trPr>
        <w:tc>
          <w:tcPr>
            <w:tcW w:w="1635" w:type="dxa"/>
            <w:vMerge/>
            <w:tcBorders>
              <w:right w:val="single" w:sz="4" w:space="0" w:color="auto"/>
            </w:tcBorders>
            <w:vAlign w:val="center"/>
            <w:hideMark/>
          </w:tcPr>
          <w:p w14:paraId="79930F02" w14:textId="77777777" w:rsidR="00B54F1E" w:rsidRPr="00F9183B" w:rsidRDefault="00B54F1E" w:rsidP="00B54F1E">
            <w:pPr>
              <w:spacing w:before="0" w:after="0" w:line="240" w:lineRule="auto"/>
              <w:rPr>
                <w:color w:val="000000" w:themeColor="text1"/>
                <w:szCs w:val="22"/>
              </w:rPr>
            </w:pPr>
          </w:p>
        </w:tc>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9B3AE40"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blister pack of 3 tab</w:t>
            </w:r>
          </w:p>
        </w:tc>
        <w:tc>
          <w:tcPr>
            <w:tcW w:w="1282" w:type="dxa"/>
            <w:vMerge/>
            <w:tcBorders>
              <w:left w:val="single" w:sz="4" w:space="0" w:color="auto"/>
            </w:tcBorders>
            <w:vAlign w:val="center"/>
            <w:hideMark/>
          </w:tcPr>
          <w:p w14:paraId="1D307DBB" w14:textId="77777777" w:rsidR="00B54F1E" w:rsidRPr="00F9183B" w:rsidRDefault="00B54F1E" w:rsidP="00B54F1E">
            <w:pPr>
              <w:spacing w:before="0" w:after="0" w:line="240" w:lineRule="auto"/>
              <w:rPr>
                <w:color w:val="000000" w:themeColor="text1"/>
                <w:szCs w:val="22"/>
              </w:rPr>
            </w:pPr>
          </w:p>
        </w:tc>
        <w:tc>
          <w:tcPr>
            <w:tcW w:w="1282" w:type="dxa"/>
            <w:vMerge/>
            <w:vAlign w:val="center"/>
            <w:hideMark/>
          </w:tcPr>
          <w:p w14:paraId="6854366A" w14:textId="77777777" w:rsidR="00B54F1E" w:rsidRPr="00F9183B" w:rsidRDefault="00B54F1E" w:rsidP="00B54F1E">
            <w:pPr>
              <w:spacing w:before="0" w:after="0" w:line="240" w:lineRule="auto"/>
              <w:rPr>
                <w:color w:val="000000" w:themeColor="text1"/>
                <w:szCs w:val="22"/>
              </w:rPr>
            </w:pPr>
          </w:p>
        </w:tc>
        <w:tc>
          <w:tcPr>
            <w:tcW w:w="1282" w:type="dxa"/>
            <w:vMerge/>
            <w:vAlign w:val="center"/>
            <w:hideMark/>
          </w:tcPr>
          <w:p w14:paraId="01B8654A" w14:textId="77777777" w:rsidR="00B54F1E" w:rsidRPr="00F9183B" w:rsidRDefault="00B54F1E" w:rsidP="00B54F1E">
            <w:pPr>
              <w:spacing w:before="0" w:after="0" w:line="240" w:lineRule="auto"/>
              <w:rPr>
                <w:color w:val="000000" w:themeColor="text1"/>
                <w:szCs w:val="22"/>
              </w:rPr>
            </w:pPr>
          </w:p>
        </w:tc>
      </w:tr>
      <w:tr w:rsidR="00B54F1E" w:rsidRPr="00B54F1E" w14:paraId="1143F2C4" w14:textId="77777777" w:rsidTr="00B54F1E">
        <w:trPr>
          <w:trHeight w:val="360"/>
        </w:trPr>
        <w:tc>
          <w:tcPr>
            <w:tcW w:w="1635" w:type="dxa"/>
            <w:vMerge w:val="restart"/>
            <w:tcBorders>
              <w:right w:val="single" w:sz="4" w:space="0" w:color="auto"/>
            </w:tcBorders>
            <w:shd w:val="clear" w:color="auto" w:fill="auto"/>
            <w:noWrap/>
            <w:vAlign w:val="bottom"/>
            <w:hideMark/>
          </w:tcPr>
          <w:p w14:paraId="53D695CA"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 36 kg</w:t>
            </w:r>
          </w:p>
        </w:tc>
        <w:tc>
          <w:tcPr>
            <w:tcW w:w="3545" w:type="dxa"/>
            <w:tcBorders>
              <w:top w:val="single" w:sz="4" w:space="0" w:color="auto"/>
              <w:left w:val="single" w:sz="4" w:space="0" w:color="auto"/>
              <w:bottom w:val="nil"/>
              <w:right w:val="single" w:sz="4" w:space="0" w:color="auto"/>
            </w:tcBorders>
            <w:shd w:val="clear" w:color="auto" w:fill="auto"/>
            <w:noWrap/>
            <w:vAlign w:val="bottom"/>
            <w:hideMark/>
          </w:tcPr>
          <w:p w14:paraId="6A3D5BF1"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100 mg AS/270 mg AQ base</w:t>
            </w:r>
          </w:p>
        </w:tc>
        <w:tc>
          <w:tcPr>
            <w:tcW w:w="1282" w:type="dxa"/>
            <w:vMerge w:val="restart"/>
            <w:tcBorders>
              <w:left w:val="single" w:sz="4" w:space="0" w:color="auto"/>
            </w:tcBorders>
            <w:shd w:val="clear" w:color="auto" w:fill="auto"/>
            <w:noWrap/>
            <w:vAlign w:val="bottom"/>
            <w:hideMark/>
          </w:tcPr>
          <w:p w14:paraId="4EFD2C87"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 xml:space="preserve">2 </w:t>
            </w:r>
            <w:proofErr w:type="gramStart"/>
            <w:r w:rsidRPr="00B54F1E">
              <w:rPr>
                <w:color w:val="000000" w:themeColor="text1"/>
                <w:szCs w:val="22"/>
              </w:rPr>
              <w:t>tab</w:t>
            </w:r>
            <w:proofErr w:type="gramEnd"/>
          </w:p>
        </w:tc>
        <w:tc>
          <w:tcPr>
            <w:tcW w:w="1282" w:type="dxa"/>
            <w:vMerge w:val="restart"/>
            <w:shd w:val="clear" w:color="auto" w:fill="auto"/>
            <w:noWrap/>
            <w:vAlign w:val="bottom"/>
            <w:hideMark/>
          </w:tcPr>
          <w:p w14:paraId="61A21A2C"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 xml:space="preserve">2 </w:t>
            </w:r>
            <w:proofErr w:type="gramStart"/>
            <w:r w:rsidRPr="00B54F1E">
              <w:rPr>
                <w:color w:val="000000" w:themeColor="text1"/>
                <w:szCs w:val="22"/>
              </w:rPr>
              <w:t>tab</w:t>
            </w:r>
            <w:proofErr w:type="gramEnd"/>
          </w:p>
        </w:tc>
        <w:tc>
          <w:tcPr>
            <w:tcW w:w="1282" w:type="dxa"/>
            <w:vMerge w:val="restart"/>
            <w:shd w:val="clear" w:color="auto" w:fill="auto"/>
            <w:noWrap/>
            <w:vAlign w:val="bottom"/>
            <w:hideMark/>
          </w:tcPr>
          <w:p w14:paraId="22D2EFBD" w14:textId="77777777" w:rsidR="00B54F1E" w:rsidRPr="00B54F1E" w:rsidRDefault="00B54F1E" w:rsidP="00B54F1E">
            <w:pPr>
              <w:spacing w:before="0" w:after="0" w:line="240" w:lineRule="auto"/>
              <w:rPr>
                <w:color w:val="000000" w:themeColor="text1"/>
                <w:szCs w:val="22"/>
              </w:rPr>
            </w:pPr>
            <w:r w:rsidRPr="00B54F1E">
              <w:rPr>
                <w:color w:val="000000" w:themeColor="text1"/>
                <w:szCs w:val="22"/>
              </w:rPr>
              <w:t xml:space="preserve">2 </w:t>
            </w:r>
            <w:proofErr w:type="gramStart"/>
            <w:r w:rsidRPr="00B54F1E">
              <w:rPr>
                <w:color w:val="000000" w:themeColor="text1"/>
                <w:szCs w:val="22"/>
              </w:rPr>
              <w:t>tab</w:t>
            </w:r>
            <w:proofErr w:type="gramEnd"/>
          </w:p>
        </w:tc>
      </w:tr>
      <w:tr w:rsidR="00B54F1E" w:rsidRPr="00B54F1E" w14:paraId="0E5A1B96" w14:textId="77777777" w:rsidTr="00B54F1E">
        <w:trPr>
          <w:trHeight w:val="360"/>
        </w:trPr>
        <w:tc>
          <w:tcPr>
            <w:tcW w:w="1635" w:type="dxa"/>
            <w:vMerge/>
            <w:tcBorders>
              <w:right w:val="single" w:sz="4" w:space="0" w:color="auto"/>
            </w:tcBorders>
            <w:vAlign w:val="center"/>
            <w:hideMark/>
          </w:tcPr>
          <w:p w14:paraId="76C4F927" w14:textId="77777777" w:rsidR="00B54F1E" w:rsidRPr="00F9183B" w:rsidRDefault="00B54F1E" w:rsidP="00B54F1E">
            <w:pPr>
              <w:spacing w:before="0" w:after="0" w:line="240" w:lineRule="auto"/>
              <w:rPr>
                <w:rFonts w:eastAsia="Times New Roman" w:cs="Arial"/>
                <w:color w:val="000000" w:themeColor="text1"/>
                <w:szCs w:val="22"/>
                <w:lang w:eastAsia="en-GB"/>
              </w:rPr>
            </w:pPr>
          </w:p>
        </w:tc>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7D9756F5" w14:textId="77777777" w:rsidR="00B54F1E" w:rsidRPr="00B54F1E" w:rsidRDefault="00B54F1E" w:rsidP="00B54F1E">
            <w:pPr>
              <w:spacing w:before="0" w:after="0" w:line="240" w:lineRule="auto"/>
              <w:rPr>
                <w:rFonts w:eastAsia="Times New Roman" w:cs="Arial"/>
                <w:color w:val="000000" w:themeColor="text1"/>
                <w:szCs w:val="22"/>
                <w:lang w:eastAsia="en-GB"/>
              </w:rPr>
            </w:pPr>
            <w:r w:rsidRPr="00B54F1E">
              <w:rPr>
                <w:rFonts w:eastAsia="Times New Roman" w:cs="Arial"/>
                <w:color w:val="000000" w:themeColor="text1"/>
                <w:szCs w:val="22"/>
                <w:lang w:eastAsia="en-GB"/>
              </w:rPr>
              <w:t>blister pack of 6 tab</w:t>
            </w:r>
          </w:p>
        </w:tc>
        <w:tc>
          <w:tcPr>
            <w:tcW w:w="1282" w:type="dxa"/>
            <w:vMerge/>
            <w:tcBorders>
              <w:left w:val="single" w:sz="4" w:space="0" w:color="auto"/>
            </w:tcBorders>
            <w:vAlign w:val="center"/>
            <w:hideMark/>
          </w:tcPr>
          <w:p w14:paraId="31EFF6B5" w14:textId="77777777" w:rsidR="00B54F1E" w:rsidRPr="00F9183B" w:rsidRDefault="00B54F1E" w:rsidP="00B54F1E">
            <w:pPr>
              <w:spacing w:before="0" w:after="0" w:line="240" w:lineRule="auto"/>
              <w:rPr>
                <w:rFonts w:eastAsia="Times New Roman" w:cs="Arial"/>
                <w:color w:val="000000" w:themeColor="text1"/>
                <w:szCs w:val="22"/>
                <w:lang w:eastAsia="en-GB"/>
              </w:rPr>
            </w:pPr>
          </w:p>
        </w:tc>
        <w:tc>
          <w:tcPr>
            <w:tcW w:w="1282" w:type="dxa"/>
            <w:vMerge/>
            <w:vAlign w:val="center"/>
            <w:hideMark/>
          </w:tcPr>
          <w:p w14:paraId="5DD8416A" w14:textId="77777777" w:rsidR="00B54F1E" w:rsidRPr="00F9183B" w:rsidRDefault="00B54F1E" w:rsidP="00B54F1E">
            <w:pPr>
              <w:spacing w:before="0" w:after="0" w:line="240" w:lineRule="auto"/>
              <w:rPr>
                <w:rFonts w:eastAsia="Times New Roman" w:cs="Arial"/>
                <w:color w:val="000000" w:themeColor="text1"/>
                <w:szCs w:val="22"/>
                <w:lang w:eastAsia="en-GB"/>
              </w:rPr>
            </w:pPr>
          </w:p>
        </w:tc>
        <w:tc>
          <w:tcPr>
            <w:tcW w:w="1282" w:type="dxa"/>
            <w:vMerge/>
            <w:vAlign w:val="center"/>
            <w:hideMark/>
          </w:tcPr>
          <w:p w14:paraId="4C525A2C" w14:textId="77777777" w:rsidR="00B54F1E" w:rsidRPr="00F9183B" w:rsidRDefault="00B54F1E" w:rsidP="00B54F1E">
            <w:pPr>
              <w:spacing w:before="0" w:after="0" w:line="240" w:lineRule="auto"/>
              <w:rPr>
                <w:rFonts w:eastAsia="Times New Roman" w:cs="Arial"/>
                <w:color w:val="000000" w:themeColor="text1"/>
                <w:szCs w:val="22"/>
                <w:lang w:eastAsia="en-GB"/>
              </w:rPr>
            </w:pPr>
          </w:p>
        </w:tc>
      </w:tr>
    </w:tbl>
    <w:p w14:paraId="1A8600DF" w14:textId="77777777" w:rsidR="00DA55BC" w:rsidRPr="00A6060C" w:rsidRDefault="00DA55BC" w:rsidP="00A6060C"/>
    <w:p w14:paraId="0A7D9005" w14:textId="7F7E9E70" w:rsidR="00C8279C" w:rsidRDefault="00C8279C">
      <w:pPr>
        <w:pStyle w:val="Heading2"/>
      </w:pPr>
      <w:bookmarkStart w:id="221" w:name="_Toc100231697"/>
      <w:bookmarkStart w:id="222" w:name="_Toc100231829"/>
      <w:bookmarkStart w:id="223" w:name="_Toc100231936"/>
      <w:bookmarkStart w:id="224" w:name="_Toc100232059"/>
      <w:bookmarkStart w:id="225" w:name="_Toc100306374"/>
      <w:bookmarkStart w:id="226" w:name="_Toc100324452"/>
      <w:bookmarkStart w:id="227" w:name="_Toc101204969"/>
      <w:bookmarkStart w:id="228" w:name="_Toc101205088"/>
      <w:bookmarkStart w:id="229" w:name="_Toc101205235"/>
      <w:bookmarkStart w:id="230" w:name="_Toc102984951"/>
      <w:bookmarkStart w:id="231" w:name="_Toc102985802"/>
      <w:bookmarkStart w:id="232" w:name="_Toc104981635"/>
      <w:bookmarkStart w:id="233" w:name="_Toc106288880"/>
      <w:r w:rsidRPr="00CD22A7">
        <w:t>Primaquine</w:t>
      </w:r>
      <w:r w:rsidR="00CD22A7">
        <w:t xml:space="preserve"> (PQ)</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55264A65" w14:textId="0A5C8AFA" w:rsidR="00240D19" w:rsidRPr="00240D19" w:rsidRDefault="00240D19" w:rsidP="00B91D68">
      <w:pPr>
        <w:jc w:val="both"/>
      </w:pPr>
      <w:r w:rsidRPr="009B79D7">
        <w:t>Participants in the A</w:t>
      </w:r>
      <w:r w:rsidR="002B0717">
        <w:t>SAQ</w:t>
      </w:r>
      <w:r w:rsidRPr="009B79D7">
        <w:t xml:space="preserve">-PQ arm will receive PQ (ACE Pharmaceuticals, </w:t>
      </w:r>
      <w:proofErr w:type="spellStart"/>
      <w:r w:rsidRPr="009B79D7">
        <w:t>Zeewolde</w:t>
      </w:r>
      <w:proofErr w:type="spellEnd"/>
      <w:r w:rsidRPr="009B79D7">
        <w:t>, The Netherlands) at a single low dose of 0.25mg/kg as is currently recommended by the World Health Organization. The single dose of PQ will be given on day 0 together with A</w:t>
      </w:r>
      <w:r w:rsidR="002B0717">
        <w:t>SAQ</w:t>
      </w:r>
      <w:r w:rsidRPr="009B79D7">
        <w:t xml:space="preserve">, administered in an aqueous solution, according to a standard operating procedure (SOP) provided by the manufacturer as previously done at the study site when </w:t>
      </w:r>
      <w:r w:rsidRPr="0020765E">
        <w:t>PQ was combined with DP</w:t>
      </w:r>
      <w:r w:rsidR="002B0717" w:rsidRPr="0020765E">
        <w:t>, PA, AL</w:t>
      </w:r>
      <w:r w:rsidRPr="0020765E">
        <w:t xml:space="preserve"> </w:t>
      </w:r>
      <w:r w:rsidR="00451B95" w:rsidRPr="0020765E">
        <w:fldChar w:fldCharType="begin"/>
      </w:r>
      <w:r w:rsidR="00FB2554">
        <w:instrText xml:space="preserve"> ADDIN ZOTERO_ITEM CSL_CITATION {"citationID":"YBElTGuL","properties":{"formattedCitation":"[3], [8], [23]","plainCitation":"[3], [8], [23]","noteIndex":0},"citationItems":[{"id":737,"uris":["http://zotero.org/users/7806423/items/XW32ELGQ"],"itemData":{"id":737,"type":"article-journal","abstract":"Background Pyronaridine–artesunate is the most recently licensed artemisinin-based combination therapy. WHO has recommended that a single low dose of primaquine could be added to artemisinin-based combination therapies to reduce Plasmodium falciparum transmission in areas aiming for elimination of malaria or areas facing artemisinin resistance. We aimed to determine the efficacy of pyronaridine–artesunate and dihydroartemisinin–piperaquine with and without single low-dose primaquine for reducing gametocyte density and transmission to mosquitoes.","container-title":"The Lancet Microbe","DOI":"10.1016/S2666-5247(21)00192-0","ISSN":"26665247","issue":"1","journalAbbreviation":"The Lancet Microbe","language":"en","page":"e41-e51","source":"DOI.org (Crossref)","title":"Pyronaridine–artesunate or dihydroartemisinin–piperaquine combined with single low-dose primaquine to prevent Plasmodium falciparum malaria transmission in Ouélessébougou, Mali: a four-arm, single-blind, phase 2/3, randomised trial","title-short":"Pyronaridine–artesunate or dihydroartemisinin–piperaquine combined with single low-dose primaquine to prevent Plasmodium falciparum malaria transmission in Ouélessébougou, Mali","volume":"3","author":[{"family":"Stone","given":"William"},{"family":"Mahamar","given":"Almahamoudou"},{"family":"Sanogo","given":"Koualy"},{"family":"Sinaba","given":"Youssouf"},{"family":"Niambele","given":"Sidi M"},{"family":"Sacko","given":"Adama"},{"family":"Keita","given":"Sekouba"},{"family":"Youssouf","given":"Ahamadou"},{"family":"Diallo","given":"Makonon"},{"family":"Soumare","given":"Harouna M"},{"family":"Kaur","given":"Harparkash"},{"family":"Lanke","given":"Kjerstin"},{"family":"Heine","given":"Rob","non-dropping-particle":"ter"},{"family":"Bradley","given":"John"},{"family":"Issiaka","given":"Djibrilla"},{"family":"Diawara","given":"Halimatou"},{"family":"Traore","given":"Sekou F"},{"family":"Bousema","given":"Teun"},{"family":"Drakeley","given":"Chris"},{"family":"Dicko","given":"Alassane"}],"issued":{"date-parts":[["2022",1]]}}},{"id":148,"uris":["http://zotero.org/users/7806423/items/JRKRIFND"],"itemData":{"id":148,"type":"article-journal","abstract":"BACKGROUND: Single low doses of primaquine, when added to artemisinin-based combination therapy, might prevent transmission of Plasmodium falciparum malaria to mosquitoes. We aimed to establish the activity and safety of four low doses of primaquine combined with dihydroartemisinin-piperaquine in male patients in Mali.\nMETHODS: In this phase 2, single-blind, dose-ranging, adaptive randomised trial, we enrolled boys and men with uncomplicated P falciparum malaria at the Malaria Research and Training Centre (MRTC) field site in Ouelessebougou, Mali. All participants were confirmed positive carriers of gametocytes through microscopy and had normal function of glucose-6-phosphate dehydrogenase (G6PD) on colorimetric quantification. In the first phase, participants were randomly assigned (1:1:1) to one of three primaquine doses: 0 mg/kg (control), 0·125 mg/kg, and 0·5 mg/kg. Randomisation was done with a computer-generated randomisation list (in block sizes of six) and concealed with sealed, opaque envelopes. In the second phase, different participants were sequentially assigned (1:1) to 0·25 mg/kg primaquine or 0·0625 mg/kg primaquine. Primaquine tablets were dissolved into a solution and administered orally in a single dose. Participants were also given a 3 day course of dihydroartemisinin-piperaquine, administered by weight (320 mg dihydroartemisinin and 40 mg piperaquine per tablet). Outcome assessors were masked to treatment allocation, but participants were permitted to find out group assignment. Infectivity was assessed through membrane-feeding assays, which were optimised through the beginning part of phase one. The primary efficacy endpoint was the mean within-person percentage change in mosquito infectivity 2 days after primaquine treatment in participants who completed the study after optimisation of the infectivity assay, had both a pre-treatment infectivity measurement and at least one follow-up infectivity measurement, and who were given the correct primaquine dose. The safety endpoint was the mean within-person change in haemoglobin concentration during 28 days of study follow-up in participants with at least one follow-up visit. This study is registered with ClinicalTrials.gov, number NCT01743820.\nFINDINGS: Between Jan 2, 2013, and Nov 27, 2014, we enrolled 81 participants. In the primary analysis sample (n=71), participants in the 0·25 mg/kg primaquine dose group (n=15) and 0·5 mg/kg primaquine dose group (n=14) had significantly lower mean within-person reductions in infectivity at day 2-92·6% (95% CI 78·3-100; p=0·0014) for the 0·25 mg/kg group; and 75·0% (45·7-100; p=0·014) for the 0·5 mg/kg primaquine group-compared with those in the control group (n=14; 11·3% [-27·4 to 50·0]). Reductions were not significantly different from control for participants assigned to the 0·0625 mg/kg dose group (n=16; 41·9% [1·4-82·5]; p=0·16) and the 0·125 mg/kg dose group (n=12; 54·9% [13·4-96·3]; p=0·096). No clinically meaningful or statistically significant drops in haemoglobin were recorded in any individual in the haemoglobin analysis (n=70) during follow-up. No serious adverse events were reported and adverse events did not differ between treatment groups.\nINTERPRETATION: A single dose of 0·25 mg/kg primaquine, given alongside dihydroartemisinin-piperaquine, was safe and efficacious for the prevention of P falciparum malaria transmission in boys and men who are not deficient in G6PD. Future studies should assess the safety of single-dose primaquine in G6PD-deficient individuals to define the therapeutic range of primaquine to enable the safe roll-out of community interventions with primaquine.\nFUNDING: Bill &amp; Melinda Gates Foundation.","container-title":"The Lancet. Infectious Diseases","DOI":"10.1016/S1473-3099(15)00479-X","ISSN":"1474-4457","issue":"6","journalAbbreviation":"Lancet Infect Dis","language":"eng","note":"PMID: 26906747","page":"674-684","source":"PubMed","title":"Primaquine to reduce transmission of Plasmodium falciparum malaria in Mali: a single-blind, dose-ranging, adaptive randomised phase 2 trial","title-short":"Primaquine to reduce transmission of Plasmodium falciparum malaria in Mali","volume":"16","author":[{"family":"Dicko","given":"Alassane"},{"family":"Brown","given":"Joelle M."},{"family":"Diawara","given":"Halimatou"},{"family":"Baber","given":"Ibrahima"},{"family":"Mahamar","given":"Almahamoudou"},{"family":"Soumare","given":"Harouna M."},{"family":"Sanogo","given":"Koualy"},{"family":"Koita","given":"Fanta"},{"family":"Keita","given":"Sekouba"},{"family":"Traore","given":"Sekou F."},{"family":"Chen","given":"Ingrid"},{"family":"Poirot","given":"Eugenie"},{"family":"Hwang","given":"Jimee"},{"family":"McCulloch","given":"Charles"},{"family":"Lanke","given":"Kjerstin"},{"family":"Pett","given":"Helmi"},{"family":"Niemi","given":"Mikko"},{"family":"Nosten","given":"François"},{"family":"Bousema","given":"Teun"},{"family":"Gosling","given":"Roly"}],"issued":{"date-parts":[["2016",6]]}}},{"id":151,"uris":["http://zotero.org/users/7806423/items/F9ZX7FSI"],"itemData":{"id":151,"type":"article-journal","abstract":"BACKGROUND: Primaquine and methylene blue are gametocytocidal compounds that could prevent Plasmodium falciparum transmission to mosquitoes. We aimed to assess the efficacy and safety of primaquine and methylene blue in preventing human to mosquito transmission of P falciparum among glucose-6-phosphate dehydrogenase (G6PD)-normal, gametocytaemic male participants.\nMETHODS: This was a phase 2, single-blind, randomised controlled trial done at the Clinical Research Centre of the Malaria Research and Training Centre (MRTC) of the University of Bamako (Bamako, Mali). We enrolled male participants aged 5-50 years with asymptomatic P falciparum malaria. G6PD-normal participants with gametocytes detected by blood smear were randomised 1:1:1:1 in block sizes of eight, using a sealed-envelope design, to receive either sulfadoxine-pyrimethamine and amodiaquine, sulfadoxine-pyrimethamine and amodiaquine plus a single dose of 0·25 mg/kg primaquine, dihydroartemisinin-piperaquine, or dihydroartemisinin-piperaquine plus 15 mg/kg per day methylene blue for 3 days. Laboratory staff, investigators, and insectary technicians were masked to the treatment group and gametocyte density of study participants. The study pharmacist and treating physician were not masked. Participants could request unmasking. The primary efficacy endpoint, analysed in all infected patients with at least one infectivity measure before and after treatment, was median within-person percentage change in mosquito infectivity 2 and 7 days after treatment, assessed by membrane feeding. This study is registered with ClinicalTrials.gov, number NCT02831023.\nFINDINGS: Between June 27, 2016, and Nov 1, 2016, 80 participants were enrolled and assigned to the sulfadoxine-pyrimethamine and amodiaquine (n=20), sulfadoxine-pyrimethamine and amodiaquine plus primaquine (n=20), dihydroartemisinin-piperaquine (n=20), or dihydroartemisinin-piperaquine plus methylene blue (n=20) groups. Among participants infectious at baseline (54 [68%] of 80), those in the sulfadoxine-pyrimethamine and amodiaquine plus primaquine group (n=19) had a median 100% (IQR 100 to 100) within-person reduction in mosquito infectivity on day 2, a larger reduction than was noted with sulfadoxine-pyrimethamine and amodiaquine alone (n=12; -10·2%, IQR -143·9 to 56·6; p&lt;0·0001). The dihydroartemisinin-piperaquine plus methylene blue (n=11) group had a median 100% (IQR 100 to 100) within-person reduction in mosquito infectivity on day 2, a larger reduction than was noted with dihydroartemisinin-piperaquine alone (n=12; -6·0%, IQR -126·1 to 86·9; p&lt;0·0001). Haemoglobin changes were similar between gametocytocidal arms and their respective controls. After exclusion of blue urine, adverse events were similar across all groups (59 [74%] of 80 participants had 162 adverse events overall, 145 [90%] of which were mild).\nINTERPRETATION: Adding a single dose of 0·25 mg/kg primaquine to sulfadoxine-pyrimethamine and amodiaquine or 3 days of 15 mg/kg per day methylene blue to dihydroartemisinin-piperaquine was highly efficacious for preventing P falciparum transmission. Both primaquine and methylene blue were well tolerated.\nFUNDING: Bill &amp; Melinda Gates Foundation, European Research Council.","container-title":"The Lancet. Infectious Diseases","DOI":"10.1016/S1473-3099(18)30044-6","ISSN":"1474-4457","issue":"6","journalAbbreviation":"Lancet Infect Dis","language":"eng","note":"PMID: 29422384\nPMCID: PMC5968371","page":"627-639","source":"PubMed","title":"Efficacy and safety of primaquine and methylene blue for prevention of Plasmodium falciparum transmission in Mali: a phase 2, single-blind, randomised controlled trial","title-short":"Efficacy and safety of primaquine and methylene blue for prevention of Plasmodium falciparum transmission in Mali","volume":"18","author":[{"family":"Dicko","given":"Alassane"},{"family":"Roh","given":"Michelle E."},{"family":"Diawara","given":"Halimatou"},{"family":"Mahamar","given":"Almahamoudou"},{"literal":"Harouna M. Soumare"},{"family":"Lanke","given":"Kjerstin"},{"family":"Bradley","given":"John"},{"family":"Sanogo","given":"Koualy"},{"family":"Kone","given":"Daouda T."},{"family":"Diarra","given":"Kalifa"},{"family":"Keita","given":"Sekouba"},{"family":"Issiaka","given":"Djibrilla"},{"family":"Traore","given":"Sekou F."},{"family":"McCulloch","given":"Charles"},{"family":"Stone","given":"Will J. R."},{"family":"Hwang","given":"Jimee"},{"family":"Müller","given":"Olaf"},{"family":"Brown","given":"Joelle M."},{"family":"Srinivasan","given":"Vinay"},{"family":"Drakeley","given":"Chris"},{"family":"Gosling","given":"Roly"},{"family":"Chen","given":"Ingrid"},{"family":"Bousema","given":"Teun"}],"issued":{"date-parts":[["2018",6]]}}}],"schema":"https://github.com/citation-style-language/schema/raw/master/csl-citation.json"} </w:instrText>
      </w:r>
      <w:r w:rsidR="00451B95" w:rsidRPr="0020765E">
        <w:fldChar w:fldCharType="separate"/>
      </w:r>
      <w:r w:rsidR="00FB2554">
        <w:rPr>
          <w:noProof/>
        </w:rPr>
        <w:t>[3], [8], [23]</w:t>
      </w:r>
      <w:r w:rsidR="00451B95" w:rsidRPr="0020765E">
        <w:fldChar w:fldCharType="end"/>
      </w:r>
      <w:r w:rsidR="0020765E" w:rsidRPr="0020765E">
        <w:t>.</w:t>
      </w:r>
    </w:p>
    <w:p w14:paraId="580DBD76" w14:textId="0C43F44F" w:rsidR="00C8279C" w:rsidRDefault="00C8279C">
      <w:pPr>
        <w:pStyle w:val="Heading2"/>
      </w:pPr>
      <w:bookmarkStart w:id="234" w:name="_Toc100231698"/>
      <w:bookmarkStart w:id="235" w:name="_Toc100231830"/>
      <w:bookmarkStart w:id="236" w:name="_Toc100231937"/>
      <w:bookmarkStart w:id="237" w:name="_Toc100232060"/>
      <w:bookmarkStart w:id="238" w:name="_Toc100306375"/>
      <w:bookmarkStart w:id="239" w:name="_Toc100324453"/>
      <w:bookmarkStart w:id="240" w:name="_Toc101204970"/>
      <w:bookmarkStart w:id="241" w:name="_Toc101205089"/>
      <w:bookmarkStart w:id="242" w:name="_Toc101205236"/>
      <w:bookmarkStart w:id="243" w:name="_Toc102984952"/>
      <w:bookmarkStart w:id="244" w:name="_Toc102985803"/>
      <w:bookmarkStart w:id="245" w:name="_Toc104981636"/>
      <w:bookmarkStart w:id="246" w:name="_Toc106288881"/>
      <w:r w:rsidRPr="009D4224">
        <w:t>A</w:t>
      </w:r>
      <w:r w:rsidR="00CD22A7">
        <w:t>rtemet</w:t>
      </w:r>
      <w:r w:rsidR="00240D19">
        <w:t>h</w:t>
      </w:r>
      <w:r w:rsidR="00CD22A7">
        <w:t>er-Lumefantrine (AL)</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29202D25" w14:textId="684B0C59" w:rsidR="00A87B12" w:rsidRDefault="00A87B12" w:rsidP="00B91D68">
      <w:pPr>
        <w:jc w:val="both"/>
      </w:pPr>
      <w:bookmarkStart w:id="247" w:name="_Toc101204971"/>
      <w:bookmarkStart w:id="248" w:name="_Toc101205090"/>
      <w:bookmarkStart w:id="249" w:name="_Toc100231699"/>
      <w:bookmarkStart w:id="250" w:name="_Toc100231831"/>
      <w:bookmarkStart w:id="251" w:name="_Toc100231938"/>
      <w:bookmarkStart w:id="252" w:name="_Toc100232061"/>
      <w:bookmarkStart w:id="253" w:name="_Toc100306376"/>
      <w:bookmarkStart w:id="254" w:name="_Toc100324454"/>
      <w:r w:rsidRPr="009B79D7">
        <w:t xml:space="preserve">Participants in the AL arm will be treated with standard doses of AL </w:t>
      </w:r>
      <w:r w:rsidR="004F1CEA" w:rsidRPr="00852ED4">
        <w:t>(Fosun Pharma, Shanghai, China). Tablets containing 20 mg artemether and 120 mg lumefantrine will be administered per manufacturer guidelines</w:t>
      </w:r>
      <w:bookmarkEnd w:id="247"/>
      <w:bookmarkEnd w:id="248"/>
      <w:r w:rsidR="0026456A">
        <w:t xml:space="preserve"> (</w:t>
      </w:r>
      <w:r w:rsidR="0026456A" w:rsidRPr="0026456A">
        <w:rPr>
          <w:b/>
          <w:bCs/>
        </w:rPr>
        <w:t xml:space="preserve">Table </w:t>
      </w:r>
      <w:r w:rsidR="00203DA3">
        <w:rPr>
          <w:b/>
          <w:bCs/>
        </w:rPr>
        <w:t>3</w:t>
      </w:r>
      <w:r w:rsidR="0026456A">
        <w:t>)</w:t>
      </w:r>
    </w:p>
    <w:p w14:paraId="4AE7D841" w14:textId="27C51A57" w:rsidR="00A87B12" w:rsidRPr="00A87B12" w:rsidRDefault="00A87B12" w:rsidP="00A87B12">
      <w:r w:rsidRPr="00A87B12">
        <w:rPr>
          <w:b/>
          <w:bCs/>
        </w:rPr>
        <w:t>Table</w:t>
      </w:r>
      <w:r w:rsidR="00F978DA">
        <w:rPr>
          <w:b/>
          <w:bCs/>
        </w:rPr>
        <w:t xml:space="preserve"> </w:t>
      </w:r>
      <w:r w:rsidR="00203DA3">
        <w:rPr>
          <w:b/>
          <w:bCs/>
        </w:rPr>
        <w:t>3</w:t>
      </w:r>
      <w:r w:rsidR="00F978DA">
        <w:rPr>
          <w:b/>
          <w:bCs/>
        </w:rPr>
        <w:t>.</w:t>
      </w:r>
      <w:r>
        <w:t xml:space="preserve"> AL dosing</w:t>
      </w:r>
    </w:p>
    <w:tbl>
      <w:tblPr>
        <w:tblStyle w:val="TableGrid2"/>
        <w:tblW w:w="6089" w:type="dxa"/>
        <w:tblLook w:val="04A0" w:firstRow="1" w:lastRow="0" w:firstColumn="1" w:lastColumn="0" w:noHBand="0" w:noVBand="1"/>
      </w:tblPr>
      <w:tblGrid>
        <w:gridCol w:w="1838"/>
        <w:gridCol w:w="1416"/>
        <w:gridCol w:w="1418"/>
        <w:gridCol w:w="1417"/>
      </w:tblGrid>
      <w:tr w:rsidR="004F1CEA" w:rsidRPr="00A87B12" w14:paraId="7A94BABF" w14:textId="77777777" w:rsidTr="00C9762A">
        <w:tc>
          <w:tcPr>
            <w:tcW w:w="1838" w:type="dxa"/>
            <w:shd w:val="clear" w:color="auto" w:fill="D9D9D9" w:themeFill="background1" w:themeFillShade="D9"/>
          </w:tcPr>
          <w:p w14:paraId="5587FBC4" w14:textId="77777777" w:rsidR="004F1CEA" w:rsidRPr="00A87B12" w:rsidRDefault="004F1CEA" w:rsidP="00A87B12">
            <w:pPr>
              <w:spacing w:before="0" w:after="0"/>
              <w:jc w:val="both"/>
              <w:rPr>
                <w:rFonts w:cs="Arial"/>
                <w:b/>
                <w:bCs/>
                <w:sz w:val="20"/>
              </w:rPr>
            </w:pPr>
            <w:r w:rsidRPr="00A87B12">
              <w:rPr>
                <w:rFonts w:cs="Arial"/>
                <w:b/>
                <w:bCs/>
                <w:sz w:val="20"/>
              </w:rPr>
              <w:t>Bodyweight (kg)</w:t>
            </w:r>
          </w:p>
        </w:tc>
        <w:tc>
          <w:tcPr>
            <w:tcW w:w="4251" w:type="dxa"/>
            <w:gridSpan w:val="3"/>
            <w:shd w:val="clear" w:color="auto" w:fill="D9D9D9" w:themeFill="background1" w:themeFillShade="D9"/>
          </w:tcPr>
          <w:p w14:paraId="5CD26D5C" w14:textId="77777777" w:rsidR="004F1CEA" w:rsidRPr="00A87B12" w:rsidRDefault="004F1CEA" w:rsidP="00A87B12">
            <w:pPr>
              <w:spacing w:before="0" w:after="0"/>
              <w:jc w:val="both"/>
              <w:rPr>
                <w:rFonts w:cs="Arial"/>
                <w:b/>
                <w:bCs/>
                <w:sz w:val="20"/>
              </w:rPr>
            </w:pPr>
            <w:r w:rsidRPr="00A87B12">
              <w:rPr>
                <w:rFonts w:cs="Arial"/>
                <w:b/>
                <w:bCs/>
                <w:sz w:val="20"/>
                <w:lang w:eastAsia="nl-NL"/>
              </w:rPr>
              <w:t>20/120 mg tablet</w:t>
            </w:r>
          </w:p>
        </w:tc>
      </w:tr>
      <w:tr w:rsidR="004F1CEA" w:rsidRPr="00A87B12" w14:paraId="32CE9DC1" w14:textId="77777777" w:rsidTr="00C9762A">
        <w:tc>
          <w:tcPr>
            <w:tcW w:w="1838" w:type="dxa"/>
          </w:tcPr>
          <w:p w14:paraId="36CD1A36" w14:textId="77777777" w:rsidR="004F1CEA" w:rsidRPr="00A87B12" w:rsidRDefault="004F1CEA" w:rsidP="00A87B12">
            <w:pPr>
              <w:spacing w:before="0" w:after="0"/>
              <w:jc w:val="both"/>
              <w:rPr>
                <w:rFonts w:cs="Arial"/>
                <w:sz w:val="20"/>
              </w:rPr>
            </w:pPr>
          </w:p>
        </w:tc>
        <w:tc>
          <w:tcPr>
            <w:tcW w:w="1416" w:type="dxa"/>
          </w:tcPr>
          <w:p w14:paraId="757367F3" w14:textId="6CE36162" w:rsidR="004F1CEA" w:rsidRPr="00A87B12" w:rsidRDefault="004F1CEA" w:rsidP="00A87B12">
            <w:pPr>
              <w:spacing w:before="0" w:after="0"/>
              <w:jc w:val="both"/>
              <w:rPr>
                <w:rFonts w:cs="Arial"/>
                <w:sz w:val="20"/>
              </w:rPr>
            </w:pPr>
            <w:r w:rsidRPr="00A87B12">
              <w:rPr>
                <w:rFonts w:cs="Arial"/>
                <w:sz w:val="20"/>
              </w:rPr>
              <w:t>D</w:t>
            </w:r>
            <w:r w:rsidR="00D974F1">
              <w:rPr>
                <w:rFonts w:cs="Arial"/>
                <w:sz w:val="20"/>
              </w:rPr>
              <w:t>0</w:t>
            </w:r>
          </w:p>
        </w:tc>
        <w:tc>
          <w:tcPr>
            <w:tcW w:w="1418" w:type="dxa"/>
          </w:tcPr>
          <w:p w14:paraId="6767C96A" w14:textId="6A1BCB62" w:rsidR="004F1CEA" w:rsidRPr="00A87B12" w:rsidRDefault="004F1CEA" w:rsidP="00A87B12">
            <w:pPr>
              <w:spacing w:before="0" w:after="0"/>
              <w:jc w:val="both"/>
              <w:rPr>
                <w:rFonts w:cs="Arial"/>
                <w:sz w:val="20"/>
              </w:rPr>
            </w:pPr>
            <w:r w:rsidRPr="00A87B12">
              <w:rPr>
                <w:rFonts w:cs="Arial"/>
                <w:sz w:val="20"/>
              </w:rPr>
              <w:t>D</w:t>
            </w:r>
            <w:r w:rsidR="00D974F1">
              <w:rPr>
                <w:rFonts w:cs="Arial"/>
                <w:sz w:val="20"/>
              </w:rPr>
              <w:t>1</w:t>
            </w:r>
          </w:p>
        </w:tc>
        <w:tc>
          <w:tcPr>
            <w:tcW w:w="1417" w:type="dxa"/>
          </w:tcPr>
          <w:p w14:paraId="13A6D654" w14:textId="47566643" w:rsidR="004F1CEA" w:rsidRPr="00A87B12" w:rsidRDefault="004F1CEA" w:rsidP="00A87B12">
            <w:pPr>
              <w:spacing w:before="0" w:after="0"/>
              <w:jc w:val="both"/>
              <w:rPr>
                <w:rFonts w:cs="Arial"/>
                <w:sz w:val="20"/>
              </w:rPr>
            </w:pPr>
            <w:r w:rsidRPr="00A87B12">
              <w:rPr>
                <w:rFonts w:cs="Arial"/>
                <w:sz w:val="20"/>
              </w:rPr>
              <w:t>D</w:t>
            </w:r>
            <w:r w:rsidR="00D974F1">
              <w:rPr>
                <w:rFonts w:cs="Arial"/>
                <w:sz w:val="20"/>
              </w:rPr>
              <w:t>2</w:t>
            </w:r>
          </w:p>
        </w:tc>
      </w:tr>
      <w:tr w:rsidR="004F1CEA" w:rsidRPr="00A87B12" w14:paraId="6AEC52CE" w14:textId="77777777" w:rsidTr="00C9762A">
        <w:tc>
          <w:tcPr>
            <w:tcW w:w="1838" w:type="dxa"/>
          </w:tcPr>
          <w:p w14:paraId="3B86D65F" w14:textId="77777777" w:rsidR="004F1CEA" w:rsidRPr="00A87B12" w:rsidRDefault="004F1CEA" w:rsidP="00A87B12">
            <w:pPr>
              <w:spacing w:before="0" w:after="0"/>
              <w:jc w:val="both"/>
              <w:rPr>
                <w:rFonts w:cs="Arial"/>
                <w:sz w:val="20"/>
              </w:rPr>
            </w:pPr>
            <w:r w:rsidRPr="00A87B12">
              <w:rPr>
                <w:rFonts w:cs="Arial"/>
                <w:sz w:val="20"/>
              </w:rPr>
              <w:t>5 to &lt; 15 kg</w:t>
            </w:r>
          </w:p>
        </w:tc>
        <w:tc>
          <w:tcPr>
            <w:tcW w:w="1416" w:type="dxa"/>
          </w:tcPr>
          <w:p w14:paraId="3EDACB82" w14:textId="77777777" w:rsidR="004F1CEA" w:rsidRPr="00A87B12" w:rsidRDefault="004F1CEA" w:rsidP="00A87B12">
            <w:pPr>
              <w:spacing w:before="0" w:after="0"/>
              <w:jc w:val="both"/>
              <w:rPr>
                <w:rFonts w:cs="Arial"/>
                <w:sz w:val="20"/>
              </w:rPr>
            </w:pPr>
            <w:r w:rsidRPr="00A87B12">
              <w:rPr>
                <w:rFonts w:cs="Arial"/>
                <w:sz w:val="20"/>
              </w:rPr>
              <w:t xml:space="preserve">1 </w:t>
            </w:r>
            <w:proofErr w:type="spellStart"/>
            <w:r w:rsidRPr="00A87B12">
              <w:rPr>
                <w:rFonts w:cs="Arial"/>
                <w:sz w:val="20"/>
              </w:rPr>
              <w:t>disp</w:t>
            </w:r>
            <w:proofErr w:type="spellEnd"/>
            <w:r w:rsidRPr="00A87B12">
              <w:rPr>
                <w:rFonts w:cs="Arial"/>
                <w:sz w:val="20"/>
              </w:rPr>
              <w:t xml:space="preserve"> tab x 2</w:t>
            </w:r>
          </w:p>
        </w:tc>
        <w:tc>
          <w:tcPr>
            <w:tcW w:w="1418" w:type="dxa"/>
          </w:tcPr>
          <w:p w14:paraId="6ABE21A0" w14:textId="77777777" w:rsidR="004F1CEA" w:rsidRPr="00A87B12" w:rsidRDefault="004F1CEA" w:rsidP="00A87B12">
            <w:pPr>
              <w:spacing w:before="0" w:after="0"/>
              <w:jc w:val="both"/>
              <w:rPr>
                <w:rFonts w:cs="Arial"/>
                <w:sz w:val="20"/>
              </w:rPr>
            </w:pPr>
            <w:r w:rsidRPr="00A87B12">
              <w:rPr>
                <w:rFonts w:cs="Arial"/>
                <w:sz w:val="20"/>
              </w:rPr>
              <w:t xml:space="preserve">1 </w:t>
            </w:r>
            <w:proofErr w:type="spellStart"/>
            <w:r w:rsidRPr="00A87B12">
              <w:rPr>
                <w:rFonts w:cs="Arial"/>
                <w:sz w:val="20"/>
              </w:rPr>
              <w:t>disp</w:t>
            </w:r>
            <w:proofErr w:type="spellEnd"/>
            <w:r w:rsidRPr="00A87B12">
              <w:rPr>
                <w:rFonts w:cs="Arial"/>
                <w:sz w:val="20"/>
              </w:rPr>
              <w:t xml:space="preserve"> tab x 2</w:t>
            </w:r>
          </w:p>
        </w:tc>
        <w:tc>
          <w:tcPr>
            <w:tcW w:w="1417" w:type="dxa"/>
          </w:tcPr>
          <w:p w14:paraId="1B1CEA71" w14:textId="77777777" w:rsidR="004F1CEA" w:rsidRPr="00A87B12" w:rsidRDefault="004F1CEA" w:rsidP="00A87B12">
            <w:pPr>
              <w:spacing w:before="0" w:after="0"/>
              <w:jc w:val="both"/>
              <w:rPr>
                <w:rFonts w:cs="Arial"/>
                <w:sz w:val="20"/>
              </w:rPr>
            </w:pPr>
            <w:r w:rsidRPr="00A87B12">
              <w:rPr>
                <w:rFonts w:cs="Arial"/>
                <w:sz w:val="20"/>
              </w:rPr>
              <w:t xml:space="preserve">1 </w:t>
            </w:r>
            <w:proofErr w:type="spellStart"/>
            <w:r w:rsidRPr="00A87B12">
              <w:rPr>
                <w:rFonts w:cs="Arial"/>
                <w:sz w:val="20"/>
              </w:rPr>
              <w:t>disp</w:t>
            </w:r>
            <w:proofErr w:type="spellEnd"/>
            <w:r w:rsidRPr="00A87B12">
              <w:rPr>
                <w:rFonts w:cs="Arial"/>
                <w:sz w:val="20"/>
              </w:rPr>
              <w:t xml:space="preserve"> tab x 2</w:t>
            </w:r>
          </w:p>
        </w:tc>
      </w:tr>
      <w:tr w:rsidR="004F1CEA" w:rsidRPr="00A87B12" w14:paraId="13030FB1" w14:textId="77777777" w:rsidTr="00C9762A">
        <w:tc>
          <w:tcPr>
            <w:tcW w:w="1838" w:type="dxa"/>
          </w:tcPr>
          <w:p w14:paraId="0731A9DE" w14:textId="77777777" w:rsidR="004F1CEA" w:rsidRPr="00A87B12" w:rsidRDefault="004F1CEA" w:rsidP="00A87B12">
            <w:pPr>
              <w:spacing w:before="0" w:after="0"/>
              <w:jc w:val="both"/>
              <w:rPr>
                <w:rFonts w:cs="Arial"/>
                <w:sz w:val="20"/>
              </w:rPr>
            </w:pPr>
            <w:r w:rsidRPr="00A87B12">
              <w:rPr>
                <w:rFonts w:cs="Arial"/>
                <w:sz w:val="20"/>
              </w:rPr>
              <w:t>15 to &lt; 25 kg</w:t>
            </w:r>
          </w:p>
        </w:tc>
        <w:tc>
          <w:tcPr>
            <w:tcW w:w="1416" w:type="dxa"/>
          </w:tcPr>
          <w:p w14:paraId="174E5509" w14:textId="77777777" w:rsidR="004F1CEA" w:rsidRPr="00A87B12" w:rsidRDefault="004F1CEA" w:rsidP="00A87B12">
            <w:pPr>
              <w:spacing w:before="0" w:after="0"/>
              <w:jc w:val="both"/>
              <w:rPr>
                <w:rFonts w:cs="Arial"/>
                <w:sz w:val="20"/>
              </w:rPr>
            </w:pPr>
            <w:r w:rsidRPr="00A87B12">
              <w:rPr>
                <w:rFonts w:cs="Arial"/>
                <w:sz w:val="20"/>
              </w:rPr>
              <w:t xml:space="preserve">2 </w:t>
            </w:r>
            <w:proofErr w:type="spellStart"/>
            <w:r w:rsidRPr="00A87B12">
              <w:rPr>
                <w:rFonts w:cs="Arial"/>
                <w:sz w:val="20"/>
              </w:rPr>
              <w:t>disp</w:t>
            </w:r>
            <w:proofErr w:type="spellEnd"/>
            <w:r w:rsidRPr="00A87B12">
              <w:rPr>
                <w:rFonts w:cs="Arial"/>
                <w:sz w:val="20"/>
              </w:rPr>
              <w:t xml:space="preserve"> tab x 2</w:t>
            </w:r>
          </w:p>
        </w:tc>
        <w:tc>
          <w:tcPr>
            <w:tcW w:w="1418" w:type="dxa"/>
          </w:tcPr>
          <w:p w14:paraId="3320F444" w14:textId="77777777" w:rsidR="004F1CEA" w:rsidRPr="00A87B12" w:rsidRDefault="004F1CEA" w:rsidP="00A87B12">
            <w:pPr>
              <w:spacing w:before="0" w:after="0"/>
              <w:jc w:val="both"/>
              <w:rPr>
                <w:rFonts w:cs="Arial"/>
                <w:sz w:val="20"/>
              </w:rPr>
            </w:pPr>
            <w:r w:rsidRPr="00A87B12">
              <w:rPr>
                <w:rFonts w:cs="Arial"/>
                <w:sz w:val="20"/>
              </w:rPr>
              <w:t xml:space="preserve">2 </w:t>
            </w:r>
            <w:proofErr w:type="spellStart"/>
            <w:r w:rsidRPr="00A87B12">
              <w:rPr>
                <w:rFonts w:cs="Arial"/>
                <w:sz w:val="20"/>
              </w:rPr>
              <w:t>disp</w:t>
            </w:r>
            <w:proofErr w:type="spellEnd"/>
            <w:r w:rsidRPr="00A87B12">
              <w:rPr>
                <w:rFonts w:cs="Arial"/>
                <w:sz w:val="20"/>
              </w:rPr>
              <w:t xml:space="preserve"> tab x 2</w:t>
            </w:r>
          </w:p>
        </w:tc>
        <w:tc>
          <w:tcPr>
            <w:tcW w:w="1417" w:type="dxa"/>
          </w:tcPr>
          <w:p w14:paraId="12479ECF" w14:textId="77777777" w:rsidR="004F1CEA" w:rsidRPr="00A87B12" w:rsidRDefault="004F1CEA" w:rsidP="00A87B12">
            <w:pPr>
              <w:spacing w:before="0" w:after="0"/>
              <w:jc w:val="both"/>
              <w:rPr>
                <w:rFonts w:cs="Arial"/>
                <w:sz w:val="20"/>
              </w:rPr>
            </w:pPr>
            <w:r w:rsidRPr="00A87B12">
              <w:rPr>
                <w:rFonts w:cs="Arial"/>
                <w:sz w:val="20"/>
              </w:rPr>
              <w:t xml:space="preserve">2 </w:t>
            </w:r>
            <w:proofErr w:type="spellStart"/>
            <w:r w:rsidRPr="00A87B12">
              <w:rPr>
                <w:rFonts w:cs="Arial"/>
                <w:sz w:val="20"/>
              </w:rPr>
              <w:t>disp</w:t>
            </w:r>
            <w:proofErr w:type="spellEnd"/>
            <w:r w:rsidRPr="00A87B12">
              <w:rPr>
                <w:rFonts w:cs="Arial"/>
                <w:sz w:val="20"/>
              </w:rPr>
              <w:t xml:space="preserve"> tab x 2</w:t>
            </w:r>
          </w:p>
        </w:tc>
      </w:tr>
      <w:tr w:rsidR="004F1CEA" w:rsidRPr="00A87B12" w14:paraId="3BDE57F0" w14:textId="77777777" w:rsidTr="00C9762A">
        <w:tc>
          <w:tcPr>
            <w:tcW w:w="1838" w:type="dxa"/>
          </w:tcPr>
          <w:p w14:paraId="777DBD55" w14:textId="77777777" w:rsidR="004F1CEA" w:rsidRPr="00A87B12" w:rsidRDefault="004F1CEA" w:rsidP="00A87B12">
            <w:pPr>
              <w:spacing w:before="0" w:after="0"/>
              <w:jc w:val="both"/>
              <w:rPr>
                <w:rFonts w:cs="Arial"/>
                <w:sz w:val="20"/>
              </w:rPr>
            </w:pPr>
            <w:r w:rsidRPr="00A87B12">
              <w:rPr>
                <w:rFonts w:cs="Arial"/>
                <w:sz w:val="20"/>
              </w:rPr>
              <w:t>25 to &lt; 35 kg</w:t>
            </w:r>
          </w:p>
        </w:tc>
        <w:tc>
          <w:tcPr>
            <w:tcW w:w="1416" w:type="dxa"/>
          </w:tcPr>
          <w:p w14:paraId="2DD56363" w14:textId="77777777" w:rsidR="004F1CEA" w:rsidRPr="00A87B12" w:rsidRDefault="004F1CEA" w:rsidP="00A87B12">
            <w:pPr>
              <w:spacing w:before="0" w:after="0"/>
              <w:jc w:val="both"/>
              <w:rPr>
                <w:rFonts w:cs="Arial"/>
                <w:sz w:val="20"/>
              </w:rPr>
            </w:pPr>
            <w:proofErr w:type="gramStart"/>
            <w:r w:rsidRPr="00A87B12">
              <w:rPr>
                <w:rFonts w:cs="Arial"/>
                <w:sz w:val="20"/>
              </w:rPr>
              <w:t>3 tab</w:t>
            </w:r>
            <w:proofErr w:type="gramEnd"/>
            <w:r w:rsidRPr="00A87B12">
              <w:rPr>
                <w:rFonts w:cs="Arial"/>
                <w:sz w:val="20"/>
              </w:rPr>
              <w:t xml:space="preserve"> x 2</w:t>
            </w:r>
          </w:p>
        </w:tc>
        <w:tc>
          <w:tcPr>
            <w:tcW w:w="1418" w:type="dxa"/>
          </w:tcPr>
          <w:p w14:paraId="6E528A07" w14:textId="77777777" w:rsidR="004F1CEA" w:rsidRPr="00A87B12" w:rsidRDefault="004F1CEA" w:rsidP="00A87B12">
            <w:pPr>
              <w:spacing w:before="0" w:after="0"/>
              <w:jc w:val="both"/>
              <w:rPr>
                <w:rFonts w:cs="Arial"/>
                <w:sz w:val="20"/>
              </w:rPr>
            </w:pPr>
            <w:proofErr w:type="gramStart"/>
            <w:r w:rsidRPr="00A87B12">
              <w:rPr>
                <w:rFonts w:cs="Arial"/>
                <w:sz w:val="20"/>
              </w:rPr>
              <w:t>3 tab</w:t>
            </w:r>
            <w:proofErr w:type="gramEnd"/>
            <w:r w:rsidRPr="00A87B12">
              <w:rPr>
                <w:rFonts w:cs="Arial"/>
                <w:sz w:val="20"/>
              </w:rPr>
              <w:t xml:space="preserve"> x 2</w:t>
            </w:r>
          </w:p>
        </w:tc>
        <w:tc>
          <w:tcPr>
            <w:tcW w:w="1417" w:type="dxa"/>
          </w:tcPr>
          <w:p w14:paraId="6F86302B" w14:textId="77777777" w:rsidR="004F1CEA" w:rsidRPr="00A87B12" w:rsidRDefault="004F1CEA" w:rsidP="00A87B12">
            <w:pPr>
              <w:spacing w:before="0" w:after="0"/>
              <w:jc w:val="both"/>
              <w:rPr>
                <w:rFonts w:cs="Arial"/>
                <w:sz w:val="20"/>
              </w:rPr>
            </w:pPr>
            <w:proofErr w:type="gramStart"/>
            <w:r w:rsidRPr="00A87B12">
              <w:rPr>
                <w:rFonts w:cs="Arial"/>
                <w:sz w:val="20"/>
              </w:rPr>
              <w:t>3 tab</w:t>
            </w:r>
            <w:proofErr w:type="gramEnd"/>
            <w:r w:rsidRPr="00A87B12">
              <w:rPr>
                <w:rFonts w:cs="Arial"/>
                <w:sz w:val="20"/>
              </w:rPr>
              <w:t xml:space="preserve"> x 2</w:t>
            </w:r>
          </w:p>
        </w:tc>
      </w:tr>
      <w:tr w:rsidR="004F1CEA" w:rsidRPr="00A87B12" w14:paraId="1163B6AE" w14:textId="77777777" w:rsidTr="00C9762A">
        <w:tc>
          <w:tcPr>
            <w:tcW w:w="1838" w:type="dxa"/>
          </w:tcPr>
          <w:p w14:paraId="5BE07611" w14:textId="77777777" w:rsidR="004F1CEA" w:rsidRPr="00A87B12" w:rsidRDefault="004F1CEA" w:rsidP="00A87B12">
            <w:pPr>
              <w:spacing w:before="0" w:after="0"/>
              <w:jc w:val="both"/>
              <w:rPr>
                <w:rFonts w:cs="Arial"/>
                <w:sz w:val="20"/>
              </w:rPr>
            </w:pPr>
            <w:r w:rsidRPr="00A87B12">
              <w:rPr>
                <w:rFonts w:cs="Arial"/>
                <w:sz w:val="20"/>
              </w:rPr>
              <w:t>≥ 35 kg</w:t>
            </w:r>
          </w:p>
        </w:tc>
        <w:tc>
          <w:tcPr>
            <w:tcW w:w="1416" w:type="dxa"/>
          </w:tcPr>
          <w:p w14:paraId="4D1E48E2" w14:textId="77777777" w:rsidR="004F1CEA" w:rsidRPr="00A87B12" w:rsidRDefault="004F1CEA" w:rsidP="00A87B12">
            <w:pPr>
              <w:spacing w:before="0" w:after="0"/>
              <w:jc w:val="both"/>
              <w:rPr>
                <w:rFonts w:cs="Arial"/>
                <w:sz w:val="20"/>
              </w:rPr>
            </w:pPr>
            <w:proofErr w:type="gramStart"/>
            <w:r w:rsidRPr="00A87B12">
              <w:rPr>
                <w:rFonts w:cs="Arial"/>
                <w:sz w:val="20"/>
              </w:rPr>
              <w:t>4 tab</w:t>
            </w:r>
            <w:proofErr w:type="gramEnd"/>
            <w:r w:rsidRPr="00A87B12">
              <w:rPr>
                <w:rFonts w:cs="Arial"/>
                <w:sz w:val="20"/>
              </w:rPr>
              <w:t xml:space="preserve"> x 2</w:t>
            </w:r>
          </w:p>
        </w:tc>
        <w:tc>
          <w:tcPr>
            <w:tcW w:w="1418" w:type="dxa"/>
          </w:tcPr>
          <w:p w14:paraId="1DDEF6B9" w14:textId="77777777" w:rsidR="004F1CEA" w:rsidRPr="00A87B12" w:rsidRDefault="004F1CEA" w:rsidP="00A87B12">
            <w:pPr>
              <w:spacing w:before="0" w:after="0"/>
              <w:jc w:val="both"/>
              <w:rPr>
                <w:rFonts w:cs="Arial"/>
                <w:sz w:val="20"/>
              </w:rPr>
            </w:pPr>
            <w:proofErr w:type="gramStart"/>
            <w:r w:rsidRPr="00A87B12">
              <w:rPr>
                <w:rFonts w:cs="Arial"/>
                <w:sz w:val="20"/>
              </w:rPr>
              <w:t>4 tab</w:t>
            </w:r>
            <w:proofErr w:type="gramEnd"/>
            <w:r w:rsidRPr="00A87B12">
              <w:rPr>
                <w:rFonts w:cs="Arial"/>
                <w:sz w:val="20"/>
              </w:rPr>
              <w:t xml:space="preserve"> x 2</w:t>
            </w:r>
          </w:p>
        </w:tc>
        <w:tc>
          <w:tcPr>
            <w:tcW w:w="1417" w:type="dxa"/>
          </w:tcPr>
          <w:p w14:paraId="0DABCAE9" w14:textId="77777777" w:rsidR="004F1CEA" w:rsidRPr="00A87B12" w:rsidRDefault="004F1CEA" w:rsidP="00A87B12">
            <w:pPr>
              <w:spacing w:before="0" w:after="0"/>
              <w:jc w:val="both"/>
              <w:rPr>
                <w:rFonts w:cs="Arial"/>
                <w:sz w:val="20"/>
              </w:rPr>
            </w:pPr>
            <w:proofErr w:type="gramStart"/>
            <w:r w:rsidRPr="00A87B12">
              <w:rPr>
                <w:rFonts w:cs="Arial"/>
                <w:sz w:val="20"/>
              </w:rPr>
              <w:t>4 tab</w:t>
            </w:r>
            <w:proofErr w:type="gramEnd"/>
            <w:r w:rsidRPr="00A87B12">
              <w:rPr>
                <w:rFonts w:cs="Arial"/>
                <w:sz w:val="20"/>
              </w:rPr>
              <w:t xml:space="preserve"> x 2</w:t>
            </w:r>
          </w:p>
        </w:tc>
      </w:tr>
    </w:tbl>
    <w:p w14:paraId="5608DA9E" w14:textId="474DC6B9" w:rsidR="00C8279C" w:rsidRDefault="00CD2C54">
      <w:pPr>
        <w:pStyle w:val="Heading2"/>
      </w:pPr>
      <w:bookmarkStart w:id="255" w:name="_Toc101204972"/>
      <w:bookmarkStart w:id="256" w:name="_Toc101205091"/>
      <w:bookmarkStart w:id="257" w:name="_Toc101205237"/>
      <w:bookmarkStart w:id="258" w:name="_Toc102984953"/>
      <w:bookmarkStart w:id="259" w:name="_Toc102985804"/>
      <w:bookmarkStart w:id="260" w:name="_Toc104981637"/>
      <w:bookmarkStart w:id="261" w:name="_Toc106288882"/>
      <w:bookmarkEnd w:id="249"/>
      <w:bookmarkEnd w:id="250"/>
      <w:bookmarkEnd w:id="251"/>
      <w:bookmarkEnd w:id="252"/>
      <w:bookmarkEnd w:id="253"/>
      <w:bookmarkEnd w:id="254"/>
      <w:r>
        <w:t>Amodiaquine (AQ)</w:t>
      </w:r>
      <w:bookmarkEnd w:id="255"/>
      <w:bookmarkEnd w:id="256"/>
      <w:bookmarkEnd w:id="257"/>
      <w:bookmarkEnd w:id="258"/>
      <w:bookmarkEnd w:id="259"/>
      <w:bookmarkEnd w:id="260"/>
      <w:bookmarkEnd w:id="261"/>
    </w:p>
    <w:p w14:paraId="036F33A7" w14:textId="42C8E755" w:rsidR="004F1CEA" w:rsidRDefault="004F1CEA" w:rsidP="004F1CEA">
      <w:pPr>
        <w:jc w:val="both"/>
      </w:pPr>
      <w:r>
        <w:t xml:space="preserve">Participants in the ALAQ </w:t>
      </w:r>
      <w:r w:rsidR="00CF0FC2">
        <w:t>and ALAQ-PQ arms</w:t>
      </w:r>
      <w:r>
        <w:t xml:space="preserve"> will receive AQ as tablets of 153 mg.</w:t>
      </w:r>
      <w:r w:rsidRPr="00932225">
        <w:t xml:space="preserve"> The weight-based treatment schedule in </w:t>
      </w:r>
      <w:r w:rsidRPr="004C577F">
        <w:rPr>
          <w:b/>
          <w:bCs/>
        </w:rPr>
        <w:t>table 4</w:t>
      </w:r>
      <w:r w:rsidRPr="00932225">
        <w:t xml:space="preserve"> aims for a dosage of approximatel</w:t>
      </w:r>
      <w:r>
        <w:t>y</w:t>
      </w:r>
      <w:r w:rsidRPr="004E784A">
        <w:t xml:space="preserve"> </w:t>
      </w:r>
      <w:r w:rsidRPr="00932225">
        <w:t>10</w:t>
      </w:r>
      <w:r>
        <w:t xml:space="preserve"> </w:t>
      </w:r>
      <w:r w:rsidRPr="00932225">
        <w:t>mg (</w:t>
      </w:r>
      <w:r>
        <w:t>7.7</w:t>
      </w:r>
      <w:r w:rsidRPr="00932225">
        <w:t>-15</w:t>
      </w:r>
      <w:r>
        <w:t>.3</w:t>
      </w:r>
      <w:r w:rsidRPr="00932225">
        <w:t>mg)/kg/day</w:t>
      </w:r>
      <w:r w:rsidRPr="004E784A">
        <w:t xml:space="preserve">, given </w:t>
      </w:r>
      <w:r>
        <w:t>once or twice daily</w:t>
      </w:r>
      <w:r w:rsidRPr="004E784A">
        <w:t xml:space="preserve"> (together with artemether–lumefantrine)</w:t>
      </w:r>
      <w:r>
        <w:t xml:space="preserve"> for three days.</w:t>
      </w:r>
    </w:p>
    <w:p w14:paraId="5C1D47E3" w14:textId="77777777" w:rsidR="004F1CEA" w:rsidRDefault="004F1CEA" w:rsidP="004F1CEA">
      <w:r w:rsidRPr="00BC5D1D">
        <w:rPr>
          <w:b/>
          <w:bCs/>
        </w:rPr>
        <w:t>Table 4.</w:t>
      </w:r>
      <w:r>
        <w:t xml:space="preserve"> AQ dosing</w:t>
      </w:r>
    </w:p>
    <w:tbl>
      <w:tblPr>
        <w:tblW w:w="7872" w:type="dxa"/>
        <w:tblInd w:w="108" w:type="dxa"/>
        <w:tblCellMar>
          <w:left w:w="0" w:type="dxa"/>
          <w:right w:w="0" w:type="dxa"/>
        </w:tblCellMar>
        <w:tblLook w:val="04A0" w:firstRow="1" w:lastRow="0" w:firstColumn="1" w:lastColumn="0" w:noHBand="0" w:noVBand="1"/>
      </w:tblPr>
      <w:tblGrid>
        <w:gridCol w:w="1858"/>
        <w:gridCol w:w="998"/>
        <w:gridCol w:w="1003"/>
        <w:gridCol w:w="1002"/>
        <w:gridCol w:w="1002"/>
        <w:gridCol w:w="1002"/>
        <w:gridCol w:w="1007"/>
      </w:tblGrid>
      <w:tr w:rsidR="004F1CEA" w14:paraId="13F79B93" w14:textId="77777777" w:rsidTr="00C33B8F">
        <w:trPr>
          <w:trHeight w:val="322"/>
        </w:trPr>
        <w:tc>
          <w:tcPr>
            <w:tcW w:w="1858"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5BAE79" w14:textId="77777777"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Bodyweight (kg)</w:t>
            </w:r>
          </w:p>
        </w:tc>
        <w:tc>
          <w:tcPr>
            <w:tcW w:w="6014" w:type="dxa"/>
            <w:gridSpan w:val="6"/>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413E15" w14:textId="77777777"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153 mg tablet</w:t>
            </w:r>
          </w:p>
        </w:tc>
      </w:tr>
      <w:tr w:rsidR="004F1CEA" w14:paraId="344581DE" w14:textId="77777777" w:rsidTr="00C33B8F">
        <w:trPr>
          <w:trHeight w:val="66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D18181E" w14:textId="77777777" w:rsidR="004F1CEA" w:rsidRPr="00D625C9" w:rsidRDefault="004F1CEA" w:rsidP="00C33B8F">
            <w:pPr>
              <w:spacing w:after="0"/>
              <w:rPr>
                <w:rFonts w:cs="Arial"/>
                <w:color w:val="000000"/>
                <w:sz w:val="20"/>
                <w:szCs w:val="20"/>
                <w:lang w:eastAsia="en-GB"/>
              </w:rPr>
            </w:pPr>
          </w:p>
        </w:tc>
        <w:tc>
          <w:tcPr>
            <w:tcW w:w="9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61F5D7" w14:textId="4199BED0" w:rsidR="004F1CEA"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D</w:t>
            </w:r>
            <w:r w:rsidR="00D974F1">
              <w:rPr>
                <w:rFonts w:cs="Arial"/>
                <w:b/>
                <w:bCs/>
                <w:color w:val="000000"/>
                <w:sz w:val="20"/>
                <w:szCs w:val="20"/>
                <w:lang w:eastAsia="en-GB"/>
              </w:rPr>
              <w:t>0</w:t>
            </w:r>
            <w:r w:rsidRPr="00D625C9">
              <w:rPr>
                <w:rFonts w:cs="Arial"/>
                <w:b/>
                <w:bCs/>
                <w:color w:val="000000"/>
                <w:sz w:val="20"/>
                <w:szCs w:val="20"/>
                <w:lang w:eastAsia="en-GB"/>
              </w:rPr>
              <w:t xml:space="preserve"> </w:t>
            </w:r>
          </w:p>
          <w:p w14:paraId="092102C3" w14:textId="77777777"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(0hr)</w:t>
            </w:r>
          </w:p>
        </w:tc>
        <w:tc>
          <w:tcPr>
            <w:tcW w:w="10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273BB85" w14:textId="423A0662" w:rsidR="004F1CEA"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D</w:t>
            </w:r>
            <w:r w:rsidR="00D974F1">
              <w:rPr>
                <w:rFonts w:cs="Arial"/>
                <w:b/>
                <w:bCs/>
                <w:color w:val="000000"/>
                <w:sz w:val="20"/>
                <w:szCs w:val="20"/>
                <w:lang w:eastAsia="en-GB"/>
              </w:rPr>
              <w:t>0</w:t>
            </w:r>
            <w:r w:rsidRPr="00D625C9">
              <w:rPr>
                <w:rFonts w:cs="Arial"/>
                <w:b/>
                <w:bCs/>
                <w:color w:val="000000"/>
                <w:sz w:val="20"/>
                <w:szCs w:val="20"/>
                <w:lang w:eastAsia="en-GB"/>
              </w:rPr>
              <w:t xml:space="preserve"> </w:t>
            </w:r>
          </w:p>
          <w:p w14:paraId="3CEDBE80" w14:textId="77777777"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(8hr)</w:t>
            </w:r>
          </w:p>
        </w:tc>
        <w:tc>
          <w:tcPr>
            <w:tcW w:w="10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7B1FE88" w14:textId="4713A8C1"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D</w:t>
            </w:r>
            <w:r w:rsidR="00D974F1">
              <w:rPr>
                <w:rFonts w:cs="Arial"/>
                <w:b/>
                <w:bCs/>
                <w:color w:val="000000"/>
                <w:sz w:val="20"/>
                <w:szCs w:val="20"/>
                <w:lang w:eastAsia="en-GB"/>
              </w:rPr>
              <w:t>1</w:t>
            </w:r>
            <w:r w:rsidRPr="00D625C9">
              <w:rPr>
                <w:rFonts w:cs="Arial"/>
                <w:b/>
                <w:bCs/>
                <w:color w:val="000000"/>
                <w:sz w:val="20"/>
                <w:szCs w:val="20"/>
                <w:lang w:eastAsia="en-GB"/>
              </w:rPr>
              <w:t xml:space="preserve"> (24hr)</w:t>
            </w:r>
          </w:p>
        </w:tc>
        <w:tc>
          <w:tcPr>
            <w:tcW w:w="10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27E6C90" w14:textId="583DD512"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D</w:t>
            </w:r>
            <w:r w:rsidR="00D974F1">
              <w:rPr>
                <w:rFonts w:cs="Arial"/>
                <w:b/>
                <w:bCs/>
                <w:color w:val="000000"/>
                <w:sz w:val="20"/>
                <w:szCs w:val="20"/>
                <w:lang w:eastAsia="en-GB"/>
              </w:rPr>
              <w:t>1</w:t>
            </w:r>
            <w:r w:rsidRPr="00D625C9">
              <w:rPr>
                <w:rFonts w:cs="Arial"/>
                <w:b/>
                <w:bCs/>
                <w:color w:val="000000"/>
                <w:sz w:val="20"/>
                <w:szCs w:val="20"/>
                <w:lang w:eastAsia="en-GB"/>
              </w:rPr>
              <w:t xml:space="preserve"> (36hr)</w:t>
            </w:r>
          </w:p>
        </w:tc>
        <w:tc>
          <w:tcPr>
            <w:tcW w:w="10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17C340" w14:textId="5723EF07"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D</w:t>
            </w:r>
            <w:r w:rsidR="00D974F1">
              <w:rPr>
                <w:rFonts w:cs="Arial"/>
                <w:b/>
                <w:bCs/>
                <w:color w:val="000000"/>
                <w:sz w:val="20"/>
                <w:szCs w:val="20"/>
                <w:lang w:eastAsia="en-GB"/>
              </w:rPr>
              <w:t>2</w:t>
            </w:r>
            <w:r w:rsidRPr="00D625C9">
              <w:rPr>
                <w:rFonts w:cs="Arial"/>
                <w:b/>
                <w:bCs/>
                <w:color w:val="000000"/>
                <w:sz w:val="20"/>
                <w:szCs w:val="20"/>
                <w:lang w:eastAsia="en-GB"/>
              </w:rPr>
              <w:t xml:space="preserve"> (48hr)</w:t>
            </w:r>
          </w:p>
        </w:tc>
        <w:tc>
          <w:tcPr>
            <w:tcW w:w="10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AA6084" w14:textId="1895B111" w:rsidR="004F1CEA" w:rsidRPr="00D625C9" w:rsidRDefault="004F1CEA" w:rsidP="00C33B8F">
            <w:pPr>
              <w:spacing w:after="0"/>
              <w:jc w:val="both"/>
              <w:rPr>
                <w:rFonts w:cs="Arial"/>
                <w:b/>
                <w:bCs/>
                <w:color w:val="000000"/>
                <w:sz w:val="20"/>
                <w:szCs w:val="20"/>
                <w:lang w:eastAsia="en-GB"/>
              </w:rPr>
            </w:pPr>
            <w:r w:rsidRPr="00D625C9">
              <w:rPr>
                <w:rFonts w:cs="Arial"/>
                <w:b/>
                <w:bCs/>
                <w:color w:val="000000"/>
                <w:sz w:val="20"/>
                <w:szCs w:val="20"/>
                <w:lang w:eastAsia="en-GB"/>
              </w:rPr>
              <w:t>D</w:t>
            </w:r>
            <w:r w:rsidR="00D974F1">
              <w:rPr>
                <w:rFonts w:cs="Arial"/>
                <w:b/>
                <w:bCs/>
                <w:color w:val="000000"/>
                <w:sz w:val="20"/>
                <w:szCs w:val="20"/>
                <w:lang w:eastAsia="en-GB"/>
              </w:rPr>
              <w:t>2</w:t>
            </w:r>
            <w:r w:rsidRPr="00D625C9">
              <w:rPr>
                <w:rFonts w:cs="Arial"/>
                <w:b/>
                <w:bCs/>
                <w:color w:val="000000"/>
                <w:sz w:val="20"/>
                <w:szCs w:val="20"/>
                <w:lang w:eastAsia="en-GB"/>
              </w:rPr>
              <w:t xml:space="preserve"> (60hr)</w:t>
            </w:r>
          </w:p>
        </w:tc>
      </w:tr>
      <w:tr w:rsidR="004F1CEA" w14:paraId="46D56A42" w14:textId="77777777" w:rsidTr="00C33B8F">
        <w:trPr>
          <w:trHeight w:val="322"/>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3FA49"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10 to 19.9</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5BE26"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CACC5"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0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C9DF"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54B7"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0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3CF1D"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D752F"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0 tab</w:t>
            </w:r>
          </w:p>
        </w:tc>
      </w:tr>
      <w:tr w:rsidR="004F1CEA" w14:paraId="51A35CDD" w14:textId="77777777" w:rsidTr="00C33B8F">
        <w:trPr>
          <w:trHeight w:val="322"/>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A4C2F"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20 to 29.9</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95143"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F34EF"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7423"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A4F36"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DA50E"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1ED23"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r>
      <w:tr w:rsidR="004F1CEA" w14:paraId="238B8915" w14:textId="77777777" w:rsidTr="00C33B8F">
        <w:trPr>
          <w:trHeight w:val="322"/>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E5B96"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30 to 54.9</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C400B"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2 </w:t>
            </w:r>
            <w:proofErr w:type="gramStart"/>
            <w:r w:rsidRPr="00D625C9">
              <w:rPr>
                <w:rFonts w:cs="Arial"/>
                <w:color w:val="000000"/>
                <w:sz w:val="20"/>
                <w:szCs w:val="20"/>
                <w:lang w:eastAsia="en-GB"/>
              </w:rPr>
              <w:t>tab</w:t>
            </w:r>
            <w:proofErr w:type="gramEnd"/>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1A277"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2901D"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2 </w:t>
            </w:r>
            <w:proofErr w:type="gramStart"/>
            <w:r w:rsidRPr="00D625C9">
              <w:rPr>
                <w:rFonts w:cs="Arial"/>
                <w:color w:val="000000"/>
                <w:sz w:val="20"/>
                <w:szCs w:val="20"/>
                <w:lang w:eastAsia="en-GB"/>
              </w:rPr>
              <w:t>tab</w:t>
            </w:r>
            <w:proofErr w:type="gramEnd"/>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F7D0F"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D57BB"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2 </w:t>
            </w:r>
            <w:proofErr w:type="gramStart"/>
            <w:r w:rsidRPr="00D625C9">
              <w:rPr>
                <w:rFonts w:cs="Arial"/>
                <w:color w:val="000000"/>
                <w:sz w:val="20"/>
                <w:szCs w:val="20"/>
                <w:lang w:eastAsia="en-GB"/>
              </w:rPr>
              <w:t>tab</w:t>
            </w:r>
            <w:proofErr w:type="gramEnd"/>
          </w:p>
        </w:tc>
        <w:tc>
          <w:tcPr>
            <w:tcW w:w="1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B6C03"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1 tab</w:t>
            </w:r>
          </w:p>
        </w:tc>
      </w:tr>
      <w:tr w:rsidR="004F1CEA" w14:paraId="2F0E2C70" w14:textId="77777777" w:rsidTr="00C33B8F">
        <w:trPr>
          <w:trHeight w:val="185"/>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6A3E0"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55 to 80</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99985"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3 </w:t>
            </w:r>
            <w:proofErr w:type="gramStart"/>
            <w:r w:rsidRPr="00D625C9">
              <w:rPr>
                <w:rFonts w:cs="Arial"/>
                <w:color w:val="000000"/>
                <w:sz w:val="20"/>
                <w:szCs w:val="20"/>
                <w:lang w:eastAsia="en-GB"/>
              </w:rPr>
              <w:t>tab</w:t>
            </w:r>
            <w:proofErr w:type="gramEnd"/>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378A8"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2 </w:t>
            </w:r>
            <w:proofErr w:type="gramStart"/>
            <w:r w:rsidRPr="00D625C9">
              <w:rPr>
                <w:rFonts w:cs="Arial"/>
                <w:color w:val="000000"/>
                <w:sz w:val="20"/>
                <w:szCs w:val="20"/>
                <w:lang w:eastAsia="en-GB"/>
              </w:rPr>
              <w:t>tab</w:t>
            </w:r>
            <w:proofErr w:type="gramEnd"/>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889E4"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3 </w:t>
            </w:r>
            <w:proofErr w:type="gramStart"/>
            <w:r w:rsidRPr="00D625C9">
              <w:rPr>
                <w:rFonts w:cs="Arial"/>
                <w:color w:val="000000"/>
                <w:sz w:val="20"/>
                <w:szCs w:val="20"/>
                <w:lang w:eastAsia="en-GB"/>
              </w:rPr>
              <w:t>tab</w:t>
            </w:r>
            <w:proofErr w:type="gramEnd"/>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EC6E5"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2 </w:t>
            </w:r>
            <w:proofErr w:type="gramStart"/>
            <w:r w:rsidRPr="00D625C9">
              <w:rPr>
                <w:rFonts w:cs="Arial"/>
                <w:color w:val="000000"/>
                <w:sz w:val="20"/>
                <w:szCs w:val="20"/>
                <w:lang w:eastAsia="en-GB"/>
              </w:rPr>
              <w:t>tab</w:t>
            </w:r>
            <w:proofErr w:type="gramEnd"/>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11B95" w14:textId="77777777" w:rsidR="004F1CEA" w:rsidRPr="00D625C9" w:rsidRDefault="004F1CEA" w:rsidP="00C33B8F">
            <w:pPr>
              <w:spacing w:after="0"/>
              <w:jc w:val="both"/>
              <w:rPr>
                <w:rFonts w:cs="Arial"/>
                <w:color w:val="000000"/>
                <w:sz w:val="20"/>
                <w:szCs w:val="20"/>
                <w:lang w:eastAsia="en-GB"/>
              </w:rPr>
            </w:pPr>
            <w:r w:rsidRPr="00D625C9">
              <w:rPr>
                <w:rFonts w:cs="Arial"/>
                <w:color w:val="000000"/>
                <w:sz w:val="20"/>
                <w:szCs w:val="20"/>
                <w:lang w:eastAsia="en-GB"/>
              </w:rPr>
              <w:t xml:space="preserve">3 </w:t>
            </w:r>
            <w:proofErr w:type="gramStart"/>
            <w:r w:rsidRPr="00D625C9">
              <w:rPr>
                <w:rFonts w:cs="Arial"/>
                <w:color w:val="000000"/>
                <w:sz w:val="20"/>
                <w:szCs w:val="20"/>
                <w:lang w:eastAsia="en-GB"/>
              </w:rPr>
              <w:t>tab</w:t>
            </w:r>
            <w:proofErr w:type="gramEnd"/>
          </w:p>
        </w:tc>
        <w:tc>
          <w:tcPr>
            <w:tcW w:w="1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BD52F" w14:textId="77777777" w:rsidR="004F1CEA" w:rsidRPr="00D625C9" w:rsidRDefault="004F1CEA" w:rsidP="00C33B8F">
            <w:pPr>
              <w:spacing w:after="0"/>
              <w:jc w:val="both"/>
              <w:rPr>
                <w:rFonts w:cs="Arial"/>
                <w:color w:val="000000"/>
                <w:sz w:val="20"/>
                <w:szCs w:val="20"/>
                <w:lang w:eastAsia="en-GB"/>
              </w:rPr>
            </w:pPr>
            <w:r>
              <w:rPr>
                <w:rFonts w:cs="Arial"/>
                <w:color w:val="000000"/>
                <w:sz w:val="20"/>
                <w:szCs w:val="20"/>
                <w:lang w:eastAsia="en-GB"/>
              </w:rPr>
              <w:t xml:space="preserve">2 </w:t>
            </w:r>
            <w:proofErr w:type="gramStart"/>
            <w:r w:rsidRPr="00D625C9">
              <w:rPr>
                <w:rFonts w:cs="Arial"/>
                <w:color w:val="000000"/>
                <w:sz w:val="20"/>
                <w:szCs w:val="20"/>
                <w:lang w:eastAsia="en-GB"/>
              </w:rPr>
              <w:t>tab</w:t>
            </w:r>
            <w:proofErr w:type="gramEnd"/>
          </w:p>
        </w:tc>
      </w:tr>
    </w:tbl>
    <w:p w14:paraId="44C1BAC4" w14:textId="77777777" w:rsidR="004C577F" w:rsidRPr="004455A4" w:rsidRDefault="004C577F" w:rsidP="004455A4"/>
    <w:p w14:paraId="4D3431EC" w14:textId="2CE9C3BE" w:rsidR="0092384B" w:rsidRPr="0092384B" w:rsidRDefault="006402B7">
      <w:pPr>
        <w:pStyle w:val="Heading1"/>
      </w:pPr>
      <w:bookmarkStart w:id="262" w:name="_Toc106288883"/>
      <w:bookmarkStart w:id="263" w:name="_Toc106288884"/>
      <w:bookmarkStart w:id="264" w:name="_Toc106288885"/>
      <w:bookmarkStart w:id="265" w:name="_Toc106288891"/>
      <w:bookmarkStart w:id="266" w:name="_Toc100232063"/>
      <w:bookmarkStart w:id="267" w:name="_Toc100306378"/>
      <w:bookmarkStart w:id="268" w:name="_Toc100324456"/>
      <w:bookmarkStart w:id="269" w:name="_Toc101204974"/>
      <w:bookmarkStart w:id="270" w:name="_Toc101205093"/>
      <w:bookmarkStart w:id="271" w:name="_Toc101205239"/>
      <w:bookmarkStart w:id="272" w:name="_Toc102984955"/>
      <w:bookmarkStart w:id="273" w:name="_Toc102985806"/>
      <w:bookmarkStart w:id="274" w:name="_Toc104981639"/>
      <w:bookmarkStart w:id="275" w:name="_Toc106288929"/>
      <w:bookmarkEnd w:id="262"/>
      <w:bookmarkEnd w:id="263"/>
      <w:bookmarkEnd w:id="264"/>
      <w:bookmarkEnd w:id="265"/>
      <w:r w:rsidRPr="006402B7">
        <w:lastRenderedPageBreak/>
        <w:t>OUTCOME MEASURES</w:t>
      </w:r>
      <w:bookmarkEnd w:id="266"/>
      <w:bookmarkEnd w:id="267"/>
      <w:bookmarkEnd w:id="268"/>
      <w:bookmarkEnd w:id="269"/>
      <w:bookmarkEnd w:id="270"/>
      <w:bookmarkEnd w:id="271"/>
      <w:bookmarkEnd w:id="272"/>
      <w:bookmarkEnd w:id="273"/>
      <w:bookmarkEnd w:id="274"/>
      <w:bookmarkEnd w:id="275"/>
      <w:r w:rsidRPr="006402B7">
        <w:t xml:space="preserve"> </w:t>
      </w:r>
    </w:p>
    <w:p w14:paraId="5FFF8435" w14:textId="782F7ACA" w:rsidR="00D511CD" w:rsidRDefault="00D511CD">
      <w:pPr>
        <w:pStyle w:val="Heading2"/>
      </w:pPr>
      <w:bookmarkStart w:id="276" w:name="_Toc100231701"/>
      <w:bookmarkStart w:id="277" w:name="_Toc100231833"/>
      <w:bookmarkStart w:id="278" w:name="_Toc100231940"/>
      <w:bookmarkStart w:id="279" w:name="_Toc100232064"/>
      <w:bookmarkStart w:id="280" w:name="_Toc100306379"/>
      <w:bookmarkStart w:id="281" w:name="_Toc100324457"/>
      <w:bookmarkStart w:id="282" w:name="_Toc101204975"/>
      <w:bookmarkStart w:id="283" w:name="_Toc101205094"/>
      <w:bookmarkStart w:id="284" w:name="_Toc101205240"/>
      <w:bookmarkStart w:id="285" w:name="_Toc102984956"/>
      <w:bookmarkStart w:id="286" w:name="_Toc102985807"/>
      <w:bookmarkStart w:id="287" w:name="_Toc104981640"/>
      <w:bookmarkStart w:id="288" w:name="_Toc106288930"/>
      <w:r w:rsidRPr="00F042EA">
        <w:t>Primary outcome measure</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057CCCEF" w14:textId="3AD58CD6" w:rsidR="0092384B" w:rsidRPr="002A4443" w:rsidRDefault="002A4443" w:rsidP="00B91D68">
      <w:pPr>
        <w:jc w:val="both"/>
      </w:pPr>
      <w:r w:rsidRPr="002A4443">
        <w:t>Me</w:t>
      </w:r>
      <w:r w:rsidR="00B54352">
        <w:t>dian</w:t>
      </w:r>
      <w:r w:rsidRPr="002A4443">
        <w:t xml:space="preserve"> within person percent change (presented as percent reduction) in mosquito infection rate in infectious individuals from baseline (day 0, pre-treatment) </w:t>
      </w:r>
      <w:proofErr w:type="spellStart"/>
      <w:r w:rsidRPr="002A4443">
        <w:t>to day</w:t>
      </w:r>
      <w:proofErr w:type="spellEnd"/>
      <w:r w:rsidRPr="002A4443">
        <w:t xml:space="preserve"> 2 post treatment in the ASAQ, ASAQ-PQ, AL, ALAQ and </w:t>
      </w:r>
      <w:r w:rsidR="00062CFA">
        <w:t>ALAQ-PQ</w:t>
      </w:r>
      <w:r w:rsidRPr="002A4443">
        <w:t xml:space="preserve"> arms.</w:t>
      </w:r>
    </w:p>
    <w:p w14:paraId="5B63B0B6" w14:textId="2FF11177" w:rsidR="00D511CD" w:rsidRDefault="00D511CD">
      <w:pPr>
        <w:pStyle w:val="Heading2"/>
      </w:pPr>
      <w:bookmarkStart w:id="289" w:name="_Toc100231702"/>
      <w:bookmarkStart w:id="290" w:name="_Toc100231834"/>
      <w:bookmarkStart w:id="291" w:name="_Toc100231941"/>
      <w:bookmarkStart w:id="292" w:name="_Toc100232065"/>
      <w:bookmarkStart w:id="293" w:name="_Toc100306380"/>
      <w:bookmarkStart w:id="294" w:name="_Toc100324458"/>
      <w:bookmarkStart w:id="295" w:name="_Toc101204976"/>
      <w:bookmarkStart w:id="296" w:name="_Toc101205095"/>
      <w:bookmarkStart w:id="297" w:name="_Toc101205241"/>
      <w:bookmarkStart w:id="298" w:name="_Toc102984957"/>
      <w:bookmarkStart w:id="299" w:name="_Toc102985808"/>
      <w:bookmarkStart w:id="300" w:name="_Toc104981641"/>
      <w:bookmarkStart w:id="301" w:name="_Toc106288931"/>
      <w:r w:rsidRPr="00F042EA">
        <w:t>Secondary outcome measures</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6FD7AF90" w14:textId="3D11B7F4" w:rsidR="002A4443" w:rsidRPr="009B79D7" w:rsidRDefault="002A4443">
      <w:pPr>
        <w:pStyle w:val="ListParagraph"/>
        <w:numPr>
          <w:ilvl w:val="0"/>
          <w:numId w:val="6"/>
        </w:numPr>
        <w:ind w:left="284" w:hanging="284"/>
        <w:jc w:val="both"/>
      </w:pPr>
      <w:r w:rsidRPr="009B79D7">
        <w:t>Me</w:t>
      </w:r>
      <w:r w:rsidR="00B54352">
        <w:t>di</w:t>
      </w:r>
      <w:r w:rsidRPr="009B79D7">
        <w:t>an within person percent change (presented as percent reduction) in mosquito infection rate from baseline to all feeding time-points, with comparison within and between arms.</w:t>
      </w:r>
    </w:p>
    <w:p w14:paraId="40772950" w14:textId="5B0A685A" w:rsidR="002A4443" w:rsidRPr="009B79D7" w:rsidRDefault="002A4443">
      <w:pPr>
        <w:pStyle w:val="ListParagraph"/>
        <w:numPr>
          <w:ilvl w:val="0"/>
          <w:numId w:val="6"/>
        </w:numPr>
        <w:ind w:left="284" w:hanging="284"/>
        <w:jc w:val="both"/>
      </w:pPr>
      <w:r w:rsidRPr="009B79D7">
        <w:t>Me</w:t>
      </w:r>
      <w:r w:rsidR="00B54352">
        <w:t>di</w:t>
      </w:r>
      <w:r w:rsidRPr="009B79D7">
        <w:t>an mosquito infection rate at all feeding time-points, with comparison within treatment arms compared to baseline, and between arms.</w:t>
      </w:r>
    </w:p>
    <w:p w14:paraId="3678C199" w14:textId="77777777" w:rsidR="002A4443" w:rsidRPr="009B79D7" w:rsidRDefault="002A4443">
      <w:pPr>
        <w:pStyle w:val="ListParagraph"/>
        <w:numPr>
          <w:ilvl w:val="0"/>
          <w:numId w:val="6"/>
        </w:numPr>
        <w:ind w:left="284" w:hanging="284"/>
        <w:jc w:val="both"/>
      </w:pPr>
      <w:r w:rsidRPr="009B79D7">
        <w:t>Infectivity to mosquitoes at all feeding time-points, with comparison within treatment arms compared to baseline, and between arms.</w:t>
      </w:r>
    </w:p>
    <w:p w14:paraId="51A7D4C3" w14:textId="77777777" w:rsidR="002A4443" w:rsidRPr="009B79D7" w:rsidRDefault="002A4443">
      <w:pPr>
        <w:pStyle w:val="ListParagraph"/>
        <w:numPr>
          <w:ilvl w:val="0"/>
          <w:numId w:val="6"/>
        </w:numPr>
        <w:ind w:left="284" w:hanging="284"/>
        <w:jc w:val="both"/>
      </w:pPr>
      <w:r w:rsidRPr="009B79D7">
        <w:t>Mean oocyst intensity (in all/all infected mosquitoes) at all feeding time-points, with comparison within treatment arms compared to baseline, and between arms.</w:t>
      </w:r>
    </w:p>
    <w:p w14:paraId="2E9A0FF0" w14:textId="77777777" w:rsidR="002A4443" w:rsidRPr="009B79D7" w:rsidRDefault="002A4443">
      <w:pPr>
        <w:pStyle w:val="ListParagraph"/>
        <w:numPr>
          <w:ilvl w:val="0"/>
          <w:numId w:val="6"/>
        </w:numPr>
        <w:ind w:left="284" w:hanging="284"/>
        <w:jc w:val="both"/>
      </w:pPr>
      <w:r w:rsidRPr="009B79D7">
        <w:t>Male and female gametocyte prevalence at all time-points, determined by microscopy or molecular assays, with comparison within treatment arms compared to baseline, and between arms.</w:t>
      </w:r>
    </w:p>
    <w:p w14:paraId="67622E85" w14:textId="77777777" w:rsidR="002A4443" w:rsidRPr="009B79D7" w:rsidRDefault="002A4443">
      <w:pPr>
        <w:pStyle w:val="ListParagraph"/>
        <w:numPr>
          <w:ilvl w:val="0"/>
          <w:numId w:val="6"/>
        </w:numPr>
        <w:ind w:left="284" w:hanging="284"/>
        <w:jc w:val="both"/>
      </w:pPr>
      <w:r w:rsidRPr="009B79D7">
        <w:t>Male and female gametocyte density at all time-points, determined by microscopy or molecular assays, with comparison within treatment arms compared to baseline, and between arms.</w:t>
      </w:r>
    </w:p>
    <w:p w14:paraId="3C9F9755" w14:textId="77777777" w:rsidR="002A4443" w:rsidRPr="009B79D7" w:rsidRDefault="002A4443">
      <w:pPr>
        <w:pStyle w:val="ListParagraph"/>
        <w:numPr>
          <w:ilvl w:val="0"/>
          <w:numId w:val="6"/>
        </w:numPr>
        <w:ind w:left="284" w:hanging="284"/>
        <w:jc w:val="both"/>
      </w:pPr>
      <w:r w:rsidRPr="009B79D7">
        <w:t>Male and female gametocyte sex ratio (proportion male) at all time-points, determined by microscopy or molecular assays, with comparison within treatment arms compared to baseline, and between arms.</w:t>
      </w:r>
    </w:p>
    <w:p w14:paraId="517D6AC0" w14:textId="77777777" w:rsidR="002A4443" w:rsidRPr="009B79D7" w:rsidRDefault="002A4443">
      <w:pPr>
        <w:pStyle w:val="ListParagraph"/>
        <w:numPr>
          <w:ilvl w:val="0"/>
          <w:numId w:val="6"/>
        </w:numPr>
        <w:ind w:left="284" w:hanging="284"/>
        <w:jc w:val="both"/>
      </w:pPr>
      <w:r w:rsidRPr="009B79D7">
        <w:t>Gametocyte circulation time (cumulative), determined by microscopy or molecular assays, compared between treatment arms.</w:t>
      </w:r>
    </w:p>
    <w:p w14:paraId="53751D8B" w14:textId="77777777" w:rsidR="002A4443" w:rsidRPr="009B79D7" w:rsidRDefault="002A4443">
      <w:pPr>
        <w:pStyle w:val="ListParagraph"/>
        <w:numPr>
          <w:ilvl w:val="0"/>
          <w:numId w:val="6"/>
        </w:numPr>
        <w:ind w:left="284" w:hanging="284"/>
        <w:jc w:val="both"/>
      </w:pPr>
      <w:r w:rsidRPr="009B79D7">
        <w:t>Gametocyte area under the curve (cumulative), determined by microscopy or molecular assays, compared between treatment arms.</w:t>
      </w:r>
    </w:p>
    <w:p w14:paraId="4EFB3683" w14:textId="77777777" w:rsidR="002A4443" w:rsidRPr="009B79D7" w:rsidRDefault="002A4443">
      <w:pPr>
        <w:pStyle w:val="ListParagraph"/>
        <w:numPr>
          <w:ilvl w:val="0"/>
          <w:numId w:val="6"/>
        </w:numPr>
        <w:ind w:left="284" w:hanging="284"/>
        <w:jc w:val="both"/>
      </w:pPr>
      <w:r w:rsidRPr="009B79D7">
        <w:t>Asexual and total parasite prevalence at all time-points, determined by microscopy or molecular assays, with comparison within treatment arms compared to baseline, and between arms.</w:t>
      </w:r>
    </w:p>
    <w:p w14:paraId="16671157" w14:textId="77777777" w:rsidR="002A4443" w:rsidRPr="009B79D7" w:rsidRDefault="002A4443">
      <w:pPr>
        <w:pStyle w:val="ListParagraph"/>
        <w:numPr>
          <w:ilvl w:val="0"/>
          <w:numId w:val="6"/>
        </w:numPr>
        <w:ind w:left="284" w:hanging="284"/>
        <w:jc w:val="both"/>
      </w:pPr>
      <w:r w:rsidRPr="009B79D7">
        <w:t>Asexual and total parasite density at all time-points, determined by microscopy or molecular assays, with comparison within treatment arms compared to baseline, and between arms.</w:t>
      </w:r>
    </w:p>
    <w:p w14:paraId="0B10F09B" w14:textId="77777777" w:rsidR="002A4443" w:rsidRPr="009B79D7" w:rsidRDefault="002A4443">
      <w:pPr>
        <w:pStyle w:val="ListParagraph"/>
        <w:numPr>
          <w:ilvl w:val="0"/>
          <w:numId w:val="6"/>
        </w:numPr>
        <w:ind w:left="284" w:hanging="284"/>
        <w:jc w:val="both"/>
      </w:pPr>
      <w:r w:rsidRPr="009B79D7">
        <w:t>Haemoglobin density at all time-points, with comparison within treatment arms compared to baseline, and between arms.</w:t>
      </w:r>
    </w:p>
    <w:p w14:paraId="23EB0E0D" w14:textId="77777777" w:rsidR="002A4443" w:rsidRPr="009B79D7" w:rsidRDefault="002A4443">
      <w:pPr>
        <w:pStyle w:val="ListParagraph"/>
        <w:numPr>
          <w:ilvl w:val="0"/>
          <w:numId w:val="6"/>
        </w:numPr>
        <w:ind w:left="284" w:hanging="284"/>
        <w:jc w:val="both"/>
      </w:pPr>
      <w:r w:rsidRPr="009B79D7">
        <w:t>Median within person percent change (presented as percent reduction) in haemoglobin density from baseline to all time-points, with comparison within and between arms.</w:t>
      </w:r>
    </w:p>
    <w:p w14:paraId="29AF1D70" w14:textId="6E73BC43" w:rsidR="0092384B" w:rsidRPr="002A4443" w:rsidRDefault="002A4443">
      <w:pPr>
        <w:pStyle w:val="ListParagraph"/>
        <w:numPr>
          <w:ilvl w:val="0"/>
          <w:numId w:val="6"/>
        </w:numPr>
        <w:ind w:left="284" w:hanging="284"/>
        <w:jc w:val="both"/>
      </w:pPr>
      <w:r w:rsidRPr="009B79D7">
        <w:t>The frequency and prevalence of adverse events (all AE’s, treatment related AE’s, and haematological AE’s) observed up to and including day 2, 7, and 14 post-treatment, and at all timepoints.</w:t>
      </w:r>
    </w:p>
    <w:p w14:paraId="54C23D17" w14:textId="789DECA0" w:rsidR="00D511CD" w:rsidRDefault="00D511CD">
      <w:pPr>
        <w:pStyle w:val="Heading2"/>
      </w:pPr>
      <w:bookmarkStart w:id="302" w:name="_Toc100231703"/>
      <w:bookmarkStart w:id="303" w:name="_Toc100231835"/>
      <w:bookmarkStart w:id="304" w:name="_Toc100231942"/>
      <w:bookmarkStart w:id="305" w:name="_Toc100232066"/>
      <w:bookmarkStart w:id="306" w:name="_Toc100306381"/>
      <w:bookmarkStart w:id="307" w:name="_Toc100324459"/>
      <w:bookmarkStart w:id="308" w:name="_Toc101204977"/>
      <w:bookmarkStart w:id="309" w:name="_Toc101205096"/>
      <w:bookmarkStart w:id="310" w:name="_Toc101205242"/>
      <w:bookmarkStart w:id="311" w:name="_Toc102984958"/>
      <w:bookmarkStart w:id="312" w:name="_Toc102985809"/>
      <w:bookmarkStart w:id="313" w:name="_Toc104981642"/>
      <w:bookmarkStart w:id="314" w:name="_Toc106288932"/>
      <w:r w:rsidRPr="00F042EA">
        <w:lastRenderedPageBreak/>
        <w:t>Exploratory outcomes</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3573CDD5" w14:textId="540F471F" w:rsidR="00405CC5" w:rsidRPr="009B79D7" w:rsidRDefault="00405CC5">
      <w:pPr>
        <w:pStyle w:val="ListParagraph"/>
        <w:numPr>
          <w:ilvl w:val="0"/>
          <w:numId w:val="7"/>
        </w:numPr>
        <w:ind w:left="284" w:hanging="284"/>
        <w:jc w:val="both"/>
      </w:pPr>
      <w:r w:rsidRPr="009B79D7">
        <w:t>Parasite genotype and transcriptional analysis at baseline and at post-treatment timepoints</w:t>
      </w:r>
      <w:r w:rsidR="00F3745D">
        <w:t>, both for blood stage parasites and oocysts</w:t>
      </w:r>
      <w:r w:rsidRPr="009B79D7">
        <w:t>.</w:t>
      </w:r>
    </w:p>
    <w:p w14:paraId="36AC238B" w14:textId="53E90E0B" w:rsidR="00405CC5" w:rsidRDefault="00405CC5">
      <w:pPr>
        <w:pStyle w:val="ListParagraph"/>
        <w:numPr>
          <w:ilvl w:val="0"/>
          <w:numId w:val="7"/>
        </w:numPr>
        <w:ind w:left="284" w:hanging="284"/>
        <w:jc w:val="both"/>
      </w:pPr>
      <w:r w:rsidRPr="009B79D7">
        <w:t>Plasma biomarkers (antibodies and parasite protein) at baseline and at post-treatment timepoints.</w:t>
      </w:r>
    </w:p>
    <w:p w14:paraId="2ECC9862" w14:textId="47A3BCA8" w:rsidR="00655318" w:rsidRPr="009B79D7" w:rsidRDefault="00655318">
      <w:pPr>
        <w:pStyle w:val="ListParagraph"/>
        <w:numPr>
          <w:ilvl w:val="0"/>
          <w:numId w:val="7"/>
        </w:numPr>
        <w:ind w:left="284" w:hanging="284"/>
        <w:jc w:val="both"/>
      </w:pPr>
      <w:r>
        <w:t>Association between gametocyte density and mosquito infection rates per study drug and time-point, to examine evidence for loss in gametocyte fitness/sterilization.</w:t>
      </w:r>
    </w:p>
    <w:p w14:paraId="04DC6A0F" w14:textId="77777777" w:rsidR="00405CC5" w:rsidRPr="009B79D7" w:rsidRDefault="00405CC5">
      <w:pPr>
        <w:pStyle w:val="ListParagraph"/>
        <w:numPr>
          <w:ilvl w:val="0"/>
          <w:numId w:val="7"/>
        </w:numPr>
        <w:ind w:left="284" w:hanging="284"/>
        <w:jc w:val="both"/>
      </w:pPr>
      <w:r w:rsidRPr="009B79D7">
        <w:t>Human genotype analysis at baseline (G6PD, CYP2D6, HBB)</w:t>
      </w:r>
    </w:p>
    <w:p w14:paraId="7D3F2F1B" w14:textId="2D88D392" w:rsidR="00405CC5" w:rsidRDefault="00405CC5">
      <w:pPr>
        <w:pStyle w:val="ListParagraph"/>
        <w:numPr>
          <w:ilvl w:val="0"/>
          <w:numId w:val="7"/>
        </w:numPr>
        <w:ind w:left="284" w:hanging="284"/>
        <w:jc w:val="both"/>
      </w:pPr>
      <w:r w:rsidRPr="009B79D7">
        <w:t>ALT/Creatine density at all time-points with comparison within treatment arms compared to baseline, and between arms.</w:t>
      </w:r>
    </w:p>
    <w:p w14:paraId="27114D4B" w14:textId="13C9AA66" w:rsidR="00F3745D" w:rsidRPr="00B7654A" w:rsidRDefault="00F3745D">
      <w:pPr>
        <w:pStyle w:val="ListParagraph"/>
        <w:numPr>
          <w:ilvl w:val="0"/>
          <w:numId w:val="7"/>
        </w:numPr>
        <w:ind w:left="284" w:hanging="284"/>
        <w:jc w:val="both"/>
      </w:pPr>
      <w:r>
        <w:t xml:space="preserve">Gametocyte density, mosquito </w:t>
      </w:r>
      <w:r w:rsidR="00B7654A" w:rsidRPr="00B7654A">
        <w:t>infection rate and mean oocyst intensity</w:t>
      </w:r>
      <w:r w:rsidR="004615CA">
        <w:t xml:space="preserve"> </w:t>
      </w:r>
      <w:r w:rsidR="00B7654A" w:rsidRPr="00B7654A">
        <w:t>before and after MACS</w:t>
      </w:r>
      <w:r>
        <w:t>, for within treatment arm comparison to baseline and comparison between treatment arms.</w:t>
      </w:r>
    </w:p>
    <w:p w14:paraId="48B080ED" w14:textId="0E5E0D2E" w:rsidR="00405CC5" w:rsidRPr="00F3745D" w:rsidRDefault="00405CC5" w:rsidP="00F3745D">
      <w:pPr>
        <w:pStyle w:val="ListParagraph"/>
        <w:ind w:left="284"/>
        <w:jc w:val="both"/>
        <w:rPr>
          <w:highlight w:val="yellow"/>
        </w:rPr>
      </w:pPr>
    </w:p>
    <w:p w14:paraId="492C53E2" w14:textId="75295C1B" w:rsidR="00405CC5" w:rsidRPr="00405CC5" w:rsidRDefault="00405CC5" w:rsidP="00405CC5">
      <w:pPr>
        <w:jc w:val="both"/>
        <w:rPr>
          <w:b/>
          <w:bCs/>
        </w:rPr>
      </w:pPr>
      <w:r w:rsidRPr="00405CC5">
        <w:rPr>
          <w:b/>
          <w:bCs/>
        </w:rPr>
        <w:t xml:space="preserve">Table </w:t>
      </w:r>
      <w:r w:rsidR="00FD1F8F">
        <w:rPr>
          <w:b/>
          <w:bCs/>
        </w:rPr>
        <w:t>5</w:t>
      </w:r>
      <w:r w:rsidRPr="00405CC5">
        <w:rPr>
          <w:b/>
          <w:bCs/>
        </w:rPr>
        <w:t xml:space="preserve">. </w:t>
      </w:r>
      <w:r w:rsidRPr="00B7654A">
        <w:rPr>
          <w:b/>
          <w:bCs/>
        </w:rPr>
        <w:t>Outcome measures</w:t>
      </w:r>
    </w:p>
    <w:tbl>
      <w:tblPr>
        <w:tblStyle w:val="TableGrid1"/>
        <w:tblW w:w="9209" w:type="dxa"/>
        <w:tblLayout w:type="fixed"/>
        <w:tblLook w:val="04A0" w:firstRow="1" w:lastRow="0" w:firstColumn="1" w:lastColumn="0" w:noHBand="0" w:noVBand="1"/>
      </w:tblPr>
      <w:tblGrid>
        <w:gridCol w:w="2972"/>
        <w:gridCol w:w="709"/>
        <w:gridCol w:w="850"/>
        <w:gridCol w:w="851"/>
        <w:gridCol w:w="850"/>
        <w:gridCol w:w="851"/>
        <w:gridCol w:w="992"/>
        <w:gridCol w:w="1134"/>
      </w:tblGrid>
      <w:tr w:rsidR="0092384B" w:rsidRPr="00405CC5" w14:paraId="08EC3239" w14:textId="77777777" w:rsidTr="0092384B">
        <w:trPr>
          <w:trHeight w:val="674"/>
        </w:trPr>
        <w:tc>
          <w:tcPr>
            <w:tcW w:w="2972" w:type="dxa"/>
            <w:shd w:val="clear" w:color="auto" w:fill="F2F2F2" w:themeFill="background1" w:themeFillShade="F2"/>
          </w:tcPr>
          <w:p w14:paraId="082D7759" w14:textId="77777777" w:rsidR="0092384B" w:rsidRPr="00405CC5" w:rsidRDefault="0092384B" w:rsidP="00405CC5">
            <w:pPr>
              <w:spacing w:before="0" w:after="0"/>
              <w:rPr>
                <w:rFonts w:cs="Arial"/>
                <w:sz w:val="20"/>
              </w:rPr>
            </w:pPr>
            <w:r w:rsidRPr="00405CC5">
              <w:rPr>
                <w:rFonts w:cs="Arial"/>
                <w:sz w:val="20"/>
              </w:rPr>
              <w:t>Outcome measure</w:t>
            </w:r>
          </w:p>
        </w:tc>
        <w:tc>
          <w:tcPr>
            <w:tcW w:w="709" w:type="dxa"/>
            <w:shd w:val="clear" w:color="auto" w:fill="F2F2F2" w:themeFill="background1" w:themeFillShade="F2"/>
          </w:tcPr>
          <w:p w14:paraId="534840E0" w14:textId="77777777" w:rsidR="0092384B" w:rsidRPr="00405CC5" w:rsidRDefault="0092384B" w:rsidP="00405CC5">
            <w:pPr>
              <w:spacing w:before="0" w:after="0"/>
              <w:rPr>
                <w:rFonts w:cs="Arial"/>
                <w:sz w:val="18"/>
                <w:szCs w:val="21"/>
              </w:rPr>
            </w:pPr>
            <w:r w:rsidRPr="00405CC5">
              <w:rPr>
                <w:rFonts w:cs="Arial"/>
                <w:sz w:val="18"/>
                <w:szCs w:val="21"/>
              </w:rPr>
              <w:t>Day 0</w:t>
            </w:r>
          </w:p>
        </w:tc>
        <w:tc>
          <w:tcPr>
            <w:tcW w:w="850" w:type="dxa"/>
            <w:shd w:val="clear" w:color="auto" w:fill="F2F2F2" w:themeFill="background1" w:themeFillShade="F2"/>
          </w:tcPr>
          <w:p w14:paraId="15EDA1AA" w14:textId="77777777" w:rsidR="0092384B" w:rsidRPr="00405CC5" w:rsidRDefault="0092384B" w:rsidP="00405CC5">
            <w:pPr>
              <w:spacing w:before="0" w:after="0"/>
              <w:rPr>
                <w:rFonts w:cs="Arial"/>
                <w:sz w:val="18"/>
                <w:szCs w:val="21"/>
              </w:rPr>
            </w:pPr>
            <w:r w:rsidRPr="00405CC5">
              <w:rPr>
                <w:rFonts w:cs="Arial"/>
                <w:sz w:val="18"/>
                <w:szCs w:val="21"/>
              </w:rPr>
              <w:t>Day 1</w:t>
            </w:r>
          </w:p>
        </w:tc>
        <w:tc>
          <w:tcPr>
            <w:tcW w:w="851" w:type="dxa"/>
            <w:shd w:val="clear" w:color="auto" w:fill="F2F2F2" w:themeFill="background1" w:themeFillShade="F2"/>
          </w:tcPr>
          <w:p w14:paraId="585FAF1A" w14:textId="77777777" w:rsidR="0092384B" w:rsidRPr="00405CC5" w:rsidRDefault="0092384B" w:rsidP="00405CC5">
            <w:pPr>
              <w:spacing w:before="0" w:after="0"/>
              <w:rPr>
                <w:rFonts w:cs="Arial"/>
                <w:sz w:val="18"/>
                <w:szCs w:val="21"/>
              </w:rPr>
            </w:pPr>
            <w:r w:rsidRPr="00405CC5">
              <w:rPr>
                <w:rFonts w:cs="Arial"/>
                <w:sz w:val="18"/>
                <w:szCs w:val="21"/>
              </w:rPr>
              <w:t>Day 2</w:t>
            </w:r>
          </w:p>
        </w:tc>
        <w:tc>
          <w:tcPr>
            <w:tcW w:w="850" w:type="dxa"/>
            <w:shd w:val="clear" w:color="auto" w:fill="F2F2F2" w:themeFill="background1" w:themeFillShade="F2"/>
          </w:tcPr>
          <w:p w14:paraId="084464E1" w14:textId="77777777" w:rsidR="0092384B" w:rsidRPr="00405CC5" w:rsidRDefault="0092384B" w:rsidP="00405CC5">
            <w:pPr>
              <w:spacing w:before="0" w:after="0"/>
              <w:rPr>
                <w:rFonts w:cs="Arial"/>
                <w:sz w:val="18"/>
                <w:szCs w:val="21"/>
              </w:rPr>
            </w:pPr>
            <w:r w:rsidRPr="00405CC5">
              <w:rPr>
                <w:rFonts w:cs="Arial"/>
                <w:sz w:val="18"/>
                <w:szCs w:val="21"/>
              </w:rPr>
              <w:t>Day 7</w:t>
            </w:r>
          </w:p>
        </w:tc>
        <w:tc>
          <w:tcPr>
            <w:tcW w:w="851" w:type="dxa"/>
            <w:shd w:val="clear" w:color="auto" w:fill="F2F2F2" w:themeFill="background1" w:themeFillShade="F2"/>
          </w:tcPr>
          <w:p w14:paraId="42DECBF4" w14:textId="77777777" w:rsidR="0092384B" w:rsidRPr="00405CC5" w:rsidRDefault="0092384B" w:rsidP="00405CC5">
            <w:pPr>
              <w:spacing w:before="0" w:after="0"/>
              <w:rPr>
                <w:rFonts w:cs="Arial"/>
                <w:sz w:val="18"/>
                <w:szCs w:val="21"/>
              </w:rPr>
            </w:pPr>
            <w:r w:rsidRPr="00405CC5">
              <w:rPr>
                <w:rFonts w:cs="Arial"/>
                <w:sz w:val="18"/>
                <w:szCs w:val="21"/>
              </w:rPr>
              <w:t>Day 14</w:t>
            </w:r>
          </w:p>
        </w:tc>
        <w:tc>
          <w:tcPr>
            <w:tcW w:w="992" w:type="dxa"/>
            <w:shd w:val="clear" w:color="auto" w:fill="F2F2F2" w:themeFill="background1" w:themeFillShade="F2"/>
          </w:tcPr>
          <w:p w14:paraId="78431CAA" w14:textId="77777777" w:rsidR="0092384B" w:rsidRPr="00405CC5" w:rsidRDefault="0092384B" w:rsidP="00405CC5">
            <w:pPr>
              <w:spacing w:before="0" w:after="0"/>
              <w:rPr>
                <w:rFonts w:cs="Arial"/>
                <w:sz w:val="18"/>
                <w:szCs w:val="21"/>
              </w:rPr>
            </w:pPr>
            <w:r w:rsidRPr="00405CC5">
              <w:rPr>
                <w:rFonts w:cs="Arial"/>
                <w:sz w:val="18"/>
                <w:szCs w:val="21"/>
              </w:rPr>
              <w:t>Day 21</w:t>
            </w:r>
          </w:p>
        </w:tc>
        <w:tc>
          <w:tcPr>
            <w:tcW w:w="1134" w:type="dxa"/>
            <w:shd w:val="clear" w:color="auto" w:fill="F2F2F2" w:themeFill="background1" w:themeFillShade="F2"/>
          </w:tcPr>
          <w:p w14:paraId="41AF9B78" w14:textId="77777777" w:rsidR="0092384B" w:rsidRPr="00405CC5" w:rsidRDefault="0092384B" w:rsidP="00405CC5">
            <w:pPr>
              <w:spacing w:before="0" w:after="0"/>
              <w:rPr>
                <w:rFonts w:cs="Arial"/>
                <w:sz w:val="18"/>
                <w:szCs w:val="21"/>
              </w:rPr>
            </w:pPr>
            <w:r w:rsidRPr="00405CC5">
              <w:rPr>
                <w:rFonts w:cs="Arial"/>
                <w:sz w:val="18"/>
                <w:szCs w:val="21"/>
              </w:rPr>
              <w:t>Day 28</w:t>
            </w:r>
          </w:p>
        </w:tc>
      </w:tr>
      <w:tr w:rsidR="0092384B" w:rsidRPr="00405CC5" w14:paraId="53E3927E" w14:textId="77777777" w:rsidTr="0092384B">
        <w:tc>
          <w:tcPr>
            <w:tcW w:w="2972" w:type="dxa"/>
            <w:vAlign w:val="bottom"/>
          </w:tcPr>
          <w:p w14:paraId="684F7033" w14:textId="77777777" w:rsidR="0092384B" w:rsidRPr="00405CC5" w:rsidRDefault="0092384B" w:rsidP="00405CC5">
            <w:pPr>
              <w:spacing w:before="0" w:after="0"/>
              <w:rPr>
                <w:rFonts w:cs="Arial"/>
                <w:i/>
                <w:iCs/>
                <w:sz w:val="20"/>
              </w:rPr>
            </w:pPr>
            <w:r w:rsidRPr="00405CC5">
              <w:rPr>
                <w:rFonts w:cs="Arial"/>
                <w:sz w:val="20"/>
              </w:rPr>
              <w:t>Mosquito infectivity</w:t>
            </w:r>
          </w:p>
        </w:tc>
        <w:tc>
          <w:tcPr>
            <w:tcW w:w="709" w:type="dxa"/>
            <w:vAlign w:val="center"/>
          </w:tcPr>
          <w:p w14:paraId="4A9036E8"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19974F14"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5CC18236"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4111E381"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6651B55C" w14:textId="6A10634B" w:rsidR="0092384B" w:rsidRPr="00405CC5" w:rsidRDefault="0092384B" w:rsidP="00405CC5">
            <w:pPr>
              <w:spacing w:before="0" w:after="0"/>
              <w:rPr>
                <w:rFonts w:ascii="Times New Roman" w:hAnsi="Times New Roman" w:cs="Times New Roman"/>
                <w:sz w:val="20"/>
              </w:rPr>
            </w:pPr>
            <w:r>
              <w:rPr>
                <w:rFonts w:ascii="Times New Roman" w:hAnsi="Times New Roman" w:cs="Times New Roman"/>
                <w:sz w:val="20"/>
              </w:rPr>
              <w:t>*</w:t>
            </w:r>
          </w:p>
        </w:tc>
        <w:tc>
          <w:tcPr>
            <w:tcW w:w="992" w:type="dxa"/>
            <w:vAlign w:val="center"/>
          </w:tcPr>
          <w:p w14:paraId="67A78108" w14:textId="3A59EE0B" w:rsidR="0092384B" w:rsidRPr="00405CC5" w:rsidRDefault="00062CFA" w:rsidP="00405CC5">
            <w:pPr>
              <w:spacing w:before="0" w:after="0"/>
              <w:rPr>
                <w:rFonts w:ascii="Times New Roman" w:hAnsi="Times New Roman" w:cs="Times New Roman"/>
                <w:sz w:val="20"/>
              </w:rPr>
            </w:pPr>
            <w:r>
              <w:rPr>
                <w:rFonts w:ascii="Times New Roman" w:hAnsi="Times New Roman" w:cs="Times New Roman"/>
                <w:sz w:val="20"/>
              </w:rPr>
              <w:t>**</w:t>
            </w:r>
          </w:p>
        </w:tc>
        <w:tc>
          <w:tcPr>
            <w:tcW w:w="1134" w:type="dxa"/>
            <w:vAlign w:val="center"/>
          </w:tcPr>
          <w:p w14:paraId="200DFE5A" w14:textId="1C6D8435" w:rsidR="0092384B" w:rsidRPr="00405CC5" w:rsidRDefault="00062CFA" w:rsidP="00405CC5">
            <w:pPr>
              <w:spacing w:before="0" w:after="0"/>
              <w:rPr>
                <w:rFonts w:ascii="Times New Roman" w:hAnsi="Times New Roman" w:cs="Times New Roman"/>
                <w:sz w:val="20"/>
              </w:rPr>
            </w:pPr>
            <w:r>
              <w:rPr>
                <w:rFonts w:ascii="Times New Roman" w:hAnsi="Times New Roman" w:cs="Times New Roman"/>
                <w:sz w:val="20"/>
              </w:rPr>
              <w:t>**</w:t>
            </w:r>
          </w:p>
        </w:tc>
      </w:tr>
      <w:tr w:rsidR="0092384B" w:rsidRPr="00405CC5" w14:paraId="171D798A" w14:textId="77777777" w:rsidTr="0092384B">
        <w:trPr>
          <w:trHeight w:val="404"/>
        </w:trPr>
        <w:tc>
          <w:tcPr>
            <w:tcW w:w="2972" w:type="dxa"/>
            <w:vAlign w:val="bottom"/>
          </w:tcPr>
          <w:p w14:paraId="5C77D6C5" w14:textId="77777777" w:rsidR="0092384B" w:rsidRPr="00405CC5" w:rsidRDefault="0092384B" w:rsidP="00405CC5">
            <w:pPr>
              <w:spacing w:before="0" w:after="0"/>
              <w:rPr>
                <w:rFonts w:cs="Arial"/>
                <w:sz w:val="20"/>
              </w:rPr>
            </w:pPr>
            <w:r w:rsidRPr="00405CC5">
              <w:rPr>
                <w:rFonts w:cs="Arial"/>
                <w:sz w:val="20"/>
              </w:rPr>
              <w:t>Asexual parasite prevalence &amp; density</w:t>
            </w:r>
          </w:p>
        </w:tc>
        <w:tc>
          <w:tcPr>
            <w:tcW w:w="709" w:type="dxa"/>
            <w:vAlign w:val="center"/>
          </w:tcPr>
          <w:p w14:paraId="7C772C17"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02E3571C"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66917E3F"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3B19F7B6"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6E40E0A6"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49F730D9"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1134" w:type="dxa"/>
            <w:vAlign w:val="center"/>
          </w:tcPr>
          <w:p w14:paraId="2B19C814"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r>
      <w:tr w:rsidR="0092384B" w:rsidRPr="00405CC5" w14:paraId="4F4353C1" w14:textId="77777777" w:rsidTr="0092384B">
        <w:trPr>
          <w:trHeight w:val="404"/>
        </w:trPr>
        <w:tc>
          <w:tcPr>
            <w:tcW w:w="2972" w:type="dxa"/>
            <w:vAlign w:val="bottom"/>
          </w:tcPr>
          <w:p w14:paraId="60CC678A" w14:textId="77777777" w:rsidR="0092384B" w:rsidRPr="00405CC5" w:rsidRDefault="0092384B" w:rsidP="00405CC5">
            <w:pPr>
              <w:spacing w:before="0" w:after="0"/>
              <w:rPr>
                <w:rFonts w:cs="Arial"/>
                <w:sz w:val="20"/>
              </w:rPr>
            </w:pPr>
            <w:r w:rsidRPr="00405CC5">
              <w:rPr>
                <w:rFonts w:cs="Arial"/>
                <w:sz w:val="20"/>
              </w:rPr>
              <w:t>Gametocyte prevalence, density, sex ratio, genotype</w:t>
            </w:r>
          </w:p>
        </w:tc>
        <w:tc>
          <w:tcPr>
            <w:tcW w:w="709" w:type="dxa"/>
            <w:vAlign w:val="center"/>
          </w:tcPr>
          <w:p w14:paraId="1CAD131E"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36C334A6"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79C79A78"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6E71C45B"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1D86C056"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558D5EA9"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1134" w:type="dxa"/>
            <w:vAlign w:val="center"/>
          </w:tcPr>
          <w:p w14:paraId="2B7554CF"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r>
      <w:tr w:rsidR="0092384B" w:rsidRPr="00405CC5" w14:paraId="3281A0E4" w14:textId="77777777" w:rsidTr="0092384B">
        <w:tc>
          <w:tcPr>
            <w:tcW w:w="2972" w:type="dxa"/>
            <w:vAlign w:val="bottom"/>
          </w:tcPr>
          <w:p w14:paraId="7390893E" w14:textId="2EF5AD41" w:rsidR="0092384B" w:rsidRPr="00405CC5" w:rsidRDefault="0092384B" w:rsidP="00405CC5">
            <w:pPr>
              <w:spacing w:before="0" w:after="0"/>
              <w:rPr>
                <w:rFonts w:cs="Arial"/>
                <w:sz w:val="20"/>
              </w:rPr>
            </w:pPr>
            <w:r w:rsidRPr="00405CC5">
              <w:rPr>
                <w:rFonts w:cs="Arial"/>
                <w:sz w:val="20"/>
              </w:rPr>
              <w:t>Biochemistry (ALT/Creatinine)</w:t>
            </w:r>
          </w:p>
        </w:tc>
        <w:tc>
          <w:tcPr>
            <w:tcW w:w="709" w:type="dxa"/>
            <w:vAlign w:val="center"/>
          </w:tcPr>
          <w:p w14:paraId="0AEDF6EE"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6626AF0C"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75164E1A"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074C847E"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1D837A1E"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57F0880B" w14:textId="77777777" w:rsidR="0092384B" w:rsidRPr="00405CC5" w:rsidRDefault="0092384B" w:rsidP="00405CC5">
            <w:pPr>
              <w:spacing w:before="0" w:after="0"/>
              <w:rPr>
                <w:rFonts w:ascii="Times New Roman" w:hAnsi="Times New Roman" w:cs="Times New Roman"/>
                <w:sz w:val="20"/>
              </w:rPr>
            </w:pPr>
          </w:p>
        </w:tc>
        <w:tc>
          <w:tcPr>
            <w:tcW w:w="1134" w:type="dxa"/>
            <w:vAlign w:val="center"/>
          </w:tcPr>
          <w:p w14:paraId="41A00236" w14:textId="77777777" w:rsidR="0092384B" w:rsidRPr="00405CC5" w:rsidRDefault="0092384B" w:rsidP="00405CC5">
            <w:pPr>
              <w:spacing w:before="0" w:after="0"/>
              <w:rPr>
                <w:rFonts w:ascii="Times New Roman" w:hAnsi="Times New Roman" w:cs="Times New Roman"/>
                <w:sz w:val="20"/>
              </w:rPr>
            </w:pPr>
          </w:p>
        </w:tc>
      </w:tr>
      <w:tr w:rsidR="0092384B" w:rsidRPr="00405CC5" w14:paraId="53D3A923" w14:textId="77777777" w:rsidTr="0092384B">
        <w:tc>
          <w:tcPr>
            <w:tcW w:w="2972" w:type="dxa"/>
            <w:vAlign w:val="bottom"/>
          </w:tcPr>
          <w:p w14:paraId="32062B69" w14:textId="77777777" w:rsidR="0092384B" w:rsidRPr="00405CC5" w:rsidRDefault="0092384B" w:rsidP="00405CC5">
            <w:pPr>
              <w:spacing w:before="0" w:after="0"/>
              <w:rPr>
                <w:rFonts w:cs="Arial"/>
                <w:sz w:val="20"/>
              </w:rPr>
            </w:pPr>
            <w:r w:rsidRPr="00405CC5">
              <w:rPr>
                <w:rFonts w:cs="Arial"/>
                <w:sz w:val="20"/>
              </w:rPr>
              <w:t>CBC</w:t>
            </w:r>
          </w:p>
        </w:tc>
        <w:tc>
          <w:tcPr>
            <w:tcW w:w="709" w:type="dxa"/>
            <w:vAlign w:val="center"/>
          </w:tcPr>
          <w:p w14:paraId="31BC3A28"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1D0FD04C"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02B6BD31"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7B2700E4"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225A31DA"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793737F5" w14:textId="77777777" w:rsidR="0092384B" w:rsidRPr="00405CC5" w:rsidRDefault="0092384B" w:rsidP="00405CC5">
            <w:pPr>
              <w:spacing w:before="0" w:after="0"/>
              <w:rPr>
                <w:rFonts w:ascii="Times New Roman" w:hAnsi="Times New Roman" w:cs="Times New Roman"/>
                <w:sz w:val="20"/>
              </w:rPr>
            </w:pPr>
          </w:p>
        </w:tc>
        <w:tc>
          <w:tcPr>
            <w:tcW w:w="1134" w:type="dxa"/>
            <w:vAlign w:val="center"/>
          </w:tcPr>
          <w:p w14:paraId="566AA1F2" w14:textId="77777777" w:rsidR="0092384B" w:rsidRPr="00405CC5" w:rsidRDefault="0092384B" w:rsidP="00405CC5">
            <w:pPr>
              <w:spacing w:before="0" w:after="0"/>
              <w:rPr>
                <w:rFonts w:ascii="Times New Roman" w:hAnsi="Times New Roman" w:cs="Times New Roman"/>
                <w:sz w:val="20"/>
              </w:rPr>
            </w:pPr>
          </w:p>
        </w:tc>
      </w:tr>
      <w:tr w:rsidR="0092384B" w:rsidRPr="00405CC5" w14:paraId="2C1E3C78" w14:textId="77777777" w:rsidTr="0092384B">
        <w:tc>
          <w:tcPr>
            <w:tcW w:w="2972" w:type="dxa"/>
            <w:vAlign w:val="bottom"/>
          </w:tcPr>
          <w:p w14:paraId="7A0C96F4" w14:textId="0FA3F0CF" w:rsidR="0092384B" w:rsidRPr="00405CC5" w:rsidRDefault="0092384B" w:rsidP="00405CC5">
            <w:pPr>
              <w:spacing w:before="0" w:after="0"/>
              <w:rPr>
                <w:rFonts w:cs="Arial"/>
                <w:sz w:val="20"/>
              </w:rPr>
            </w:pPr>
            <w:r w:rsidRPr="00405CC5">
              <w:rPr>
                <w:rFonts w:cs="Arial"/>
                <w:sz w:val="20"/>
              </w:rPr>
              <w:t>Haemoglobin</w:t>
            </w:r>
            <w:r w:rsidR="007D46B2" w:rsidRPr="00405CC5">
              <w:rPr>
                <w:rFonts w:cs="Arial"/>
                <w:sz w:val="20"/>
              </w:rPr>
              <w:t xml:space="preserve"> </w:t>
            </w:r>
          </w:p>
        </w:tc>
        <w:tc>
          <w:tcPr>
            <w:tcW w:w="709" w:type="dxa"/>
            <w:vAlign w:val="center"/>
          </w:tcPr>
          <w:p w14:paraId="5007F66A"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5C853060"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7C9DB3FB"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4E5B6307"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22F2D6B7"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5923F5C8"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1134" w:type="dxa"/>
            <w:vAlign w:val="center"/>
          </w:tcPr>
          <w:p w14:paraId="5398E88D"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r>
      <w:tr w:rsidR="0092384B" w:rsidRPr="00405CC5" w14:paraId="03D0129A" w14:textId="77777777" w:rsidTr="0092384B">
        <w:tc>
          <w:tcPr>
            <w:tcW w:w="2972" w:type="dxa"/>
            <w:vAlign w:val="bottom"/>
          </w:tcPr>
          <w:p w14:paraId="1F0299DE" w14:textId="77777777" w:rsidR="0092384B" w:rsidRPr="00405CC5" w:rsidRDefault="0092384B" w:rsidP="00405CC5">
            <w:pPr>
              <w:spacing w:before="0" w:after="0"/>
              <w:rPr>
                <w:rFonts w:cs="Arial"/>
                <w:sz w:val="20"/>
              </w:rPr>
            </w:pPr>
            <w:r w:rsidRPr="00405CC5">
              <w:rPr>
                <w:rFonts w:cs="Arial"/>
                <w:sz w:val="20"/>
              </w:rPr>
              <w:t>Safety assessment: signs of haemolysis</w:t>
            </w:r>
          </w:p>
        </w:tc>
        <w:tc>
          <w:tcPr>
            <w:tcW w:w="709" w:type="dxa"/>
            <w:vAlign w:val="center"/>
          </w:tcPr>
          <w:p w14:paraId="41D59E0F"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3B1D7912"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74BA7649"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5972875D"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19BFEC3B"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72D6470E"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1134" w:type="dxa"/>
            <w:vAlign w:val="center"/>
          </w:tcPr>
          <w:p w14:paraId="2170EA0F"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r>
      <w:tr w:rsidR="0092384B" w:rsidRPr="00405CC5" w14:paraId="1E504BF7" w14:textId="77777777" w:rsidTr="0092384B">
        <w:tc>
          <w:tcPr>
            <w:tcW w:w="2972" w:type="dxa"/>
            <w:vAlign w:val="bottom"/>
          </w:tcPr>
          <w:p w14:paraId="6066468E" w14:textId="77777777" w:rsidR="0092384B" w:rsidRPr="00405CC5" w:rsidRDefault="0092384B" w:rsidP="00405CC5">
            <w:pPr>
              <w:spacing w:before="0" w:after="0"/>
              <w:rPr>
                <w:rFonts w:cs="Arial"/>
                <w:sz w:val="20"/>
              </w:rPr>
            </w:pPr>
            <w:r w:rsidRPr="00405CC5">
              <w:rPr>
                <w:rFonts w:cs="Arial"/>
                <w:sz w:val="20"/>
              </w:rPr>
              <w:t>Safety assessment: Adverse Events</w:t>
            </w:r>
          </w:p>
        </w:tc>
        <w:tc>
          <w:tcPr>
            <w:tcW w:w="709" w:type="dxa"/>
            <w:vAlign w:val="center"/>
          </w:tcPr>
          <w:p w14:paraId="4EADA0A8"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75F93C86"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7593C54E"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015FA081"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4C9D2F28"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4526F783"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1134" w:type="dxa"/>
            <w:vAlign w:val="center"/>
          </w:tcPr>
          <w:p w14:paraId="02F223B3"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r>
      <w:tr w:rsidR="0092384B" w:rsidRPr="00405CC5" w14:paraId="0737648D" w14:textId="77777777" w:rsidTr="0092384B">
        <w:tc>
          <w:tcPr>
            <w:tcW w:w="2972" w:type="dxa"/>
            <w:vAlign w:val="bottom"/>
          </w:tcPr>
          <w:p w14:paraId="097F1695" w14:textId="77777777" w:rsidR="0092384B" w:rsidRPr="00405CC5" w:rsidRDefault="0092384B" w:rsidP="00405CC5">
            <w:pPr>
              <w:spacing w:before="0" w:after="0"/>
              <w:rPr>
                <w:rFonts w:cs="Arial"/>
                <w:sz w:val="20"/>
              </w:rPr>
            </w:pPr>
            <w:r w:rsidRPr="00405CC5">
              <w:rPr>
                <w:rFonts w:cs="Arial"/>
                <w:sz w:val="20"/>
              </w:rPr>
              <w:t>Plasma biomarkers</w:t>
            </w:r>
          </w:p>
        </w:tc>
        <w:tc>
          <w:tcPr>
            <w:tcW w:w="709" w:type="dxa"/>
            <w:vAlign w:val="center"/>
          </w:tcPr>
          <w:p w14:paraId="6B92000F"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5B19268D" w14:textId="77777777" w:rsidR="0092384B" w:rsidRPr="00405CC5" w:rsidRDefault="0092384B" w:rsidP="00405CC5">
            <w:pPr>
              <w:spacing w:before="0" w:after="0"/>
              <w:rPr>
                <w:rFonts w:ascii="Times New Roman" w:hAnsi="Times New Roman" w:cs="Times New Roman"/>
                <w:sz w:val="20"/>
              </w:rPr>
            </w:pPr>
          </w:p>
        </w:tc>
        <w:tc>
          <w:tcPr>
            <w:tcW w:w="851" w:type="dxa"/>
            <w:vAlign w:val="center"/>
          </w:tcPr>
          <w:p w14:paraId="6EE8C6A9"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0" w:type="dxa"/>
            <w:vAlign w:val="center"/>
          </w:tcPr>
          <w:p w14:paraId="512DFE16"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851" w:type="dxa"/>
            <w:vAlign w:val="center"/>
          </w:tcPr>
          <w:p w14:paraId="6C79623D"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992" w:type="dxa"/>
            <w:vAlign w:val="center"/>
          </w:tcPr>
          <w:p w14:paraId="07BAAC9C"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c>
          <w:tcPr>
            <w:tcW w:w="1134" w:type="dxa"/>
            <w:vAlign w:val="center"/>
          </w:tcPr>
          <w:p w14:paraId="1F7C8642" w14:textId="77777777" w:rsidR="0092384B" w:rsidRPr="00405CC5" w:rsidRDefault="0092384B" w:rsidP="00405CC5">
            <w:pPr>
              <w:spacing w:before="0" w:after="0"/>
              <w:rPr>
                <w:rFonts w:ascii="Times New Roman" w:hAnsi="Times New Roman" w:cs="Times New Roman"/>
                <w:sz w:val="20"/>
              </w:rPr>
            </w:pPr>
            <w:r w:rsidRPr="00405CC5">
              <w:rPr>
                <w:rFonts w:ascii="Times New Roman" w:hAnsi="Times New Roman" w:cs="Times New Roman"/>
                <w:sz w:val="20"/>
              </w:rPr>
              <w:t>*</w:t>
            </w:r>
          </w:p>
        </w:tc>
      </w:tr>
      <w:tr w:rsidR="0092384B" w:rsidRPr="00405CC5" w14:paraId="562B871C" w14:textId="77777777" w:rsidTr="0092384B">
        <w:tc>
          <w:tcPr>
            <w:tcW w:w="2972" w:type="dxa"/>
            <w:vAlign w:val="bottom"/>
          </w:tcPr>
          <w:p w14:paraId="19DBDDAE" w14:textId="066F1CBC" w:rsidR="0092384B" w:rsidRPr="00AC68E8" w:rsidRDefault="00AC68E8" w:rsidP="00405CC5">
            <w:pPr>
              <w:spacing w:before="0" w:after="0"/>
              <w:rPr>
                <w:rFonts w:cs="Arial"/>
                <w:sz w:val="20"/>
              </w:rPr>
            </w:pPr>
            <w:r w:rsidRPr="00AC68E8">
              <w:rPr>
                <w:rFonts w:cs="Arial"/>
                <w:sz w:val="20"/>
              </w:rPr>
              <w:t>Mosquito</w:t>
            </w:r>
            <w:r w:rsidR="0092384B" w:rsidRPr="00AC68E8">
              <w:rPr>
                <w:rFonts w:cs="Arial"/>
                <w:sz w:val="20"/>
              </w:rPr>
              <w:t xml:space="preserve"> infectivity</w:t>
            </w:r>
            <w:r w:rsidRPr="00AC68E8">
              <w:rPr>
                <w:rFonts w:cs="Arial"/>
                <w:sz w:val="20"/>
              </w:rPr>
              <w:t xml:space="preserve"> after MACS</w:t>
            </w:r>
          </w:p>
        </w:tc>
        <w:tc>
          <w:tcPr>
            <w:tcW w:w="709" w:type="dxa"/>
            <w:vAlign w:val="center"/>
          </w:tcPr>
          <w:p w14:paraId="22D414B6" w14:textId="1E536C73" w:rsidR="0092384B" w:rsidRPr="00AC68E8" w:rsidRDefault="0092384B" w:rsidP="00405CC5">
            <w:pPr>
              <w:spacing w:before="0" w:after="0"/>
              <w:rPr>
                <w:rFonts w:ascii="Times New Roman" w:hAnsi="Times New Roman" w:cs="Times New Roman"/>
                <w:sz w:val="20"/>
              </w:rPr>
            </w:pPr>
            <w:r w:rsidRPr="00AC68E8">
              <w:rPr>
                <w:rFonts w:ascii="Times New Roman" w:hAnsi="Times New Roman" w:cs="Times New Roman"/>
                <w:sz w:val="20"/>
              </w:rPr>
              <w:t>*</w:t>
            </w:r>
          </w:p>
        </w:tc>
        <w:tc>
          <w:tcPr>
            <w:tcW w:w="850" w:type="dxa"/>
            <w:vAlign w:val="center"/>
          </w:tcPr>
          <w:p w14:paraId="3D2B4A50" w14:textId="77777777" w:rsidR="0092384B" w:rsidRPr="00AC68E8" w:rsidRDefault="0092384B" w:rsidP="00405CC5">
            <w:pPr>
              <w:spacing w:before="0" w:after="0"/>
              <w:rPr>
                <w:rFonts w:ascii="Times New Roman" w:hAnsi="Times New Roman" w:cs="Times New Roman"/>
                <w:sz w:val="20"/>
              </w:rPr>
            </w:pPr>
          </w:p>
        </w:tc>
        <w:tc>
          <w:tcPr>
            <w:tcW w:w="851" w:type="dxa"/>
            <w:vAlign w:val="center"/>
          </w:tcPr>
          <w:p w14:paraId="40CEB3F5" w14:textId="01743393" w:rsidR="0092384B" w:rsidRPr="00AC68E8" w:rsidRDefault="0092384B" w:rsidP="00405CC5">
            <w:pPr>
              <w:spacing w:before="0" w:after="0"/>
              <w:rPr>
                <w:rFonts w:ascii="Times New Roman" w:hAnsi="Times New Roman" w:cs="Times New Roman"/>
                <w:sz w:val="20"/>
              </w:rPr>
            </w:pPr>
            <w:r w:rsidRPr="00AC68E8">
              <w:rPr>
                <w:rFonts w:ascii="Times New Roman" w:hAnsi="Times New Roman" w:cs="Times New Roman"/>
                <w:sz w:val="20"/>
              </w:rPr>
              <w:t>*</w:t>
            </w:r>
          </w:p>
        </w:tc>
        <w:tc>
          <w:tcPr>
            <w:tcW w:w="850" w:type="dxa"/>
            <w:vAlign w:val="center"/>
          </w:tcPr>
          <w:p w14:paraId="54DA9020" w14:textId="4BFD0339" w:rsidR="0092384B" w:rsidRPr="00AC68E8" w:rsidRDefault="0092384B" w:rsidP="00405CC5">
            <w:pPr>
              <w:spacing w:before="0" w:after="0"/>
              <w:rPr>
                <w:rFonts w:ascii="Times New Roman" w:hAnsi="Times New Roman" w:cs="Times New Roman"/>
                <w:sz w:val="20"/>
              </w:rPr>
            </w:pPr>
          </w:p>
        </w:tc>
        <w:tc>
          <w:tcPr>
            <w:tcW w:w="851" w:type="dxa"/>
            <w:vAlign w:val="center"/>
          </w:tcPr>
          <w:p w14:paraId="5FD7F876" w14:textId="77777777" w:rsidR="0092384B" w:rsidRPr="00405CC5" w:rsidRDefault="0092384B" w:rsidP="00405CC5">
            <w:pPr>
              <w:spacing w:before="0" w:after="0"/>
              <w:rPr>
                <w:rFonts w:ascii="Times New Roman" w:hAnsi="Times New Roman" w:cs="Times New Roman"/>
                <w:sz w:val="20"/>
              </w:rPr>
            </w:pPr>
          </w:p>
        </w:tc>
        <w:tc>
          <w:tcPr>
            <w:tcW w:w="992" w:type="dxa"/>
            <w:vAlign w:val="center"/>
          </w:tcPr>
          <w:p w14:paraId="7B63A2BA" w14:textId="77777777" w:rsidR="0092384B" w:rsidRPr="00405CC5" w:rsidRDefault="0092384B" w:rsidP="00405CC5">
            <w:pPr>
              <w:spacing w:before="0" w:after="0"/>
              <w:rPr>
                <w:rFonts w:ascii="Times New Roman" w:hAnsi="Times New Roman" w:cs="Times New Roman"/>
                <w:sz w:val="20"/>
              </w:rPr>
            </w:pPr>
          </w:p>
        </w:tc>
        <w:tc>
          <w:tcPr>
            <w:tcW w:w="1134" w:type="dxa"/>
            <w:vAlign w:val="center"/>
          </w:tcPr>
          <w:p w14:paraId="3866ADEF" w14:textId="77777777" w:rsidR="0092384B" w:rsidRPr="00405CC5" w:rsidRDefault="0092384B" w:rsidP="00405CC5">
            <w:pPr>
              <w:spacing w:before="0" w:after="0"/>
              <w:rPr>
                <w:rFonts w:ascii="Times New Roman" w:hAnsi="Times New Roman" w:cs="Times New Roman"/>
                <w:sz w:val="20"/>
              </w:rPr>
            </w:pPr>
          </w:p>
        </w:tc>
      </w:tr>
    </w:tbl>
    <w:p w14:paraId="42995CB0" w14:textId="1D3BC165" w:rsidR="00062CFA" w:rsidRPr="00F9183B" w:rsidRDefault="00062CFA" w:rsidP="00F9183B">
      <w:pPr>
        <w:jc w:val="both"/>
        <w:rPr>
          <w:rFonts w:cs="Arial"/>
          <w:i/>
          <w:iCs/>
          <w:sz w:val="20"/>
          <w:szCs w:val="20"/>
        </w:rPr>
      </w:pPr>
      <w:bookmarkStart w:id="315" w:name="_Toc100306382"/>
      <w:bookmarkStart w:id="316" w:name="_Toc100324460"/>
      <w:bookmarkStart w:id="317" w:name="_Toc101204978"/>
      <w:bookmarkStart w:id="318" w:name="_Toc101205097"/>
      <w:bookmarkStart w:id="319" w:name="_Toc101205243"/>
      <w:bookmarkStart w:id="320" w:name="_Toc102984959"/>
      <w:bookmarkStart w:id="321" w:name="_Toc102985810"/>
      <w:bookmarkStart w:id="322" w:name="_Toc104981643"/>
      <w:r w:rsidRPr="00F9183B">
        <w:rPr>
          <w:rFonts w:cs="Arial"/>
          <w:i/>
          <w:iCs/>
          <w:sz w:val="20"/>
          <w:szCs w:val="20"/>
        </w:rPr>
        <w:t xml:space="preserve">** </w:t>
      </w:r>
      <w:r w:rsidRPr="00F9183B">
        <w:rPr>
          <w:rFonts w:eastAsiaTheme="majorEastAsia" w:cstheme="majorBidi"/>
          <w:color w:val="000000" w:themeColor="text1"/>
          <w:sz w:val="20"/>
          <w:szCs w:val="22"/>
          <w:lang w:val="en-CA"/>
        </w:rPr>
        <w:t>Mosquito infectivity assays will be performed at day 21 for any individuals infectious at day 7 or 14; and at day 28 for any individuals infectious at day 14 or 21.</w:t>
      </w:r>
    </w:p>
    <w:p w14:paraId="61B3D3EC" w14:textId="10E0CCA6" w:rsidR="002E25CA" w:rsidRDefault="002E25CA">
      <w:pPr>
        <w:pStyle w:val="Heading1"/>
      </w:pPr>
      <w:bookmarkStart w:id="323" w:name="_Toc106288933"/>
      <w:r>
        <w:t>PROCEDURES</w:t>
      </w:r>
      <w:bookmarkEnd w:id="315"/>
      <w:bookmarkEnd w:id="316"/>
      <w:bookmarkEnd w:id="317"/>
      <w:bookmarkEnd w:id="318"/>
      <w:bookmarkEnd w:id="319"/>
      <w:bookmarkEnd w:id="320"/>
      <w:bookmarkEnd w:id="321"/>
      <w:bookmarkEnd w:id="322"/>
      <w:bookmarkEnd w:id="323"/>
    </w:p>
    <w:p w14:paraId="2371011A" w14:textId="2700B147" w:rsidR="00D511CD" w:rsidRDefault="00F548E5">
      <w:pPr>
        <w:pStyle w:val="Heading2"/>
      </w:pPr>
      <w:bookmarkStart w:id="324" w:name="_Toc100324461"/>
      <w:bookmarkStart w:id="325" w:name="_Toc101204979"/>
      <w:bookmarkStart w:id="326" w:name="_Toc101205098"/>
      <w:bookmarkStart w:id="327" w:name="_Toc101205244"/>
      <w:bookmarkStart w:id="328" w:name="_Toc102984960"/>
      <w:bookmarkStart w:id="329" w:name="_Toc102985811"/>
      <w:bookmarkStart w:id="330" w:name="_Toc104981644"/>
      <w:bookmarkStart w:id="331" w:name="_Toc106288934"/>
      <w:r>
        <w:t>Informed consent</w:t>
      </w:r>
      <w:bookmarkEnd w:id="324"/>
      <w:bookmarkEnd w:id="325"/>
      <w:bookmarkEnd w:id="326"/>
      <w:bookmarkEnd w:id="327"/>
      <w:bookmarkEnd w:id="328"/>
      <w:bookmarkEnd w:id="329"/>
      <w:bookmarkEnd w:id="330"/>
      <w:bookmarkEnd w:id="331"/>
    </w:p>
    <w:p w14:paraId="225DEE4D" w14:textId="72FF86EC" w:rsidR="00405CC5" w:rsidRPr="00F548E5" w:rsidRDefault="00405CC5" w:rsidP="00F548E5">
      <w:pPr>
        <w:jc w:val="both"/>
        <w:rPr>
          <w:rFonts w:cs="Arial"/>
          <w:szCs w:val="22"/>
        </w:rPr>
      </w:pPr>
      <w:r w:rsidRPr="00F548E5">
        <w:rPr>
          <w:rFonts w:cs="Arial"/>
          <w:szCs w:val="22"/>
        </w:rPr>
        <w:t xml:space="preserve">Consenting procedures will vary based on age of the potential participant. Participants aged 18 years and above will provide informed consent. For participants under 18 years of age we will seek parental consent. In addition to parental consent, assent will be sought for children aged 10-17 years. The Ethics committee in Mali does not require that participants under the age of 10 provide assent. The written, informed consent procedure will be conducted in French or in a local language understood by subject as described in the information and consent form. </w:t>
      </w:r>
    </w:p>
    <w:p w14:paraId="01357538" w14:textId="744C9E48" w:rsidR="00405CC5" w:rsidRPr="00B91D68" w:rsidRDefault="00E65C46" w:rsidP="00B91D68">
      <w:pPr>
        <w:jc w:val="both"/>
        <w:rPr>
          <w:rFonts w:cs="Arial"/>
          <w:szCs w:val="22"/>
        </w:rPr>
      </w:pPr>
      <w:r w:rsidRPr="00E65C46">
        <w:rPr>
          <w:rFonts w:cs="Arial"/>
          <w:szCs w:val="22"/>
        </w:rPr>
        <w:lastRenderedPageBreak/>
        <w:t>The informed consent document will be used to explain the risks and benefits of study participation to the participant and in the case of participants &lt; 18 years, the participant’s parent in simple terms before the subject is enrolled in the study. The informed consent document contains a statement that the consent is freely given, that the subject is aware of the risks and benefits of entering the study, and that the subject is free to withdraw from the study at any time. Written consent must be given by the participant or the participant’s parent, after the receipt of detailed information on the study. The informed consent form will be signed and personally dated by the participant or the participant’s parent and the person who conducts the informed consent discussion. The original signed informed consent form will be retained in the participant’s chart and another copy will be provided to him. A participant who is unable to read or write will place an imprint of his finger in place of a signature; in addition, an independent witness will sign the consent form to attest that the information in the consent form was orally conveyed to the participant. Specific consent will be provided for sharing samples and anonymized data to collaborating institutes outside Mali</w:t>
      </w:r>
      <w:r w:rsidR="00F3745D">
        <w:rPr>
          <w:rFonts w:cs="Arial"/>
          <w:szCs w:val="22"/>
        </w:rPr>
        <w:t xml:space="preserve"> and for sharing data in anonymous form on a digital repository</w:t>
      </w:r>
      <w:r w:rsidRPr="00E65C46">
        <w:rPr>
          <w:rFonts w:cs="Arial"/>
          <w:szCs w:val="22"/>
        </w:rPr>
        <w:t>.</w:t>
      </w:r>
    </w:p>
    <w:p w14:paraId="740BBBDF" w14:textId="28603236" w:rsidR="00D511CD" w:rsidRDefault="00D511CD">
      <w:pPr>
        <w:pStyle w:val="Heading2"/>
      </w:pPr>
      <w:bookmarkStart w:id="332" w:name="_Toc100306384"/>
      <w:bookmarkStart w:id="333" w:name="_Toc100324462"/>
      <w:bookmarkStart w:id="334" w:name="_Toc101204980"/>
      <w:bookmarkStart w:id="335" w:name="_Toc101205099"/>
      <w:bookmarkStart w:id="336" w:name="_Toc101205245"/>
      <w:bookmarkStart w:id="337" w:name="_Toc102984961"/>
      <w:bookmarkStart w:id="338" w:name="_Toc102985812"/>
      <w:bookmarkStart w:id="339" w:name="_Toc104981645"/>
      <w:bookmarkStart w:id="340" w:name="_Toc106288935"/>
      <w:r w:rsidRPr="00F042EA">
        <w:t>Study procedures</w:t>
      </w:r>
      <w:bookmarkEnd w:id="332"/>
      <w:bookmarkEnd w:id="333"/>
      <w:bookmarkEnd w:id="334"/>
      <w:bookmarkEnd w:id="335"/>
      <w:bookmarkEnd w:id="336"/>
      <w:bookmarkEnd w:id="337"/>
      <w:bookmarkEnd w:id="338"/>
      <w:bookmarkEnd w:id="339"/>
      <w:bookmarkEnd w:id="340"/>
    </w:p>
    <w:p w14:paraId="66E3F947" w14:textId="75082398" w:rsidR="00F548E5" w:rsidRPr="00E65C46" w:rsidRDefault="00F548E5" w:rsidP="00E65C46">
      <w:pPr>
        <w:jc w:val="both"/>
        <w:rPr>
          <w:rFonts w:cs="Arial"/>
          <w:szCs w:val="22"/>
        </w:rPr>
      </w:pPr>
      <w:r w:rsidRPr="00E65C46">
        <w:rPr>
          <w:rFonts w:cs="Arial"/>
          <w:szCs w:val="22"/>
        </w:rPr>
        <w:t xml:space="preserve">Participants who agree to participate and provide written, informed consent will be assessed for the presence of sexual blood stage parasite with a thick blood film. Individuals with ≥16 gametocytes/µL will go through additional screening for eligibility including haemoglobin measurement, CBC, assessment of the renal and liver functions and pregnancy tests. Recruitment will continue until </w:t>
      </w:r>
      <w:r w:rsidR="00FD1F8F">
        <w:rPr>
          <w:rFonts w:cs="Arial"/>
          <w:szCs w:val="22"/>
        </w:rPr>
        <w:t>100</w:t>
      </w:r>
      <w:r w:rsidRPr="00E65C46">
        <w:rPr>
          <w:rFonts w:cs="Arial"/>
          <w:szCs w:val="22"/>
        </w:rPr>
        <w:t xml:space="preserve"> infected individuals with microscopically detectable </w:t>
      </w:r>
      <w:r w:rsidRPr="00E65C46">
        <w:rPr>
          <w:rFonts w:cs="Arial"/>
          <w:i/>
          <w:iCs/>
          <w:szCs w:val="22"/>
        </w:rPr>
        <w:t>P. falciparum</w:t>
      </w:r>
      <w:r w:rsidRPr="00E65C46">
        <w:rPr>
          <w:rFonts w:cs="Arial"/>
          <w:szCs w:val="22"/>
        </w:rPr>
        <w:t xml:space="preserve"> gametocytes (≥16/µL) are recruited and randomised. Individuals with symptomatic malaria will not be enrolled in the study and will be treated with artemether + lumefantrine, the standard treatment for uncomplicated malaria as per the Ministry of Health policy in Mali.  Individuals screened found with other acute diseases will also be treated according to the standard of care in Mali. Those with chronic disease will be referred to the district hospital for further evaluation and management. </w:t>
      </w:r>
    </w:p>
    <w:p w14:paraId="52DF0C42" w14:textId="77777777" w:rsidR="00F548E5" w:rsidRPr="00E65C46" w:rsidRDefault="00F548E5" w:rsidP="00E65C46">
      <w:pPr>
        <w:jc w:val="both"/>
        <w:rPr>
          <w:rFonts w:cs="Arial"/>
          <w:szCs w:val="22"/>
        </w:rPr>
      </w:pPr>
      <w:r w:rsidRPr="00E65C46">
        <w:rPr>
          <w:rFonts w:cs="Arial"/>
          <w:szCs w:val="22"/>
        </w:rPr>
        <w:t>Eligible patients will then be randomized (see below under randomization procedure) to one of the treatment groups, and drugs will be administered. In case of vomiting within 30 minutes after drug intake, the drugs will be re-administered once.</w:t>
      </w:r>
    </w:p>
    <w:p w14:paraId="51E6164B" w14:textId="544A72A8" w:rsidR="00F548E5" w:rsidRPr="00E65C46" w:rsidRDefault="00F548E5" w:rsidP="00E65C46">
      <w:pPr>
        <w:jc w:val="both"/>
        <w:rPr>
          <w:rFonts w:cs="Arial"/>
          <w:szCs w:val="22"/>
        </w:rPr>
      </w:pPr>
      <w:r w:rsidRPr="00E65C46">
        <w:rPr>
          <w:rFonts w:cs="Arial"/>
          <w:szCs w:val="22"/>
        </w:rPr>
        <w:t xml:space="preserve">The participants will be compensated for any travel costs and for work loss income. Participants will be followed for 28 days as described in </w:t>
      </w:r>
      <w:r w:rsidRPr="00E02AC7">
        <w:rPr>
          <w:rFonts w:cs="Arial"/>
          <w:b/>
          <w:bCs/>
          <w:szCs w:val="22"/>
        </w:rPr>
        <w:t xml:space="preserve">Table </w:t>
      </w:r>
      <w:r w:rsidR="00FD1F8F">
        <w:rPr>
          <w:rFonts w:cs="Arial"/>
          <w:b/>
          <w:bCs/>
          <w:szCs w:val="22"/>
        </w:rPr>
        <w:t>6</w:t>
      </w:r>
      <w:r w:rsidRPr="00E65C46">
        <w:rPr>
          <w:rFonts w:cs="Arial"/>
          <w:szCs w:val="22"/>
        </w:rPr>
        <w:t xml:space="preserve"> (below). Single venous draws or finger pricks will be used. </w:t>
      </w:r>
    </w:p>
    <w:p w14:paraId="02F21EAE" w14:textId="78AE2273" w:rsidR="00F548E5" w:rsidRDefault="00F548E5" w:rsidP="00E65C46">
      <w:pPr>
        <w:jc w:val="both"/>
        <w:rPr>
          <w:rFonts w:cs="Arial"/>
          <w:bCs/>
          <w:szCs w:val="22"/>
        </w:rPr>
      </w:pPr>
      <w:r w:rsidRPr="00E65C46">
        <w:rPr>
          <w:rFonts w:cs="Arial"/>
          <w:bCs/>
          <w:szCs w:val="22"/>
        </w:rPr>
        <w:t xml:space="preserve">Any individuals determined to have an adverse event (haemolytic or otherwise) will be treated in accordance with national guidelines and best practice and will be withdrawn from the study at the discretion of the study clinician. </w:t>
      </w:r>
    </w:p>
    <w:p w14:paraId="4B6C9AB3" w14:textId="77777777" w:rsidR="00B91D68" w:rsidRPr="00E65C46" w:rsidRDefault="00B91D68" w:rsidP="00E65C46">
      <w:pPr>
        <w:jc w:val="both"/>
        <w:rPr>
          <w:rFonts w:cs="Arial"/>
          <w:bCs/>
          <w:szCs w:val="22"/>
        </w:rPr>
      </w:pPr>
    </w:p>
    <w:p w14:paraId="0211EE98" w14:textId="471D7B5C" w:rsidR="00F548E5" w:rsidRDefault="00703DB2" w:rsidP="00F548E5">
      <w:pPr>
        <w:rPr>
          <w:b/>
          <w:bCs/>
        </w:rPr>
      </w:pPr>
      <w:r w:rsidRPr="00703DB2">
        <w:rPr>
          <w:b/>
          <w:bCs/>
        </w:rPr>
        <w:t xml:space="preserve">Table </w:t>
      </w:r>
      <w:r w:rsidR="00FD1F8F">
        <w:rPr>
          <w:b/>
          <w:bCs/>
        </w:rPr>
        <w:t>6</w:t>
      </w:r>
      <w:r w:rsidRPr="00703DB2">
        <w:rPr>
          <w:b/>
          <w:bCs/>
        </w:rPr>
        <w:t>. Sampling framework for study participants</w:t>
      </w: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984"/>
        <w:gridCol w:w="992"/>
        <w:gridCol w:w="709"/>
        <w:gridCol w:w="709"/>
        <w:gridCol w:w="709"/>
        <w:gridCol w:w="708"/>
        <w:gridCol w:w="812"/>
        <w:gridCol w:w="839"/>
        <w:gridCol w:w="812"/>
      </w:tblGrid>
      <w:tr w:rsidR="00703DB2" w:rsidRPr="009B79D7" w14:paraId="46DCF697" w14:textId="77777777" w:rsidTr="003203C4">
        <w:trPr>
          <w:trHeight w:val="544"/>
        </w:trPr>
        <w:tc>
          <w:tcPr>
            <w:tcW w:w="1447" w:type="dxa"/>
            <w:vMerge w:val="restart"/>
            <w:vAlign w:val="center"/>
          </w:tcPr>
          <w:p w14:paraId="3275D9F7" w14:textId="77777777" w:rsidR="00703DB2" w:rsidRPr="00703DB2" w:rsidRDefault="00703DB2" w:rsidP="00404FC6">
            <w:pPr>
              <w:spacing w:after="0"/>
              <w:rPr>
                <w:rFonts w:cs="Arial"/>
                <w:sz w:val="16"/>
                <w:szCs w:val="16"/>
              </w:rPr>
            </w:pPr>
            <w:r w:rsidRPr="00703DB2">
              <w:rPr>
                <w:rFonts w:cs="Arial"/>
                <w:sz w:val="16"/>
                <w:szCs w:val="16"/>
              </w:rPr>
              <w:t>Required vacutainer</w:t>
            </w:r>
          </w:p>
        </w:tc>
        <w:tc>
          <w:tcPr>
            <w:tcW w:w="1984" w:type="dxa"/>
            <w:vAlign w:val="center"/>
          </w:tcPr>
          <w:p w14:paraId="6E37AED2" w14:textId="77777777" w:rsidR="00703DB2" w:rsidRPr="00703DB2" w:rsidRDefault="00703DB2" w:rsidP="00404FC6">
            <w:pPr>
              <w:spacing w:after="0"/>
              <w:rPr>
                <w:rFonts w:cs="Arial"/>
                <w:sz w:val="16"/>
                <w:szCs w:val="16"/>
              </w:rPr>
            </w:pPr>
            <w:r w:rsidRPr="00703DB2">
              <w:rPr>
                <w:rFonts w:cs="Arial"/>
                <w:sz w:val="16"/>
                <w:szCs w:val="16"/>
              </w:rPr>
              <w:t>Time of sampling</w:t>
            </w:r>
          </w:p>
          <w:p w14:paraId="693AA32D" w14:textId="77777777" w:rsidR="00703DB2" w:rsidRPr="00703DB2" w:rsidRDefault="00703DB2" w:rsidP="00404FC6">
            <w:pPr>
              <w:spacing w:after="0"/>
              <w:rPr>
                <w:rFonts w:cs="Arial"/>
                <w:sz w:val="16"/>
                <w:szCs w:val="16"/>
              </w:rPr>
            </w:pPr>
            <w:r w:rsidRPr="00703DB2">
              <w:rPr>
                <w:rFonts w:cs="Arial"/>
                <w:sz w:val="16"/>
                <w:szCs w:val="16"/>
              </w:rPr>
              <w:t>(d = day)</w:t>
            </w:r>
          </w:p>
        </w:tc>
        <w:tc>
          <w:tcPr>
            <w:tcW w:w="992" w:type="dxa"/>
            <w:vMerge w:val="restart"/>
            <w:vAlign w:val="center"/>
          </w:tcPr>
          <w:p w14:paraId="0992DCFA" w14:textId="77777777" w:rsidR="00703DB2" w:rsidRPr="00703DB2" w:rsidRDefault="00703DB2" w:rsidP="00404FC6">
            <w:pPr>
              <w:spacing w:after="0"/>
              <w:rPr>
                <w:rFonts w:cs="Arial"/>
                <w:sz w:val="16"/>
                <w:szCs w:val="16"/>
              </w:rPr>
            </w:pPr>
            <w:r w:rsidRPr="00703DB2">
              <w:rPr>
                <w:rFonts w:cs="Arial"/>
                <w:sz w:val="16"/>
                <w:szCs w:val="16"/>
              </w:rPr>
              <w:t>Required volume (mL)</w:t>
            </w:r>
          </w:p>
        </w:tc>
        <w:tc>
          <w:tcPr>
            <w:tcW w:w="709" w:type="dxa"/>
            <w:vAlign w:val="center"/>
          </w:tcPr>
          <w:p w14:paraId="62341E50" w14:textId="77777777" w:rsidR="00703DB2" w:rsidRPr="00703DB2" w:rsidRDefault="00703DB2" w:rsidP="00404FC6">
            <w:pPr>
              <w:spacing w:after="0"/>
              <w:rPr>
                <w:rFonts w:cs="Arial"/>
                <w:sz w:val="16"/>
                <w:szCs w:val="16"/>
              </w:rPr>
            </w:pPr>
            <w:r w:rsidRPr="00703DB2">
              <w:rPr>
                <w:rFonts w:cs="Arial"/>
                <w:sz w:val="16"/>
                <w:szCs w:val="16"/>
              </w:rPr>
              <w:t xml:space="preserve">Day 0 </w:t>
            </w:r>
          </w:p>
        </w:tc>
        <w:tc>
          <w:tcPr>
            <w:tcW w:w="709" w:type="dxa"/>
            <w:vAlign w:val="center"/>
          </w:tcPr>
          <w:p w14:paraId="047BC573" w14:textId="77777777" w:rsidR="00703DB2" w:rsidRPr="00703DB2" w:rsidRDefault="00703DB2" w:rsidP="00404FC6">
            <w:pPr>
              <w:spacing w:after="0"/>
              <w:rPr>
                <w:rFonts w:cs="Arial"/>
                <w:sz w:val="16"/>
                <w:szCs w:val="16"/>
              </w:rPr>
            </w:pPr>
            <w:r w:rsidRPr="00703DB2">
              <w:rPr>
                <w:rFonts w:cs="Arial"/>
                <w:sz w:val="16"/>
                <w:szCs w:val="16"/>
              </w:rPr>
              <w:t>Day 1</w:t>
            </w:r>
          </w:p>
        </w:tc>
        <w:tc>
          <w:tcPr>
            <w:tcW w:w="709" w:type="dxa"/>
            <w:vAlign w:val="center"/>
          </w:tcPr>
          <w:p w14:paraId="1B526CD9" w14:textId="77777777" w:rsidR="00703DB2" w:rsidRPr="00703DB2" w:rsidRDefault="00703DB2" w:rsidP="00404FC6">
            <w:pPr>
              <w:spacing w:after="0"/>
              <w:rPr>
                <w:rFonts w:cs="Arial"/>
                <w:sz w:val="16"/>
                <w:szCs w:val="16"/>
              </w:rPr>
            </w:pPr>
            <w:r w:rsidRPr="00703DB2">
              <w:rPr>
                <w:rFonts w:cs="Arial"/>
                <w:sz w:val="16"/>
                <w:szCs w:val="16"/>
              </w:rPr>
              <w:t>Day 2</w:t>
            </w:r>
          </w:p>
        </w:tc>
        <w:tc>
          <w:tcPr>
            <w:tcW w:w="708" w:type="dxa"/>
            <w:vAlign w:val="center"/>
          </w:tcPr>
          <w:p w14:paraId="168D1B3B" w14:textId="77777777" w:rsidR="00703DB2" w:rsidRPr="00703DB2" w:rsidRDefault="00703DB2" w:rsidP="00404FC6">
            <w:pPr>
              <w:spacing w:after="0"/>
              <w:rPr>
                <w:rFonts w:cs="Arial"/>
                <w:sz w:val="16"/>
                <w:szCs w:val="16"/>
              </w:rPr>
            </w:pPr>
            <w:r w:rsidRPr="00703DB2">
              <w:rPr>
                <w:rFonts w:cs="Arial"/>
                <w:sz w:val="16"/>
                <w:szCs w:val="16"/>
              </w:rPr>
              <w:t>Day 7</w:t>
            </w:r>
          </w:p>
        </w:tc>
        <w:tc>
          <w:tcPr>
            <w:tcW w:w="812" w:type="dxa"/>
            <w:vAlign w:val="center"/>
          </w:tcPr>
          <w:p w14:paraId="3E5A605B" w14:textId="77777777" w:rsidR="00703DB2" w:rsidRPr="00703DB2" w:rsidRDefault="00703DB2" w:rsidP="00404FC6">
            <w:pPr>
              <w:spacing w:after="0"/>
              <w:rPr>
                <w:rFonts w:cs="Arial"/>
                <w:sz w:val="16"/>
                <w:szCs w:val="16"/>
              </w:rPr>
            </w:pPr>
            <w:r w:rsidRPr="00703DB2">
              <w:rPr>
                <w:rFonts w:cs="Arial"/>
                <w:sz w:val="16"/>
                <w:szCs w:val="16"/>
              </w:rPr>
              <w:t>Day 14</w:t>
            </w:r>
          </w:p>
        </w:tc>
        <w:tc>
          <w:tcPr>
            <w:tcW w:w="839" w:type="dxa"/>
            <w:vAlign w:val="center"/>
          </w:tcPr>
          <w:p w14:paraId="2C2F4632" w14:textId="77777777" w:rsidR="00703DB2" w:rsidRPr="00703DB2" w:rsidRDefault="00703DB2" w:rsidP="00404FC6">
            <w:pPr>
              <w:spacing w:after="0"/>
              <w:rPr>
                <w:rFonts w:cs="Arial"/>
                <w:sz w:val="16"/>
                <w:szCs w:val="16"/>
              </w:rPr>
            </w:pPr>
            <w:r w:rsidRPr="00703DB2">
              <w:rPr>
                <w:rFonts w:cs="Arial"/>
                <w:sz w:val="16"/>
                <w:szCs w:val="16"/>
              </w:rPr>
              <w:t>Day 21</w:t>
            </w:r>
          </w:p>
        </w:tc>
        <w:tc>
          <w:tcPr>
            <w:tcW w:w="812" w:type="dxa"/>
            <w:vAlign w:val="center"/>
          </w:tcPr>
          <w:p w14:paraId="2CA4BC6A" w14:textId="77777777" w:rsidR="00703DB2" w:rsidRPr="00703DB2" w:rsidRDefault="00703DB2" w:rsidP="00404FC6">
            <w:pPr>
              <w:spacing w:after="0"/>
              <w:rPr>
                <w:rFonts w:cs="Arial"/>
                <w:sz w:val="16"/>
                <w:szCs w:val="16"/>
              </w:rPr>
            </w:pPr>
            <w:r w:rsidRPr="00703DB2">
              <w:rPr>
                <w:rFonts w:cs="Arial"/>
                <w:sz w:val="16"/>
                <w:szCs w:val="16"/>
              </w:rPr>
              <w:t>Day 28</w:t>
            </w:r>
          </w:p>
        </w:tc>
      </w:tr>
      <w:tr w:rsidR="00703DB2" w:rsidRPr="009B79D7" w14:paraId="43AB01EF" w14:textId="77777777" w:rsidTr="003203C4">
        <w:trPr>
          <w:trHeight w:val="273"/>
        </w:trPr>
        <w:tc>
          <w:tcPr>
            <w:tcW w:w="1447" w:type="dxa"/>
            <w:vMerge/>
            <w:vAlign w:val="center"/>
          </w:tcPr>
          <w:p w14:paraId="25ECCEA8" w14:textId="77777777" w:rsidR="00703DB2" w:rsidRPr="00703DB2" w:rsidRDefault="00703DB2" w:rsidP="00404FC6">
            <w:pPr>
              <w:spacing w:after="0"/>
              <w:rPr>
                <w:rFonts w:cs="Arial"/>
                <w:sz w:val="16"/>
                <w:szCs w:val="16"/>
              </w:rPr>
            </w:pPr>
          </w:p>
        </w:tc>
        <w:tc>
          <w:tcPr>
            <w:tcW w:w="1984" w:type="dxa"/>
            <w:vAlign w:val="center"/>
          </w:tcPr>
          <w:p w14:paraId="08C0C7AB" w14:textId="77777777" w:rsidR="00703DB2" w:rsidRPr="00703DB2" w:rsidRDefault="00703DB2" w:rsidP="00404FC6">
            <w:pPr>
              <w:spacing w:after="0"/>
              <w:rPr>
                <w:rFonts w:cs="Arial"/>
                <w:sz w:val="16"/>
                <w:szCs w:val="16"/>
                <w:vertAlign w:val="superscript"/>
              </w:rPr>
            </w:pPr>
            <w:r w:rsidRPr="00703DB2">
              <w:rPr>
                <w:rFonts w:cs="Arial"/>
                <w:sz w:val="16"/>
                <w:szCs w:val="16"/>
              </w:rPr>
              <w:t>Type of sampling</w:t>
            </w:r>
            <w:r w:rsidRPr="00703DB2">
              <w:rPr>
                <w:rFonts w:cs="Arial"/>
                <w:sz w:val="16"/>
                <w:szCs w:val="16"/>
                <w:vertAlign w:val="superscript"/>
              </w:rPr>
              <w:t>$</w:t>
            </w:r>
          </w:p>
        </w:tc>
        <w:tc>
          <w:tcPr>
            <w:tcW w:w="992" w:type="dxa"/>
            <w:vMerge/>
            <w:vAlign w:val="center"/>
          </w:tcPr>
          <w:p w14:paraId="66B8AD48" w14:textId="77777777" w:rsidR="00703DB2" w:rsidRPr="00703DB2" w:rsidRDefault="00703DB2" w:rsidP="00404FC6">
            <w:pPr>
              <w:spacing w:after="0"/>
              <w:rPr>
                <w:rFonts w:cs="Arial"/>
                <w:sz w:val="16"/>
                <w:szCs w:val="16"/>
              </w:rPr>
            </w:pPr>
          </w:p>
        </w:tc>
        <w:tc>
          <w:tcPr>
            <w:tcW w:w="709" w:type="dxa"/>
            <w:vAlign w:val="center"/>
          </w:tcPr>
          <w:p w14:paraId="55DC8BE8" w14:textId="77777777" w:rsidR="00703DB2" w:rsidRPr="00703DB2" w:rsidRDefault="00703DB2" w:rsidP="00404FC6">
            <w:pPr>
              <w:spacing w:after="0"/>
              <w:rPr>
                <w:rFonts w:cs="Arial"/>
                <w:sz w:val="16"/>
                <w:szCs w:val="16"/>
              </w:rPr>
            </w:pPr>
            <w:r w:rsidRPr="00703DB2">
              <w:rPr>
                <w:rFonts w:cs="Arial"/>
                <w:sz w:val="16"/>
                <w:szCs w:val="16"/>
              </w:rPr>
              <w:t>V</w:t>
            </w:r>
          </w:p>
        </w:tc>
        <w:tc>
          <w:tcPr>
            <w:tcW w:w="709" w:type="dxa"/>
            <w:vAlign w:val="center"/>
          </w:tcPr>
          <w:p w14:paraId="08F01A94" w14:textId="77777777" w:rsidR="00703DB2" w:rsidRPr="00703DB2" w:rsidRDefault="00703DB2" w:rsidP="00404FC6">
            <w:pPr>
              <w:spacing w:after="0"/>
              <w:rPr>
                <w:rFonts w:cs="Arial"/>
                <w:sz w:val="16"/>
                <w:szCs w:val="16"/>
              </w:rPr>
            </w:pPr>
            <w:r w:rsidRPr="00703DB2">
              <w:rPr>
                <w:rFonts w:cs="Arial"/>
                <w:sz w:val="16"/>
                <w:szCs w:val="16"/>
              </w:rPr>
              <w:t>C</w:t>
            </w:r>
          </w:p>
        </w:tc>
        <w:tc>
          <w:tcPr>
            <w:tcW w:w="709" w:type="dxa"/>
            <w:vAlign w:val="center"/>
          </w:tcPr>
          <w:p w14:paraId="7E384454" w14:textId="77777777" w:rsidR="00703DB2" w:rsidRPr="00703DB2" w:rsidRDefault="00703DB2" w:rsidP="00404FC6">
            <w:pPr>
              <w:spacing w:after="0"/>
              <w:rPr>
                <w:rFonts w:cs="Arial"/>
                <w:sz w:val="16"/>
                <w:szCs w:val="16"/>
              </w:rPr>
            </w:pPr>
            <w:r w:rsidRPr="00703DB2">
              <w:rPr>
                <w:rFonts w:cs="Arial"/>
                <w:sz w:val="16"/>
                <w:szCs w:val="16"/>
              </w:rPr>
              <w:t>V</w:t>
            </w:r>
          </w:p>
        </w:tc>
        <w:tc>
          <w:tcPr>
            <w:tcW w:w="708" w:type="dxa"/>
            <w:vAlign w:val="center"/>
          </w:tcPr>
          <w:p w14:paraId="1E085E64" w14:textId="77777777" w:rsidR="00703DB2" w:rsidRPr="00703DB2" w:rsidRDefault="00703DB2" w:rsidP="00404FC6">
            <w:pPr>
              <w:spacing w:after="0"/>
              <w:rPr>
                <w:rFonts w:cs="Arial"/>
                <w:sz w:val="16"/>
                <w:szCs w:val="16"/>
              </w:rPr>
            </w:pPr>
            <w:r w:rsidRPr="00703DB2">
              <w:rPr>
                <w:rFonts w:cs="Arial"/>
                <w:sz w:val="16"/>
                <w:szCs w:val="16"/>
              </w:rPr>
              <w:t>V</w:t>
            </w:r>
          </w:p>
        </w:tc>
        <w:tc>
          <w:tcPr>
            <w:tcW w:w="812" w:type="dxa"/>
            <w:vAlign w:val="center"/>
          </w:tcPr>
          <w:p w14:paraId="4219D355" w14:textId="77777777" w:rsidR="00703DB2" w:rsidRPr="00703DB2" w:rsidRDefault="00703DB2" w:rsidP="00404FC6">
            <w:pPr>
              <w:spacing w:after="0"/>
              <w:rPr>
                <w:rFonts w:cs="Arial"/>
                <w:sz w:val="16"/>
                <w:szCs w:val="16"/>
              </w:rPr>
            </w:pPr>
            <w:r w:rsidRPr="00703DB2">
              <w:rPr>
                <w:rFonts w:cs="Arial"/>
                <w:sz w:val="16"/>
                <w:szCs w:val="16"/>
              </w:rPr>
              <w:t>V</w:t>
            </w:r>
          </w:p>
        </w:tc>
        <w:tc>
          <w:tcPr>
            <w:tcW w:w="839" w:type="dxa"/>
            <w:vAlign w:val="center"/>
          </w:tcPr>
          <w:p w14:paraId="73CD35C6" w14:textId="4E246C8D" w:rsidR="00703DB2" w:rsidRPr="00703DB2" w:rsidRDefault="00703DB2" w:rsidP="00404FC6">
            <w:pPr>
              <w:spacing w:after="0"/>
              <w:rPr>
                <w:rFonts w:cs="Arial"/>
                <w:sz w:val="16"/>
                <w:szCs w:val="16"/>
              </w:rPr>
            </w:pPr>
            <w:r w:rsidRPr="00703DB2">
              <w:rPr>
                <w:rFonts w:cs="Arial"/>
                <w:sz w:val="16"/>
                <w:szCs w:val="16"/>
              </w:rPr>
              <w:t>V</w:t>
            </w:r>
          </w:p>
        </w:tc>
        <w:tc>
          <w:tcPr>
            <w:tcW w:w="812" w:type="dxa"/>
            <w:vAlign w:val="center"/>
          </w:tcPr>
          <w:p w14:paraId="2294DB3A" w14:textId="5406A80F" w:rsidR="00703DB2" w:rsidRPr="00703DB2" w:rsidRDefault="00703DB2" w:rsidP="00404FC6">
            <w:pPr>
              <w:spacing w:after="0"/>
              <w:rPr>
                <w:rFonts w:cs="Arial"/>
                <w:sz w:val="16"/>
                <w:szCs w:val="16"/>
              </w:rPr>
            </w:pPr>
            <w:r w:rsidRPr="00703DB2">
              <w:rPr>
                <w:rFonts w:cs="Arial"/>
                <w:sz w:val="16"/>
                <w:szCs w:val="16"/>
              </w:rPr>
              <w:t>V</w:t>
            </w:r>
          </w:p>
        </w:tc>
      </w:tr>
      <w:tr w:rsidR="003A4006" w:rsidRPr="009B79D7" w14:paraId="69A46904" w14:textId="77777777" w:rsidTr="003203C4">
        <w:trPr>
          <w:trHeight w:val="558"/>
        </w:trPr>
        <w:tc>
          <w:tcPr>
            <w:tcW w:w="1447" w:type="dxa"/>
            <w:vMerge w:val="restart"/>
            <w:vAlign w:val="center"/>
          </w:tcPr>
          <w:p w14:paraId="1275FAB4" w14:textId="368AB459" w:rsidR="003A4006" w:rsidRPr="00703DB2" w:rsidRDefault="003A4006" w:rsidP="00404FC6">
            <w:pPr>
              <w:spacing w:after="0"/>
              <w:rPr>
                <w:rFonts w:cs="Arial"/>
                <w:sz w:val="16"/>
                <w:szCs w:val="16"/>
              </w:rPr>
            </w:pPr>
            <w:r w:rsidRPr="00703DB2">
              <w:rPr>
                <w:rFonts w:cs="Arial"/>
                <w:sz w:val="16"/>
                <w:szCs w:val="16"/>
              </w:rPr>
              <w:t>Heparin (2</w:t>
            </w:r>
            <w:r>
              <w:rPr>
                <w:rFonts w:cs="Arial"/>
                <w:sz w:val="16"/>
                <w:szCs w:val="16"/>
              </w:rPr>
              <w:t>-</w:t>
            </w:r>
            <w:r w:rsidR="00F3745D">
              <w:rPr>
                <w:rFonts w:cs="Arial"/>
                <w:sz w:val="16"/>
                <w:szCs w:val="16"/>
              </w:rPr>
              <w:t>5</w:t>
            </w:r>
            <w:r w:rsidRPr="00703DB2">
              <w:rPr>
                <w:rFonts w:cs="Arial"/>
                <w:sz w:val="16"/>
                <w:szCs w:val="16"/>
              </w:rPr>
              <w:t>mL)</w:t>
            </w:r>
          </w:p>
        </w:tc>
        <w:tc>
          <w:tcPr>
            <w:tcW w:w="1984" w:type="dxa"/>
            <w:vAlign w:val="center"/>
          </w:tcPr>
          <w:p w14:paraId="531F8CCD" w14:textId="77777777" w:rsidR="003A4006" w:rsidRPr="00703DB2" w:rsidRDefault="003A4006" w:rsidP="00404FC6">
            <w:pPr>
              <w:spacing w:after="0"/>
              <w:rPr>
                <w:rFonts w:cs="Arial"/>
                <w:sz w:val="16"/>
                <w:szCs w:val="16"/>
              </w:rPr>
            </w:pPr>
            <w:r w:rsidRPr="00703DB2">
              <w:rPr>
                <w:rFonts w:cs="Arial"/>
                <w:sz w:val="16"/>
                <w:szCs w:val="16"/>
              </w:rPr>
              <w:t xml:space="preserve">Mosquito infectivity </w:t>
            </w:r>
          </w:p>
        </w:tc>
        <w:tc>
          <w:tcPr>
            <w:tcW w:w="992" w:type="dxa"/>
            <w:vAlign w:val="center"/>
          </w:tcPr>
          <w:p w14:paraId="7C698443" w14:textId="77777777" w:rsidR="003A4006" w:rsidRPr="00703DB2" w:rsidRDefault="003A4006" w:rsidP="00404FC6">
            <w:pPr>
              <w:spacing w:after="0"/>
              <w:rPr>
                <w:rFonts w:cs="Arial"/>
                <w:sz w:val="16"/>
                <w:szCs w:val="16"/>
              </w:rPr>
            </w:pPr>
            <w:r w:rsidRPr="00703DB2">
              <w:rPr>
                <w:rFonts w:cs="Arial"/>
                <w:sz w:val="16"/>
                <w:szCs w:val="16"/>
              </w:rPr>
              <w:t>2</w:t>
            </w:r>
          </w:p>
        </w:tc>
        <w:tc>
          <w:tcPr>
            <w:tcW w:w="709" w:type="dxa"/>
            <w:vAlign w:val="center"/>
          </w:tcPr>
          <w:p w14:paraId="7703FED7" w14:textId="77777777" w:rsidR="003A4006" w:rsidRPr="00703DB2" w:rsidRDefault="003A4006" w:rsidP="00404FC6">
            <w:pPr>
              <w:spacing w:after="0"/>
              <w:rPr>
                <w:rFonts w:cs="Arial"/>
                <w:sz w:val="16"/>
                <w:szCs w:val="16"/>
              </w:rPr>
            </w:pPr>
            <w:r w:rsidRPr="00703DB2">
              <w:rPr>
                <w:rFonts w:cs="Arial"/>
                <w:sz w:val="16"/>
                <w:szCs w:val="16"/>
              </w:rPr>
              <w:t>*</w:t>
            </w:r>
          </w:p>
        </w:tc>
        <w:tc>
          <w:tcPr>
            <w:tcW w:w="709" w:type="dxa"/>
            <w:vAlign w:val="center"/>
          </w:tcPr>
          <w:p w14:paraId="6F546BB9" w14:textId="77777777" w:rsidR="003A4006" w:rsidRPr="00703DB2" w:rsidRDefault="003A4006" w:rsidP="00404FC6">
            <w:pPr>
              <w:spacing w:after="0"/>
              <w:rPr>
                <w:rFonts w:cs="Arial"/>
                <w:sz w:val="16"/>
                <w:szCs w:val="16"/>
              </w:rPr>
            </w:pPr>
          </w:p>
        </w:tc>
        <w:tc>
          <w:tcPr>
            <w:tcW w:w="709" w:type="dxa"/>
            <w:vAlign w:val="center"/>
          </w:tcPr>
          <w:p w14:paraId="14B58E86" w14:textId="77777777" w:rsidR="003A4006" w:rsidRPr="00703DB2" w:rsidRDefault="003A4006" w:rsidP="00404FC6">
            <w:pPr>
              <w:spacing w:after="0"/>
              <w:rPr>
                <w:rFonts w:cs="Arial"/>
                <w:sz w:val="16"/>
                <w:szCs w:val="16"/>
              </w:rPr>
            </w:pPr>
            <w:r w:rsidRPr="00703DB2">
              <w:rPr>
                <w:rFonts w:cs="Arial"/>
                <w:sz w:val="16"/>
                <w:szCs w:val="16"/>
              </w:rPr>
              <w:t>*</w:t>
            </w:r>
          </w:p>
        </w:tc>
        <w:tc>
          <w:tcPr>
            <w:tcW w:w="708" w:type="dxa"/>
            <w:vAlign w:val="center"/>
          </w:tcPr>
          <w:p w14:paraId="10FA029F" w14:textId="77777777" w:rsidR="003A4006" w:rsidRPr="00703DB2" w:rsidRDefault="003A4006" w:rsidP="00404FC6">
            <w:pPr>
              <w:spacing w:after="0"/>
              <w:rPr>
                <w:rFonts w:cs="Arial"/>
                <w:sz w:val="16"/>
                <w:szCs w:val="16"/>
              </w:rPr>
            </w:pPr>
            <w:r w:rsidRPr="00703DB2">
              <w:rPr>
                <w:rFonts w:cs="Arial"/>
                <w:sz w:val="16"/>
                <w:szCs w:val="16"/>
              </w:rPr>
              <w:t>*</w:t>
            </w:r>
          </w:p>
        </w:tc>
        <w:tc>
          <w:tcPr>
            <w:tcW w:w="812" w:type="dxa"/>
            <w:vAlign w:val="center"/>
          </w:tcPr>
          <w:p w14:paraId="62434CC6" w14:textId="51125A94" w:rsidR="003A4006" w:rsidRPr="00703DB2" w:rsidRDefault="00F3745D" w:rsidP="00404FC6">
            <w:pPr>
              <w:spacing w:after="0"/>
              <w:rPr>
                <w:rFonts w:cs="Arial"/>
                <w:sz w:val="16"/>
                <w:szCs w:val="16"/>
              </w:rPr>
            </w:pPr>
            <w:r>
              <w:rPr>
                <w:rFonts w:cs="Arial"/>
                <w:sz w:val="16"/>
                <w:szCs w:val="16"/>
              </w:rPr>
              <w:t>*</w:t>
            </w:r>
          </w:p>
        </w:tc>
        <w:tc>
          <w:tcPr>
            <w:tcW w:w="839" w:type="dxa"/>
            <w:vAlign w:val="center"/>
          </w:tcPr>
          <w:p w14:paraId="4AE53EEA" w14:textId="791D7154" w:rsidR="003A4006" w:rsidRPr="00703DB2" w:rsidRDefault="003A4006" w:rsidP="00404FC6">
            <w:pPr>
              <w:spacing w:after="0"/>
              <w:rPr>
                <w:rFonts w:cs="Arial"/>
                <w:sz w:val="16"/>
                <w:szCs w:val="16"/>
              </w:rPr>
            </w:pPr>
            <w:r w:rsidRPr="00703DB2">
              <w:rPr>
                <w:rFonts w:cs="Arial"/>
                <w:sz w:val="16"/>
                <w:szCs w:val="16"/>
              </w:rPr>
              <w:t>**</w:t>
            </w:r>
          </w:p>
        </w:tc>
        <w:tc>
          <w:tcPr>
            <w:tcW w:w="812" w:type="dxa"/>
            <w:vAlign w:val="center"/>
          </w:tcPr>
          <w:p w14:paraId="57AB81EE" w14:textId="6E374F88" w:rsidR="003A4006" w:rsidRPr="00703DB2" w:rsidRDefault="003A4006" w:rsidP="00404FC6">
            <w:pPr>
              <w:spacing w:after="0"/>
              <w:rPr>
                <w:rFonts w:cs="Arial"/>
                <w:sz w:val="16"/>
                <w:szCs w:val="16"/>
              </w:rPr>
            </w:pPr>
            <w:r w:rsidRPr="00703DB2">
              <w:rPr>
                <w:rFonts w:cs="Arial"/>
                <w:sz w:val="16"/>
                <w:szCs w:val="16"/>
              </w:rPr>
              <w:t>**</w:t>
            </w:r>
          </w:p>
        </w:tc>
      </w:tr>
      <w:tr w:rsidR="003A4006" w:rsidRPr="009B79D7" w14:paraId="2E618AAE" w14:textId="77777777" w:rsidTr="003203C4">
        <w:trPr>
          <w:trHeight w:val="558"/>
        </w:trPr>
        <w:tc>
          <w:tcPr>
            <w:tcW w:w="1447" w:type="dxa"/>
            <w:vMerge/>
            <w:vAlign w:val="center"/>
          </w:tcPr>
          <w:p w14:paraId="5CD431F6" w14:textId="77777777" w:rsidR="003A4006" w:rsidRPr="00703DB2" w:rsidRDefault="003A4006" w:rsidP="00404FC6">
            <w:pPr>
              <w:spacing w:after="0"/>
              <w:rPr>
                <w:rFonts w:cs="Arial"/>
                <w:sz w:val="16"/>
                <w:szCs w:val="16"/>
              </w:rPr>
            </w:pPr>
          </w:p>
        </w:tc>
        <w:tc>
          <w:tcPr>
            <w:tcW w:w="1984" w:type="dxa"/>
            <w:vAlign w:val="center"/>
          </w:tcPr>
          <w:p w14:paraId="538D99A3" w14:textId="42F836FD" w:rsidR="003A4006" w:rsidRPr="00703DB2" w:rsidRDefault="003A4006" w:rsidP="00404FC6">
            <w:pPr>
              <w:spacing w:after="0"/>
              <w:rPr>
                <w:rFonts w:cs="Arial"/>
                <w:sz w:val="16"/>
                <w:szCs w:val="16"/>
              </w:rPr>
            </w:pPr>
            <w:r>
              <w:rPr>
                <w:rFonts w:cs="Arial"/>
                <w:sz w:val="16"/>
                <w:szCs w:val="16"/>
              </w:rPr>
              <w:t>MACS</w:t>
            </w:r>
          </w:p>
        </w:tc>
        <w:tc>
          <w:tcPr>
            <w:tcW w:w="992" w:type="dxa"/>
            <w:vAlign w:val="center"/>
          </w:tcPr>
          <w:p w14:paraId="7A4BD1EF" w14:textId="03778459" w:rsidR="003A4006" w:rsidRPr="00703DB2" w:rsidRDefault="00F3745D" w:rsidP="00404FC6">
            <w:pPr>
              <w:spacing w:after="0"/>
              <w:rPr>
                <w:rFonts w:cs="Arial"/>
                <w:sz w:val="16"/>
                <w:szCs w:val="16"/>
              </w:rPr>
            </w:pPr>
            <w:r>
              <w:rPr>
                <w:rFonts w:cs="Arial"/>
                <w:sz w:val="16"/>
                <w:szCs w:val="16"/>
              </w:rPr>
              <w:t>3</w:t>
            </w:r>
          </w:p>
        </w:tc>
        <w:tc>
          <w:tcPr>
            <w:tcW w:w="709" w:type="dxa"/>
            <w:vAlign w:val="center"/>
          </w:tcPr>
          <w:p w14:paraId="49C1C837" w14:textId="5B3AC5C6" w:rsidR="003A4006" w:rsidRPr="00703DB2" w:rsidRDefault="003A4006" w:rsidP="00404FC6">
            <w:pPr>
              <w:spacing w:after="0"/>
              <w:rPr>
                <w:rFonts w:cs="Arial"/>
                <w:sz w:val="16"/>
                <w:szCs w:val="16"/>
              </w:rPr>
            </w:pPr>
            <w:r>
              <w:rPr>
                <w:rFonts w:cs="Arial"/>
                <w:sz w:val="16"/>
                <w:szCs w:val="16"/>
              </w:rPr>
              <w:t>*</w:t>
            </w:r>
          </w:p>
        </w:tc>
        <w:tc>
          <w:tcPr>
            <w:tcW w:w="709" w:type="dxa"/>
            <w:vAlign w:val="center"/>
          </w:tcPr>
          <w:p w14:paraId="2A2AD2B4" w14:textId="77777777" w:rsidR="003A4006" w:rsidRPr="00703DB2" w:rsidRDefault="003A4006" w:rsidP="00404FC6">
            <w:pPr>
              <w:spacing w:after="0"/>
              <w:rPr>
                <w:rFonts w:cs="Arial"/>
                <w:sz w:val="16"/>
                <w:szCs w:val="16"/>
              </w:rPr>
            </w:pPr>
          </w:p>
        </w:tc>
        <w:tc>
          <w:tcPr>
            <w:tcW w:w="709" w:type="dxa"/>
            <w:vAlign w:val="center"/>
          </w:tcPr>
          <w:p w14:paraId="47E20C5F" w14:textId="33EC7F3A" w:rsidR="003A4006" w:rsidRPr="00703DB2" w:rsidRDefault="00F3745D" w:rsidP="00404FC6">
            <w:pPr>
              <w:spacing w:after="0"/>
              <w:rPr>
                <w:rFonts w:cs="Arial"/>
                <w:sz w:val="16"/>
                <w:szCs w:val="16"/>
              </w:rPr>
            </w:pPr>
            <w:r>
              <w:rPr>
                <w:rFonts w:cs="Arial"/>
                <w:sz w:val="16"/>
                <w:szCs w:val="16"/>
              </w:rPr>
              <w:t>*</w:t>
            </w:r>
          </w:p>
        </w:tc>
        <w:tc>
          <w:tcPr>
            <w:tcW w:w="708" w:type="dxa"/>
            <w:vAlign w:val="center"/>
          </w:tcPr>
          <w:p w14:paraId="46016F34" w14:textId="5939F6E2" w:rsidR="003A4006" w:rsidRPr="00703DB2" w:rsidRDefault="003A4006" w:rsidP="00404FC6">
            <w:pPr>
              <w:spacing w:after="0"/>
              <w:rPr>
                <w:rFonts w:cs="Arial"/>
                <w:sz w:val="16"/>
                <w:szCs w:val="16"/>
              </w:rPr>
            </w:pPr>
          </w:p>
        </w:tc>
        <w:tc>
          <w:tcPr>
            <w:tcW w:w="812" w:type="dxa"/>
            <w:vAlign w:val="center"/>
          </w:tcPr>
          <w:p w14:paraId="4013FDCD" w14:textId="77777777" w:rsidR="003A4006" w:rsidRPr="00703DB2" w:rsidRDefault="003A4006" w:rsidP="00404FC6">
            <w:pPr>
              <w:spacing w:after="0"/>
              <w:rPr>
                <w:rFonts w:cs="Arial"/>
                <w:sz w:val="16"/>
                <w:szCs w:val="16"/>
              </w:rPr>
            </w:pPr>
          </w:p>
        </w:tc>
        <w:tc>
          <w:tcPr>
            <w:tcW w:w="839" w:type="dxa"/>
            <w:vAlign w:val="center"/>
          </w:tcPr>
          <w:p w14:paraId="59FC6821" w14:textId="77777777" w:rsidR="003A4006" w:rsidRPr="00703DB2" w:rsidRDefault="003A4006" w:rsidP="00404FC6">
            <w:pPr>
              <w:spacing w:after="0"/>
              <w:rPr>
                <w:rFonts w:cs="Arial"/>
                <w:sz w:val="16"/>
                <w:szCs w:val="16"/>
              </w:rPr>
            </w:pPr>
          </w:p>
        </w:tc>
        <w:tc>
          <w:tcPr>
            <w:tcW w:w="812" w:type="dxa"/>
            <w:vAlign w:val="center"/>
          </w:tcPr>
          <w:p w14:paraId="43339ED8" w14:textId="77777777" w:rsidR="003A4006" w:rsidRPr="00703DB2" w:rsidRDefault="003A4006" w:rsidP="00404FC6">
            <w:pPr>
              <w:spacing w:after="0"/>
              <w:rPr>
                <w:rFonts w:cs="Arial"/>
                <w:sz w:val="16"/>
                <w:szCs w:val="16"/>
              </w:rPr>
            </w:pPr>
          </w:p>
        </w:tc>
      </w:tr>
      <w:tr w:rsidR="00703DB2" w:rsidRPr="009B79D7" w14:paraId="7B8716FD" w14:textId="77777777" w:rsidTr="003203C4">
        <w:trPr>
          <w:trHeight w:val="544"/>
        </w:trPr>
        <w:tc>
          <w:tcPr>
            <w:tcW w:w="1447" w:type="dxa"/>
            <w:vMerge w:val="restart"/>
            <w:vAlign w:val="center"/>
          </w:tcPr>
          <w:p w14:paraId="635DAB52" w14:textId="2D95D4EE" w:rsidR="00703DB2" w:rsidRPr="00703DB2" w:rsidRDefault="00703DB2" w:rsidP="00404FC6">
            <w:pPr>
              <w:spacing w:after="0"/>
              <w:rPr>
                <w:rFonts w:cs="Arial"/>
                <w:sz w:val="16"/>
                <w:szCs w:val="16"/>
              </w:rPr>
            </w:pPr>
            <w:r w:rsidRPr="00703DB2">
              <w:rPr>
                <w:rFonts w:cs="Arial"/>
                <w:sz w:val="16"/>
                <w:szCs w:val="16"/>
              </w:rPr>
              <w:t>EDTA (</w:t>
            </w:r>
            <w:r w:rsidR="00F3745D">
              <w:rPr>
                <w:rFonts w:cs="Arial"/>
                <w:sz w:val="16"/>
                <w:szCs w:val="16"/>
              </w:rPr>
              <w:t>0</w:t>
            </w:r>
            <w:r w:rsidRPr="00703DB2">
              <w:rPr>
                <w:rFonts w:cs="Arial"/>
                <w:sz w:val="16"/>
                <w:szCs w:val="16"/>
              </w:rPr>
              <w:t>.</w:t>
            </w:r>
            <w:r w:rsidR="00F3745D">
              <w:rPr>
                <w:rFonts w:cs="Arial"/>
                <w:sz w:val="16"/>
                <w:szCs w:val="16"/>
              </w:rPr>
              <w:t>0</w:t>
            </w:r>
            <w:r w:rsidRPr="00703DB2">
              <w:rPr>
                <w:rFonts w:cs="Arial"/>
                <w:sz w:val="16"/>
                <w:szCs w:val="16"/>
              </w:rPr>
              <w:t>5-</w:t>
            </w:r>
            <w:r w:rsidR="003A4006">
              <w:rPr>
                <w:rFonts w:cs="Arial"/>
                <w:sz w:val="16"/>
                <w:szCs w:val="16"/>
              </w:rPr>
              <w:t>3.</w:t>
            </w:r>
            <w:r w:rsidR="00F3745D">
              <w:rPr>
                <w:rFonts w:cs="Arial"/>
                <w:sz w:val="16"/>
                <w:szCs w:val="16"/>
              </w:rPr>
              <w:t>4</w:t>
            </w:r>
            <w:r w:rsidRPr="00703DB2">
              <w:rPr>
                <w:rFonts w:cs="Arial"/>
                <w:sz w:val="16"/>
                <w:szCs w:val="16"/>
              </w:rPr>
              <w:t>mL)</w:t>
            </w:r>
          </w:p>
        </w:tc>
        <w:tc>
          <w:tcPr>
            <w:tcW w:w="1984" w:type="dxa"/>
            <w:vAlign w:val="center"/>
          </w:tcPr>
          <w:p w14:paraId="1B826612" w14:textId="77777777" w:rsidR="00703DB2" w:rsidRPr="00703DB2" w:rsidRDefault="00703DB2" w:rsidP="00404FC6">
            <w:pPr>
              <w:spacing w:after="0"/>
              <w:rPr>
                <w:rFonts w:cs="Arial"/>
                <w:sz w:val="16"/>
                <w:szCs w:val="16"/>
              </w:rPr>
            </w:pPr>
            <w:r w:rsidRPr="00703DB2">
              <w:rPr>
                <w:rFonts w:cs="Arial"/>
                <w:sz w:val="16"/>
                <w:szCs w:val="16"/>
              </w:rPr>
              <w:t>Blood in RNA protect for RNA analysis/parasite genotyping</w:t>
            </w:r>
          </w:p>
        </w:tc>
        <w:tc>
          <w:tcPr>
            <w:tcW w:w="992" w:type="dxa"/>
            <w:vAlign w:val="center"/>
          </w:tcPr>
          <w:p w14:paraId="74928EFC" w14:textId="73D16792" w:rsidR="00703DB2" w:rsidRPr="00703DB2" w:rsidRDefault="00703DB2" w:rsidP="00404FC6">
            <w:pPr>
              <w:spacing w:after="0"/>
              <w:rPr>
                <w:rFonts w:cs="Arial"/>
                <w:sz w:val="16"/>
                <w:szCs w:val="16"/>
              </w:rPr>
            </w:pPr>
            <w:r w:rsidRPr="00703DB2">
              <w:rPr>
                <w:rFonts w:cs="Arial"/>
                <w:sz w:val="16"/>
                <w:szCs w:val="16"/>
              </w:rPr>
              <w:t>0.</w:t>
            </w:r>
            <w:r w:rsidR="0088662C">
              <w:rPr>
                <w:rFonts w:cs="Arial"/>
                <w:sz w:val="16"/>
                <w:szCs w:val="16"/>
              </w:rPr>
              <w:t>7</w:t>
            </w:r>
          </w:p>
        </w:tc>
        <w:tc>
          <w:tcPr>
            <w:tcW w:w="709" w:type="dxa"/>
            <w:vAlign w:val="center"/>
          </w:tcPr>
          <w:p w14:paraId="35846092"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327980CE" w14:textId="77777777" w:rsidR="00703DB2" w:rsidRPr="00703DB2" w:rsidRDefault="00703DB2" w:rsidP="00404FC6">
            <w:pPr>
              <w:spacing w:after="0"/>
              <w:rPr>
                <w:rFonts w:cs="Arial"/>
                <w:sz w:val="16"/>
                <w:szCs w:val="16"/>
              </w:rPr>
            </w:pPr>
          </w:p>
        </w:tc>
        <w:tc>
          <w:tcPr>
            <w:tcW w:w="709" w:type="dxa"/>
            <w:vAlign w:val="center"/>
          </w:tcPr>
          <w:p w14:paraId="7A4F286A" w14:textId="77777777" w:rsidR="00703DB2" w:rsidRPr="00703DB2" w:rsidRDefault="00703DB2" w:rsidP="00404FC6">
            <w:pPr>
              <w:spacing w:after="0"/>
              <w:rPr>
                <w:rFonts w:cs="Arial"/>
                <w:sz w:val="16"/>
                <w:szCs w:val="16"/>
              </w:rPr>
            </w:pPr>
            <w:r w:rsidRPr="00703DB2">
              <w:rPr>
                <w:rFonts w:cs="Arial"/>
                <w:sz w:val="16"/>
                <w:szCs w:val="16"/>
              </w:rPr>
              <w:t>*</w:t>
            </w:r>
          </w:p>
        </w:tc>
        <w:tc>
          <w:tcPr>
            <w:tcW w:w="708" w:type="dxa"/>
            <w:vAlign w:val="center"/>
          </w:tcPr>
          <w:p w14:paraId="0B430383"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24EA62DA" w14:textId="77777777" w:rsidR="00703DB2" w:rsidRPr="00703DB2" w:rsidRDefault="00703DB2" w:rsidP="00404FC6">
            <w:pPr>
              <w:spacing w:after="0"/>
              <w:rPr>
                <w:rFonts w:cs="Arial"/>
                <w:sz w:val="16"/>
                <w:szCs w:val="16"/>
              </w:rPr>
            </w:pPr>
            <w:r w:rsidRPr="00703DB2">
              <w:rPr>
                <w:rFonts w:cs="Arial"/>
                <w:sz w:val="16"/>
                <w:szCs w:val="16"/>
              </w:rPr>
              <w:t>*</w:t>
            </w:r>
          </w:p>
        </w:tc>
        <w:tc>
          <w:tcPr>
            <w:tcW w:w="839" w:type="dxa"/>
            <w:vAlign w:val="center"/>
          </w:tcPr>
          <w:p w14:paraId="4EDF09C1"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5D8612AB" w14:textId="77777777" w:rsidR="00703DB2" w:rsidRPr="00703DB2" w:rsidRDefault="00703DB2" w:rsidP="00404FC6">
            <w:pPr>
              <w:spacing w:after="0"/>
              <w:rPr>
                <w:rFonts w:cs="Arial"/>
                <w:sz w:val="16"/>
                <w:szCs w:val="16"/>
              </w:rPr>
            </w:pPr>
            <w:r w:rsidRPr="00703DB2">
              <w:rPr>
                <w:rFonts w:cs="Arial"/>
                <w:sz w:val="16"/>
                <w:szCs w:val="16"/>
              </w:rPr>
              <w:t>*</w:t>
            </w:r>
          </w:p>
        </w:tc>
      </w:tr>
      <w:tr w:rsidR="00703DB2" w:rsidRPr="009B79D7" w14:paraId="0D9FDC72" w14:textId="77777777" w:rsidTr="003203C4">
        <w:trPr>
          <w:trHeight w:val="544"/>
        </w:trPr>
        <w:tc>
          <w:tcPr>
            <w:tcW w:w="1447" w:type="dxa"/>
            <w:vMerge/>
            <w:vAlign w:val="center"/>
          </w:tcPr>
          <w:p w14:paraId="0889E532" w14:textId="77777777" w:rsidR="00703DB2" w:rsidRPr="00703DB2" w:rsidRDefault="00703DB2" w:rsidP="00404FC6">
            <w:pPr>
              <w:spacing w:after="0"/>
              <w:rPr>
                <w:rFonts w:cs="Arial"/>
                <w:sz w:val="16"/>
                <w:szCs w:val="16"/>
              </w:rPr>
            </w:pPr>
          </w:p>
        </w:tc>
        <w:tc>
          <w:tcPr>
            <w:tcW w:w="1984" w:type="dxa"/>
            <w:vAlign w:val="center"/>
          </w:tcPr>
          <w:p w14:paraId="2D2A5741" w14:textId="77777777" w:rsidR="00703DB2" w:rsidRPr="00703DB2" w:rsidRDefault="00703DB2" w:rsidP="00404FC6">
            <w:pPr>
              <w:spacing w:after="0"/>
              <w:rPr>
                <w:rFonts w:cs="Arial"/>
                <w:sz w:val="16"/>
                <w:szCs w:val="16"/>
              </w:rPr>
            </w:pPr>
            <w:r w:rsidRPr="00703DB2">
              <w:rPr>
                <w:rFonts w:cs="Arial"/>
                <w:sz w:val="16"/>
                <w:szCs w:val="16"/>
              </w:rPr>
              <w:t xml:space="preserve">Blood smear for asexual parasite and gametocyte density </w:t>
            </w:r>
          </w:p>
        </w:tc>
        <w:tc>
          <w:tcPr>
            <w:tcW w:w="992" w:type="dxa"/>
            <w:vAlign w:val="center"/>
          </w:tcPr>
          <w:p w14:paraId="4C6212E8" w14:textId="77777777" w:rsidR="00703DB2" w:rsidRPr="00703DB2" w:rsidRDefault="00703DB2" w:rsidP="00404FC6">
            <w:pPr>
              <w:spacing w:after="0"/>
              <w:rPr>
                <w:rFonts w:cs="Arial"/>
                <w:sz w:val="16"/>
                <w:szCs w:val="16"/>
              </w:rPr>
            </w:pPr>
            <w:r w:rsidRPr="00703DB2">
              <w:rPr>
                <w:rFonts w:cs="Arial"/>
                <w:sz w:val="16"/>
                <w:szCs w:val="16"/>
              </w:rPr>
              <w:t>0.1</w:t>
            </w:r>
          </w:p>
        </w:tc>
        <w:tc>
          <w:tcPr>
            <w:tcW w:w="709" w:type="dxa"/>
            <w:vAlign w:val="center"/>
          </w:tcPr>
          <w:p w14:paraId="697C3442"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5CEDA9FB" w14:textId="77777777" w:rsidR="00703DB2" w:rsidRPr="00703DB2" w:rsidRDefault="00703DB2" w:rsidP="00404FC6">
            <w:pPr>
              <w:spacing w:after="0"/>
              <w:rPr>
                <w:rFonts w:cs="Arial"/>
                <w:sz w:val="16"/>
                <w:szCs w:val="16"/>
              </w:rPr>
            </w:pPr>
          </w:p>
        </w:tc>
        <w:tc>
          <w:tcPr>
            <w:tcW w:w="709" w:type="dxa"/>
            <w:vAlign w:val="center"/>
          </w:tcPr>
          <w:p w14:paraId="249EF281" w14:textId="77777777" w:rsidR="00703DB2" w:rsidRPr="00703DB2" w:rsidRDefault="00703DB2" w:rsidP="00404FC6">
            <w:pPr>
              <w:spacing w:after="0"/>
              <w:rPr>
                <w:rFonts w:cs="Arial"/>
                <w:sz w:val="16"/>
                <w:szCs w:val="16"/>
              </w:rPr>
            </w:pPr>
            <w:r w:rsidRPr="00703DB2">
              <w:rPr>
                <w:rFonts w:cs="Arial"/>
                <w:sz w:val="16"/>
                <w:szCs w:val="16"/>
              </w:rPr>
              <w:t>*</w:t>
            </w:r>
          </w:p>
        </w:tc>
        <w:tc>
          <w:tcPr>
            <w:tcW w:w="708" w:type="dxa"/>
            <w:vAlign w:val="center"/>
          </w:tcPr>
          <w:p w14:paraId="5FFDD2C8"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278C348D" w14:textId="77777777" w:rsidR="00703DB2" w:rsidRPr="00703DB2" w:rsidRDefault="00703DB2" w:rsidP="00404FC6">
            <w:pPr>
              <w:spacing w:after="0"/>
              <w:rPr>
                <w:rFonts w:cs="Arial"/>
                <w:sz w:val="16"/>
                <w:szCs w:val="16"/>
              </w:rPr>
            </w:pPr>
            <w:r w:rsidRPr="00703DB2">
              <w:rPr>
                <w:rFonts w:cs="Arial"/>
                <w:sz w:val="16"/>
                <w:szCs w:val="16"/>
              </w:rPr>
              <w:t>*</w:t>
            </w:r>
          </w:p>
        </w:tc>
        <w:tc>
          <w:tcPr>
            <w:tcW w:w="839" w:type="dxa"/>
            <w:vAlign w:val="center"/>
          </w:tcPr>
          <w:p w14:paraId="48C8C7C2"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59A442B4" w14:textId="77777777" w:rsidR="00703DB2" w:rsidRPr="00703DB2" w:rsidRDefault="00703DB2" w:rsidP="00404FC6">
            <w:pPr>
              <w:spacing w:after="0"/>
              <w:rPr>
                <w:rFonts w:cs="Arial"/>
                <w:sz w:val="16"/>
                <w:szCs w:val="16"/>
              </w:rPr>
            </w:pPr>
            <w:r w:rsidRPr="00703DB2">
              <w:rPr>
                <w:rFonts w:cs="Arial"/>
                <w:sz w:val="16"/>
                <w:szCs w:val="16"/>
              </w:rPr>
              <w:t>*</w:t>
            </w:r>
          </w:p>
        </w:tc>
      </w:tr>
      <w:tr w:rsidR="00703DB2" w:rsidRPr="009B79D7" w14:paraId="26FA38F2" w14:textId="77777777" w:rsidTr="003203C4">
        <w:trPr>
          <w:trHeight w:val="544"/>
        </w:trPr>
        <w:tc>
          <w:tcPr>
            <w:tcW w:w="1447" w:type="dxa"/>
            <w:vMerge/>
            <w:vAlign w:val="center"/>
          </w:tcPr>
          <w:p w14:paraId="48D8A7DA" w14:textId="77777777" w:rsidR="00703DB2" w:rsidRPr="00703DB2" w:rsidRDefault="00703DB2" w:rsidP="00404FC6">
            <w:pPr>
              <w:spacing w:after="0"/>
              <w:rPr>
                <w:rFonts w:cs="Arial"/>
                <w:sz w:val="16"/>
                <w:szCs w:val="16"/>
              </w:rPr>
            </w:pPr>
          </w:p>
        </w:tc>
        <w:tc>
          <w:tcPr>
            <w:tcW w:w="1984" w:type="dxa"/>
            <w:vAlign w:val="center"/>
          </w:tcPr>
          <w:p w14:paraId="3AAC3701" w14:textId="77777777" w:rsidR="00703DB2" w:rsidRPr="00703DB2" w:rsidRDefault="00703DB2" w:rsidP="00404FC6">
            <w:pPr>
              <w:spacing w:after="0"/>
              <w:rPr>
                <w:rFonts w:cs="Arial"/>
                <w:sz w:val="16"/>
                <w:szCs w:val="16"/>
              </w:rPr>
            </w:pPr>
            <w:r w:rsidRPr="00703DB2">
              <w:rPr>
                <w:rFonts w:cs="Arial"/>
                <w:sz w:val="16"/>
                <w:szCs w:val="16"/>
              </w:rPr>
              <w:t>Filter paper blood spots</w:t>
            </w:r>
          </w:p>
        </w:tc>
        <w:tc>
          <w:tcPr>
            <w:tcW w:w="992" w:type="dxa"/>
            <w:vAlign w:val="center"/>
          </w:tcPr>
          <w:p w14:paraId="7BC6EEE9" w14:textId="77777777" w:rsidR="00703DB2" w:rsidRPr="00703DB2" w:rsidRDefault="00703DB2" w:rsidP="00404FC6">
            <w:pPr>
              <w:spacing w:after="0"/>
              <w:rPr>
                <w:rFonts w:cs="Arial"/>
                <w:sz w:val="16"/>
                <w:szCs w:val="16"/>
              </w:rPr>
            </w:pPr>
            <w:r w:rsidRPr="00703DB2">
              <w:rPr>
                <w:rFonts w:cs="Arial"/>
                <w:sz w:val="16"/>
                <w:szCs w:val="16"/>
              </w:rPr>
              <w:t>0.05</w:t>
            </w:r>
          </w:p>
        </w:tc>
        <w:tc>
          <w:tcPr>
            <w:tcW w:w="709" w:type="dxa"/>
            <w:vAlign w:val="center"/>
          </w:tcPr>
          <w:p w14:paraId="19C860C6"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373556C9" w14:textId="77777777" w:rsidR="00703DB2" w:rsidRPr="00703DB2" w:rsidRDefault="00703DB2" w:rsidP="00404FC6">
            <w:pPr>
              <w:spacing w:after="0"/>
              <w:rPr>
                <w:rFonts w:cs="Arial"/>
                <w:sz w:val="16"/>
                <w:szCs w:val="16"/>
              </w:rPr>
            </w:pPr>
          </w:p>
        </w:tc>
        <w:tc>
          <w:tcPr>
            <w:tcW w:w="709" w:type="dxa"/>
            <w:vAlign w:val="center"/>
          </w:tcPr>
          <w:p w14:paraId="144F221B" w14:textId="77777777" w:rsidR="00703DB2" w:rsidRPr="00703DB2" w:rsidRDefault="00703DB2" w:rsidP="00404FC6">
            <w:pPr>
              <w:spacing w:after="0"/>
              <w:rPr>
                <w:rFonts w:cs="Arial"/>
                <w:sz w:val="16"/>
                <w:szCs w:val="16"/>
              </w:rPr>
            </w:pPr>
            <w:r w:rsidRPr="00703DB2">
              <w:rPr>
                <w:rFonts w:cs="Arial"/>
                <w:sz w:val="16"/>
                <w:szCs w:val="16"/>
              </w:rPr>
              <w:t>*</w:t>
            </w:r>
          </w:p>
        </w:tc>
        <w:tc>
          <w:tcPr>
            <w:tcW w:w="708" w:type="dxa"/>
            <w:vAlign w:val="center"/>
          </w:tcPr>
          <w:p w14:paraId="2B7A77E5"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145665BC" w14:textId="77777777" w:rsidR="00703DB2" w:rsidRPr="00703DB2" w:rsidRDefault="00703DB2" w:rsidP="00404FC6">
            <w:pPr>
              <w:spacing w:after="0"/>
              <w:rPr>
                <w:rFonts w:cs="Arial"/>
                <w:sz w:val="16"/>
                <w:szCs w:val="16"/>
              </w:rPr>
            </w:pPr>
            <w:r w:rsidRPr="00703DB2">
              <w:rPr>
                <w:rFonts w:cs="Arial"/>
                <w:sz w:val="16"/>
                <w:szCs w:val="16"/>
              </w:rPr>
              <w:t>*</w:t>
            </w:r>
          </w:p>
        </w:tc>
        <w:tc>
          <w:tcPr>
            <w:tcW w:w="839" w:type="dxa"/>
            <w:vAlign w:val="center"/>
          </w:tcPr>
          <w:p w14:paraId="51899318"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25DCE998" w14:textId="77777777" w:rsidR="00703DB2" w:rsidRPr="00703DB2" w:rsidRDefault="00703DB2" w:rsidP="00404FC6">
            <w:pPr>
              <w:spacing w:after="0"/>
              <w:rPr>
                <w:rFonts w:cs="Arial"/>
                <w:sz w:val="16"/>
                <w:szCs w:val="16"/>
              </w:rPr>
            </w:pPr>
            <w:r w:rsidRPr="00703DB2">
              <w:rPr>
                <w:rFonts w:cs="Arial"/>
                <w:sz w:val="16"/>
                <w:szCs w:val="16"/>
              </w:rPr>
              <w:t>*</w:t>
            </w:r>
          </w:p>
        </w:tc>
      </w:tr>
      <w:tr w:rsidR="00703DB2" w:rsidRPr="009B79D7" w14:paraId="13021B53" w14:textId="77777777" w:rsidTr="003203C4">
        <w:trPr>
          <w:trHeight w:val="558"/>
        </w:trPr>
        <w:tc>
          <w:tcPr>
            <w:tcW w:w="1447" w:type="dxa"/>
            <w:vMerge/>
            <w:vAlign w:val="center"/>
          </w:tcPr>
          <w:p w14:paraId="686775C0" w14:textId="77777777" w:rsidR="00703DB2" w:rsidRPr="00703DB2" w:rsidRDefault="00703DB2" w:rsidP="00404FC6">
            <w:pPr>
              <w:spacing w:after="0"/>
              <w:rPr>
                <w:rFonts w:cs="Arial"/>
                <w:sz w:val="16"/>
                <w:szCs w:val="16"/>
              </w:rPr>
            </w:pPr>
          </w:p>
        </w:tc>
        <w:tc>
          <w:tcPr>
            <w:tcW w:w="1984" w:type="dxa"/>
            <w:vAlign w:val="center"/>
          </w:tcPr>
          <w:p w14:paraId="641D3EC9" w14:textId="77777777" w:rsidR="00703DB2" w:rsidRPr="00703DB2" w:rsidRDefault="00703DB2" w:rsidP="00404FC6">
            <w:pPr>
              <w:spacing w:after="0"/>
              <w:rPr>
                <w:rFonts w:cs="Arial"/>
                <w:sz w:val="16"/>
                <w:szCs w:val="16"/>
              </w:rPr>
            </w:pPr>
            <w:r w:rsidRPr="00703DB2">
              <w:rPr>
                <w:rFonts w:cs="Arial"/>
                <w:sz w:val="16"/>
                <w:szCs w:val="16"/>
              </w:rPr>
              <w:t xml:space="preserve">Haemoglobin   </w:t>
            </w:r>
          </w:p>
        </w:tc>
        <w:tc>
          <w:tcPr>
            <w:tcW w:w="992" w:type="dxa"/>
            <w:vAlign w:val="center"/>
          </w:tcPr>
          <w:p w14:paraId="50FE7E69" w14:textId="77777777" w:rsidR="00703DB2" w:rsidRPr="00703DB2" w:rsidRDefault="00703DB2" w:rsidP="00404FC6">
            <w:pPr>
              <w:spacing w:after="0"/>
              <w:rPr>
                <w:rFonts w:cs="Arial"/>
                <w:sz w:val="16"/>
                <w:szCs w:val="16"/>
              </w:rPr>
            </w:pPr>
            <w:r w:rsidRPr="00703DB2">
              <w:rPr>
                <w:rFonts w:cs="Arial"/>
                <w:sz w:val="16"/>
                <w:szCs w:val="16"/>
              </w:rPr>
              <w:t>0.05</w:t>
            </w:r>
          </w:p>
        </w:tc>
        <w:tc>
          <w:tcPr>
            <w:tcW w:w="709" w:type="dxa"/>
            <w:vAlign w:val="center"/>
          </w:tcPr>
          <w:p w14:paraId="4E44505E"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2DCC1844"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09CBB4AF" w14:textId="77777777" w:rsidR="00703DB2" w:rsidRPr="00703DB2" w:rsidRDefault="00703DB2" w:rsidP="00404FC6">
            <w:pPr>
              <w:spacing w:after="0"/>
              <w:rPr>
                <w:rFonts w:cs="Arial"/>
                <w:sz w:val="16"/>
                <w:szCs w:val="16"/>
              </w:rPr>
            </w:pPr>
            <w:r w:rsidRPr="00703DB2">
              <w:rPr>
                <w:rFonts w:cs="Arial"/>
                <w:sz w:val="16"/>
                <w:szCs w:val="16"/>
              </w:rPr>
              <w:t>*</w:t>
            </w:r>
          </w:p>
        </w:tc>
        <w:tc>
          <w:tcPr>
            <w:tcW w:w="708" w:type="dxa"/>
            <w:vAlign w:val="center"/>
          </w:tcPr>
          <w:p w14:paraId="2143653D"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318FAACE" w14:textId="77777777" w:rsidR="00703DB2" w:rsidRPr="00703DB2" w:rsidRDefault="00703DB2" w:rsidP="00404FC6">
            <w:pPr>
              <w:spacing w:after="0"/>
              <w:rPr>
                <w:rFonts w:cs="Arial"/>
                <w:sz w:val="16"/>
                <w:szCs w:val="16"/>
              </w:rPr>
            </w:pPr>
            <w:r w:rsidRPr="00703DB2">
              <w:rPr>
                <w:rFonts w:cs="Arial"/>
                <w:sz w:val="16"/>
                <w:szCs w:val="16"/>
              </w:rPr>
              <w:t>*</w:t>
            </w:r>
          </w:p>
        </w:tc>
        <w:tc>
          <w:tcPr>
            <w:tcW w:w="839" w:type="dxa"/>
            <w:vAlign w:val="center"/>
          </w:tcPr>
          <w:p w14:paraId="6F986BE9"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4570C9FF" w14:textId="77777777" w:rsidR="00703DB2" w:rsidRPr="00703DB2" w:rsidRDefault="00703DB2" w:rsidP="00404FC6">
            <w:pPr>
              <w:spacing w:after="0"/>
              <w:rPr>
                <w:rFonts w:cs="Arial"/>
                <w:sz w:val="16"/>
                <w:szCs w:val="16"/>
              </w:rPr>
            </w:pPr>
            <w:r w:rsidRPr="00703DB2">
              <w:rPr>
                <w:rFonts w:cs="Arial"/>
                <w:sz w:val="16"/>
                <w:szCs w:val="16"/>
              </w:rPr>
              <w:t>*</w:t>
            </w:r>
          </w:p>
        </w:tc>
      </w:tr>
      <w:tr w:rsidR="00703DB2" w:rsidRPr="009B79D7" w14:paraId="1895B953" w14:textId="77777777" w:rsidTr="003203C4">
        <w:trPr>
          <w:trHeight w:val="558"/>
        </w:trPr>
        <w:tc>
          <w:tcPr>
            <w:tcW w:w="1447" w:type="dxa"/>
            <w:vMerge/>
            <w:vAlign w:val="center"/>
          </w:tcPr>
          <w:p w14:paraId="52DEF0E7" w14:textId="77777777" w:rsidR="00703DB2" w:rsidRPr="00703DB2" w:rsidRDefault="00703DB2" w:rsidP="00404FC6">
            <w:pPr>
              <w:spacing w:after="0"/>
              <w:rPr>
                <w:rFonts w:cs="Arial"/>
                <w:sz w:val="16"/>
                <w:szCs w:val="16"/>
              </w:rPr>
            </w:pPr>
          </w:p>
        </w:tc>
        <w:tc>
          <w:tcPr>
            <w:tcW w:w="1984" w:type="dxa"/>
            <w:vAlign w:val="center"/>
          </w:tcPr>
          <w:p w14:paraId="4DCCBF22" w14:textId="445E4256" w:rsidR="00703DB2" w:rsidRPr="00703DB2" w:rsidRDefault="00D36E3F" w:rsidP="00404FC6">
            <w:pPr>
              <w:spacing w:after="0"/>
              <w:rPr>
                <w:rFonts w:cs="Arial"/>
                <w:sz w:val="16"/>
                <w:szCs w:val="16"/>
              </w:rPr>
            </w:pPr>
            <w:r>
              <w:rPr>
                <w:rFonts w:cs="Arial"/>
                <w:sz w:val="16"/>
                <w:szCs w:val="16"/>
              </w:rPr>
              <w:t>Plasma</w:t>
            </w:r>
            <w:r w:rsidR="00703DB2" w:rsidRPr="00703DB2">
              <w:rPr>
                <w:rFonts w:cs="Arial"/>
                <w:sz w:val="16"/>
                <w:szCs w:val="16"/>
              </w:rPr>
              <w:t xml:space="preserve"> </w:t>
            </w:r>
          </w:p>
        </w:tc>
        <w:tc>
          <w:tcPr>
            <w:tcW w:w="992" w:type="dxa"/>
            <w:vAlign w:val="center"/>
          </w:tcPr>
          <w:p w14:paraId="42CD66CD" w14:textId="26C535FB" w:rsidR="00703DB2" w:rsidRPr="00703DB2" w:rsidRDefault="00D36E3F" w:rsidP="00404FC6">
            <w:pPr>
              <w:spacing w:after="0"/>
              <w:rPr>
                <w:rFonts w:cs="Arial"/>
                <w:sz w:val="16"/>
                <w:szCs w:val="16"/>
              </w:rPr>
            </w:pPr>
            <w:r>
              <w:rPr>
                <w:rFonts w:cs="Arial"/>
                <w:sz w:val="16"/>
                <w:szCs w:val="16"/>
              </w:rPr>
              <w:t>1</w:t>
            </w:r>
          </w:p>
        </w:tc>
        <w:tc>
          <w:tcPr>
            <w:tcW w:w="709" w:type="dxa"/>
            <w:vAlign w:val="center"/>
          </w:tcPr>
          <w:p w14:paraId="5CED8C14"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2023D1A8" w14:textId="77777777" w:rsidR="00703DB2" w:rsidRPr="00703DB2" w:rsidRDefault="00703DB2" w:rsidP="00404FC6">
            <w:pPr>
              <w:spacing w:after="0"/>
              <w:rPr>
                <w:rFonts w:cs="Arial"/>
                <w:sz w:val="16"/>
                <w:szCs w:val="16"/>
              </w:rPr>
            </w:pPr>
          </w:p>
        </w:tc>
        <w:tc>
          <w:tcPr>
            <w:tcW w:w="709" w:type="dxa"/>
            <w:vAlign w:val="center"/>
          </w:tcPr>
          <w:p w14:paraId="192ECD36" w14:textId="50211221" w:rsidR="00703DB2" w:rsidRPr="00703DB2" w:rsidRDefault="00D36E3F" w:rsidP="00404FC6">
            <w:pPr>
              <w:spacing w:after="0"/>
              <w:rPr>
                <w:rFonts w:cs="Arial"/>
                <w:sz w:val="16"/>
                <w:szCs w:val="16"/>
              </w:rPr>
            </w:pPr>
            <w:r>
              <w:rPr>
                <w:rFonts w:cs="Arial"/>
                <w:sz w:val="16"/>
                <w:szCs w:val="16"/>
              </w:rPr>
              <w:t>*</w:t>
            </w:r>
          </w:p>
        </w:tc>
        <w:tc>
          <w:tcPr>
            <w:tcW w:w="708" w:type="dxa"/>
            <w:vAlign w:val="center"/>
          </w:tcPr>
          <w:p w14:paraId="4E313A62" w14:textId="0CE90358" w:rsidR="00703DB2" w:rsidRPr="00703DB2" w:rsidRDefault="00D36E3F" w:rsidP="00404FC6">
            <w:pPr>
              <w:spacing w:after="0"/>
              <w:rPr>
                <w:rFonts w:cs="Arial"/>
                <w:sz w:val="16"/>
                <w:szCs w:val="16"/>
              </w:rPr>
            </w:pPr>
            <w:r>
              <w:rPr>
                <w:rFonts w:cs="Arial"/>
                <w:sz w:val="16"/>
                <w:szCs w:val="16"/>
              </w:rPr>
              <w:t>*</w:t>
            </w:r>
          </w:p>
        </w:tc>
        <w:tc>
          <w:tcPr>
            <w:tcW w:w="812" w:type="dxa"/>
            <w:vAlign w:val="center"/>
          </w:tcPr>
          <w:p w14:paraId="51998E54" w14:textId="2B06192E" w:rsidR="00703DB2" w:rsidRPr="00703DB2" w:rsidRDefault="00D36E3F" w:rsidP="00404FC6">
            <w:pPr>
              <w:spacing w:after="0"/>
              <w:rPr>
                <w:rFonts w:cs="Arial"/>
                <w:sz w:val="16"/>
                <w:szCs w:val="16"/>
              </w:rPr>
            </w:pPr>
            <w:r>
              <w:rPr>
                <w:rFonts w:cs="Arial"/>
                <w:sz w:val="16"/>
                <w:szCs w:val="16"/>
              </w:rPr>
              <w:t>*</w:t>
            </w:r>
          </w:p>
        </w:tc>
        <w:tc>
          <w:tcPr>
            <w:tcW w:w="839" w:type="dxa"/>
            <w:vAlign w:val="center"/>
          </w:tcPr>
          <w:p w14:paraId="0AF6065C" w14:textId="424F587E" w:rsidR="00703DB2" w:rsidRPr="00703DB2" w:rsidRDefault="00D36E3F" w:rsidP="00404FC6">
            <w:pPr>
              <w:spacing w:after="0"/>
              <w:rPr>
                <w:rFonts w:cs="Arial"/>
                <w:sz w:val="16"/>
                <w:szCs w:val="16"/>
              </w:rPr>
            </w:pPr>
            <w:r>
              <w:rPr>
                <w:rFonts w:cs="Arial"/>
                <w:sz w:val="16"/>
                <w:szCs w:val="16"/>
              </w:rPr>
              <w:t>*</w:t>
            </w:r>
          </w:p>
        </w:tc>
        <w:tc>
          <w:tcPr>
            <w:tcW w:w="812" w:type="dxa"/>
            <w:vAlign w:val="center"/>
          </w:tcPr>
          <w:p w14:paraId="1B5EA2BC" w14:textId="044CA665" w:rsidR="00703DB2" w:rsidRPr="00703DB2" w:rsidRDefault="00D36E3F" w:rsidP="00404FC6">
            <w:pPr>
              <w:spacing w:after="0"/>
              <w:rPr>
                <w:rFonts w:cs="Arial"/>
                <w:sz w:val="16"/>
                <w:szCs w:val="16"/>
              </w:rPr>
            </w:pPr>
            <w:r>
              <w:rPr>
                <w:rFonts w:cs="Arial"/>
                <w:sz w:val="16"/>
                <w:szCs w:val="16"/>
              </w:rPr>
              <w:t>*</w:t>
            </w:r>
          </w:p>
        </w:tc>
      </w:tr>
      <w:tr w:rsidR="00703DB2" w:rsidRPr="009B79D7" w14:paraId="431B3837" w14:textId="77777777" w:rsidTr="003203C4">
        <w:trPr>
          <w:trHeight w:val="558"/>
        </w:trPr>
        <w:tc>
          <w:tcPr>
            <w:tcW w:w="1447" w:type="dxa"/>
            <w:vMerge/>
            <w:vAlign w:val="center"/>
          </w:tcPr>
          <w:p w14:paraId="42F37361" w14:textId="77777777" w:rsidR="00703DB2" w:rsidRPr="00703DB2" w:rsidRDefault="00703DB2" w:rsidP="00404FC6">
            <w:pPr>
              <w:spacing w:after="0"/>
              <w:rPr>
                <w:rFonts w:cs="Arial"/>
                <w:sz w:val="16"/>
                <w:szCs w:val="16"/>
              </w:rPr>
            </w:pPr>
          </w:p>
        </w:tc>
        <w:tc>
          <w:tcPr>
            <w:tcW w:w="1984" w:type="dxa"/>
            <w:vAlign w:val="center"/>
          </w:tcPr>
          <w:p w14:paraId="109E1BFE" w14:textId="77777777" w:rsidR="00703DB2" w:rsidRPr="00703DB2" w:rsidRDefault="00703DB2" w:rsidP="00404FC6">
            <w:pPr>
              <w:spacing w:after="0"/>
              <w:rPr>
                <w:rFonts w:cs="Arial"/>
                <w:sz w:val="16"/>
                <w:szCs w:val="16"/>
              </w:rPr>
            </w:pPr>
            <w:r w:rsidRPr="00703DB2">
              <w:rPr>
                <w:rFonts w:cs="Arial"/>
                <w:sz w:val="16"/>
                <w:szCs w:val="16"/>
              </w:rPr>
              <w:t>CBC</w:t>
            </w:r>
          </w:p>
        </w:tc>
        <w:tc>
          <w:tcPr>
            <w:tcW w:w="992" w:type="dxa"/>
            <w:vAlign w:val="center"/>
          </w:tcPr>
          <w:p w14:paraId="744A9721" w14:textId="5847D943" w:rsidR="00703DB2" w:rsidRPr="00703DB2" w:rsidRDefault="00703DB2" w:rsidP="00404FC6">
            <w:pPr>
              <w:spacing w:after="0"/>
              <w:rPr>
                <w:rFonts w:cs="Arial"/>
                <w:sz w:val="16"/>
                <w:szCs w:val="16"/>
              </w:rPr>
            </w:pPr>
            <w:r w:rsidRPr="00703DB2">
              <w:rPr>
                <w:rFonts w:cs="Arial"/>
                <w:sz w:val="16"/>
                <w:szCs w:val="16"/>
              </w:rPr>
              <w:t>0.5</w:t>
            </w:r>
          </w:p>
        </w:tc>
        <w:tc>
          <w:tcPr>
            <w:tcW w:w="709" w:type="dxa"/>
            <w:vAlign w:val="center"/>
          </w:tcPr>
          <w:p w14:paraId="6C94C7DE"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22C48BA8" w14:textId="77777777" w:rsidR="00703DB2" w:rsidRPr="00703DB2" w:rsidRDefault="00703DB2" w:rsidP="00404FC6">
            <w:pPr>
              <w:spacing w:after="0"/>
              <w:rPr>
                <w:rFonts w:cs="Arial"/>
                <w:sz w:val="16"/>
                <w:szCs w:val="16"/>
              </w:rPr>
            </w:pPr>
          </w:p>
        </w:tc>
        <w:tc>
          <w:tcPr>
            <w:tcW w:w="709" w:type="dxa"/>
            <w:vAlign w:val="center"/>
          </w:tcPr>
          <w:p w14:paraId="692E772F" w14:textId="77777777" w:rsidR="00703DB2" w:rsidRPr="00703DB2" w:rsidRDefault="00703DB2" w:rsidP="00404FC6">
            <w:pPr>
              <w:spacing w:after="0"/>
              <w:rPr>
                <w:rFonts w:cs="Arial"/>
                <w:sz w:val="16"/>
                <w:szCs w:val="16"/>
              </w:rPr>
            </w:pPr>
            <w:r w:rsidRPr="00703DB2">
              <w:rPr>
                <w:rFonts w:cs="Arial"/>
                <w:sz w:val="16"/>
                <w:szCs w:val="16"/>
              </w:rPr>
              <w:t>*</w:t>
            </w:r>
          </w:p>
        </w:tc>
        <w:tc>
          <w:tcPr>
            <w:tcW w:w="708" w:type="dxa"/>
            <w:vAlign w:val="center"/>
          </w:tcPr>
          <w:p w14:paraId="12A93966"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010BA938" w14:textId="77777777" w:rsidR="00703DB2" w:rsidRPr="00703DB2" w:rsidRDefault="00703DB2" w:rsidP="00404FC6">
            <w:pPr>
              <w:spacing w:after="0"/>
              <w:rPr>
                <w:rFonts w:cs="Arial"/>
                <w:sz w:val="16"/>
                <w:szCs w:val="16"/>
              </w:rPr>
            </w:pPr>
            <w:r w:rsidRPr="00703DB2">
              <w:rPr>
                <w:rFonts w:cs="Arial"/>
                <w:sz w:val="16"/>
                <w:szCs w:val="16"/>
              </w:rPr>
              <w:t>*</w:t>
            </w:r>
          </w:p>
        </w:tc>
        <w:tc>
          <w:tcPr>
            <w:tcW w:w="839" w:type="dxa"/>
            <w:vAlign w:val="center"/>
          </w:tcPr>
          <w:p w14:paraId="37676E6F" w14:textId="77777777" w:rsidR="00703DB2" w:rsidRPr="00703DB2" w:rsidRDefault="00703DB2" w:rsidP="00404FC6">
            <w:pPr>
              <w:spacing w:after="0"/>
              <w:rPr>
                <w:rFonts w:cs="Arial"/>
                <w:sz w:val="16"/>
                <w:szCs w:val="16"/>
              </w:rPr>
            </w:pPr>
          </w:p>
        </w:tc>
        <w:tc>
          <w:tcPr>
            <w:tcW w:w="812" w:type="dxa"/>
            <w:vAlign w:val="center"/>
          </w:tcPr>
          <w:p w14:paraId="16046ECC" w14:textId="77777777" w:rsidR="00703DB2" w:rsidRPr="00703DB2" w:rsidRDefault="00703DB2" w:rsidP="00404FC6">
            <w:pPr>
              <w:spacing w:after="0"/>
              <w:rPr>
                <w:rFonts w:cs="Arial"/>
                <w:sz w:val="16"/>
                <w:szCs w:val="16"/>
              </w:rPr>
            </w:pPr>
          </w:p>
        </w:tc>
      </w:tr>
      <w:tr w:rsidR="00703DB2" w:rsidRPr="009B79D7" w14:paraId="42A9A402" w14:textId="77777777" w:rsidTr="003203C4">
        <w:trPr>
          <w:trHeight w:val="558"/>
        </w:trPr>
        <w:tc>
          <w:tcPr>
            <w:tcW w:w="1447" w:type="dxa"/>
            <w:vMerge/>
            <w:vAlign w:val="center"/>
          </w:tcPr>
          <w:p w14:paraId="064860FD" w14:textId="77777777" w:rsidR="00703DB2" w:rsidRPr="00703DB2" w:rsidRDefault="00703DB2" w:rsidP="00404FC6">
            <w:pPr>
              <w:spacing w:after="0"/>
              <w:rPr>
                <w:rFonts w:cs="Arial"/>
                <w:sz w:val="16"/>
                <w:szCs w:val="16"/>
              </w:rPr>
            </w:pPr>
          </w:p>
        </w:tc>
        <w:tc>
          <w:tcPr>
            <w:tcW w:w="1984" w:type="dxa"/>
            <w:vAlign w:val="center"/>
          </w:tcPr>
          <w:p w14:paraId="21BD7692" w14:textId="77777777" w:rsidR="00703DB2" w:rsidRPr="00703DB2" w:rsidRDefault="00703DB2" w:rsidP="00404FC6">
            <w:pPr>
              <w:spacing w:after="0"/>
              <w:rPr>
                <w:rFonts w:cs="Arial"/>
                <w:sz w:val="16"/>
                <w:szCs w:val="16"/>
              </w:rPr>
            </w:pPr>
            <w:r w:rsidRPr="00703DB2">
              <w:rPr>
                <w:rFonts w:cs="Arial"/>
                <w:sz w:val="16"/>
                <w:szCs w:val="16"/>
              </w:rPr>
              <w:t xml:space="preserve">Human genotyping </w:t>
            </w:r>
          </w:p>
        </w:tc>
        <w:tc>
          <w:tcPr>
            <w:tcW w:w="992" w:type="dxa"/>
            <w:vAlign w:val="center"/>
          </w:tcPr>
          <w:p w14:paraId="7C7A7C67" w14:textId="24A0F9A9" w:rsidR="00703DB2" w:rsidRPr="00703DB2" w:rsidRDefault="00703DB2" w:rsidP="00404FC6">
            <w:pPr>
              <w:spacing w:after="0"/>
              <w:rPr>
                <w:rFonts w:cs="Arial"/>
                <w:sz w:val="16"/>
                <w:szCs w:val="16"/>
              </w:rPr>
            </w:pPr>
            <w:r w:rsidRPr="00703DB2">
              <w:rPr>
                <w:rFonts w:cs="Arial"/>
                <w:sz w:val="16"/>
                <w:szCs w:val="16"/>
              </w:rPr>
              <w:t>1</w:t>
            </w:r>
          </w:p>
        </w:tc>
        <w:tc>
          <w:tcPr>
            <w:tcW w:w="709" w:type="dxa"/>
            <w:vAlign w:val="center"/>
          </w:tcPr>
          <w:p w14:paraId="0203728F"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594E843B" w14:textId="77777777" w:rsidR="00703DB2" w:rsidRPr="00703DB2" w:rsidRDefault="00703DB2" w:rsidP="00404FC6">
            <w:pPr>
              <w:spacing w:after="0"/>
              <w:rPr>
                <w:rFonts w:cs="Arial"/>
                <w:sz w:val="16"/>
                <w:szCs w:val="16"/>
              </w:rPr>
            </w:pPr>
          </w:p>
        </w:tc>
        <w:tc>
          <w:tcPr>
            <w:tcW w:w="709" w:type="dxa"/>
            <w:vAlign w:val="center"/>
          </w:tcPr>
          <w:p w14:paraId="3433B2B0" w14:textId="77777777" w:rsidR="00703DB2" w:rsidRPr="00703DB2" w:rsidRDefault="00703DB2" w:rsidP="00404FC6">
            <w:pPr>
              <w:spacing w:after="0"/>
              <w:rPr>
                <w:rFonts w:cs="Arial"/>
                <w:sz w:val="16"/>
                <w:szCs w:val="16"/>
              </w:rPr>
            </w:pPr>
          </w:p>
        </w:tc>
        <w:tc>
          <w:tcPr>
            <w:tcW w:w="708" w:type="dxa"/>
            <w:vAlign w:val="center"/>
          </w:tcPr>
          <w:p w14:paraId="3F4E8190" w14:textId="77777777" w:rsidR="00703DB2" w:rsidRPr="00703DB2" w:rsidRDefault="00703DB2" w:rsidP="00404FC6">
            <w:pPr>
              <w:spacing w:after="0"/>
              <w:rPr>
                <w:rFonts w:cs="Arial"/>
                <w:sz w:val="16"/>
                <w:szCs w:val="16"/>
              </w:rPr>
            </w:pPr>
          </w:p>
        </w:tc>
        <w:tc>
          <w:tcPr>
            <w:tcW w:w="812" w:type="dxa"/>
            <w:vAlign w:val="center"/>
          </w:tcPr>
          <w:p w14:paraId="41CD36B2" w14:textId="77777777" w:rsidR="00703DB2" w:rsidRPr="00703DB2" w:rsidRDefault="00703DB2" w:rsidP="00404FC6">
            <w:pPr>
              <w:spacing w:after="0"/>
              <w:rPr>
                <w:rFonts w:cs="Arial"/>
                <w:sz w:val="16"/>
                <w:szCs w:val="16"/>
              </w:rPr>
            </w:pPr>
          </w:p>
        </w:tc>
        <w:tc>
          <w:tcPr>
            <w:tcW w:w="839" w:type="dxa"/>
            <w:vAlign w:val="center"/>
          </w:tcPr>
          <w:p w14:paraId="78B82C25" w14:textId="77777777" w:rsidR="00703DB2" w:rsidRPr="00703DB2" w:rsidRDefault="00703DB2" w:rsidP="00404FC6">
            <w:pPr>
              <w:spacing w:after="0"/>
              <w:rPr>
                <w:rFonts w:cs="Arial"/>
                <w:sz w:val="16"/>
                <w:szCs w:val="16"/>
              </w:rPr>
            </w:pPr>
          </w:p>
        </w:tc>
        <w:tc>
          <w:tcPr>
            <w:tcW w:w="812" w:type="dxa"/>
            <w:vAlign w:val="center"/>
          </w:tcPr>
          <w:p w14:paraId="4C826D58" w14:textId="77777777" w:rsidR="00703DB2" w:rsidRPr="00703DB2" w:rsidRDefault="00703DB2" w:rsidP="00404FC6">
            <w:pPr>
              <w:spacing w:after="0"/>
              <w:rPr>
                <w:rFonts w:cs="Arial"/>
                <w:sz w:val="16"/>
                <w:szCs w:val="16"/>
              </w:rPr>
            </w:pPr>
          </w:p>
        </w:tc>
      </w:tr>
      <w:tr w:rsidR="00703DB2" w:rsidRPr="009B79D7" w14:paraId="50F3B590" w14:textId="77777777" w:rsidTr="003203C4">
        <w:trPr>
          <w:trHeight w:val="558"/>
        </w:trPr>
        <w:tc>
          <w:tcPr>
            <w:tcW w:w="1447" w:type="dxa"/>
            <w:vAlign w:val="center"/>
          </w:tcPr>
          <w:p w14:paraId="0105AECE" w14:textId="63A50BEA" w:rsidR="00703DB2" w:rsidRPr="00703DB2" w:rsidRDefault="00703DB2" w:rsidP="00404FC6">
            <w:pPr>
              <w:spacing w:after="0"/>
              <w:rPr>
                <w:rFonts w:cs="Arial"/>
                <w:sz w:val="16"/>
                <w:szCs w:val="16"/>
              </w:rPr>
            </w:pPr>
            <w:r w:rsidRPr="00703DB2">
              <w:rPr>
                <w:rFonts w:cs="Arial"/>
                <w:sz w:val="16"/>
                <w:szCs w:val="16"/>
              </w:rPr>
              <w:t>SST (</w:t>
            </w:r>
            <w:r w:rsidR="00F3745D">
              <w:rPr>
                <w:rFonts w:cs="Arial"/>
                <w:sz w:val="16"/>
                <w:szCs w:val="16"/>
              </w:rPr>
              <w:t xml:space="preserve">0.8 </w:t>
            </w:r>
            <w:r w:rsidRPr="00703DB2">
              <w:rPr>
                <w:rFonts w:cs="Arial"/>
                <w:sz w:val="16"/>
                <w:szCs w:val="16"/>
              </w:rPr>
              <w:t>mL)</w:t>
            </w:r>
          </w:p>
        </w:tc>
        <w:tc>
          <w:tcPr>
            <w:tcW w:w="1984" w:type="dxa"/>
            <w:vAlign w:val="center"/>
          </w:tcPr>
          <w:p w14:paraId="520FD2A7" w14:textId="77777777" w:rsidR="00703DB2" w:rsidRPr="00703DB2" w:rsidRDefault="00703DB2" w:rsidP="00404FC6">
            <w:pPr>
              <w:spacing w:after="0"/>
              <w:rPr>
                <w:rFonts w:cs="Arial"/>
                <w:sz w:val="16"/>
                <w:szCs w:val="16"/>
              </w:rPr>
            </w:pPr>
            <w:r w:rsidRPr="00703DB2">
              <w:rPr>
                <w:rFonts w:cs="Arial"/>
                <w:sz w:val="16"/>
                <w:szCs w:val="16"/>
              </w:rPr>
              <w:t>Biochemistry</w:t>
            </w:r>
          </w:p>
        </w:tc>
        <w:tc>
          <w:tcPr>
            <w:tcW w:w="992" w:type="dxa"/>
            <w:vAlign w:val="center"/>
          </w:tcPr>
          <w:p w14:paraId="441124E3" w14:textId="36580903" w:rsidR="00703DB2" w:rsidRPr="00703DB2" w:rsidRDefault="00703DB2" w:rsidP="00404FC6">
            <w:pPr>
              <w:spacing w:after="0"/>
              <w:rPr>
                <w:rFonts w:cs="Arial"/>
                <w:sz w:val="16"/>
                <w:szCs w:val="16"/>
              </w:rPr>
            </w:pPr>
            <w:r w:rsidRPr="00703DB2">
              <w:rPr>
                <w:rFonts w:cs="Arial"/>
                <w:sz w:val="16"/>
                <w:szCs w:val="16"/>
              </w:rPr>
              <w:t>0.</w:t>
            </w:r>
            <w:r w:rsidR="0088662C">
              <w:rPr>
                <w:rFonts w:cs="Arial"/>
                <w:sz w:val="16"/>
                <w:szCs w:val="16"/>
              </w:rPr>
              <w:t>8</w:t>
            </w:r>
          </w:p>
        </w:tc>
        <w:tc>
          <w:tcPr>
            <w:tcW w:w="709" w:type="dxa"/>
            <w:vAlign w:val="center"/>
          </w:tcPr>
          <w:p w14:paraId="60C1040F" w14:textId="77777777" w:rsidR="00703DB2" w:rsidRPr="00703DB2" w:rsidRDefault="00703DB2" w:rsidP="00404FC6">
            <w:pPr>
              <w:spacing w:after="0"/>
              <w:rPr>
                <w:rFonts w:cs="Arial"/>
                <w:sz w:val="16"/>
                <w:szCs w:val="16"/>
              </w:rPr>
            </w:pPr>
            <w:r w:rsidRPr="00703DB2">
              <w:rPr>
                <w:rFonts w:cs="Arial"/>
                <w:sz w:val="16"/>
                <w:szCs w:val="16"/>
              </w:rPr>
              <w:t>*</w:t>
            </w:r>
          </w:p>
        </w:tc>
        <w:tc>
          <w:tcPr>
            <w:tcW w:w="709" w:type="dxa"/>
            <w:vAlign w:val="center"/>
          </w:tcPr>
          <w:p w14:paraId="67C5AD5B" w14:textId="77777777" w:rsidR="00703DB2" w:rsidRPr="00703DB2" w:rsidRDefault="00703DB2" w:rsidP="00404FC6">
            <w:pPr>
              <w:spacing w:after="0"/>
              <w:rPr>
                <w:rFonts w:cs="Arial"/>
                <w:sz w:val="16"/>
                <w:szCs w:val="16"/>
              </w:rPr>
            </w:pPr>
          </w:p>
        </w:tc>
        <w:tc>
          <w:tcPr>
            <w:tcW w:w="709" w:type="dxa"/>
            <w:vAlign w:val="center"/>
          </w:tcPr>
          <w:p w14:paraId="25986A35" w14:textId="77777777" w:rsidR="00703DB2" w:rsidRPr="00703DB2" w:rsidRDefault="00703DB2" w:rsidP="00404FC6">
            <w:pPr>
              <w:spacing w:after="0"/>
              <w:rPr>
                <w:rFonts w:cs="Arial"/>
                <w:sz w:val="16"/>
                <w:szCs w:val="16"/>
              </w:rPr>
            </w:pPr>
            <w:r w:rsidRPr="00703DB2">
              <w:rPr>
                <w:rFonts w:cs="Arial"/>
                <w:sz w:val="16"/>
                <w:szCs w:val="16"/>
              </w:rPr>
              <w:t>*</w:t>
            </w:r>
          </w:p>
        </w:tc>
        <w:tc>
          <w:tcPr>
            <w:tcW w:w="708" w:type="dxa"/>
            <w:vAlign w:val="center"/>
          </w:tcPr>
          <w:p w14:paraId="22FEE4D5" w14:textId="77777777" w:rsidR="00703DB2" w:rsidRPr="00703DB2" w:rsidRDefault="00703DB2" w:rsidP="00404FC6">
            <w:pPr>
              <w:spacing w:after="0"/>
              <w:rPr>
                <w:rFonts w:cs="Arial"/>
                <w:sz w:val="16"/>
                <w:szCs w:val="16"/>
              </w:rPr>
            </w:pPr>
            <w:r w:rsidRPr="00703DB2">
              <w:rPr>
                <w:rFonts w:cs="Arial"/>
                <w:sz w:val="16"/>
                <w:szCs w:val="16"/>
              </w:rPr>
              <w:t>*</w:t>
            </w:r>
          </w:p>
        </w:tc>
        <w:tc>
          <w:tcPr>
            <w:tcW w:w="812" w:type="dxa"/>
            <w:vAlign w:val="center"/>
          </w:tcPr>
          <w:p w14:paraId="279D800B" w14:textId="77777777" w:rsidR="00703DB2" w:rsidRPr="00703DB2" w:rsidRDefault="00703DB2" w:rsidP="00404FC6">
            <w:pPr>
              <w:spacing w:after="0"/>
              <w:rPr>
                <w:rFonts w:cs="Arial"/>
                <w:sz w:val="16"/>
                <w:szCs w:val="16"/>
              </w:rPr>
            </w:pPr>
            <w:r w:rsidRPr="00703DB2">
              <w:rPr>
                <w:rFonts w:cs="Arial"/>
                <w:sz w:val="16"/>
                <w:szCs w:val="16"/>
              </w:rPr>
              <w:t>*</w:t>
            </w:r>
          </w:p>
        </w:tc>
        <w:tc>
          <w:tcPr>
            <w:tcW w:w="839" w:type="dxa"/>
            <w:vAlign w:val="center"/>
          </w:tcPr>
          <w:p w14:paraId="6045F678" w14:textId="77777777" w:rsidR="00703DB2" w:rsidRPr="00703DB2" w:rsidRDefault="00703DB2" w:rsidP="00404FC6">
            <w:pPr>
              <w:spacing w:after="0"/>
              <w:rPr>
                <w:rFonts w:cs="Arial"/>
                <w:sz w:val="16"/>
                <w:szCs w:val="16"/>
              </w:rPr>
            </w:pPr>
          </w:p>
        </w:tc>
        <w:tc>
          <w:tcPr>
            <w:tcW w:w="812" w:type="dxa"/>
            <w:vAlign w:val="center"/>
          </w:tcPr>
          <w:p w14:paraId="770D3694" w14:textId="77777777" w:rsidR="00703DB2" w:rsidRPr="00703DB2" w:rsidRDefault="00703DB2" w:rsidP="00404FC6">
            <w:pPr>
              <w:spacing w:after="0"/>
              <w:rPr>
                <w:rFonts w:cs="Arial"/>
                <w:sz w:val="16"/>
                <w:szCs w:val="16"/>
              </w:rPr>
            </w:pPr>
          </w:p>
        </w:tc>
      </w:tr>
      <w:tr w:rsidR="00703DB2" w:rsidRPr="009B79D7" w14:paraId="7BC971C4" w14:textId="77777777" w:rsidTr="003203C4">
        <w:trPr>
          <w:trHeight w:val="558"/>
        </w:trPr>
        <w:tc>
          <w:tcPr>
            <w:tcW w:w="1447" w:type="dxa"/>
            <w:vAlign w:val="center"/>
          </w:tcPr>
          <w:p w14:paraId="3089416F" w14:textId="77777777" w:rsidR="00703DB2" w:rsidRPr="00703DB2" w:rsidRDefault="00703DB2" w:rsidP="00404FC6">
            <w:pPr>
              <w:spacing w:after="0"/>
              <w:rPr>
                <w:rFonts w:cs="Arial"/>
                <w:sz w:val="16"/>
                <w:szCs w:val="16"/>
              </w:rPr>
            </w:pPr>
          </w:p>
        </w:tc>
        <w:tc>
          <w:tcPr>
            <w:tcW w:w="1984" w:type="dxa"/>
            <w:vAlign w:val="center"/>
          </w:tcPr>
          <w:p w14:paraId="1CA01D49" w14:textId="77777777" w:rsidR="00703DB2" w:rsidRPr="00703DB2" w:rsidRDefault="00703DB2" w:rsidP="00404FC6">
            <w:pPr>
              <w:spacing w:after="0"/>
              <w:rPr>
                <w:rFonts w:cs="Arial"/>
                <w:sz w:val="16"/>
                <w:szCs w:val="16"/>
              </w:rPr>
            </w:pPr>
            <w:r w:rsidRPr="00703DB2">
              <w:rPr>
                <w:rFonts w:cs="Arial"/>
                <w:b/>
                <w:sz w:val="16"/>
                <w:szCs w:val="16"/>
              </w:rPr>
              <w:t>Maximum total Volume of blood sampled (mL)</w:t>
            </w:r>
          </w:p>
        </w:tc>
        <w:tc>
          <w:tcPr>
            <w:tcW w:w="992" w:type="dxa"/>
            <w:vAlign w:val="center"/>
          </w:tcPr>
          <w:p w14:paraId="45904AD1" w14:textId="1F508C8F" w:rsidR="00703DB2" w:rsidRPr="00703DB2" w:rsidRDefault="00833433" w:rsidP="00404FC6">
            <w:pPr>
              <w:spacing w:after="0"/>
              <w:rPr>
                <w:rFonts w:cs="Arial"/>
                <w:sz w:val="16"/>
                <w:szCs w:val="16"/>
              </w:rPr>
            </w:pPr>
            <w:r>
              <w:rPr>
                <w:rFonts w:cs="Arial"/>
                <w:b/>
                <w:sz w:val="16"/>
                <w:szCs w:val="16"/>
              </w:rPr>
              <w:t>38.65</w:t>
            </w:r>
          </w:p>
        </w:tc>
        <w:tc>
          <w:tcPr>
            <w:tcW w:w="709" w:type="dxa"/>
            <w:vAlign w:val="center"/>
          </w:tcPr>
          <w:p w14:paraId="4B9310D6" w14:textId="0542DC6F" w:rsidR="00703DB2" w:rsidRPr="00703DB2" w:rsidRDefault="00703DB2" w:rsidP="00404FC6">
            <w:pPr>
              <w:spacing w:after="0"/>
              <w:rPr>
                <w:rFonts w:cs="Arial"/>
                <w:sz w:val="16"/>
                <w:szCs w:val="16"/>
              </w:rPr>
            </w:pPr>
            <w:r w:rsidRPr="00703DB2">
              <w:rPr>
                <w:rFonts w:cs="Arial"/>
                <w:b/>
                <w:sz w:val="16"/>
                <w:szCs w:val="16"/>
              </w:rPr>
              <w:t xml:space="preserve"> </w:t>
            </w:r>
            <w:r w:rsidR="00F3745D">
              <w:rPr>
                <w:rFonts w:cs="Arial"/>
                <w:b/>
                <w:sz w:val="16"/>
                <w:szCs w:val="16"/>
              </w:rPr>
              <w:t>9.2</w:t>
            </w:r>
          </w:p>
        </w:tc>
        <w:tc>
          <w:tcPr>
            <w:tcW w:w="709" w:type="dxa"/>
            <w:vAlign w:val="center"/>
          </w:tcPr>
          <w:p w14:paraId="63F9C492" w14:textId="4F421D57" w:rsidR="00703DB2" w:rsidRPr="00703DB2" w:rsidRDefault="00F3745D" w:rsidP="00404FC6">
            <w:pPr>
              <w:spacing w:after="0"/>
              <w:rPr>
                <w:rFonts w:cs="Arial"/>
                <w:sz w:val="16"/>
                <w:szCs w:val="16"/>
              </w:rPr>
            </w:pPr>
            <w:r>
              <w:rPr>
                <w:rFonts w:cs="Arial"/>
                <w:b/>
                <w:sz w:val="16"/>
                <w:szCs w:val="16"/>
              </w:rPr>
              <w:t>0.05</w:t>
            </w:r>
          </w:p>
        </w:tc>
        <w:tc>
          <w:tcPr>
            <w:tcW w:w="709" w:type="dxa"/>
            <w:vAlign w:val="center"/>
          </w:tcPr>
          <w:p w14:paraId="7FF70547" w14:textId="769D9933" w:rsidR="00703DB2" w:rsidRPr="00703DB2" w:rsidRDefault="00F3745D" w:rsidP="00404FC6">
            <w:pPr>
              <w:spacing w:after="0"/>
              <w:rPr>
                <w:rFonts w:cs="Arial"/>
                <w:sz w:val="16"/>
                <w:szCs w:val="16"/>
              </w:rPr>
            </w:pPr>
            <w:r>
              <w:rPr>
                <w:rFonts w:cs="Arial"/>
                <w:b/>
                <w:sz w:val="16"/>
                <w:szCs w:val="16"/>
              </w:rPr>
              <w:t>9.2</w:t>
            </w:r>
          </w:p>
        </w:tc>
        <w:tc>
          <w:tcPr>
            <w:tcW w:w="708" w:type="dxa"/>
            <w:vAlign w:val="center"/>
          </w:tcPr>
          <w:p w14:paraId="082EE5EC" w14:textId="2100D74E" w:rsidR="00703DB2" w:rsidRPr="00703DB2" w:rsidRDefault="00F3745D" w:rsidP="00404FC6">
            <w:pPr>
              <w:spacing w:after="0"/>
              <w:rPr>
                <w:rFonts w:cs="Arial"/>
                <w:sz w:val="16"/>
                <w:szCs w:val="16"/>
              </w:rPr>
            </w:pPr>
            <w:r>
              <w:rPr>
                <w:rFonts w:cs="Arial"/>
                <w:b/>
                <w:sz w:val="16"/>
                <w:szCs w:val="16"/>
              </w:rPr>
              <w:t>6.2</w:t>
            </w:r>
          </w:p>
        </w:tc>
        <w:tc>
          <w:tcPr>
            <w:tcW w:w="812" w:type="dxa"/>
            <w:vAlign w:val="center"/>
          </w:tcPr>
          <w:p w14:paraId="0A373A7F" w14:textId="071A3554" w:rsidR="00703DB2" w:rsidRPr="00703DB2" w:rsidRDefault="00F3745D" w:rsidP="00404FC6">
            <w:pPr>
              <w:spacing w:after="0"/>
              <w:rPr>
                <w:rFonts w:cs="Arial"/>
                <w:sz w:val="16"/>
                <w:szCs w:val="16"/>
              </w:rPr>
            </w:pPr>
            <w:r>
              <w:rPr>
                <w:rFonts w:cs="Arial"/>
                <w:b/>
                <w:sz w:val="16"/>
                <w:szCs w:val="16"/>
              </w:rPr>
              <w:t>6.2</w:t>
            </w:r>
          </w:p>
        </w:tc>
        <w:tc>
          <w:tcPr>
            <w:tcW w:w="839" w:type="dxa"/>
            <w:vAlign w:val="center"/>
          </w:tcPr>
          <w:p w14:paraId="03CBD09D" w14:textId="2B156DA5" w:rsidR="00703DB2" w:rsidRPr="00703DB2" w:rsidRDefault="00F3745D" w:rsidP="00404FC6">
            <w:pPr>
              <w:spacing w:after="0"/>
              <w:rPr>
                <w:rFonts w:cs="Arial"/>
                <w:sz w:val="16"/>
                <w:szCs w:val="16"/>
              </w:rPr>
            </w:pPr>
            <w:r>
              <w:rPr>
                <w:rFonts w:cs="Arial"/>
                <w:b/>
                <w:sz w:val="16"/>
                <w:szCs w:val="16"/>
              </w:rPr>
              <w:t>3.9</w:t>
            </w:r>
          </w:p>
        </w:tc>
        <w:tc>
          <w:tcPr>
            <w:tcW w:w="812" w:type="dxa"/>
            <w:vAlign w:val="center"/>
          </w:tcPr>
          <w:p w14:paraId="3D0ECC89" w14:textId="40FFCE5B" w:rsidR="00703DB2" w:rsidRPr="00703DB2" w:rsidRDefault="00F3745D" w:rsidP="00404FC6">
            <w:pPr>
              <w:spacing w:after="0"/>
              <w:rPr>
                <w:rFonts w:cs="Arial"/>
                <w:sz w:val="16"/>
                <w:szCs w:val="16"/>
              </w:rPr>
            </w:pPr>
            <w:r>
              <w:rPr>
                <w:rFonts w:cs="Arial"/>
                <w:b/>
                <w:sz w:val="16"/>
                <w:szCs w:val="16"/>
              </w:rPr>
              <w:t>3.9</w:t>
            </w:r>
          </w:p>
        </w:tc>
      </w:tr>
    </w:tbl>
    <w:p w14:paraId="555DF464" w14:textId="31FFF2E6" w:rsidR="00703DB2" w:rsidRDefault="00703DB2" w:rsidP="00B91D68">
      <w:pPr>
        <w:jc w:val="both"/>
        <w:rPr>
          <w:rFonts w:cs="Arial"/>
          <w:i/>
          <w:iCs/>
          <w:szCs w:val="22"/>
        </w:rPr>
      </w:pPr>
      <w:r w:rsidRPr="00703DB2">
        <w:rPr>
          <w:rFonts w:cs="Arial"/>
          <w:i/>
          <w:iCs/>
          <w:szCs w:val="22"/>
        </w:rPr>
        <w:t>$</w:t>
      </w:r>
      <w:r w:rsidRPr="00703DB2">
        <w:rPr>
          <w:rFonts w:cs="Arial"/>
          <w:i/>
          <w:iCs/>
          <w:szCs w:val="22"/>
          <w:vertAlign w:val="superscript"/>
        </w:rPr>
        <w:t xml:space="preserve"> </w:t>
      </w:r>
      <w:r w:rsidRPr="00703DB2">
        <w:rPr>
          <w:rFonts w:cs="Arial"/>
          <w:i/>
          <w:iCs/>
          <w:szCs w:val="22"/>
        </w:rPr>
        <w:t xml:space="preserve">V denotes venous blood sampling and C denotes capillary sampling from a finger prick. </w:t>
      </w:r>
    </w:p>
    <w:p w14:paraId="431640A4" w14:textId="7841D1EE" w:rsidR="003A4006" w:rsidRPr="00B91D68" w:rsidRDefault="003A4006" w:rsidP="00B91D68">
      <w:pPr>
        <w:jc w:val="both"/>
        <w:rPr>
          <w:rFonts w:cs="Arial"/>
          <w:i/>
          <w:iCs/>
          <w:szCs w:val="22"/>
        </w:rPr>
      </w:pPr>
      <w:r>
        <w:rPr>
          <w:rFonts w:cs="Arial"/>
          <w:i/>
          <w:iCs/>
          <w:szCs w:val="22"/>
        </w:rPr>
        <w:t xml:space="preserve">** Denotes volume taken </w:t>
      </w:r>
      <w:r w:rsidR="00062CFA" w:rsidRPr="00F9183B">
        <w:rPr>
          <w:rFonts w:eastAsiaTheme="majorEastAsia" w:cstheme="majorBidi"/>
          <w:i/>
          <w:iCs/>
          <w:color w:val="000000" w:themeColor="text1"/>
          <w:szCs w:val="28"/>
          <w:lang w:val="en-CA"/>
        </w:rPr>
        <w:t>for any individuals infectious at day</w:t>
      </w:r>
      <w:r w:rsidR="00062CFA">
        <w:rPr>
          <w:rFonts w:eastAsiaTheme="majorEastAsia" w:cstheme="majorBidi"/>
          <w:i/>
          <w:iCs/>
          <w:color w:val="000000" w:themeColor="text1"/>
          <w:szCs w:val="28"/>
          <w:lang w:val="en-CA"/>
        </w:rPr>
        <w:t xml:space="preserve"> </w:t>
      </w:r>
      <w:r w:rsidR="00062CFA" w:rsidRPr="00F9183B">
        <w:rPr>
          <w:rFonts w:eastAsiaTheme="majorEastAsia" w:cstheme="majorBidi"/>
          <w:i/>
          <w:iCs/>
          <w:color w:val="000000" w:themeColor="text1"/>
          <w:szCs w:val="28"/>
          <w:lang w:val="en-CA"/>
        </w:rPr>
        <w:t>7 or 14 (day 21) and for any individuals infectious at day 14 or 21 (day 28</w:t>
      </w:r>
      <w:proofErr w:type="gramStart"/>
      <w:r w:rsidR="00062CFA" w:rsidRPr="00F9183B">
        <w:rPr>
          <w:rFonts w:eastAsiaTheme="majorEastAsia" w:cstheme="majorBidi"/>
          <w:i/>
          <w:iCs/>
          <w:color w:val="000000" w:themeColor="text1"/>
          <w:szCs w:val="28"/>
          <w:lang w:val="en-CA"/>
        </w:rPr>
        <w:t>) .</w:t>
      </w:r>
      <w:proofErr w:type="gramEnd"/>
    </w:p>
    <w:p w14:paraId="3B6BA3F3" w14:textId="100513C7" w:rsidR="00D511CD" w:rsidRDefault="00D511CD">
      <w:pPr>
        <w:pStyle w:val="Heading2"/>
      </w:pPr>
      <w:bookmarkStart w:id="341" w:name="_Toc100306385"/>
      <w:bookmarkStart w:id="342" w:name="_Toc100324463"/>
      <w:bookmarkStart w:id="343" w:name="_Toc101204981"/>
      <w:bookmarkStart w:id="344" w:name="_Toc101205100"/>
      <w:bookmarkStart w:id="345" w:name="_Toc101205246"/>
      <w:bookmarkStart w:id="346" w:name="_Toc102984962"/>
      <w:bookmarkStart w:id="347" w:name="_Toc102985813"/>
      <w:bookmarkStart w:id="348" w:name="_Toc104981646"/>
      <w:bookmarkStart w:id="349" w:name="_Toc106288936"/>
      <w:r w:rsidRPr="00F042EA">
        <w:t>Randomi</w:t>
      </w:r>
      <w:r w:rsidR="00E65C46">
        <w:t>z</w:t>
      </w:r>
      <w:r w:rsidRPr="00F042EA">
        <w:t>ation procedure</w:t>
      </w:r>
      <w:bookmarkEnd w:id="341"/>
      <w:bookmarkEnd w:id="342"/>
      <w:bookmarkEnd w:id="343"/>
      <w:bookmarkEnd w:id="344"/>
      <w:bookmarkEnd w:id="345"/>
      <w:bookmarkEnd w:id="346"/>
      <w:bookmarkEnd w:id="347"/>
      <w:bookmarkEnd w:id="348"/>
      <w:bookmarkEnd w:id="349"/>
    </w:p>
    <w:p w14:paraId="1112115F" w14:textId="2B8EA2E4" w:rsidR="00E65C46" w:rsidRPr="00B91D68" w:rsidRDefault="00E65C46" w:rsidP="00B91D68">
      <w:pPr>
        <w:jc w:val="both"/>
        <w:rPr>
          <w:rFonts w:cs="Arial"/>
          <w:szCs w:val="22"/>
        </w:rPr>
      </w:pPr>
      <w:r w:rsidRPr="00E65C46">
        <w:rPr>
          <w:rFonts w:cs="Arial"/>
          <w:szCs w:val="22"/>
        </w:rPr>
        <w:t xml:space="preserve">Eligible participants will be assigned the next sequentially numbered study ID number based on a pre-printed Study ID List created by a study investigator. Randomization will be computer generated using a </w:t>
      </w:r>
      <w:proofErr w:type="gramStart"/>
      <w:r w:rsidR="00833433">
        <w:rPr>
          <w:rFonts w:cs="Arial"/>
          <w:szCs w:val="22"/>
        </w:rPr>
        <w:t>1</w:t>
      </w:r>
      <w:r w:rsidRPr="00E65C46">
        <w:rPr>
          <w:rFonts w:cs="Arial"/>
          <w:szCs w:val="22"/>
        </w:rPr>
        <w:t>:</w:t>
      </w:r>
      <w:r w:rsidR="00833433">
        <w:rPr>
          <w:rFonts w:cs="Arial"/>
          <w:szCs w:val="22"/>
        </w:rPr>
        <w:t>1</w:t>
      </w:r>
      <w:r w:rsidRPr="00E65C46">
        <w:rPr>
          <w:rFonts w:cs="Arial"/>
          <w:szCs w:val="22"/>
        </w:rPr>
        <w:t>:</w:t>
      </w:r>
      <w:r w:rsidR="00833433">
        <w:rPr>
          <w:rFonts w:cs="Arial"/>
          <w:szCs w:val="22"/>
        </w:rPr>
        <w:t>1</w:t>
      </w:r>
      <w:r w:rsidRPr="00E65C46">
        <w:rPr>
          <w:rFonts w:cs="Arial"/>
          <w:szCs w:val="22"/>
        </w:rPr>
        <w:t>:</w:t>
      </w:r>
      <w:r w:rsidR="00833433">
        <w:rPr>
          <w:rFonts w:cs="Arial"/>
          <w:szCs w:val="22"/>
        </w:rPr>
        <w:t>1</w:t>
      </w:r>
      <w:r>
        <w:rPr>
          <w:rFonts w:cs="Arial"/>
          <w:szCs w:val="22"/>
        </w:rPr>
        <w:t>:1</w:t>
      </w:r>
      <w:proofErr w:type="gramEnd"/>
      <w:r w:rsidRPr="00E65C46">
        <w:rPr>
          <w:rFonts w:cs="Arial"/>
          <w:szCs w:val="22"/>
        </w:rPr>
        <w:t xml:space="preserve"> ratio. The randomisation codes will be provided in opaque sealed envelope to the study pharmacist. The study pharmacist in Mali will open the corresponding sealed, opaque envelope and provide the intervention to study participants. Randomi</w:t>
      </w:r>
      <w:r>
        <w:rPr>
          <w:rFonts w:cs="Arial"/>
          <w:szCs w:val="22"/>
        </w:rPr>
        <w:t>z</w:t>
      </w:r>
      <w:r w:rsidRPr="00E65C46">
        <w:rPr>
          <w:rFonts w:cs="Arial"/>
          <w:szCs w:val="22"/>
        </w:rPr>
        <w:t xml:space="preserve">ation will be performed in blocks </w:t>
      </w:r>
      <w:r w:rsidR="00257060">
        <w:rPr>
          <w:rFonts w:cs="Arial"/>
          <w:szCs w:val="22"/>
        </w:rPr>
        <w:t>of varying sizes</w:t>
      </w:r>
      <w:r w:rsidRPr="00E65C46">
        <w:rPr>
          <w:rFonts w:cs="Arial"/>
          <w:szCs w:val="22"/>
        </w:rPr>
        <w:t>.</w:t>
      </w:r>
    </w:p>
    <w:p w14:paraId="7E06F261" w14:textId="3CEE6701" w:rsidR="00D511CD" w:rsidRDefault="00D511CD">
      <w:pPr>
        <w:pStyle w:val="Heading2"/>
      </w:pPr>
      <w:bookmarkStart w:id="350" w:name="_Toc100306386"/>
      <w:bookmarkStart w:id="351" w:name="_Toc100324464"/>
      <w:bookmarkStart w:id="352" w:name="_Toc101204982"/>
      <w:bookmarkStart w:id="353" w:name="_Toc101205101"/>
      <w:bookmarkStart w:id="354" w:name="_Toc101205247"/>
      <w:bookmarkStart w:id="355" w:name="_Toc102984963"/>
      <w:bookmarkStart w:id="356" w:name="_Toc102985814"/>
      <w:bookmarkStart w:id="357" w:name="_Toc104981647"/>
      <w:bookmarkStart w:id="358" w:name="_Toc106288937"/>
      <w:r w:rsidRPr="00F042EA">
        <w:t>Blinding</w:t>
      </w:r>
      <w:bookmarkEnd w:id="350"/>
      <w:bookmarkEnd w:id="351"/>
      <w:bookmarkEnd w:id="352"/>
      <w:bookmarkEnd w:id="353"/>
      <w:bookmarkEnd w:id="354"/>
      <w:bookmarkEnd w:id="355"/>
      <w:bookmarkEnd w:id="356"/>
      <w:bookmarkEnd w:id="357"/>
      <w:bookmarkEnd w:id="358"/>
    </w:p>
    <w:p w14:paraId="58CC6DA0" w14:textId="1BC61AED" w:rsidR="00E65C46" w:rsidRPr="00E65C46" w:rsidRDefault="00E65C46" w:rsidP="00E65C46">
      <w:pPr>
        <w:jc w:val="both"/>
        <w:rPr>
          <w:rFonts w:cs="Arial"/>
          <w:szCs w:val="22"/>
        </w:rPr>
      </w:pPr>
      <w:r w:rsidRPr="00E65C46">
        <w:rPr>
          <w:rFonts w:cs="Arial"/>
          <w:szCs w:val="22"/>
        </w:rPr>
        <w:t>This is a single</w:t>
      </w:r>
      <w:r>
        <w:rPr>
          <w:rFonts w:cs="Arial"/>
          <w:szCs w:val="22"/>
        </w:rPr>
        <w:t>-</w:t>
      </w:r>
      <w:r w:rsidRPr="00E65C46">
        <w:rPr>
          <w:rFonts w:cs="Arial"/>
          <w:szCs w:val="22"/>
        </w:rPr>
        <w:t>blind randomised controlled trial. The treating physician and staff involved with assessing all laboratory outcomes of the study are blinded, but no placebo will be used. The study pharmacist will be unblinded and responsible for randomisation and treatment administration. Entomology staff involved in the mosquito feeding assays will be blinded for the parasitology results.</w:t>
      </w:r>
    </w:p>
    <w:p w14:paraId="45CA12DE" w14:textId="2031B2B5" w:rsidR="00DE5C91" w:rsidRDefault="00DE5C91">
      <w:pPr>
        <w:pStyle w:val="Heading1"/>
      </w:pPr>
      <w:bookmarkStart w:id="359" w:name="_Toc100306387"/>
      <w:bookmarkStart w:id="360" w:name="_Toc100324465"/>
      <w:bookmarkStart w:id="361" w:name="_Toc101204983"/>
      <w:bookmarkStart w:id="362" w:name="_Toc101205102"/>
      <w:bookmarkStart w:id="363" w:name="_Toc101205248"/>
      <w:bookmarkStart w:id="364" w:name="_Toc102984964"/>
      <w:bookmarkStart w:id="365" w:name="_Toc102985815"/>
      <w:bookmarkStart w:id="366" w:name="_Toc104981648"/>
      <w:bookmarkStart w:id="367" w:name="_Toc106288938"/>
      <w:r w:rsidRPr="00DE5C91">
        <w:t>SAFETY EVALUATION</w:t>
      </w:r>
      <w:bookmarkEnd w:id="359"/>
      <w:bookmarkEnd w:id="360"/>
      <w:bookmarkEnd w:id="361"/>
      <w:bookmarkEnd w:id="362"/>
      <w:bookmarkEnd w:id="363"/>
      <w:bookmarkEnd w:id="364"/>
      <w:bookmarkEnd w:id="365"/>
      <w:bookmarkEnd w:id="366"/>
      <w:bookmarkEnd w:id="367"/>
    </w:p>
    <w:p w14:paraId="7EDC493D" w14:textId="30D9381E" w:rsidR="0092384B" w:rsidRPr="00B91D68" w:rsidRDefault="0092384B" w:rsidP="00B91D68">
      <w:pPr>
        <w:jc w:val="both"/>
        <w:rPr>
          <w:rFonts w:cs="Arial"/>
          <w:szCs w:val="22"/>
        </w:rPr>
      </w:pPr>
      <w:r w:rsidRPr="0092384B">
        <w:rPr>
          <w:rFonts w:cs="Arial"/>
          <w:szCs w:val="22"/>
        </w:rPr>
        <w:t xml:space="preserve">The major safety endpoint is haemolysis. For this reason, </w:t>
      </w:r>
      <w:r w:rsidR="004E67BE" w:rsidRPr="0092384B">
        <w:rPr>
          <w:rFonts w:cs="Arial"/>
          <w:szCs w:val="22"/>
        </w:rPr>
        <w:t>haemoglobin</w:t>
      </w:r>
      <w:r w:rsidRPr="0092384B">
        <w:rPr>
          <w:rFonts w:cs="Arial"/>
          <w:szCs w:val="22"/>
        </w:rPr>
        <w:t xml:space="preserve"> will be measured before treatment, at days 1, 2, 7, 14, 21, and 28. Previous studies have shown that highest </w:t>
      </w:r>
      <w:r w:rsidR="004E67BE" w:rsidRPr="0092384B">
        <w:rPr>
          <w:rFonts w:cs="Arial"/>
          <w:szCs w:val="22"/>
        </w:rPr>
        <w:t>haemoglobin</w:t>
      </w:r>
      <w:r w:rsidRPr="0092384B">
        <w:rPr>
          <w:rFonts w:cs="Arial"/>
          <w:szCs w:val="22"/>
        </w:rPr>
        <w:t xml:space="preserve"> fall related to drug induced haemolysis can be detected within 7 days after treatment. In </w:t>
      </w:r>
      <w:proofErr w:type="gramStart"/>
      <w:r w:rsidRPr="0092384B">
        <w:rPr>
          <w:rFonts w:cs="Arial"/>
          <w:szCs w:val="22"/>
        </w:rPr>
        <w:t>addition</w:t>
      </w:r>
      <w:proofErr w:type="gramEnd"/>
      <w:r w:rsidRPr="0092384B">
        <w:rPr>
          <w:rFonts w:cs="Arial"/>
          <w:szCs w:val="22"/>
        </w:rPr>
        <w:t xml:space="preserve"> at 24 hours, and subsequent days of follow up, a questionnaire </w:t>
      </w:r>
      <w:r w:rsidRPr="0092384B">
        <w:rPr>
          <w:rFonts w:cs="Arial"/>
          <w:szCs w:val="22"/>
        </w:rPr>
        <w:lastRenderedPageBreak/>
        <w:t xml:space="preserve">assessing adverse events (AE) will be carried out. All participants will have access to contact study medical staff 24 hours a day and medical facilities that can give safe blood transfusions. Participants who require blood transfusions will be hospitalised at the district hospital in </w:t>
      </w:r>
      <w:proofErr w:type="spellStart"/>
      <w:r w:rsidRPr="0092384B">
        <w:rPr>
          <w:rFonts w:cs="Arial"/>
          <w:szCs w:val="22"/>
        </w:rPr>
        <w:t>Ouelessebougou</w:t>
      </w:r>
      <w:proofErr w:type="spellEnd"/>
      <w:r w:rsidRPr="0092384B">
        <w:rPr>
          <w:rFonts w:cs="Arial"/>
          <w:szCs w:val="22"/>
        </w:rPr>
        <w:t xml:space="preserve"> or referred to the University hospitals in Bamako for proper management. Additional safety precautions due to the small risk of transient haemolysis in this population will include the performance of clinical examinations and monitoring for adverse events (AE) at all sampling time points, carefree of charge to all participants throughout the duration of follow-up. </w:t>
      </w:r>
    </w:p>
    <w:p w14:paraId="04AC0747" w14:textId="53C42875" w:rsidR="0092384B" w:rsidRPr="0092384B" w:rsidRDefault="0092384B">
      <w:pPr>
        <w:pStyle w:val="Heading2"/>
        <w:ind w:left="993" w:hanging="633"/>
      </w:pPr>
      <w:bookmarkStart w:id="368" w:name="_Toc100324466"/>
      <w:bookmarkStart w:id="369" w:name="_Toc101204984"/>
      <w:bookmarkStart w:id="370" w:name="_Toc101205103"/>
      <w:bookmarkStart w:id="371" w:name="_Toc101205249"/>
      <w:bookmarkStart w:id="372" w:name="_Toc102984965"/>
      <w:bookmarkStart w:id="373" w:name="_Toc102985816"/>
      <w:bookmarkStart w:id="374" w:name="_Toc104981649"/>
      <w:bookmarkStart w:id="375" w:name="_Toc106288939"/>
      <w:r>
        <w:t>Definitions</w:t>
      </w:r>
      <w:bookmarkEnd w:id="368"/>
      <w:bookmarkEnd w:id="369"/>
      <w:bookmarkEnd w:id="370"/>
      <w:bookmarkEnd w:id="371"/>
      <w:bookmarkEnd w:id="372"/>
      <w:bookmarkEnd w:id="373"/>
      <w:bookmarkEnd w:id="374"/>
      <w:bookmarkEnd w:id="375"/>
    </w:p>
    <w:p w14:paraId="1A6FD5F8" w14:textId="6D6F46D8" w:rsidR="00E04012" w:rsidRDefault="00D511CD">
      <w:pPr>
        <w:pStyle w:val="Heading2"/>
        <w:numPr>
          <w:ilvl w:val="2"/>
          <w:numId w:val="13"/>
        </w:numPr>
      </w:pPr>
      <w:bookmarkStart w:id="376" w:name="_Toc100324467"/>
      <w:bookmarkStart w:id="377" w:name="_Toc101204985"/>
      <w:bookmarkStart w:id="378" w:name="_Toc101205104"/>
      <w:bookmarkStart w:id="379" w:name="_Toc101205250"/>
      <w:bookmarkStart w:id="380" w:name="_Toc102984966"/>
      <w:bookmarkStart w:id="381" w:name="_Toc102985817"/>
      <w:bookmarkStart w:id="382" w:name="_Toc104981650"/>
      <w:bookmarkStart w:id="383" w:name="_Toc106288940"/>
      <w:r w:rsidRPr="00E04012">
        <w:t>Adverse events</w:t>
      </w:r>
      <w:bookmarkEnd w:id="376"/>
      <w:bookmarkEnd w:id="377"/>
      <w:bookmarkEnd w:id="378"/>
      <w:bookmarkEnd w:id="379"/>
      <w:bookmarkEnd w:id="380"/>
      <w:bookmarkEnd w:id="381"/>
      <w:bookmarkEnd w:id="382"/>
      <w:bookmarkEnd w:id="383"/>
    </w:p>
    <w:p w14:paraId="3FE6ADD7" w14:textId="1E7600A9" w:rsidR="0092384B" w:rsidRPr="00B91D68" w:rsidRDefault="0092384B" w:rsidP="00B91D68">
      <w:pPr>
        <w:pStyle w:val="ListParagraph"/>
        <w:ind w:left="0"/>
        <w:contextualSpacing w:val="0"/>
        <w:jc w:val="both"/>
        <w:rPr>
          <w:rFonts w:cs="Arial"/>
          <w:szCs w:val="22"/>
        </w:rPr>
      </w:pPr>
      <w:r w:rsidRPr="0092384B">
        <w:rPr>
          <w:rFonts w:cs="Arial"/>
          <w:szCs w:val="22"/>
        </w:rPr>
        <w:t>Adverse events are defined as any undesirable experience occurring to a subject during the study, whether or not considered related to trial. An AE can therefore be any unfavourable and unintended sign (including an abnormal laboratory finding), symptom, or disease (new or exacerbated) temporally associated with a study intervention. AEs may include events that occur as a result of protocol-mandated procedures (i.e. invasive procedures). All AEs reported spontaneously by the subject or observed by the trial clinicians, or their staff will be recorded. Abnormal laboratory findings or other abnormal assessments that are judged by the trial clinicians to be clinically significant will be recorded as AEs or serious adverse events (SAEs) if they meet the definition. The investigators and trial clinicians will exercise their medical and scientific judgement in deciding whether an abnormal laboratory finding, or other abnormal assessment is clinically significant.</w:t>
      </w:r>
    </w:p>
    <w:p w14:paraId="5E72F7CC" w14:textId="2E15A1AE" w:rsidR="00D511CD" w:rsidRDefault="00D511CD">
      <w:pPr>
        <w:pStyle w:val="Heading2"/>
        <w:numPr>
          <w:ilvl w:val="2"/>
          <w:numId w:val="13"/>
        </w:numPr>
      </w:pPr>
      <w:bookmarkStart w:id="384" w:name="_Toc100324468"/>
      <w:bookmarkStart w:id="385" w:name="_Toc101204986"/>
      <w:bookmarkStart w:id="386" w:name="_Toc101205105"/>
      <w:bookmarkStart w:id="387" w:name="_Toc101205251"/>
      <w:bookmarkStart w:id="388" w:name="_Toc102984967"/>
      <w:bookmarkStart w:id="389" w:name="_Toc102985818"/>
      <w:bookmarkStart w:id="390" w:name="_Toc104981651"/>
      <w:bookmarkStart w:id="391" w:name="_Toc106288941"/>
      <w:r w:rsidRPr="00E04012">
        <w:t>Serious adverse events</w:t>
      </w:r>
      <w:bookmarkEnd w:id="384"/>
      <w:bookmarkEnd w:id="385"/>
      <w:bookmarkEnd w:id="386"/>
      <w:bookmarkEnd w:id="387"/>
      <w:bookmarkEnd w:id="388"/>
      <w:bookmarkEnd w:id="389"/>
      <w:bookmarkEnd w:id="390"/>
      <w:bookmarkEnd w:id="391"/>
    </w:p>
    <w:p w14:paraId="0BAC6EF5" w14:textId="77777777" w:rsidR="0092384B" w:rsidRPr="0092384B" w:rsidRDefault="0092384B" w:rsidP="0092384B">
      <w:pPr>
        <w:rPr>
          <w:i/>
          <w:lang w:val="en-CA"/>
        </w:rPr>
      </w:pPr>
      <w:r w:rsidRPr="0092384B">
        <w:rPr>
          <w:lang w:val="en-CA"/>
        </w:rPr>
        <w:t xml:space="preserve">A serious adverse event is any untoward medical occurrence or effect that at any dose: </w:t>
      </w:r>
    </w:p>
    <w:p w14:paraId="712965B9" w14:textId="77777777" w:rsidR="0092384B" w:rsidRPr="0092384B" w:rsidRDefault="0092384B">
      <w:pPr>
        <w:pStyle w:val="ListParagraph"/>
        <w:numPr>
          <w:ilvl w:val="0"/>
          <w:numId w:val="9"/>
        </w:numPr>
        <w:ind w:left="567" w:hanging="425"/>
        <w:rPr>
          <w:lang w:val="en-CA"/>
        </w:rPr>
      </w:pPr>
      <w:r w:rsidRPr="0092384B">
        <w:rPr>
          <w:lang w:val="en-CA"/>
        </w:rPr>
        <w:t>Results in death</w:t>
      </w:r>
    </w:p>
    <w:p w14:paraId="5C30574D" w14:textId="77777777" w:rsidR="0092384B" w:rsidRPr="0092384B" w:rsidRDefault="0092384B">
      <w:pPr>
        <w:pStyle w:val="ListParagraph"/>
        <w:numPr>
          <w:ilvl w:val="0"/>
          <w:numId w:val="9"/>
        </w:numPr>
        <w:ind w:left="567" w:hanging="425"/>
        <w:rPr>
          <w:lang w:val="en-CA"/>
        </w:rPr>
      </w:pPr>
      <w:r w:rsidRPr="0092384B">
        <w:rPr>
          <w:lang w:val="en-CA"/>
        </w:rPr>
        <w:t>Is life threatening (at the time of the event)</w:t>
      </w:r>
    </w:p>
    <w:p w14:paraId="459210CB" w14:textId="77777777" w:rsidR="0092384B" w:rsidRPr="0092384B" w:rsidRDefault="0092384B">
      <w:pPr>
        <w:pStyle w:val="ListParagraph"/>
        <w:numPr>
          <w:ilvl w:val="0"/>
          <w:numId w:val="9"/>
        </w:numPr>
        <w:ind w:left="567" w:hanging="425"/>
        <w:rPr>
          <w:lang w:val="en-CA"/>
        </w:rPr>
      </w:pPr>
      <w:r w:rsidRPr="0092384B">
        <w:rPr>
          <w:lang w:val="en-CA"/>
        </w:rPr>
        <w:t xml:space="preserve">Requires hospitalisation </w:t>
      </w:r>
    </w:p>
    <w:p w14:paraId="0F9B2433" w14:textId="77777777" w:rsidR="0092384B" w:rsidRPr="0092384B" w:rsidRDefault="0092384B">
      <w:pPr>
        <w:pStyle w:val="ListParagraph"/>
        <w:numPr>
          <w:ilvl w:val="0"/>
          <w:numId w:val="9"/>
        </w:numPr>
        <w:ind w:left="567" w:hanging="425"/>
        <w:rPr>
          <w:lang w:val="en-CA"/>
        </w:rPr>
      </w:pPr>
      <w:r w:rsidRPr="0092384B">
        <w:rPr>
          <w:lang w:val="en-CA"/>
        </w:rPr>
        <w:t>Results in persistent or significant disability or incapacity</w:t>
      </w:r>
    </w:p>
    <w:p w14:paraId="4DC873F2" w14:textId="77777777" w:rsidR="0092384B" w:rsidRPr="0092384B" w:rsidRDefault="0092384B">
      <w:pPr>
        <w:pStyle w:val="ListParagraph"/>
        <w:numPr>
          <w:ilvl w:val="0"/>
          <w:numId w:val="9"/>
        </w:numPr>
        <w:ind w:left="567" w:hanging="425"/>
        <w:rPr>
          <w:lang w:val="en-CA"/>
        </w:rPr>
      </w:pPr>
      <w:r w:rsidRPr="0092384B">
        <w:rPr>
          <w:lang w:val="en-CA"/>
        </w:rPr>
        <w:t>Congenital anomaly/birth defect</w:t>
      </w:r>
    </w:p>
    <w:p w14:paraId="1E14E654" w14:textId="77777777" w:rsidR="0092384B" w:rsidRPr="0092384B" w:rsidRDefault="0092384B">
      <w:pPr>
        <w:pStyle w:val="ListParagraph"/>
        <w:numPr>
          <w:ilvl w:val="0"/>
          <w:numId w:val="9"/>
        </w:numPr>
        <w:ind w:left="567" w:hanging="425"/>
        <w:rPr>
          <w:lang w:val="en-CA"/>
        </w:rPr>
      </w:pPr>
      <w:r w:rsidRPr="0092384B">
        <w:rPr>
          <w:lang w:val="en-CA"/>
        </w:rPr>
        <w:t>Medically important event</w:t>
      </w:r>
    </w:p>
    <w:p w14:paraId="19240CA1" w14:textId="41B6A4A1" w:rsidR="0092384B" w:rsidRPr="00B91D68" w:rsidRDefault="0092384B" w:rsidP="00D37BDD">
      <w:pPr>
        <w:rPr>
          <w:lang w:val="en-CA"/>
        </w:rPr>
      </w:pPr>
      <w:r w:rsidRPr="0092384B">
        <w:rPr>
          <w:lang w:val="en-CA"/>
        </w:rPr>
        <w:t xml:space="preserve">All SAEs will be reported by the principal investigators to the Ethics Committees and </w:t>
      </w:r>
      <w:r w:rsidR="00956157">
        <w:rPr>
          <w:lang w:val="en-CA"/>
        </w:rPr>
        <w:t>DSMB</w:t>
      </w:r>
      <w:r w:rsidRPr="0092384B">
        <w:rPr>
          <w:lang w:val="en-CA"/>
        </w:rPr>
        <w:t xml:space="preserve"> within 48 hours of awareness of the PI.  </w:t>
      </w:r>
    </w:p>
    <w:p w14:paraId="2EA14B9C" w14:textId="0AF67C0A" w:rsidR="00D511CD" w:rsidRDefault="00D511CD">
      <w:pPr>
        <w:pStyle w:val="Heading2"/>
        <w:numPr>
          <w:ilvl w:val="2"/>
          <w:numId w:val="13"/>
        </w:numPr>
      </w:pPr>
      <w:bookmarkStart w:id="392" w:name="_Toc100324469"/>
      <w:bookmarkStart w:id="393" w:name="_Toc101204987"/>
      <w:bookmarkStart w:id="394" w:name="_Toc101205106"/>
      <w:bookmarkStart w:id="395" w:name="_Toc101205252"/>
      <w:bookmarkStart w:id="396" w:name="_Toc102984968"/>
      <w:bookmarkStart w:id="397" w:name="_Toc102985819"/>
      <w:bookmarkStart w:id="398" w:name="_Toc104981652"/>
      <w:bookmarkStart w:id="399" w:name="_Toc106288942"/>
      <w:r w:rsidRPr="00E04012">
        <w:t>Unexpected adverse events</w:t>
      </w:r>
      <w:bookmarkEnd w:id="392"/>
      <w:bookmarkEnd w:id="393"/>
      <w:bookmarkEnd w:id="394"/>
      <w:bookmarkEnd w:id="395"/>
      <w:bookmarkEnd w:id="396"/>
      <w:bookmarkEnd w:id="397"/>
      <w:bookmarkEnd w:id="398"/>
      <w:bookmarkEnd w:id="399"/>
    </w:p>
    <w:p w14:paraId="115E3D19" w14:textId="331F5504" w:rsidR="0092384B" w:rsidRPr="0092384B" w:rsidRDefault="0092384B" w:rsidP="00D37BDD">
      <w:pPr>
        <w:pStyle w:val="ListParagraph"/>
        <w:ind w:left="0"/>
        <w:contextualSpacing w:val="0"/>
        <w:jc w:val="both"/>
        <w:rPr>
          <w:rFonts w:cs="Arial"/>
          <w:szCs w:val="22"/>
        </w:rPr>
      </w:pPr>
      <w:r w:rsidRPr="0092384B">
        <w:rPr>
          <w:rFonts w:cs="Arial"/>
          <w:szCs w:val="22"/>
        </w:rPr>
        <w:t xml:space="preserve">An AE is considered unexpected if it is not listed in the Investigator’s Brochure (IB) or Package Insert (for marketed products) or is not listed at the specificity or severity that has been observed. </w:t>
      </w:r>
    </w:p>
    <w:p w14:paraId="196C41DF" w14:textId="546758E0" w:rsidR="00D511CD" w:rsidRDefault="00D511CD">
      <w:pPr>
        <w:pStyle w:val="Heading2"/>
        <w:numPr>
          <w:ilvl w:val="2"/>
          <w:numId w:val="13"/>
        </w:numPr>
      </w:pPr>
      <w:bookmarkStart w:id="400" w:name="_Toc100324470"/>
      <w:bookmarkStart w:id="401" w:name="_Toc101204988"/>
      <w:bookmarkStart w:id="402" w:name="_Toc101205107"/>
      <w:bookmarkStart w:id="403" w:name="_Toc101205253"/>
      <w:bookmarkStart w:id="404" w:name="_Toc102984969"/>
      <w:bookmarkStart w:id="405" w:name="_Toc102985820"/>
      <w:bookmarkStart w:id="406" w:name="_Toc104981653"/>
      <w:bookmarkStart w:id="407" w:name="_Toc106288943"/>
      <w:r w:rsidRPr="00E04012">
        <w:t>Serious and Unexpected Suspected</w:t>
      </w:r>
      <w:r w:rsidR="00C8279C" w:rsidRPr="00E04012">
        <w:t xml:space="preserve"> Adverse Reaction (SUSAR)</w:t>
      </w:r>
      <w:bookmarkEnd w:id="400"/>
      <w:bookmarkEnd w:id="401"/>
      <w:bookmarkEnd w:id="402"/>
      <w:bookmarkEnd w:id="403"/>
      <w:bookmarkEnd w:id="404"/>
      <w:bookmarkEnd w:id="405"/>
      <w:bookmarkEnd w:id="406"/>
      <w:bookmarkEnd w:id="407"/>
    </w:p>
    <w:p w14:paraId="3B5AE978" w14:textId="7C51DF0A" w:rsidR="007E0E80" w:rsidRPr="007E0E80" w:rsidRDefault="007E0E80" w:rsidP="007E0E80">
      <w:pPr>
        <w:pStyle w:val="CommentText"/>
        <w:jc w:val="both"/>
        <w:rPr>
          <w:rFonts w:cs="Arial"/>
          <w:sz w:val="22"/>
          <w:szCs w:val="22"/>
        </w:rPr>
      </w:pPr>
      <w:bookmarkStart w:id="408" w:name="_Toc100324471"/>
      <w:bookmarkStart w:id="409" w:name="_Toc101204989"/>
      <w:bookmarkStart w:id="410" w:name="_Toc101205108"/>
      <w:bookmarkStart w:id="411" w:name="_Toc101205254"/>
      <w:bookmarkStart w:id="412" w:name="_Toc102984970"/>
      <w:bookmarkStart w:id="413" w:name="_Toc102985821"/>
      <w:bookmarkStart w:id="414" w:name="_Toc104981654"/>
      <w:bookmarkStart w:id="415" w:name="_Toc106288944"/>
      <w:r>
        <w:rPr>
          <w:rFonts w:cs="Arial"/>
          <w:sz w:val="22"/>
          <w:szCs w:val="22"/>
        </w:rPr>
        <w:t xml:space="preserve">A </w:t>
      </w:r>
      <w:r w:rsidRPr="007E0E80">
        <w:rPr>
          <w:rFonts w:cs="Arial"/>
          <w:sz w:val="22"/>
          <w:szCs w:val="22"/>
        </w:rPr>
        <w:t xml:space="preserve">SUSAR </w:t>
      </w:r>
      <w:r>
        <w:rPr>
          <w:rFonts w:cs="Arial"/>
          <w:sz w:val="22"/>
          <w:szCs w:val="22"/>
        </w:rPr>
        <w:t>is a</w:t>
      </w:r>
      <w:r w:rsidRPr="007E0E80">
        <w:rPr>
          <w:rFonts w:cs="Arial"/>
          <w:sz w:val="22"/>
          <w:szCs w:val="22"/>
        </w:rPr>
        <w:t xml:space="preserve">ny AE that is assessed as being serious, is suspected of having a causal relationship to the trial treatment and is unexpected (as per 3.2.4), will require expedited reporting to the Sponsor, RA and IRB/IEC which have approved the clinical trial and all other </w:t>
      </w:r>
      <w:r w:rsidRPr="007E0E80">
        <w:rPr>
          <w:rFonts w:cs="Arial"/>
          <w:sz w:val="22"/>
          <w:szCs w:val="22"/>
        </w:rPr>
        <w:lastRenderedPageBreak/>
        <w:t xml:space="preserve">organisations as required under the terms of the individual contracts (e.g. relevant pharmaceutical companies, NHS Trusts etc.). </w:t>
      </w:r>
    </w:p>
    <w:p w14:paraId="29BB8646" w14:textId="77777777" w:rsidR="007E0E80" w:rsidRPr="007E0E80" w:rsidRDefault="007E0E80" w:rsidP="007E0E80">
      <w:pPr>
        <w:pStyle w:val="CommentText"/>
        <w:jc w:val="both"/>
        <w:rPr>
          <w:rFonts w:cs="Arial"/>
          <w:sz w:val="22"/>
          <w:szCs w:val="22"/>
        </w:rPr>
      </w:pPr>
      <w:r w:rsidRPr="007E0E80">
        <w:rPr>
          <w:rFonts w:cs="Arial"/>
          <w:sz w:val="22"/>
          <w:szCs w:val="22"/>
        </w:rPr>
        <w:t>Fatal or life-threatening SUSARs must be reported within 7 days of receipt of the report and all other SUSARs within 15 days (see Appendix 3 for reporting procedure for SUSARs for LSHTM sponsored trials).</w:t>
      </w:r>
    </w:p>
    <w:p w14:paraId="511BCC2B" w14:textId="3D9298BA" w:rsidR="00C8279C" w:rsidRDefault="00C8279C">
      <w:pPr>
        <w:pStyle w:val="Heading2"/>
        <w:numPr>
          <w:ilvl w:val="2"/>
          <w:numId w:val="13"/>
        </w:numPr>
      </w:pPr>
      <w:r w:rsidRPr="00E04012">
        <w:t>Serious Unanticipated Problem (UP)</w:t>
      </w:r>
      <w:bookmarkEnd w:id="408"/>
      <w:bookmarkEnd w:id="409"/>
      <w:bookmarkEnd w:id="410"/>
      <w:bookmarkEnd w:id="411"/>
      <w:bookmarkEnd w:id="412"/>
      <w:bookmarkEnd w:id="413"/>
      <w:bookmarkEnd w:id="414"/>
      <w:bookmarkEnd w:id="415"/>
    </w:p>
    <w:p w14:paraId="1234EE95" w14:textId="77777777" w:rsidR="0092384B" w:rsidRPr="0092384B" w:rsidRDefault="0092384B" w:rsidP="0092384B">
      <w:pPr>
        <w:ind w:left="567" w:hanging="567"/>
        <w:jc w:val="both"/>
        <w:rPr>
          <w:rFonts w:cs="Arial"/>
          <w:szCs w:val="22"/>
        </w:rPr>
      </w:pPr>
      <w:r w:rsidRPr="0092384B">
        <w:rPr>
          <w:rFonts w:cs="Arial"/>
          <w:szCs w:val="22"/>
        </w:rPr>
        <w:t>An UP is any event, incident, experience, or outcome that is</w:t>
      </w:r>
    </w:p>
    <w:p w14:paraId="13B18926" w14:textId="77777777" w:rsidR="0092384B" w:rsidRPr="0092384B" w:rsidRDefault="0092384B">
      <w:pPr>
        <w:pStyle w:val="ListParagraph"/>
        <w:numPr>
          <w:ilvl w:val="0"/>
          <w:numId w:val="10"/>
        </w:numPr>
        <w:ind w:left="567" w:hanging="567"/>
        <w:contextualSpacing w:val="0"/>
        <w:jc w:val="both"/>
        <w:rPr>
          <w:rFonts w:cs="Arial"/>
          <w:szCs w:val="22"/>
        </w:rPr>
      </w:pPr>
      <w:r w:rsidRPr="0092384B">
        <w:rPr>
          <w:rFonts w:cs="Arial"/>
          <w:szCs w:val="22"/>
        </w:rPr>
        <w:t>unexpected in terms of nature, severity, or frequency in relation to</w:t>
      </w:r>
    </w:p>
    <w:p w14:paraId="1CE72111" w14:textId="77777777" w:rsidR="0092384B" w:rsidRPr="0092384B" w:rsidRDefault="0092384B">
      <w:pPr>
        <w:pStyle w:val="ListParagraph"/>
        <w:numPr>
          <w:ilvl w:val="1"/>
          <w:numId w:val="10"/>
        </w:numPr>
        <w:ind w:left="1134" w:hanging="567"/>
        <w:contextualSpacing w:val="0"/>
        <w:jc w:val="both"/>
        <w:rPr>
          <w:rFonts w:cs="Arial"/>
          <w:szCs w:val="22"/>
        </w:rPr>
      </w:pPr>
      <w:r w:rsidRPr="0092384B">
        <w:rPr>
          <w:rFonts w:cs="Arial"/>
          <w:szCs w:val="22"/>
        </w:rPr>
        <w:t>the research risks that are described in the approved research protocol and informed consent document, IB, or other study documents; and</w:t>
      </w:r>
    </w:p>
    <w:p w14:paraId="69EC4DBC" w14:textId="77777777" w:rsidR="0092384B" w:rsidRPr="0092384B" w:rsidRDefault="0092384B">
      <w:pPr>
        <w:pStyle w:val="ListParagraph"/>
        <w:numPr>
          <w:ilvl w:val="1"/>
          <w:numId w:val="10"/>
        </w:numPr>
        <w:ind w:left="1134" w:hanging="567"/>
        <w:contextualSpacing w:val="0"/>
        <w:jc w:val="both"/>
        <w:rPr>
          <w:rFonts w:cs="Arial"/>
          <w:szCs w:val="22"/>
        </w:rPr>
      </w:pPr>
      <w:r w:rsidRPr="0092384B">
        <w:rPr>
          <w:rFonts w:cs="Arial"/>
          <w:szCs w:val="22"/>
        </w:rPr>
        <w:t>the characteristics of the subject population being studied; and</w:t>
      </w:r>
    </w:p>
    <w:p w14:paraId="296F06DB" w14:textId="77777777" w:rsidR="0092384B" w:rsidRPr="0092384B" w:rsidRDefault="0092384B">
      <w:pPr>
        <w:pStyle w:val="ListParagraph"/>
        <w:numPr>
          <w:ilvl w:val="0"/>
          <w:numId w:val="10"/>
        </w:numPr>
        <w:ind w:left="567" w:hanging="567"/>
        <w:contextualSpacing w:val="0"/>
        <w:jc w:val="both"/>
        <w:rPr>
          <w:rFonts w:cs="Arial"/>
          <w:szCs w:val="22"/>
        </w:rPr>
      </w:pPr>
      <w:r w:rsidRPr="0092384B">
        <w:rPr>
          <w:rFonts w:cs="Arial"/>
          <w:szCs w:val="22"/>
        </w:rPr>
        <w:t>possibly, probably, or definitely related to participation in the research; and</w:t>
      </w:r>
    </w:p>
    <w:p w14:paraId="06BC3888" w14:textId="16BA32EA" w:rsidR="00D37BDD" w:rsidRPr="00B91D68" w:rsidRDefault="0092384B">
      <w:pPr>
        <w:pStyle w:val="ListParagraph"/>
        <w:numPr>
          <w:ilvl w:val="0"/>
          <w:numId w:val="10"/>
        </w:numPr>
        <w:ind w:left="567" w:hanging="567"/>
        <w:contextualSpacing w:val="0"/>
        <w:jc w:val="both"/>
        <w:rPr>
          <w:rFonts w:cs="Arial"/>
          <w:szCs w:val="22"/>
        </w:rPr>
      </w:pPr>
      <w:r w:rsidRPr="0092384B">
        <w:rPr>
          <w:rFonts w:cs="Arial"/>
          <w:szCs w:val="22"/>
        </w:rPr>
        <w:t xml:space="preserve">places subjects or others at a greater risk of harm (including physical, psychological, economic, or social harm) than was previously known or recognized. </w:t>
      </w:r>
    </w:p>
    <w:p w14:paraId="4C3722D5" w14:textId="404F25D4" w:rsidR="00C8279C" w:rsidRDefault="00C8279C">
      <w:pPr>
        <w:pStyle w:val="Heading2"/>
        <w:numPr>
          <w:ilvl w:val="2"/>
          <w:numId w:val="13"/>
        </w:numPr>
      </w:pPr>
      <w:bookmarkStart w:id="416" w:name="_Toc100324472"/>
      <w:bookmarkStart w:id="417" w:name="_Toc101204990"/>
      <w:bookmarkStart w:id="418" w:name="_Toc101205109"/>
      <w:bookmarkStart w:id="419" w:name="_Toc101205255"/>
      <w:bookmarkStart w:id="420" w:name="_Toc102984971"/>
      <w:bookmarkStart w:id="421" w:name="_Toc102985822"/>
      <w:bookmarkStart w:id="422" w:name="_Toc104981655"/>
      <w:bookmarkStart w:id="423" w:name="_Toc106288945"/>
      <w:r w:rsidRPr="00E04012">
        <w:t>Unanticipated Problem that is not an Adverse Event (</w:t>
      </w:r>
      <w:proofErr w:type="spellStart"/>
      <w:r w:rsidRPr="00E04012">
        <w:t>UPnonAE</w:t>
      </w:r>
      <w:proofErr w:type="spellEnd"/>
      <w:r w:rsidRPr="00E04012">
        <w:t>)</w:t>
      </w:r>
      <w:bookmarkEnd w:id="416"/>
      <w:bookmarkEnd w:id="417"/>
      <w:bookmarkEnd w:id="418"/>
      <w:bookmarkEnd w:id="419"/>
      <w:bookmarkEnd w:id="420"/>
      <w:bookmarkEnd w:id="421"/>
      <w:bookmarkEnd w:id="422"/>
      <w:bookmarkEnd w:id="423"/>
    </w:p>
    <w:p w14:paraId="2ABB16E1" w14:textId="77777777" w:rsidR="00D37BDD" w:rsidRPr="00D37BDD" w:rsidRDefault="00D37BDD" w:rsidP="00D37BDD">
      <w:pPr>
        <w:jc w:val="both"/>
        <w:rPr>
          <w:rFonts w:cs="Arial"/>
          <w:szCs w:val="22"/>
        </w:rPr>
      </w:pPr>
      <w:r w:rsidRPr="00D37BDD">
        <w:rPr>
          <w:rFonts w:cs="Arial"/>
          <w:szCs w:val="22"/>
        </w:rPr>
        <w:t xml:space="preserve">An </w:t>
      </w:r>
      <w:proofErr w:type="spellStart"/>
      <w:r w:rsidRPr="00D37BDD">
        <w:rPr>
          <w:rFonts w:cs="Arial"/>
          <w:szCs w:val="22"/>
        </w:rPr>
        <w:t>UPnonAE</w:t>
      </w:r>
      <w:proofErr w:type="spellEnd"/>
      <w:r w:rsidRPr="00D37BDD">
        <w:rPr>
          <w:rFonts w:cs="Arial"/>
          <w:szCs w:val="22"/>
        </w:rPr>
        <w:t xml:space="preserve"> is an UP that does not fit the definition of an adverse event, but which may, in the opinion of the investigator, involve risk to the subject, affect others in the research study, or significantly impact the integrity of research data. Such events would be considered a non-serious UP. For example, we will report occurrences of breaches of confidentiality, accidental destruction of study records, or unaccounted-for study drug.</w:t>
      </w:r>
    </w:p>
    <w:p w14:paraId="40F765F1" w14:textId="7F66F340" w:rsidR="00B95AA3" w:rsidRDefault="00D37BDD" w:rsidP="00B91D68">
      <w:pPr>
        <w:jc w:val="both"/>
        <w:rPr>
          <w:rFonts w:cs="Arial"/>
          <w:szCs w:val="22"/>
        </w:rPr>
      </w:pPr>
      <w:r w:rsidRPr="00D37BDD">
        <w:rPr>
          <w:rFonts w:cs="Arial"/>
          <w:szCs w:val="22"/>
        </w:rPr>
        <w:t>All UPs that are also adverse events will be reported to the sponsor no later than 7 calendar days of site awareness of the event. UPs that are not AEs will also be reported to the sponsor.</w:t>
      </w:r>
    </w:p>
    <w:p w14:paraId="3B604435" w14:textId="78F4E33F" w:rsidR="00B95AA3" w:rsidRDefault="00F67ECC">
      <w:pPr>
        <w:pStyle w:val="Heading2"/>
        <w:numPr>
          <w:ilvl w:val="2"/>
          <w:numId w:val="13"/>
        </w:numPr>
        <w:rPr>
          <w:rFonts w:cs="Arial"/>
          <w:szCs w:val="22"/>
        </w:rPr>
      </w:pPr>
      <w:r>
        <w:rPr>
          <w:rFonts w:cs="Arial"/>
          <w:szCs w:val="22"/>
        </w:rPr>
        <w:t>Confirmatory</w:t>
      </w:r>
      <w:r w:rsidR="00956157">
        <w:rPr>
          <w:rFonts w:cs="Arial"/>
          <w:szCs w:val="22"/>
        </w:rPr>
        <w:t xml:space="preserve"> pregnancy</w:t>
      </w:r>
      <w:r w:rsidR="00337547">
        <w:rPr>
          <w:rFonts w:cs="Arial"/>
          <w:szCs w:val="22"/>
        </w:rPr>
        <w:t xml:space="preserve"> test</w:t>
      </w:r>
      <w:r w:rsidR="00956157">
        <w:rPr>
          <w:rFonts w:cs="Arial"/>
          <w:szCs w:val="22"/>
        </w:rPr>
        <w:t xml:space="preserve"> at the end of follow-up</w:t>
      </w:r>
    </w:p>
    <w:p w14:paraId="1B7A3721" w14:textId="7E9C1FED" w:rsidR="00956157" w:rsidRPr="00956157" w:rsidRDefault="000C0F55" w:rsidP="00256993">
      <w:pPr>
        <w:jc w:val="both"/>
      </w:pPr>
      <w:r>
        <w:t>Urine and/or serum pregnancy</w:t>
      </w:r>
      <w:r w:rsidR="00956157">
        <w:t xml:space="preserve"> test </w:t>
      </w:r>
      <w:r>
        <w:t>(</w:t>
      </w:r>
      <w:r w:rsidRPr="00C5400F">
        <w:t>β-</w:t>
      </w:r>
      <w:proofErr w:type="spellStart"/>
      <w:r w:rsidRPr="00C5400F">
        <w:t>hCG</w:t>
      </w:r>
      <w:proofErr w:type="spellEnd"/>
      <w:r w:rsidRPr="00C5400F">
        <w:t xml:space="preserve">) </w:t>
      </w:r>
      <w:r w:rsidR="00956157">
        <w:t xml:space="preserve">will be repeated </w:t>
      </w:r>
      <w:r>
        <w:t>on</w:t>
      </w:r>
      <w:r w:rsidR="00956157">
        <w:t xml:space="preserve"> the final day of follow-up (day 28)</w:t>
      </w:r>
      <w:r w:rsidR="00F67ECC">
        <w:t xml:space="preserve"> for participants who received a pregnancy test at enrolment. The r</w:t>
      </w:r>
      <w:r w:rsidR="00256993">
        <w:t xml:space="preserve">esults </w:t>
      </w:r>
      <w:r w:rsidR="00956157">
        <w:t xml:space="preserve">will be reported </w:t>
      </w:r>
      <w:r w:rsidR="00F67ECC">
        <w:t xml:space="preserve">in the communication </w:t>
      </w:r>
      <w:r w:rsidR="00956157">
        <w:t>to the DSMB.</w:t>
      </w:r>
    </w:p>
    <w:p w14:paraId="27AC6319" w14:textId="4D0AD365" w:rsidR="00C8279C" w:rsidRDefault="00C8279C">
      <w:pPr>
        <w:pStyle w:val="Heading2"/>
      </w:pPr>
      <w:bookmarkStart w:id="424" w:name="_Toc100306388"/>
      <w:bookmarkStart w:id="425" w:name="_Toc100324473"/>
      <w:bookmarkStart w:id="426" w:name="_Toc101204991"/>
      <w:bookmarkStart w:id="427" w:name="_Toc101205110"/>
      <w:bookmarkStart w:id="428" w:name="_Toc101205256"/>
      <w:bookmarkStart w:id="429" w:name="_Toc102984972"/>
      <w:bookmarkStart w:id="430" w:name="_Toc102985823"/>
      <w:bookmarkStart w:id="431" w:name="_Toc104981656"/>
      <w:bookmarkStart w:id="432" w:name="_Toc106288946"/>
      <w:r w:rsidRPr="00DE5C91">
        <w:t>Adverse Event Data Collection</w:t>
      </w:r>
      <w:bookmarkEnd w:id="424"/>
      <w:bookmarkEnd w:id="425"/>
      <w:bookmarkEnd w:id="426"/>
      <w:bookmarkEnd w:id="427"/>
      <w:bookmarkEnd w:id="428"/>
      <w:bookmarkEnd w:id="429"/>
      <w:bookmarkEnd w:id="430"/>
      <w:bookmarkEnd w:id="431"/>
      <w:bookmarkEnd w:id="432"/>
    </w:p>
    <w:p w14:paraId="7F8DF04A" w14:textId="77777777" w:rsidR="00D37BDD" w:rsidRPr="00D37BDD" w:rsidRDefault="00D37BDD" w:rsidP="00D37BDD">
      <w:pPr>
        <w:jc w:val="both"/>
        <w:rPr>
          <w:rFonts w:cs="Arial"/>
          <w:szCs w:val="22"/>
        </w:rPr>
      </w:pPr>
      <w:r w:rsidRPr="00D37BDD">
        <w:rPr>
          <w:rFonts w:cs="Arial"/>
          <w:szCs w:val="22"/>
        </w:rPr>
        <w:t xml:space="preserve">Safety assessments will be performed and recorded by the trial clinicians. All AEs/reactions, observed by the trial clinicians or by the subject, will be accurately documented in the case report form. For each event/reaction the following details will be recorded: </w:t>
      </w:r>
    </w:p>
    <w:p w14:paraId="03484BCF" w14:textId="77777777" w:rsidR="00D37BDD" w:rsidRPr="00D37BDD" w:rsidRDefault="00D37BDD" w:rsidP="00D37BDD">
      <w:pPr>
        <w:ind w:left="709" w:hanging="425"/>
        <w:jc w:val="both"/>
        <w:rPr>
          <w:rFonts w:cs="Arial"/>
          <w:szCs w:val="22"/>
        </w:rPr>
      </w:pPr>
      <w:r w:rsidRPr="00D37BDD">
        <w:rPr>
          <w:rFonts w:cs="Arial"/>
          <w:szCs w:val="22"/>
        </w:rPr>
        <w:t>1.</w:t>
      </w:r>
      <w:r w:rsidRPr="00D37BDD">
        <w:rPr>
          <w:rFonts w:cs="Arial"/>
          <w:szCs w:val="22"/>
        </w:rPr>
        <w:tab/>
        <w:t xml:space="preserve">Description of the event(s)/reaction(s) </w:t>
      </w:r>
    </w:p>
    <w:p w14:paraId="079100AC" w14:textId="77777777" w:rsidR="00D37BDD" w:rsidRPr="00D37BDD" w:rsidRDefault="00D37BDD" w:rsidP="00D37BDD">
      <w:pPr>
        <w:ind w:left="709" w:hanging="425"/>
        <w:jc w:val="both"/>
        <w:rPr>
          <w:rFonts w:cs="Arial"/>
          <w:szCs w:val="22"/>
        </w:rPr>
      </w:pPr>
      <w:r w:rsidRPr="00D37BDD">
        <w:rPr>
          <w:rFonts w:cs="Arial"/>
          <w:szCs w:val="22"/>
        </w:rPr>
        <w:t>2.</w:t>
      </w:r>
      <w:r w:rsidRPr="00D37BDD">
        <w:rPr>
          <w:rFonts w:cs="Arial"/>
          <w:szCs w:val="22"/>
        </w:rPr>
        <w:tab/>
        <w:t xml:space="preserve">Date and time of occurrence </w:t>
      </w:r>
    </w:p>
    <w:p w14:paraId="60D36A00" w14:textId="77777777" w:rsidR="00D37BDD" w:rsidRPr="00D37BDD" w:rsidRDefault="00D37BDD" w:rsidP="00D37BDD">
      <w:pPr>
        <w:ind w:left="709" w:hanging="425"/>
        <w:jc w:val="both"/>
        <w:rPr>
          <w:rFonts w:cs="Arial"/>
          <w:szCs w:val="22"/>
        </w:rPr>
      </w:pPr>
      <w:r w:rsidRPr="00D37BDD">
        <w:rPr>
          <w:rFonts w:cs="Arial"/>
          <w:szCs w:val="22"/>
        </w:rPr>
        <w:t>3.</w:t>
      </w:r>
      <w:r w:rsidRPr="00D37BDD">
        <w:rPr>
          <w:rFonts w:cs="Arial"/>
          <w:szCs w:val="22"/>
        </w:rPr>
        <w:tab/>
        <w:t>Duration</w:t>
      </w:r>
    </w:p>
    <w:p w14:paraId="29967695" w14:textId="77777777" w:rsidR="00D37BDD" w:rsidRPr="00D37BDD" w:rsidRDefault="00D37BDD" w:rsidP="00D37BDD">
      <w:pPr>
        <w:ind w:left="709" w:hanging="425"/>
        <w:jc w:val="both"/>
        <w:rPr>
          <w:rFonts w:cs="Arial"/>
          <w:szCs w:val="22"/>
        </w:rPr>
      </w:pPr>
      <w:r w:rsidRPr="00D37BDD">
        <w:rPr>
          <w:rFonts w:cs="Arial"/>
          <w:szCs w:val="22"/>
        </w:rPr>
        <w:t>4.</w:t>
      </w:r>
      <w:r w:rsidRPr="00D37BDD">
        <w:rPr>
          <w:rFonts w:cs="Arial"/>
          <w:szCs w:val="22"/>
        </w:rPr>
        <w:tab/>
        <w:t>Intensity</w:t>
      </w:r>
    </w:p>
    <w:p w14:paraId="0C4FEE99" w14:textId="77777777" w:rsidR="00D37BDD" w:rsidRPr="00D37BDD" w:rsidRDefault="00D37BDD" w:rsidP="00D37BDD">
      <w:pPr>
        <w:ind w:left="709" w:hanging="425"/>
        <w:jc w:val="both"/>
        <w:rPr>
          <w:rFonts w:cs="Arial"/>
          <w:szCs w:val="22"/>
        </w:rPr>
      </w:pPr>
      <w:r w:rsidRPr="00D37BDD">
        <w:rPr>
          <w:rFonts w:cs="Arial"/>
          <w:szCs w:val="22"/>
        </w:rPr>
        <w:t>5.</w:t>
      </w:r>
      <w:r w:rsidRPr="00D37BDD">
        <w:rPr>
          <w:rFonts w:cs="Arial"/>
          <w:szCs w:val="22"/>
        </w:rPr>
        <w:tab/>
        <w:t>Relationship with the intervention</w:t>
      </w:r>
    </w:p>
    <w:p w14:paraId="71812D75" w14:textId="77777777" w:rsidR="00D37BDD" w:rsidRPr="00D37BDD" w:rsidRDefault="00D37BDD" w:rsidP="00D37BDD">
      <w:pPr>
        <w:ind w:left="709" w:hanging="425"/>
        <w:jc w:val="both"/>
        <w:rPr>
          <w:rFonts w:cs="Arial"/>
          <w:szCs w:val="22"/>
        </w:rPr>
      </w:pPr>
      <w:r w:rsidRPr="00D37BDD">
        <w:rPr>
          <w:rFonts w:cs="Arial"/>
          <w:szCs w:val="22"/>
        </w:rPr>
        <w:t>6.</w:t>
      </w:r>
      <w:r w:rsidRPr="00D37BDD">
        <w:rPr>
          <w:rFonts w:cs="Arial"/>
          <w:szCs w:val="22"/>
        </w:rPr>
        <w:tab/>
        <w:t>Action taken, including treatment</w:t>
      </w:r>
    </w:p>
    <w:p w14:paraId="03B9E575" w14:textId="77777777" w:rsidR="00D37BDD" w:rsidRPr="00D37BDD" w:rsidRDefault="00D37BDD" w:rsidP="00D37BDD">
      <w:pPr>
        <w:ind w:left="709" w:hanging="425"/>
        <w:jc w:val="both"/>
        <w:rPr>
          <w:rFonts w:cs="Arial"/>
          <w:szCs w:val="22"/>
        </w:rPr>
      </w:pPr>
      <w:r w:rsidRPr="00D37BDD">
        <w:rPr>
          <w:rFonts w:cs="Arial"/>
          <w:szCs w:val="22"/>
        </w:rPr>
        <w:lastRenderedPageBreak/>
        <w:t>7.</w:t>
      </w:r>
      <w:r w:rsidRPr="00D37BDD">
        <w:rPr>
          <w:rFonts w:cs="Arial"/>
          <w:szCs w:val="22"/>
        </w:rPr>
        <w:tab/>
        <w:t>Outcome</w:t>
      </w:r>
    </w:p>
    <w:p w14:paraId="0DA4680A" w14:textId="77777777" w:rsidR="00D37BDD" w:rsidRPr="00D37BDD" w:rsidRDefault="00D37BDD" w:rsidP="00D37BDD">
      <w:pPr>
        <w:jc w:val="both"/>
        <w:rPr>
          <w:rFonts w:cs="Arial"/>
          <w:szCs w:val="22"/>
        </w:rPr>
      </w:pPr>
      <w:r w:rsidRPr="00D37BDD">
        <w:rPr>
          <w:rFonts w:cs="Arial"/>
          <w:szCs w:val="22"/>
        </w:rPr>
        <w:t>In addition, symptoms will be ranked as (1) mild, (2) moderate, or (3) severe, depending on their intensity. All AEs except fever will be judged for their intensity according to the following scale:</w:t>
      </w:r>
    </w:p>
    <w:p w14:paraId="7737F363" w14:textId="77777777" w:rsidR="00D37BDD" w:rsidRPr="00D37BDD" w:rsidRDefault="00D37BDD">
      <w:pPr>
        <w:pStyle w:val="ListParagraph"/>
        <w:numPr>
          <w:ilvl w:val="2"/>
          <w:numId w:val="10"/>
        </w:numPr>
        <w:ind w:left="720" w:hanging="436"/>
        <w:contextualSpacing w:val="0"/>
        <w:jc w:val="both"/>
        <w:rPr>
          <w:rFonts w:cs="Arial"/>
          <w:szCs w:val="22"/>
        </w:rPr>
      </w:pPr>
      <w:r w:rsidRPr="00D37BDD">
        <w:rPr>
          <w:rFonts w:cs="Arial"/>
          <w:szCs w:val="22"/>
        </w:rPr>
        <w:t xml:space="preserve">Mild (grade 1): awareness of symptoms that are easily tolerated and do not interfere with usual daily activity </w:t>
      </w:r>
    </w:p>
    <w:p w14:paraId="3881202A" w14:textId="77777777" w:rsidR="00D37BDD" w:rsidRPr="00D37BDD" w:rsidRDefault="00D37BDD">
      <w:pPr>
        <w:pStyle w:val="ListParagraph"/>
        <w:numPr>
          <w:ilvl w:val="2"/>
          <w:numId w:val="10"/>
        </w:numPr>
        <w:ind w:left="720" w:hanging="436"/>
        <w:contextualSpacing w:val="0"/>
        <w:jc w:val="both"/>
        <w:rPr>
          <w:rFonts w:cs="Arial"/>
          <w:szCs w:val="22"/>
        </w:rPr>
      </w:pPr>
      <w:r w:rsidRPr="00D37BDD">
        <w:rPr>
          <w:rFonts w:cs="Arial"/>
          <w:szCs w:val="22"/>
        </w:rPr>
        <w:t>Moderate (grade 2): discomfort that interferes with or limits usual daily activity</w:t>
      </w:r>
    </w:p>
    <w:p w14:paraId="4CBBC732" w14:textId="77777777" w:rsidR="00D37BDD" w:rsidRPr="00D37BDD" w:rsidRDefault="00D37BDD">
      <w:pPr>
        <w:pStyle w:val="ListParagraph"/>
        <w:numPr>
          <w:ilvl w:val="2"/>
          <w:numId w:val="10"/>
        </w:numPr>
        <w:ind w:left="720" w:hanging="436"/>
        <w:contextualSpacing w:val="0"/>
        <w:jc w:val="both"/>
        <w:rPr>
          <w:rFonts w:cs="Arial"/>
          <w:szCs w:val="22"/>
        </w:rPr>
      </w:pPr>
      <w:r w:rsidRPr="00D37BDD">
        <w:rPr>
          <w:rFonts w:cs="Arial"/>
          <w:szCs w:val="22"/>
        </w:rPr>
        <w:t>Severe (grade 3): disabling, with subsequent inability to perform usual daily activity, resulting in absence or required bed rest</w:t>
      </w:r>
    </w:p>
    <w:p w14:paraId="5AD59E22" w14:textId="77777777" w:rsidR="00D37BDD" w:rsidRPr="00D37BDD" w:rsidRDefault="00D37BDD" w:rsidP="00D37BDD">
      <w:pPr>
        <w:jc w:val="both"/>
        <w:rPr>
          <w:rFonts w:cs="Arial"/>
          <w:szCs w:val="22"/>
        </w:rPr>
      </w:pPr>
      <w:r w:rsidRPr="00D37BDD">
        <w:rPr>
          <w:rFonts w:cs="Arial"/>
          <w:szCs w:val="22"/>
        </w:rPr>
        <w:t>For fever, the following scale will be used:</w:t>
      </w:r>
    </w:p>
    <w:p w14:paraId="50205771" w14:textId="77777777" w:rsidR="00D37BDD" w:rsidRPr="00D37BDD" w:rsidRDefault="00D37BDD" w:rsidP="00D37BDD">
      <w:pPr>
        <w:ind w:left="709" w:hanging="425"/>
        <w:jc w:val="both"/>
        <w:rPr>
          <w:rFonts w:cs="Arial"/>
          <w:szCs w:val="22"/>
        </w:rPr>
      </w:pPr>
      <w:r w:rsidRPr="00D37BDD">
        <w:rPr>
          <w:rFonts w:cs="Arial"/>
          <w:szCs w:val="22"/>
        </w:rPr>
        <w:t>•</w:t>
      </w:r>
      <w:r w:rsidRPr="00D37BDD">
        <w:rPr>
          <w:rFonts w:cs="Arial"/>
          <w:szCs w:val="22"/>
        </w:rPr>
        <w:tab/>
        <w:t>Mild (grade 1): 37.5 - 38.0°C</w:t>
      </w:r>
    </w:p>
    <w:p w14:paraId="03C762C5" w14:textId="77777777" w:rsidR="00D37BDD" w:rsidRPr="00D37BDD" w:rsidRDefault="00D37BDD" w:rsidP="00D37BDD">
      <w:pPr>
        <w:ind w:left="709" w:hanging="425"/>
        <w:jc w:val="both"/>
        <w:rPr>
          <w:rFonts w:cs="Arial"/>
          <w:szCs w:val="22"/>
        </w:rPr>
      </w:pPr>
      <w:r w:rsidRPr="00D37BDD">
        <w:rPr>
          <w:rFonts w:cs="Arial"/>
          <w:szCs w:val="22"/>
        </w:rPr>
        <w:t>•</w:t>
      </w:r>
      <w:r w:rsidRPr="00D37BDD">
        <w:rPr>
          <w:rFonts w:cs="Arial"/>
          <w:szCs w:val="22"/>
        </w:rPr>
        <w:tab/>
        <w:t xml:space="preserve">Moderate (grade 2): &gt; 38.0 to 39.0°C </w:t>
      </w:r>
    </w:p>
    <w:p w14:paraId="1324D571" w14:textId="77777777" w:rsidR="00D37BDD" w:rsidRPr="00D37BDD" w:rsidRDefault="00D37BDD" w:rsidP="00D37BDD">
      <w:pPr>
        <w:ind w:left="709" w:hanging="425"/>
        <w:jc w:val="both"/>
        <w:rPr>
          <w:rFonts w:cs="Arial"/>
          <w:szCs w:val="22"/>
        </w:rPr>
      </w:pPr>
      <w:r w:rsidRPr="00D37BDD">
        <w:rPr>
          <w:rFonts w:cs="Arial"/>
          <w:szCs w:val="22"/>
        </w:rPr>
        <w:t>•</w:t>
      </w:r>
      <w:r w:rsidRPr="00D37BDD">
        <w:rPr>
          <w:rFonts w:cs="Arial"/>
          <w:szCs w:val="22"/>
        </w:rPr>
        <w:tab/>
        <w:t>Severe (grade 3): &gt; 39.0°C</w:t>
      </w:r>
    </w:p>
    <w:p w14:paraId="3FD04FC3" w14:textId="08C0111C" w:rsidR="00D37BDD" w:rsidRPr="00B91D68" w:rsidRDefault="00D37BDD" w:rsidP="00B91D68">
      <w:pPr>
        <w:jc w:val="both"/>
        <w:rPr>
          <w:rFonts w:cs="Arial"/>
          <w:szCs w:val="22"/>
        </w:rPr>
      </w:pPr>
      <w:r w:rsidRPr="00D37BDD">
        <w:rPr>
          <w:rFonts w:cs="Arial"/>
          <w:szCs w:val="22"/>
        </w:rPr>
        <w:t>When an AE/SAE occurs, it is the responsibility of the principal investigators and trial clinicians to review all documentation (</w:t>
      </w:r>
      <w:r w:rsidR="004E67BE" w:rsidRPr="00D37BDD">
        <w:rPr>
          <w:rFonts w:cs="Arial"/>
          <w:szCs w:val="22"/>
        </w:rPr>
        <w:t>e.g.,</w:t>
      </w:r>
      <w:r w:rsidRPr="00D37BDD">
        <w:rPr>
          <w:rFonts w:cs="Arial"/>
          <w:szCs w:val="22"/>
        </w:rPr>
        <w:t xml:space="preserve"> hospital progress notes, laboratory, and diagnostics reports) related to the event. The principal investigators and trial clinicians will then record all relevant information regarding an AE/SAE on the</w:t>
      </w:r>
      <w:r w:rsidR="00DE3540">
        <w:rPr>
          <w:rFonts w:cs="Arial"/>
          <w:szCs w:val="22"/>
        </w:rPr>
        <w:t xml:space="preserve"> Case Report Form</w:t>
      </w:r>
      <w:r w:rsidRPr="00D37BDD">
        <w:rPr>
          <w:rFonts w:cs="Arial"/>
          <w:szCs w:val="22"/>
        </w:rPr>
        <w:t xml:space="preserve"> </w:t>
      </w:r>
      <w:r w:rsidR="00DE3540">
        <w:rPr>
          <w:rFonts w:cs="Arial"/>
          <w:szCs w:val="22"/>
        </w:rPr>
        <w:t>(</w:t>
      </w:r>
      <w:r w:rsidRPr="00D37BDD">
        <w:rPr>
          <w:rFonts w:cs="Arial"/>
          <w:szCs w:val="22"/>
        </w:rPr>
        <w:t>CRF</w:t>
      </w:r>
      <w:r w:rsidR="00DE3540">
        <w:rPr>
          <w:rFonts w:cs="Arial"/>
          <w:szCs w:val="22"/>
        </w:rPr>
        <w:t>)</w:t>
      </w:r>
      <w:r w:rsidRPr="00D37BDD">
        <w:rPr>
          <w:rFonts w:cs="Arial"/>
          <w:szCs w:val="22"/>
        </w:rPr>
        <w:t xml:space="preserve"> or SAE Report Form, respectively. Furthermore, the trial clinicians will attempt to establish a diagnosis of the event based on signs, symptoms, and/or other clinical information. In such cases, the diagnosis should be documented as the AE/SAE and not the individual signs/symptoms.</w:t>
      </w:r>
    </w:p>
    <w:p w14:paraId="7370E48E" w14:textId="6234E237" w:rsidR="00404404" w:rsidRDefault="00C8279C">
      <w:pPr>
        <w:pStyle w:val="Heading2"/>
      </w:pPr>
      <w:bookmarkStart w:id="433" w:name="_Toc100306389"/>
      <w:bookmarkStart w:id="434" w:name="_Toc100324474"/>
      <w:bookmarkStart w:id="435" w:name="_Toc101204992"/>
      <w:bookmarkStart w:id="436" w:name="_Toc101205111"/>
      <w:bookmarkStart w:id="437" w:name="_Toc101205257"/>
      <w:bookmarkStart w:id="438" w:name="_Toc102984973"/>
      <w:bookmarkStart w:id="439" w:name="_Toc102985824"/>
      <w:bookmarkStart w:id="440" w:name="_Toc104981657"/>
      <w:bookmarkStart w:id="441" w:name="_Toc106288947"/>
      <w:r w:rsidRPr="00DE5C91">
        <w:t>Haematological severe AE</w:t>
      </w:r>
      <w:bookmarkEnd w:id="433"/>
      <w:bookmarkEnd w:id="434"/>
      <w:bookmarkEnd w:id="435"/>
      <w:bookmarkEnd w:id="436"/>
      <w:bookmarkEnd w:id="437"/>
      <w:bookmarkEnd w:id="438"/>
      <w:bookmarkEnd w:id="439"/>
      <w:bookmarkEnd w:id="440"/>
      <w:bookmarkEnd w:id="441"/>
    </w:p>
    <w:p w14:paraId="15505ED7" w14:textId="301EA26A" w:rsidR="00D37BDD" w:rsidRDefault="00D37BDD" w:rsidP="00B91D68">
      <w:pPr>
        <w:jc w:val="both"/>
      </w:pPr>
      <w:r w:rsidRPr="00D37BDD">
        <w:t>A haematological severe AE is defined as a drop in Hb density of &gt;40% from baseline. These will be reported separately in the data safety and monitoring reports and in any resulting publications, due to their potential linkage with PQ treatment.</w:t>
      </w:r>
      <w:bookmarkStart w:id="442" w:name="_Toc100306390"/>
    </w:p>
    <w:p w14:paraId="3D1C54A9" w14:textId="710A4D2A" w:rsidR="00404404" w:rsidRDefault="00C8279C">
      <w:pPr>
        <w:pStyle w:val="Heading2"/>
      </w:pPr>
      <w:bookmarkStart w:id="443" w:name="_Toc100324475"/>
      <w:bookmarkStart w:id="444" w:name="_Toc101204993"/>
      <w:bookmarkStart w:id="445" w:name="_Toc101205112"/>
      <w:bookmarkStart w:id="446" w:name="_Toc101205258"/>
      <w:bookmarkStart w:id="447" w:name="_Toc102984974"/>
      <w:bookmarkStart w:id="448" w:name="_Toc102985825"/>
      <w:bookmarkStart w:id="449" w:name="_Toc104981658"/>
      <w:bookmarkStart w:id="450" w:name="_Toc106288948"/>
      <w:r w:rsidRPr="00DE5C91">
        <w:t>Assessment of causality</w:t>
      </w:r>
      <w:bookmarkEnd w:id="442"/>
      <w:bookmarkEnd w:id="443"/>
      <w:bookmarkEnd w:id="444"/>
      <w:bookmarkEnd w:id="445"/>
      <w:bookmarkEnd w:id="446"/>
      <w:bookmarkEnd w:id="447"/>
      <w:bookmarkEnd w:id="448"/>
      <w:bookmarkEnd w:id="449"/>
      <w:bookmarkEnd w:id="450"/>
    </w:p>
    <w:p w14:paraId="6B908010" w14:textId="4BAB4820" w:rsidR="00D37BDD" w:rsidRDefault="00D37BDD" w:rsidP="003B7916">
      <w:pPr>
        <w:jc w:val="both"/>
      </w:pPr>
      <w:r w:rsidRPr="009B79D7">
        <w:t>The principal investigators and trial clinicians are obligated to assess the relationship between study procedures and the occurrence of each AE/SAE. The clinicians will use clinical judgment to determine the relationship. Alternative causes, such as natural history of the underlying diseases, concomitant therapy, other risk factors and the temporal relationship of the event to the study procedures will be considered and investigated. The relationship of the AE with the study procedures will be assessed considering the factors listed under the following categories:</w:t>
      </w:r>
    </w:p>
    <w:p w14:paraId="04FABFFB" w14:textId="77777777" w:rsidR="003B7916" w:rsidRPr="003B7916" w:rsidRDefault="003B7916" w:rsidP="003B7916"/>
    <w:p w14:paraId="2C28D907" w14:textId="1A0BD275" w:rsidR="00D37BDD" w:rsidRDefault="00D37BDD" w:rsidP="00D37BDD">
      <w:pPr>
        <w:rPr>
          <w:b/>
          <w:bCs/>
        </w:rPr>
      </w:pPr>
      <w:r w:rsidRPr="00D37BDD">
        <w:rPr>
          <w:b/>
          <w:bCs/>
        </w:rPr>
        <w:t xml:space="preserve">Table </w:t>
      </w:r>
      <w:r w:rsidR="00FD1F8F">
        <w:rPr>
          <w:b/>
          <w:bCs/>
        </w:rPr>
        <w:t>7</w:t>
      </w:r>
      <w:r w:rsidRPr="00D37BDD">
        <w:rPr>
          <w:b/>
          <w:bCs/>
        </w:rPr>
        <w:t>. Causality</w:t>
      </w:r>
    </w:p>
    <w:tbl>
      <w:tblPr>
        <w:tblStyle w:val="TableGrid"/>
        <w:tblW w:w="0" w:type="auto"/>
        <w:tblLook w:val="04A0" w:firstRow="1" w:lastRow="0" w:firstColumn="1" w:lastColumn="0" w:noHBand="0" w:noVBand="1"/>
      </w:tblPr>
      <w:tblGrid>
        <w:gridCol w:w="1863"/>
        <w:gridCol w:w="6921"/>
      </w:tblGrid>
      <w:tr w:rsidR="00D37BDD" w:rsidRPr="009B79D7" w14:paraId="248395C9" w14:textId="77777777" w:rsidTr="003B7916">
        <w:tc>
          <w:tcPr>
            <w:tcW w:w="1863" w:type="dxa"/>
          </w:tcPr>
          <w:p w14:paraId="4028DEA3" w14:textId="77777777" w:rsidR="00D37BDD" w:rsidRPr="00D37BDD" w:rsidRDefault="00D37BDD" w:rsidP="00404FC6">
            <w:pPr>
              <w:jc w:val="both"/>
              <w:rPr>
                <w:rFonts w:cs="Arial"/>
                <w:b/>
                <w:bCs/>
                <w:sz w:val="18"/>
                <w:szCs w:val="18"/>
              </w:rPr>
            </w:pPr>
            <w:r w:rsidRPr="00D37BDD">
              <w:rPr>
                <w:rFonts w:cs="Arial"/>
                <w:b/>
                <w:bCs/>
                <w:sz w:val="18"/>
                <w:szCs w:val="18"/>
              </w:rPr>
              <w:t>Definitely Related</w:t>
            </w:r>
          </w:p>
          <w:p w14:paraId="7AF1EF99" w14:textId="77777777" w:rsidR="00D37BDD" w:rsidRPr="00D37BDD" w:rsidRDefault="00D37BDD" w:rsidP="00404FC6">
            <w:pPr>
              <w:jc w:val="both"/>
              <w:rPr>
                <w:rFonts w:cs="Arial"/>
                <w:b/>
                <w:bCs/>
                <w:sz w:val="18"/>
                <w:szCs w:val="18"/>
              </w:rPr>
            </w:pPr>
          </w:p>
        </w:tc>
        <w:tc>
          <w:tcPr>
            <w:tcW w:w="6921" w:type="dxa"/>
          </w:tcPr>
          <w:p w14:paraId="2E81BF5D"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reasonable temporal relationship</w:t>
            </w:r>
          </w:p>
          <w:p w14:paraId="42971326"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follows a known response pattern</w:t>
            </w:r>
          </w:p>
          <w:p w14:paraId="38C673C5"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clear evidence to suggest a causal relationship</w:t>
            </w:r>
          </w:p>
          <w:p w14:paraId="305413AD"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there is no alternative aetiology</w:t>
            </w:r>
          </w:p>
        </w:tc>
      </w:tr>
      <w:tr w:rsidR="00D37BDD" w:rsidRPr="009B79D7" w14:paraId="57628D29" w14:textId="77777777" w:rsidTr="003B7916">
        <w:tc>
          <w:tcPr>
            <w:tcW w:w="1863" w:type="dxa"/>
          </w:tcPr>
          <w:p w14:paraId="671613DD" w14:textId="77777777" w:rsidR="00D37BDD" w:rsidRPr="00D37BDD" w:rsidRDefault="00D37BDD" w:rsidP="00404FC6">
            <w:pPr>
              <w:jc w:val="both"/>
              <w:rPr>
                <w:rFonts w:cs="Arial"/>
                <w:b/>
                <w:bCs/>
                <w:sz w:val="18"/>
                <w:szCs w:val="18"/>
              </w:rPr>
            </w:pPr>
            <w:r w:rsidRPr="00D37BDD">
              <w:rPr>
                <w:rFonts w:cs="Arial"/>
                <w:b/>
                <w:bCs/>
                <w:sz w:val="18"/>
                <w:szCs w:val="18"/>
              </w:rPr>
              <w:lastRenderedPageBreak/>
              <w:t>Probably Related</w:t>
            </w:r>
          </w:p>
          <w:p w14:paraId="5504E8F0" w14:textId="77777777" w:rsidR="00D37BDD" w:rsidRPr="00D37BDD" w:rsidRDefault="00D37BDD" w:rsidP="00404FC6">
            <w:pPr>
              <w:jc w:val="both"/>
              <w:rPr>
                <w:rFonts w:cs="Arial"/>
                <w:b/>
                <w:bCs/>
                <w:sz w:val="18"/>
                <w:szCs w:val="18"/>
              </w:rPr>
            </w:pPr>
          </w:p>
        </w:tc>
        <w:tc>
          <w:tcPr>
            <w:tcW w:w="6921" w:type="dxa"/>
          </w:tcPr>
          <w:p w14:paraId="38692F5B"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reasonable temporal relationship</w:t>
            </w:r>
          </w:p>
          <w:p w14:paraId="364A8CAD"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follows a suspected response pattern (based on similar agents)</w:t>
            </w:r>
          </w:p>
          <w:p w14:paraId="6503A1C9"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no evidence of a more likely alternative aetiology</w:t>
            </w:r>
          </w:p>
        </w:tc>
      </w:tr>
      <w:tr w:rsidR="00D37BDD" w:rsidRPr="009B79D7" w14:paraId="7DD3E9BA" w14:textId="77777777" w:rsidTr="003B7916">
        <w:tc>
          <w:tcPr>
            <w:tcW w:w="1863" w:type="dxa"/>
          </w:tcPr>
          <w:p w14:paraId="7ACE425F" w14:textId="77777777" w:rsidR="00D37BDD" w:rsidRPr="00D37BDD" w:rsidRDefault="00D37BDD" w:rsidP="00404FC6">
            <w:pPr>
              <w:jc w:val="both"/>
              <w:rPr>
                <w:rFonts w:cs="Arial"/>
                <w:b/>
                <w:bCs/>
                <w:sz w:val="18"/>
                <w:szCs w:val="18"/>
              </w:rPr>
            </w:pPr>
            <w:r w:rsidRPr="00D37BDD">
              <w:rPr>
                <w:rFonts w:cs="Arial"/>
                <w:b/>
                <w:bCs/>
                <w:sz w:val="18"/>
                <w:szCs w:val="18"/>
              </w:rPr>
              <w:t>Possibly Related</w:t>
            </w:r>
          </w:p>
          <w:p w14:paraId="55D5269A" w14:textId="77777777" w:rsidR="00D37BDD" w:rsidRPr="00D37BDD" w:rsidRDefault="00D37BDD" w:rsidP="00404FC6">
            <w:pPr>
              <w:jc w:val="both"/>
              <w:rPr>
                <w:rFonts w:cs="Arial"/>
                <w:b/>
                <w:bCs/>
                <w:sz w:val="18"/>
                <w:szCs w:val="18"/>
              </w:rPr>
            </w:pPr>
          </w:p>
        </w:tc>
        <w:tc>
          <w:tcPr>
            <w:tcW w:w="6921" w:type="dxa"/>
          </w:tcPr>
          <w:p w14:paraId="6D36D7F4"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reasonable temporal relationship</w:t>
            </w:r>
          </w:p>
          <w:p w14:paraId="6C07AF10"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little evidence for a more likely alternative aetiology</w:t>
            </w:r>
          </w:p>
        </w:tc>
      </w:tr>
      <w:tr w:rsidR="00D37BDD" w:rsidRPr="009B79D7" w14:paraId="796B9466" w14:textId="77777777" w:rsidTr="003B7916">
        <w:tc>
          <w:tcPr>
            <w:tcW w:w="1863" w:type="dxa"/>
          </w:tcPr>
          <w:p w14:paraId="45BA7A95" w14:textId="77777777" w:rsidR="00D37BDD" w:rsidRPr="00D37BDD" w:rsidRDefault="00D37BDD" w:rsidP="00404FC6">
            <w:pPr>
              <w:jc w:val="both"/>
              <w:rPr>
                <w:rFonts w:cs="Arial"/>
                <w:b/>
                <w:bCs/>
                <w:sz w:val="18"/>
                <w:szCs w:val="18"/>
              </w:rPr>
            </w:pPr>
            <w:r w:rsidRPr="00D37BDD">
              <w:rPr>
                <w:rFonts w:cs="Arial"/>
                <w:b/>
                <w:bCs/>
                <w:sz w:val="18"/>
                <w:szCs w:val="18"/>
              </w:rPr>
              <w:t>Unlikely Related</w:t>
            </w:r>
          </w:p>
          <w:p w14:paraId="1DFD8344" w14:textId="77777777" w:rsidR="00D37BDD" w:rsidRPr="00D37BDD" w:rsidRDefault="00D37BDD" w:rsidP="00404FC6">
            <w:pPr>
              <w:jc w:val="both"/>
              <w:rPr>
                <w:rFonts w:cs="Arial"/>
                <w:b/>
                <w:bCs/>
                <w:sz w:val="18"/>
                <w:szCs w:val="18"/>
              </w:rPr>
            </w:pPr>
          </w:p>
        </w:tc>
        <w:tc>
          <w:tcPr>
            <w:tcW w:w="6921" w:type="dxa"/>
          </w:tcPr>
          <w:p w14:paraId="21A19914"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 xml:space="preserve">does not have a reasonable temporal relationship </w:t>
            </w:r>
          </w:p>
          <w:p w14:paraId="4F7A51C8" w14:textId="77777777" w:rsidR="00D37BDD" w:rsidRPr="00D37BDD" w:rsidRDefault="00D37BDD" w:rsidP="00404FC6">
            <w:pPr>
              <w:jc w:val="both"/>
              <w:rPr>
                <w:rFonts w:cs="Arial"/>
                <w:sz w:val="18"/>
                <w:szCs w:val="18"/>
              </w:rPr>
            </w:pPr>
            <w:r w:rsidRPr="00D37BDD">
              <w:rPr>
                <w:rFonts w:cs="Arial"/>
                <w:sz w:val="18"/>
                <w:szCs w:val="18"/>
              </w:rPr>
              <w:t>OR</w:t>
            </w:r>
          </w:p>
          <w:p w14:paraId="22A0445E"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good evidence for a more likely alternative aetiology</w:t>
            </w:r>
          </w:p>
        </w:tc>
      </w:tr>
      <w:tr w:rsidR="00D37BDD" w:rsidRPr="009B79D7" w14:paraId="576A2A90" w14:textId="77777777" w:rsidTr="003B7916">
        <w:tc>
          <w:tcPr>
            <w:tcW w:w="1863" w:type="dxa"/>
          </w:tcPr>
          <w:p w14:paraId="2F290D7C" w14:textId="77777777" w:rsidR="00D37BDD" w:rsidRPr="00D37BDD" w:rsidRDefault="00D37BDD" w:rsidP="00404FC6">
            <w:pPr>
              <w:jc w:val="both"/>
              <w:rPr>
                <w:rFonts w:cs="Arial"/>
                <w:b/>
                <w:bCs/>
                <w:sz w:val="18"/>
                <w:szCs w:val="18"/>
              </w:rPr>
            </w:pPr>
            <w:r w:rsidRPr="00D37BDD">
              <w:rPr>
                <w:rFonts w:cs="Arial"/>
                <w:b/>
                <w:bCs/>
                <w:sz w:val="18"/>
                <w:szCs w:val="18"/>
              </w:rPr>
              <w:t>Not Related</w:t>
            </w:r>
          </w:p>
          <w:p w14:paraId="54F70E69" w14:textId="77777777" w:rsidR="00D37BDD" w:rsidRPr="00D37BDD" w:rsidRDefault="00D37BDD" w:rsidP="00404FC6">
            <w:pPr>
              <w:jc w:val="both"/>
              <w:rPr>
                <w:rFonts w:cs="Arial"/>
                <w:b/>
                <w:bCs/>
                <w:sz w:val="18"/>
                <w:szCs w:val="18"/>
              </w:rPr>
            </w:pPr>
          </w:p>
        </w:tc>
        <w:tc>
          <w:tcPr>
            <w:tcW w:w="6921" w:type="dxa"/>
          </w:tcPr>
          <w:p w14:paraId="24F0AD1C"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does not have a temporal relationship</w:t>
            </w:r>
          </w:p>
          <w:p w14:paraId="402DD247" w14:textId="77777777" w:rsidR="00D37BDD" w:rsidRPr="00D37BDD" w:rsidRDefault="00D37BDD" w:rsidP="00404FC6">
            <w:pPr>
              <w:jc w:val="both"/>
              <w:rPr>
                <w:rFonts w:cs="Arial"/>
                <w:sz w:val="18"/>
                <w:szCs w:val="18"/>
              </w:rPr>
            </w:pPr>
            <w:r w:rsidRPr="00D37BDD">
              <w:rPr>
                <w:rFonts w:cs="Arial"/>
                <w:sz w:val="18"/>
                <w:szCs w:val="18"/>
              </w:rPr>
              <w:t>OR</w:t>
            </w:r>
          </w:p>
          <w:p w14:paraId="38E8D618" w14:textId="77777777" w:rsidR="00D37BDD" w:rsidRPr="00D37BDD" w:rsidRDefault="00D37BDD">
            <w:pPr>
              <w:pStyle w:val="ListParagraph"/>
              <w:numPr>
                <w:ilvl w:val="0"/>
                <w:numId w:val="8"/>
              </w:numPr>
              <w:ind w:left="357" w:hanging="357"/>
              <w:contextualSpacing w:val="0"/>
              <w:jc w:val="both"/>
              <w:rPr>
                <w:rFonts w:cs="Arial"/>
                <w:sz w:val="18"/>
                <w:szCs w:val="18"/>
              </w:rPr>
            </w:pPr>
            <w:r w:rsidRPr="00D37BDD">
              <w:rPr>
                <w:rFonts w:cs="Arial"/>
                <w:sz w:val="18"/>
                <w:szCs w:val="18"/>
              </w:rPr>
              <w:t>definitely due to an alternative aetiology</w:t>
            </w:r>
          </w:p>
        </w:tc>
      </w:tr>
    </w:tbl>
    <w:p w14:paraId="0E4F47D2" w14:textId="3795237E" w:rsidR="00D37BDD" w:rsidRPr="00F3745D" w:rsidRDefault="00D37BDD" w:rsidP="00D37BDD">
      <w:pPr>
        <w:jc w:val="both"/>
        <w:rPr>
          <w:rFonts w:cs="Arial"/>
          <w:i/>
          <w:iCs/>
          <w:szCs w:val="22"/>
        </w:rPr>
      </w:pPr>
      <w:r w:rsidRPr="00F3745D">
        <w:rPr>
          <w:rFonts w:cs="Arial"/>
          <w:i/>
          <w:iCs/>
          <w:szCs w:val="22"/>
        </w:rPr>
        <w:t>Note: Other factors will also be considered for each causality category when appropriate. Causality assessment is based on available information at the time of the assessment of the AE. The investigator may revise the causality assessment as additional information becomes available.</w:t>
      </w:r>
    </w:p>
    <w:p w14:paraId="68AF923A" w14:textId="480C1BD8" w:rsidR="00404404" w:rsidRDefault="00C8279C">
      <w:pPr>
        <w:pStyle w:val="Heading2"/>
      </w:pPr>
      <w:bookmarkStart w:id="451" w:name="_Toc100306391"/>
      <w:bookmarkStart w:id="452" w:name="_Toc100324476"/>
      <w:bookmarkStart w:id="453" w:name="_Toc101204994"/>
      <w:bookmarkStart w:id="454" w:name="_Toc101205113"/>
      <w:bookmarkStart w:id="455" w:name="_Toc101205259"/>
      <w:bookmarkStart w:id="456" w:name="_Toc102984975"/>
      <w:bookmarkStart w:id="457" w:name="_Toc102985826"/>
      <w:bookmarkStart w:id="458" w:name="_Toc104981659"/>
      <w:bookmarkStart w:id="459" w:name="_Toc106288949"/>
      <w:r w:rsidRPr="00DE5C91">
        <w:t>Assessment of outcome</w:t>
      </w:r>
      <w:bookmarkEnd w:id="451"/>
      <w:bookmarkEnd w:id="452"/>
      <w:bookmarkEnd w:id="453"/>
      <w:bookmarkEnd w:id="454"/>
      <w:bookmarkEnd w:id="455"/>
      <w:bookmarkEnd w:id="456"/>
      <w:bookmarkEnd w:id="457"/>
      <w:bookmarkEnd w:id="458"/>
      <w:bookmarkEnd w:id="459"/>
    </w:p>
    <w:p w14:paraId="73B85DC2" w14:textId="77777777" w:rsidR="00D37BDD" w:rsidRPr="00D37BDD" w:rsidRDefault="00D37BDD" w:rsidP="003B7916">
      <w:r w:rsidRPr="00D37BDD">
        <w:t>Assessment of each AE must be assessed according to the following classification:</w:t>
      </w:r>
    </w:p>
    <w:p w14:paraId="733EBA71" w14:textId="52958CDF" w:rsidR="00D37BDD" w:rsidRPr="00D37BDD" w:rsidRDefault="00D37BDD" w:rsidP="00D37BDD">
      <w:pPr>
        <w:rPr>
          <w:b/>
          <w:bCs/>
        </w:rPr>
      </w:pPr>
      <w:r w:rsidRPr="00D37BDD">
        <w:rPr>
          <w:b/>
          <w:bCs/>
        </w:rPr>
        <w:t xml:space="preserve">Table </w:t>
      </w:r>
      <w:r w:rsidR="00FD1F8F">
        <w:rPr>
          <w:b/>
          <w:bCs/>
        </w:rPr>
        <w:t>8</w:t>
      </w:r>
      <w:r w:rsidRPr="00D37BDD">
        <w:rPr>
          <w:b/>
          <w:bCs/>
        </w:rPr>
        <w:t>. Outcome</w:t>
      </w:r>
    </w:p>
    <w:tbl>
      <w:tblPr>
        <w:tblStyle w:val="TableGrid"/>
        <w:tblW w:w="8742" w:type="dxa"/>
        <w:tblLook w:val="04A0" w:firstRow="1" w:lastRow="0" w:firstColumn="1" w:lastColumn="0" w:noHBand="0" w:noVBand="1"/>
      </w:tblPr>
      <w:tblGrid>
        <w:gridCol w:w="2799"/>
        <w:gridCol w:w="5943"/>
      </w:tblGrid>
      <w:tr w:rsidR="00D37BDD" w:rsidRPr="009B79D7" w14:paraId="4A96AED0" w14:textId="77777777" w:rsidTr="00404FC6">
        <w:tc>
          <w:tcPr>
            <w:tcW w:w="2799" w:type="dxa"/>
          </w:tcPr>
          <w:p w14:paraId="5C31A5BF" w14:textId="77777777" w:rsidR="00D37BDD" w:rsidRPr="00D37BDD" w:rsidRDefault="00D37BDD" w:rsidP="00404FC6">
            <w:pPr>
              <w:jc w:val="both"/>
              <w:rPr>
                <w:rFonts w:cs="Arial"/>
                <w:b/>
                <w:bCs/>
                <w:sz w:val="18"/>
                <w:szCs w:val="18"/>
              </w:rPr>
            </w:pPr>
            <w:r w:rsidRPr="00D37BDD">
              <w:rPr>
                <w:rFonts w:cs="Arial"/>
                <w:b/>
                <w:bCs/>
                <w:sz w:val="18"/>
                <w:szCs w:val="18"/>
              </w:rPr>
              <w:t>Completely recovered</w:t>
            </w:r>
          </w:p>
        </w:tc>
        <w:tc>
          <w:tcPr>
            <w:tcW w:w="5943" w:type="dxa"/>
          </w:tcPr>
          <w:p w14:paraId="77B08978" w14:textId="77777777" w:rsidR="00D37BDD" w:rsidRPr="00D37BDD" w:rsidRDefault="00D37BDD" w:rsidP="00404FC6">
            <w:pPr>
              <w:jc w:val="both"/>
              <w:rPr>
                <w:rFonts w:cs="Arial"/>
                <w:sz w:val="18"/>
                <w:szCs w:val="18"/>
              </w:rPr>
            </w:pPr>
            <w:r w:rsidRPr="00D37BDD">
              <w:rPr>
                <w:rFonts w:cs="Arial"/>
                <w:sz w:val="18"/>
                <w:szCs w:val="18"/>
              </w:rPr>
              <w:t>The subject has fully recovered with no observable residual effects</w:t>
            </w:r>
          </w:p>
        </w:tc>
      </w:tr>
      <w:tr w:rsidR="00D37BDD" w:rsidRPr="009B79D7" w14:paraId="609D98CF" w14:textId="77777777" w:rsidTr="00404FC6">
        <w:tc>
          <w:tcPr>
            <w:tcW w:w="2799" w:type="dxa"/>
          </w:tcPr>
          <w:p w14:paraId="11BD42E6" w14:textId="77777777" w:rsidR="00D37BDD" w:rsidRPr="00D37BDD" w:rsidRDefault="00D37BDD" w:rsidP="00404FC6">
            <w:pPr>
              <w:jc w:val="both"/>
              <w:rPr>
                <w:rFonts w:cs="Arial"/>
                <w:b/>
                <w:bCs/>
                <w:sz w:val="18"/>
                <w:szCs w:val="18"/>
              </w:rPr>
            </w:pPr>
            <w:r w:rsidRPr="00D37BDD">
              <w:rPr>
                <w:rFonts w:cs="Arial"/>
                <w:b/>
                <w:bCs/>
                <w:sz w:val="18"/>
                <w:szCs w:val="18"/>
              </w:rPr>
              <w:t>Not yet completely recovered</w:t>
            </w:r>
          </w:p>
        </w:tc>
        <w:tc>
          <w:tcPr>
            <w:tcW w:w="5943" w:type="dxa"/>
          </w:tcPr>
          <w:p w14:paraId="24BC2329" w14:textId="77777777" w:rsidR="00D37BDD" w:rsidRPr="00D37BDD" w:rsidRDefault="00D37BDD" w:rsidP="00404FC6">
            <w:pPr>
              <w:jc w:val="both"/>
              <w:rPr>
                <w:rFonts w:cs="Arial"/>
                <w:sz w:val="18"/>
                <w:szCs w:val="18"/>
              </w:rPr>
            </w:pPr>
            <w:r w:rsidRPr="00D37BDD">
              <w:rPr>
                <w:rFonts w:cs="Arial"/>
                <w:sz w:val="18"/>
                <w:szCs w:val="18"/>
              </w:rPr>
              <w:t>The subject condition has improved, but still has some residual effects</w:t>
            </w:r>
          </w:p>
        </w:tc>
      </w:tr>
      <w:tr w:rsidR="00D37BDD" w:rsidRPr="009B79D7" w14:paraId="101FBA02" w14:textId="77777777" w:rsidTr="00404FC6">
        <w:tc>
          <w:tcPr>
            <w:tcW w:w="2799" w:type="dxa"/>
          </w:tcPr>
          <w:p w14:paraId="18FC30E4" w14:textId="77777777" w:rsidR="00D37BDD" w:rsidRPr="00D37BDD" w:rsidRDefault="00D37BDD" w:rsidP="00404FC6">
            <w:pPr>
              <w:jc w:val="both"/>
              <w:rPr>
                <w:rFonts w:cs="Arial"/>
                <w:b/>
                <w:bCs/>
                <w:sz w:val="18"/>
                <w:szCs w:val="18"/>
              </w:rPr>
            </w:pPr>
            <w:r w:rsidRPr="00D37BDD">
              <w:rPr>
                <w:rFonts w:cs="Arial"/>
                <w:b/>
                <w:bCs/>
                <w:sz w:val="18"/>
                <w:szCs w:val="18"/>
              </w:rPr>
              <w:t>Deterioration</w:t>
            </w:r>
          </w:p>
        </w:tc>
        <w:tc>
          <w:tcPr>
            <w:tcW w:w="5943" w:type="dxa"/>
          </w:tcPr>
          <w:p w14:paraId="1DEC5FB1" w14:textId="77777777" w:rsidR="00D37BDD" w:rsidRPr="00D37BDD" w:rsidRDefault="00D37BDD" w:rsidP="00404FC6">
            <w:pPr>
              <w:jc w:val="both"/>
              <w:rPr>
                <w:rFonts w:cs="Arial"/>
                <w:sz w:val="18"/>
                <w:szCs w:val="18"/>
              </w:rPr>
            </w:pPr>
            <w:r w:rsidRPr="00D37BDD">
              <w:rPr>
                <w:rFonts w:cs="Arial"/>
                <w:sz w:val="18"/>
                <w:szCs w:val="18"/>
              </w:rPr>
              <w:t>The subject’s overall condition has worsened</w:t>
            </w:r>
          </w:p>
        </w:tc>
      </w:tr>
      <w:tr w:rsidR="00D37BDD" w:rsidRPr="009B79D7" w14:paraId="6444CBFC" w14:textId="77777777" w:rsidTr="00404FC6">
        <w:tc>
          <w:tcPr>
            <w:tcW w:w="2799" w:type="dxa"/>
          </w:tcPr>
          <w:p w14:paraId="2C2F94C0" w14:textId="77777777" w:rsidR="00D37BDD" w:rsidRPr="00D37BDD" w:rsidRDefault="00D37BDD" w:rsidP="00404FC6">
            <w:pPr>
              <w:jc w:val="both"/>
              <w:rPr>
                <w:rFonts w:cs="Arial"/>
                <w:b/>
                <w:bCs/>
                <w:sz w:val="18"/>
                <w:szCs w:val="18"/>
              </w:rPr>
            </w:pPr>
            <w:r w:rsidRPr="00D37BDD">
              <w:rPr>
                <w:rFonts w:cs="Arial"/>
                <w:b/>
                <w:bCs/>
                <w:sz w:val="18"/>
                <w:szCs w:val="18"/>
              </w:rPr>
              <w:t>Permanent damage</w:t>
            </w:r>
          </w:p>
        </w:tc>
        <w:tc>
          <w:tcPr>
            <w:tcW w:w="5943" w:type="dxa"/>
          </w:tcPr>
          <w:p w14:paraId="386A622B" w14:textId="77777777" w:rsidR="00D37BDD" w:rsidRPr="00D37BDD" w:rsidRDefault="00D37BDD" w:rsidP="00404FC6">
            <w:pPr>
              <w:jc w:val="both"/>
              <w:rPr>
                <w:rFonts w:cs="Arial"/>
                <w:sz w:val="18"/>
                <w:szCs w:val="18"/>
              </w:rPr>
            </w:pPr>
            <w:r w:rsidRPr="00D37BDD">
              <w:rPr>
                <w:rFonts w:cs="Arial"/>
                <w:sz w:val="18"/>
                <w:szCs w:val="18"/>
              </w:rPr>
              <w:t>The AE has resulted in a permanent impairment</w:t>
            </w:r>
          </w:p>
        </w:tc>
      </w:tr>
      <w:tr w:rsidR="00D37BDD" w:rsidRPr="009B79D7" w14:paraId="65B161F6" w14:textId="77777777" w:rsidTr="00404FC6">
        <w:tc>
          <w:tcPr>
            <w:tcW w:w="2799" w:type="dxa"/>
          </w:tcPr>
          <w:p w14:paraId="3E525D83" w14:textId="77777777" w:rsidR="00D37BDD" w:rsidRPr="00D37BDD" w:rsidRDefault="00D37BDD" w:rsidP="00404FC6">
            <w:pPr>
              <w:jc w:val="both"/>
              <w:rPr>
                <w:rFonts w:cs="Arial"/>
                <w:b/>
                <w:bCs/>
                <w:sz w:val="18"/>
                <w:szCs w:val="18"/>
              </w:rPr>
            </w:pPr>
            <w:r w:rsidRPr="00D37BDD">
              <w:rPr>
                <w:rFonts w:cs="Arial"/>
                <w:b/>
                <w:bCs/>
                <w:sz w:val="18"/>
                <w:szCs w:val="18"/>
              </w:rPr>
              <w:t>Death</w:t>
            </w:r>
          </w:p>
        </w:tc>
        <w:tc>
          <w:tcPr>
            <w:tcW w:w="5943" w:type="dxa"/>
          </w:tcPr>
          <w:p w14:paraId="78DA31B2" w14:textId="77777777" w:rsidR="00D37BDD" w:rsidRPr="00D37BDD" w:rsidRDefault="00D37BDD" w:rsidP="00404FC6">
            <w:pPr>
              <w:jc w:val="both"/>
              <w:rPr>
                <w:rFonts w:cs="Arial"/>
                <w:sz w:val="18"/>
                <w:szCs w:val="18"/>
              </w:rPr>
            </w:pPr>
            <w:r w:rsidRPr="00D37BDD">
              <w:rPr>
                <w:rFonts w:cs="Arial"/>
                <w:sz w:val="18"/>
                <w:szCs w:val="18"/>
              </w:rPr>
              <w:t>The subject died due to the AE</w:t>
            </w:r>
          </w:p>
        </w:tc>
      </w:tr>
      <w:tr w:rsidR="00D37BDD" w:rsidRPr="009B79D7" w14:paraId="37BC1C41" w14:textId="77777777" w:rsidTr="00404FC6">
        <w:tc>
          <w:tcPr>
            <w:tcW w:w="2799" w:type="dxa"/>
          </w:tcPr>
          <w:p w14:paraId="61081493" w14:textId="77777777" w:rsidR="00D37BDD" w:rsidRPr="00D37BDD" w:rsidRDefault="00D37BDD" w:rsidP="00404FC6">
            <w:pPr>
              <w:jc w:val="both"/>
              <w:rPr>
                <w:rFonts w:cs="Arial"/>
                <w:b/>
                <w:bCs/>
                <w:sz w:val="18"/>
                <w:szCs w:val="18"/>
              </w:rPr>
            </w:pPr>
            <w:r w:rsidRPr="00D37BDD">
              <w:rPr>
                <w:rFonts w:cs="Arial"/>
                <w:b/>
                <w:bCs/>
                <w:sz w:val="18"/>
                <w:szCs w:val="18"/>
              </w:rPr>
              <w:br w:type="page"/>
              <w:t>Ongoing</w:t>
            </w:r>
          </w:p>
        </w:tc>
        <w:tc>
          <w:tcPr>
            <w:tcW w:w="5943" w:type="dxa"/>
          </w:tcPr>
          <w:p w14:paraId="0E0A2F0F" w14:textId="77777777" w:rsidR="00D37BDD" w:rsidRPr="00D37BDD" w:rsidRDefault="00D37BDD" w:rsidP="00404FC6">
            <w:pPr>
              <w:jc w:val="both"/>
              <w:rPr>
                <w:rFonts w:cs="Arial"/>
                <w:sz w:val="18"/>
                <w:szCs w:val="18"/>
              </w:rPr>
            </w:pPr>
            <w:r w:rsidRPr="00D37BDD">
              <w:rPr>
                <w:rFonts w:cs="Arial"/>
                <w:sz w:val="18"/>
                <w:szCs w:val="18"/>
              </w:rPr>
              <w:t>The AE remains the same as at onset</w:t>
            </w:r>
          </w:p>
        </w:tc>
      </w:tr>
      <w:tr w:rsidR="00D37BDD" w:rsidRPr="009B79D7" w14:paraId="26A6DDA8" w14:textId="77777777" w:rsidTr="00404FC6">
        <w:tc>
          <w:tcPr>
            <w:tcW w:w="2799" w:type="dxa"/>
          </w:tcPr>
          <w:p w14:paraId="4694C03B" w14:textId="77777777" w:rsidR="00D37BDD" w:rsidRPr="00D37BDD" w:rsidRDefault="00D37BDD" w:rsidP="00404FC6">
            <w:pPr>
              <w:jc w:val="both"/>
              <w:rPr>
                <w:rFonts w:cs="Arial"/>
                <w:b/>
                <w:bCs/>
                <w:sz w:val="18"/>
                <w:szCs w:val="18"/>
              </w:rPr>
            </w:pPr>
            <w:r w:rsidRPr="00D37BDD">
              <w:rPr>
                <w:rFonts w:cs="Arial"/>
                <w:b/>
                <w:bCs/>
                <w:sz w:val="18"/>
                <w:szCs w:val="18"/>
              </w:rPr>
              <w:t>Unknown</w:t>
            </w:r>
          </w:p>
        </w:tc>
        <w:tc>
          <w:tcPr>
            <w:tcW w:w="5943" w:type="dxa"/>
          </w:tcPr>
          <w:p w14:paraId="539F705F" w14:textId="77777777" w:rsidR="00D37BDD" w:rsidRPr="00D37BDD" w:rsidRDefault="00D37BDD" w:rsidP="00404FC6">
            <w:pPr>
              <w:jc w:val="both"/>
              <w:rPr>
                <w:rFonts w:cs="Arial"/>
                <w:sz w:val="18"/>
                <w:szCs w:val="18"/>
              </w:rPr>
            </w:pPr>
            <w:r w:rsidRPr="00D37BDD">
              <w:rPr>
                <w:rFonts w:cs="Arial"/>
                <w:sz w:val="18"/>
                <w:szCs w:val="18"/>
              </w:rPr>
              <w:t>The outcome of the AE is not known because of lost to follow-up</w:t>
            </w:r>
          </w:p>
        </w:tc>
      </w:tr>
    </w:tbl>
    <w:p w14:paraId="273C601A" w14:textId="35671492" w:rsidR="00B91D68" w:rsidRPr="00DF0558" w:rsidRDefault="00D37BDD" w:rsidP="00DF0558">
      <w:pPr>
        <w:jc w:val="both"/>
        <w:rPr>
          <w:lang w:val="en-CA"/>
        </w:rPr>
      </w:pPr>
      <w:r w:rsidRPr="00D37BDD">
        <w:rPr>
          <w:lang w:val="en-CA"/>
        </w:rPr>
        <w:t>All adverse events will be recorded on individual CRF with the following information: the severity grade (mild, moderate, severe), its relationship to the study drug(s) (related/not related), its duration (start and end dates or if continuing at final exam), actions taken, outcome, whether it constitutes a serious adverse event (SAE).</w:t>
      </w:r>
    </w:p>
    <w:p w14:paraId="65C4FC68" w14:textId="16D68AF5" w:rsidR="00C8279C" w:rsidRDefault="00C8279C">
      <w:pPr>
        <w:pStyle w:val="Heading2"/>
      </w:pPr>
      <w:bookmarkStart w:id="460" w:name="_Toc100306392"/>
      <w:bookmarkStart w:id="461" w:name="_Toc100324477"/>
      <w:bookmarkStart w:id="462" w:name="_Toc101204995"/>
      <w:bookmarkStart w:id="463" w:name="_Toc101205114"/>
      <w:bookmarkStart w:id="464" w:name="_Toc101205260"/>
      <w:bookmarkStart w:id="465" w:name="_Toc102984976"/>
      <w:bookmarkStart w:id="466" w:name="_Toc102985827"/>
      <w:bookmarkStart w:id="467" w:name="_Toc104981660"/>
      <w:bookmarkStart w:id="468" w:name="_Toc106288950"/>
      <w:r w:rsidRPr="00DE5C91">
        <w:t>Data and Safety Monitoring Committee (</w:t>
      </w:r>
      <w:r w:rsidR="00956157">
        <w:t>DSMB</w:t>
      </w:r>
      <w:r w:rsidRPr="00DE5C91">
        <w:t>)</w:t>
      </w:r>
      <w:bookmarkEnd w:id="460"/>
      <w:bookmarkEnd w:id="461"/>
      <w:bookmarkEnd w:id="462"/>
      <w:bookmarkEnd w:id="463"/>
      <w:bookmarkEnd w:id="464"/>
      <w:bookmarkEnd w:id="465"/>
      <w:bookmarkEnd w:id="466"/>
      <w:bookmarkEnd w:id="467"/>
      <w:bookmarkEnd w:id="468"/>
    </w:p>
    <w:p w14:paraId="5D849E30" w14:textId="27D38711" w:rsidR="00D37BDD" w:rsidRPr="00D37BDD" w:rsidRDefault="00D37BDD" w:rsidP="00B91D68">
      <w:pPr>
        <w:jc w:val="both"/>
      </w:pPr>
      <w:r w:rsidRPr="009B79D7">
        <w:t>A Data and Safety Monitoring Committee (</w:t>
      </w:r>
      <w:r w:rsidR="00956157">
        <w:t>DSMB</w:t>
      </w:r>
      <w:r w:rsidRPr="009B79D7">
        <w:t xml:space="preserve">) will be established and convened before the onset of the trial; an independent local safety monitor (LSM) will be appointed in Mali and form part of the </w:t>
      </w:r>
      <w:r w:rsidR="00956157">
        <w:t>DSMB</w:t>
      </w:r>
      <w:r w:rsidRPr="009B79D7">
        <w:t xml:space="preserve">. The </w:t>
      </w:r>
      <w:r w:rsidR="00956157">
        <w:t>DSMB</w:t>
      </w:r>
      <w:r w:rsidRPr="009B79D7">
        <w:t xml:space="preserve"> will convene meetings in person or by telephone </w:t>
      </w:r>
      <w:r w:rsidRPr="009B79D7">
        <w:lastRenderedPageBreak/>
        <w:t xml:space="preserve">conference prior to the study initiation, after the first </w:t>
      </w:r>
      <w:r w:rsidR="009F3E06">
        <w:t>50</w:t>
      </w:r>
      <w:r w:rsidRPr="009B79D7">
        <w:t xml:space="preserve"> subjects have been enrolled and upon completion of the study. In addition to these three scheduled meetings, </w:t>
      </w:r>
      <w:r w:rsidRPr="009B79D7">
        <w:rPr>
          <w:i/>
        </w:rPr>
        <w:t>ad hoc</w:t>
      </w:r>
      <w:r w:rsidRPr="009B79D7">
        <w:t xml:space="preserve"> meetings may be organised based on monthly progress reports that are provided to the </w:t>
      </w:r>
      <w:r w:rsidR="00956157">
        <w:t>DSMB</w:t>
      </w:r>
      <w:r w:rsidRPr="009B79D7">
        <w:t xml:space="preserve">. These monthly reports include an update on the number of participants who were enrolled, who completed the study and who discontinued the study (with reason provided). In addition, key safety data are provided: AEs and up to day 14 haemoglobin concentrations. Any SAEs or Suspected Unexpected Serious Adverse Reactions (SUSARs) are first reported and discussed among the research team and LSM and subsequently reported within 48 hours to the complete </w:t>
      </w:r>
      <w:r w:rsidR="00956157">
        <w:t>DSMB</w:t>
      </w:r>
      <w:r w:rsidRPr="009B79D7">
        <w:t xml:space="preserve">. </w:t>
      </w:r>
      <w:bookmarkStart w:id="469" w:name="_Hlk73088281"/>
      <w:r w:rsidRPr="009B79D7">
        <w:t xml:space="preserve">If an SAE or SUSAR is deemed possibly, </w:t>
      </w:r>
      <w:r w:rsidR="00DE6A07" w:rsidRPr="009B79D7">
        <w:t>probably,</w:t>
      </w:r>
      <w:r w:rsidRPr="009B79D7">
        <w:t xml:space="preserve"> or </w:t>
      </w:r>
      <w:proofErr w:type="gramStart"/>
      <w:r w:rsidRPr="009B79D7">
        <w:t>definitely related</w:t>
      </w:r>
      <w:proofErr w:type="gramEnd"/>
      <w:r w:rsidRPr="009B79D7">
        <w:t xml:space="preserve"> to the study medication by the </w:t>
      </w:r>
      <w:r w:rsidR="00956157">
        <w:t>DSMB</w:t>
      </w:r>
      <w:r w:rsidRPr="009B79D7">
        <w:t xml:space="preserve">, the trial will be stopped until the </w:t>
      </w:r>
      <w:r w:rsidR="00956157">
        <w:t>DSMB</w:t>
      </w:r>
      <w:r w:rsidRPr="009B79D7">
        <w:t xml:space="preserve"> has decided how to proceed or to stop the study.</w:t>
      </w:r>
      <w:bookmarkEnd w:id="469"/>
    </w:p>
    <w:p w14:paraId="63B239D9" w14:textId="0DAE2365" w:rsidR="00404404" w:rsidRDefault="00404404">
      <w:pPr>
        <w:pStyle w:val="Heading2"/>
      </w:pPr>
      <w:bookmarkStart w:id="470" w:name="_Toc100306393"/>
      <w:bookmarkStart w:id="471" w:name="_Toc100324478"/>
      <w:bookmarkStart w:id="472" w:name="_Toc101204996"/>
      <w:bookmarkStart w:id="473" w:name="_Toc101205115"/>
      <w:bookmarkStart w:id="474" w:name="_Toc101205261"/>
      <w:bookmarkStart w:id="475" w:name="_Toc102984977"/>
      <w:bookmarkStart w:id="476" w:name="_Toc102985828"/>
      <w:bookmarkStart w:id="477" w:name="_Toc104981661"/>
      <w:bookmarkStart w:id="478" w:name="_Toc106288951"/>
      <w:r w:rsidRPr="00DE5C91">
        <w:t>Treatment failure criteria</w:t>
      </w:r>
      <w:bookmarkEnd w:id="470"/>
      <w:bookmarkEnd w:id="471"/>
      <w:bookmarkEnd w:id="472"/>
      <w:bookmarkEnd w:id="473"/>
      <w:bookmarkEnd w:id="474"/>
      <w:bookmarkEnd w:id="475"/>
      <w:bookmarkEnd w:id="476"/>
      <w:bookmarkEnd w:id="477"/>
      <w:bookmarkEnd w:id="478"/>
    </w:p>
    <w:p w14:paraId="1B7B43A1" w14:textId="14251BF8" w:rsidR="00D37BDD" w:rsidRDefault="00D37BDD" w:rsidP="00B91D68">
      <w:pPr>
        <w:jc w:val="both"/>
        <w:rPr>
          <w:rFonts w:eastAsiaTheme="majorEastAsia" w:cstheme="majorBidi"/>
          <w:color w:val="000000" w:themeColor="text1"/>
          <w:szCs w:val="32"/>
        </w:rPr>
      </w:pPr>
      <w:r w:rsidRPr="00EE4F8F">
        <w:rPr>
          <w:rFonts w:eastAsiaTheme="majorEastAsia" w:cstheme="majorBidi"/>
          <w:color w:val="000000" w:themeColor="text1"/>
          <w:szCs w:val="32"/>
        </w:rPr>
        <w:t xml:space="preserve">In case a patient develops symptomatic malaria (denoted as fever and the presence of asexual </w:t>
      </w:r>
      <w:r w:rsidR="004E67BE" w:rsidRPr="00EE4F8F">
        <w:rPr>
          <w:rFonts w:eastAsiaTheme="majorEastAsia" w:cstheme="majorBidi"/>
          <w:color w:val="000000" w:themeColor="text1"/>
          <w:szCs w:val="32"/>
        </w:rPr>
        <w:t>parasitaemia</w:t>
      </w:r>
      <w:r w:rsidRPr="00EE4F8F">
        <w:rPr>
          <w:rFonts w:eastAsiaTheme="majorEastAsia" w:cstheme="majorBidi"/>
          <w:color w:val="000000" w:themeColor="text1"/>
          <w:szCs w:val="32"/>
        </w:rPr>
        <w:t xml:space="preserve"> denoted by microscopy) at any time during follow</w:t>
      </w:r>
      <w:r w:rsidR="004E67BE">
        <w:rPr>
          <w:rFonts w:eastAsiaTheme="majorEastAsia" w:cstheme="majorBidi"/>
          <w:color w:val="000000" w:themeColor="text1"/>
          <w:szCs w:val="32"/>
        </w:rPr>
        <w:t>-</w:t>
      </w:r>
      <w:r w:rsidRPr="00EE4F8F">
        <w:rPr>
          <w:rFonts w:eastAsiaTheme="majorEastAsia" w:cstheme="majorBidi"/>
          <w:color w:val="000000" w:themeColor="text1"/>
          <w:szCs w:val="32"/>
        </w:rPr>
        <w:t xml:space="preserve">up, </w:t>
      </w:r>
      <w:r w:rsidR="004F1B29">
        <w:rPr>
          <w:rFonts w:eastAsiaTheme="majorEastAsia" w:cstheme="majorBidi"/>
          <w:color w:val="000000" w:themeColor="text1"/>
          <w:szCs w:val="32"/>
        </w:rPr>
        <w:t>they</w:t>
      </w:r>
      <w:r w:rsidRPr="00EE4F8F">
        <w:rPr>
          <w:rFonts w:eastAsiaTheme="majorEastAsia" w:cstheme="majorBidi"/>
          <w:color w:val="000000" w:themeColor="text1"/>
          <w:szCs w:val="32"/>
        </w:rPr>
        <w:t xml:space="preserve"> will be treated with a full course of </w:t>
      </w:r>
      <w:proofErr w:type="spellStart"/>
      <w:r w:rsidR="004F1B29" w:rsidRPr="00226429">
        <w:rPr>
          <w:rFonts w:cstheme="minorHAnsi"/>
        </w:rPr>
        <w:t>D</w:t>
      </w:r>
      <w:r w:rsidR="004F1B29">
        <w:rPr>
          <w:rFonts w:cstheme="minorHAnsi"/>
        </w:rPr>
        <w:t>ihydroartemisinin</w:t>
      </w:r>
      <w:proofErr w:type="spellEnd"/>
      <w:r w:rsidR="004F1B29">
        <w:rPr>
          <w:rFonts w:cstheme="minorHAnsi"/>
        </w:rPr>
        <w:t>-Piperaquine. DP</w:t>
      </w:r>
      <w:r w:rsidR="004F1B29" w:rsidRPr="00226429">
        <w:rPr>
          <w:rFonts w:cstheme="minorHAnsi"/>
        </w:rPr>
        <w:t xml:space="preserve"> treatment </w:t>
      </w:r>
      <w:r w:rsidR="004F1B29">
        <w:rPr>
          <w:rFonts w:cstheme="minorHAnsi"/>
        </w:rPr>
        <w:t>t</w:t>
      </w:r>
      <w:r w:rsidR="004F1B29" w:rsidRPr="00226429">
        <w:rPr>
          <w:rFonts w:cstheme="minorHAnsi"/>
        </w:rPr>
        <w:t xml:space="preserve">ablets contain 40 mg </w:t>
      </w:r>
      <w:proofErr w:type="spellStart"/>
      <w:r w:rsidR="004F1B29" w:rsidRPr="00226429">
        <w:rPr>
          <w:rFonts w:cstheme="minorHAnsi"/>
        </w:rPr>
        <w:t>dihydroartemisinin</w:t>
      </w:r>
      <w:proofErr w:type="spellEnd"/>
      <w:r w:rsidR="004F1B29" w:rsidRPr="00226429">
        <w:rPr>
          <w:rFonts w:cstheme="minorHAnsi"/>
        </w:rPr>
        <w:t>/320 mg piperaquine</w:t>
      </w:r>
      <w:r w:rsidR="004F1B29">
        <w:rPr>
          <w:rFonts w:cstheme="minorHAnsi"/>
        </w:rPr>
        <w:t xml:space="preserve"> </w:t>
      </w:r>
      <w:r w:rsidR="004F1B29" w:rsidRPr="00226429">
        <w:rPr>
          <w:rFonts w:cstheme="minorHAnsi"/>
        </w:rPr>
        <w:t>(</w:t>
      </w:r>
      <w:proofErr w:type="spellStart"/>
      <w:r w:rsidR="004F1B29" w:rsidRPr="00226429">
        <w:rPr>
          <w:rFonts w:cstheme="minorHAnsi"/>
        </w:rPr>
        <w:t>Eurartesim</w:t>
      </w:r>
      <w:proofErr w:type="spellEnd"/>
      <w:r w:rsidR="004F1B29" w:rsidRPr="00226429">
        <w:rPr>
          <w:rFonts w:cstheme="minorHAnsi"/>
        </w:rPr>
        <w:t>, Sigma Tau)</w:t>
      </w:r>
      <w:r w:rsidR="004F1B29">
        <w:rPr>
          <w:rFonts w:cstheme="minorHAnsi"/>
        </w:rPr>
        <w:t xml:space="preserve"> and </w:t>
      </w:r>
      <w:r w:rsidR="004F1B29" w:rsidRPr="00226429">
        <w:rPr>
          <w:rFonts w:cstheme="minorHAnsi"/>
        </w:rPr>
        <w:t xml:space="preserve">will be administered per manufacturer guidelines shown </w:t>
      </w:r>
      <w:r w:rsidR="004F1B29">
        <w:rPr>
          <w:rFonts w:cstheme="minorHAnsi"/>
        </w:rPr>
        <w:t xml:space="preserve">in </w:t>
      </w:r>
      <w:r w:rsidR="004F1B29" w:rsidRPr="0026456A">
        <w:rPr>
          <w:rFonts w:cstheme="minorHAnsi"/>
          <w:b/>
          <w:bCs/>
        </w:rPr>
        <w:t xml:space="preserve">Table </w:t>
      </w:r>
      <w:r w:rsidR="004F1B29">
        <w:rPr>
          <w:rFonts w:cstheme="minorHAnsi"/>
          <w:b/>
          <w:bCs/>
        </w:rPr>
        <w:t>5</w:t>
      </w:r>
      <w:r w:rsidR="004F1B29">
        <w:rPr>
          <w:rFonts w:cstheme="minorHAnsi"/>
        </w:rPr>
        <w:t>.</w:t>
      </w:r>
    </w:p>
    <w:p w14:paraId="5DFBDD04" w14:textId="030E55F2" w:rsidR="004F1B29" w:rsidRPr="00226429" w:rsidRDefault="004F1B29" w:rsidP="004F1B29">
      <w:pPr>
        <w:spacing w:afterLines="60" w:after="144"/>
        <w:jc w:val="both"/>
        <w:rPr>
          <w:rFonts w:cstheme="minorHAnsi"/>
        </w:rPr>
      </w:pPr>
      <w:r w:rsidRPr="0026456A">
        <w:rPr>
          <w:rFonts w:cstheme="minorHAnsi"/>
          <w:b/>
          <w:bCs/>
        </w:rPr>
        <w:t xml:space="preserve">Table </w:t>
      </w:r>
      <w:r>
        <w:rPr>
          <w:rFonts w:cstheme="minorHAnsi"/>
          <w:b/>
          <w:bCs/>
        </w:rPr>
        <w:t>9</w:t>
      </w:r>
      <w:r>
        <w:rPr>
          <w:rFonts w:cstheme="minorHAnsi"/>
        </w:rPr>
        <w:t>. DP dosing</w:t>
      </w:r>
    </w:p>
    <w:tbl>
      <w:tblPr>
        <w:tblStyle w:val="TableGridLight1"/>
        <w:tblW w:w="9918" w:type="dxa"/>
        <w:tblLook w:val="04A0" w:firstRow="1" w:lastRow="0" w:firstColumn="1" w:lastColumn="0" w:noHBand="0" w:noVBand="1"/>
      </w:tblPr>
      <w:tblGrid>
        <w:gridCol w:w="2076"/>
        <w:gridCol w:w="2020"/>
        <w:gridCol w:w="1353"/>
        <w:gridCol w:w="4469"/>
      </w:tblGrid>
      <w:tr w:rsidR="004F1B29" w:rsidRPr="00226429" w14:paraId="535BA7D4" w14:textId="77777777" w:rsidTr="00945345">
        <w:trPr>
          <w:trHeight w:hRule="exact" w:val="397"/>
        </w:trPr>
        <w:tc>
          <w:tcPr>
            <w:tcW w:w="2076" w:type="dxa"/>
          </w:tcPr>
          <w:p w14:paraId="225AD1CC" w14:textId="77777777" w:rsidR="004F1B29" w:rsidRPr="00226429" w:rsidRDefault="004F1B29" w:rsidP="00945345">
            <w:pPr>
              <w:spacing w:afterLines="60" w:after="144"/>
              <w:rPr>
                <w:rFonts w:cstheme="minorHAnsi"/>
                <w:b/>
                <w:lang w:val="en-GB"/>
              </w:rPr>
            </w:pPr>
            <w:r w:rsidRPr="00226429">
              <w:rPr>
                <w:rFonts w:cstheme="minorHAnsi"/>
                <w:b/>
                <w:lang w:val="en-GB"/>
              </w:rPr>
              <w:t>Body weight (kg)</w:t>
            </w:r>
          </w:p>
        </w:tc>
        <w:tc>
          <w:tcPr>
            <w:tcW w:w="3373" w:type="dxa"/>
            <w:gridSpan w:val="2"/>
          </w:tcPr>
          <w:p w14:paraId="112F55CE" w14:textId="77777777" w:rsidR="004F1B29" w:rsidRPr="00226429" w:rsidRDefault="004F1B29" w:rsidP="00945345">
            <w:pPr>
              <w:spacing w:afterLines="60" w:after="144"/>
              <w:rPr>
                <w:rFonts w:cstheme="minorHAnsi"/>
                <w:b/>
                <w:lang w:val="en-GB"/>
              </w:rPr>
            </w:pPr>
            <w:r w:rsidRPr="00226429">
              <w:rPr>
                <w:rFonts w:cstheme="minorHAnsi"/>
                <w:b/>
                <w:lang w:val="en-GB"/>
              </w:rPr>
              <w:t xml:space="preserve">Daily dose (mg) </w:t>
            </w:r>
          </w:p>
          <w:p w14:paraId="5FFB7961" w14:textId="77777777" w:rsidR="004F1B29" w:rsidRPr="00226429" w:rsidRDefault="004F1B29" w:rsidP="00945345">
            <w:pPr>
              <w:spacing w:afterLines="60" w:after="144"/>
              <w:rPr>
                <w:rFonts w:cstheme="minorHAnsi"/>
                <w:b/>
                <w:lang w:val="en-GB"/>
              </w:rPr>
            </w:pPr>
            <w:r w:rsidRPr="00226429">
              <w:rPr>
                <w:rFonts w:cstheme="minorHAnsi"/>
                <w:b/>
                <w:lang w:val="en-GB"/>
              </w:rPr>
              <w:t>(to be given 1x/day for 3 days)</w:t>
            </w:r>
          </w:p>
        </w:tc>
        <w:tc>
          <w:tcPr>
            <w:tcW w:w="4469" w:type="dxa"/>
          </w:tcPr>
          <w:p w14:paraId="4D6C6B42" w14:textId="77777777" w:rsidR="004F1B29" w:rsidRPr="00226429" w:rsidRDefault="004F1B29" w:rsidP="00945345">
            <w:pPr>
              <w:spacing w:afterLines="60" w:after="144"/>
              <w:rPr>
                <w:rFonts w:cstheme="minorHAnsi"/>
                <w:b/>
                <w:lang w:val="en-GB"/>
              </w:rPr>
            </w:pPr>
            <w:r w:rsidRPr="00226429">
              <w:rPr>
                <w:rFonts w:cstheme="minorHAnsi"/>
                <w:b/>
                <w:lang w:val="en-GB"/>
              </w:rPr>
              <w:t>Tablet strength and number o</w:t>
            </w:r>
            <w:r>
              <w:rPr>
                <w:rFonts w:cstheme="minorHAnsi"/>
                <w:b/>
                <w:lang w:val="en-GB"/>
              </w:rPr>
              <w:t>f</w:t>
            </w:r>
            <w:r w:rsidRPr="00226429">
              <w:rPr>
                <w:rFonts w:cstheme="minorHAnsi"/>
                <w:b/>
                <w:lang w:val="en-GB"/>
              </w:rPr>
              <w:t xml:space="preserve"> tablets per dose</w:t>
            </w:r>
          </w:p>
        </w:tc>
      </w:tr>
      <w:tr w:rsidR="004F1B29" w:rsidRPr="00226429" w14:paraId="0A1C09E5" w14:textId="77777777" w:rsidTr="00945345">
        <w:trPr>
          <w:trHeight w:hRule="exact" w:val="397"/>
        </w:trPr>
        <w:tc>
          <w:tcPr>
            <w:tcW w:w="2076" w:type="dxa"/>
          </w:tcPr>
          <w:p w14:paraId="7E425C95" w14:textId="77777777" w:rsidR="004F1B29" w:rsidRPr="00226429" w:rsidRDefault="004F1B29" w:rsidP="00945345">
            <w:pPr>
              <w:spacing w:afterLines="60" w:after="144"/>
              <w:rPr>
                <w:rFonts w:cstheme="minorHAnsi"/>
                <w:lang w:val="en-GB"/>
              </w:rPr>
            </w:pPr>
          </w:p>
        </w:tc>
        <w:tc>
          <w:tcPr>
            <w:tcW w:w="2020" w:type="dxa"/>
          </w:tcPr>
          <w:p w14:paraId="52E6C7E6" w14:textId="77777777" w:rsidR="004F1B29" w:rsidRPr="00226429" w:rsidRDefault="004F1B29" w:rsidP="00945345">
            <w:pPr>
              <w:spacing w:afterLines="60" w:after="144"/>
              <w:rPr>
                <w:rFonts w:cstheme="minorHAnsi"/>
                <w:lang w:val="en-GB"/>
              </w:rPr>
            </w:pPr>
            <w:r w:rsidRPr="00226429">
              <w:rPr>
                <w:rFonts w:cstheme="minorHAnsi"/>
                <w:lang w:val="en-GB"/>
              </w:rPr>
              <w:t>Piperaquine</w:t>
            </w:r>
          </w:p>
        </w:tc>
        <w:tc>
          <w:tcPr>
            <w:tcW w:w="1353" w:type="dxa"/>
          </w:tcPr>
          <w:p w14:paraId="7A8FA17C" w14:textId="77777777" w:rsidR="004F1B29" w:rsidRPr="00226429" w:rsidRDefault="004F1B29" w:rsidP="00945345">
            <w:pPr>
              <w:spacing w:afterLines="60" w:after="144"/>
              <w:rPr>
                <w:rFonts w:cstheme="minorHAnsi"/>
                <w:lang w:val="en-GB"/>
              </w:rPr>
            </w:pPr>
            <w:r w:rsidRPr="00226429">
              <w:rPr>
                <w:rFonts w:cstheme="minorHAnsi"/>
                <w:lang w:val="en-GB"/>
              </w:rPr>
              <w:t>DHA</w:t>
            </w:r>
          </w:p>
        </w:tc>
        <w:tc>
          <w:tcPr>
            <w:tcW w:w="4469" w:type="dxa"/>
          </w:tcPr>
          <w:p w14:paraId="73331791" w14:textId="77777777" w:rsidR="004F1B29" w:rsidRPr="00226429" w:rsidRDefault="004F1B29" w:rsidP="00945345">
            <w:pPr>
              <w:spacing w:afterLines="60" w:after="144"/>
              <w:rPr>
                <w:rFonts w:cstheme="minorHAnsi"/>
                <w:lang w:val="en-GB"/>
              </w:rPr>
            </w:pPr>
          </w:p>
        </w:tc>
      </w:tr>
      <w:tr w:rsidR="004F1B29" w:rsidRPr="00226429" w14:paraId="7C9F4C92" w14:textId="77777777" w:rsidTr="00945345">
        <w:trPr>
          <w:trHeight w:hRule="exact" w:val="397"/>
        </w:trPr>
        <w:tc>
          <w:tcPr>
            <w:tcW w:w="2076" w:type="dxa"/>
          </w:tcPr>
          <w:p w14:paraId="70B43F2D" w14:textId="77777777" w:rsidR="004F1B29" w:rsidRPr="00226429" w:rsidRDefault="004F1B29" w:rsidP="00945345">
            <w:pPr>
              <w:spacing w:afterLines="60" w:after="144"/>
              <w:rPr>
                <w:rFonts w:cstheme="minorHAnsi"/>
                <w:lang w:val="en-GB"/>
              </w:rPr>
            </w:pPr>
            <w:r w:rsidRPr="00226429">
              <w:rPr>
                <w:rFonts w:cstheme="minorHAnsi"/>
                <w:lang w:val="en-GB"/>
              </w:rPr>
              <w:t>5 to &lt;7</w:t>
            </w:r>
          </w:p>
        </w:tc>
        <w:tc>
          <w:tcPr>
            <w:tcW w:w="2020" w:type="dxa"/>
          </w:tcPr>
          <w:p w14:paraId="4DE888E6" w14:textId="77777777" w:rsidR="004F1B29" w:rsidRPr="00226429" w:rsidRDefault="004F1B29" w:rsidP="00945345">
            <w:pPr>
              <w:spacing w:afterLines="60" w:after="144"/>
              <w:rPr>
                <w:rFonts w:cstheme="minorHAnsi"/>
                <w:lang w:val="en-GB"/>
              </w:rPr>
            </w:pPr>
            <w:r w:rsidRPr="00226429">
              <w:rPr>
                <w:rFonts w:cstheme="minorHAnsi"/>
                <w:lang w:val="en-GB"/>
              </w:rPr>
              <w:t>80</w:t>
            </w:r>
          </w:p>
        </w:tc>
        <w:tc>
          <w:tcPr>
            <w:tcW w:w="1353" w:type="dxa"/>
          </w:tcPr>
          <w:p w14:paraId="6CD8BA97" w14:textId="77777777" w:rsidR="004F1B29" w:rsidRPr="00226429" w:rsidRDefault="004F1B29" w:rsidP="00945345">
            <w:pPr>
              <w:spacing w:afterLines="60" w:after="144"/>
              <w:rPr>
                <w:rFonts w:cstheme="minorHAnsi"/>
                <w:lang w:val="en-GB"/>
              </w:rPr>
            </w:pPr>
            <w:r w:rsidRPr="00226429">
              <w:rPr>
                <w:rFonts w:cstheme="minorHAnsi"/>
                <w:lang w:val="en-GB"/>
              </w:rPr>
              <w:t>10</w:t>
            </w:r>
          </w:p>
        </w:tc>
        <w:tc>
          <w:tcPr>
            <w:tcW w:w="4469" w:type="dxa"/>
          </w:tcPr>
          <w:p w14:paraId="517B274B" w14:textId="77777777" w:rsidR="004F1B29" w:rsidRPr="00226429" w:rsidRDefault="004F1B29" w:rsidP="00945345">
            <w:pPr>
              <w:spacing w:afterLines="60" w:after="144"/>
              <w:rPr>
                <w:rFonts w:cstheme="minorHAnsi"/>
                <w:lang w:val="en-GB"/>
              </w:rPr>
            </w:pPr>
            <w:r w:rsidRPr="00226429">
              <w:rPr>
                <w:rFonts w:cstheme="minorHAnsi"/>
                <w:lang w:val="en-GB"/>
              </w:rPr>
              <w:t>½ x 160mg</w:t>
            </w:r>
            <w:r>
              <w:rPr>
                <w:rFonts w:cstheme="minorHAnsi"/>
                <w:lang w:val="en-GB"/>
              </w:rPr>
              <w:t xml:space="preserve"> / 20mg</w:t>
            </w:r>
            <w:r w:rsidRPr="00226429">
              <w:rPr>
                <w:rFonts w:cstheme="minorHAnsi"/>
                <w:lang w:val="en-GB"/>
              </w:rPr>
              <w:t xml:space="preserve"> </w:t>
            </w:r>
            <w:r>
              <w:rPr>
                <w:rFonts w:cstheme="minorHAnsi"/>
                <w:lang w:val="en-GB"/>
              </w:rPr>
              <w:t>tablet</w:t>
            </w:r>
          </w:p>
        </w:tc>
      </w:tr>
      <w:tr w:rsidR="004F1B29" w:rsidRPr="00226429" w14:paraId="50CD82C1" w14:textId="77777777" w:rsidTr="00945345">
        <w:trPr>
          <w:trHeight w:hRule="exact" w:val="397"/>
        </w:trPr>
        <w:tc>
          <w:tcPr>
            <w:tcW w:w="2076" w:type="dxa"/>
          </w:tcPr>
          <w:p w14:paraId="06498590" w14:textId="77777777" w:rsidR="004F1B29" w:rsidRPr="00226429" w:rsidRDefault="004F1B29" w:rsidP="00945345">
            <w:pPr>
              <w:spacing w:afterLines="60" w:after="144"/>
              <w:rPr>
                <w:rFonts w:cstheme="minorHAnsi"/>
                <w:lang w:val="en-GB"/>
              </w:rPr>
            </w:pPr>
            <w:r w:rsidRPr="00226429">
              <w:rPr>
                <w:rFonts w:cstheme="minorHAnsi"/>
                <w:lang w:val="en-GB"/>
              </w:rPr>
              <w:t>7 to &lt;13</w:t>
            </w:r>
          </w:p>
        </w:tc>
        <w:tc>
          <w:tcPr>
            <w:tcW w:w="2020" w:type="dxa"/>
          </w:tcPr>
          <w:p w14:paraId="4D9596FD" w14:textId="77777777" w:rsidR="004F1B29" w:rsidRPr="00226429" w:rsidRDefault="004F1B29" w:rsidP="00945345">
            <w:pPr>
              <w:spacing w:afterLines="60" w:after="144"/>
              <w:rPr>
                <w:rFonts w:cstheme="minorHAnsi"/>
                <w:lang w:val="en-GB"/>
              </w:rPr>
            </w:pPr>
            <w:r w:rsidRPr="00226429">
              <w:rPr>
                <w:rFonts w:cstheme="minorHAnsi"/>
                <w:lang w:val="en-GB"/>
              </w:rPr>
              <w:t>160</w:t>
            </w:r>
          </w:p>
        </w:tc>
        <w:tc>
          <w:tcPr>
            <w:tcW w:w="1353" w:type="dxa"/>
          </w:tcPr>
          <w:p w14:paraId="7ECE5228" w14:textId="77777777" w:rsidR="004F1B29" w:rsidRPr="00226429" w:rsidRDefault="004F1B29" w:rsidP="00945345">
            <w:pPr>
              <w:spacing w:afterLines="60" w:after="144"/>
              <w:rPr>
                <w:rFonts w:cstheme="minorHAnsi"/>
                <w:lang w:val="en-GB"/>
              </w:rPr>
            </w:pPr>
            <w:r w:rsidRPr="00226429">
              <w:rPr>
                <w:rFonts w:cstheme="minorHAnsi"/>
                <w:lang w:val="en-GB"/>
              </w:rPr>
              <w:t>20</w:t>
            </w:r>
          </w:p>
        </w:tc>
        <w:tc>
          <w:tcPr>
            <w:tcW w:w="4469" w:type="dxa"/>
          </w:tcPr>
          <w:p w14:paraId="4C32B819" w14:textId="77777777" w:rsidR="004F1B29" w:rsidRPr="00226429" w:rsidRDefault="004F1B29" w:rsidP="00945345">
            <w:pPr>
              <w:spacing w:afterLines="60" w:after="144"/>
              <w:rPr>
                <w:rFonts w:cstheme="minorHAnsi"/>
                <w:lang w:val="en-GB"/>
              </w:rPr>
            </w:pPr>
            <w:r w:rsidRPr="00226429">
              <w:rPr>
                <w:rFonts w:cstheme="minorHAnsi"/>
                <w:lang w:val="en-GB"/>
              </w:rPr>
              <w:t>1 x 160mg / 20mg tablet</w:t>
            </w:r>
          </w:p>
        </w:tc>
      </w:tr>
      <w:tr w:rsidR="004F1B29" w:rsidRPr="00226429" w14:paraId="743B6D1C" w14:textId="77777777" w:rsidTr="00945345">
        <w:trPr>
          <w:trHeight w:hRule="exact" w:val="397"/>
        </w:trPr>
        <w:tc>
          <w:tcPr>
            <w:tcW w:w="2076" w:type="dxa"/>
          </w:tcPr>
          <w:p w14:paraId="771E00A0" w14:textId="77777777" w:rsidR="004F1B29" w:rsidRPr="00226429" w:rsidRDefault="004F1B29" w:rsidP="00945345">
            <w:pPr>
              <w:spacing w:afterLines="60" w:after="144"/>
              <w:rPr>
                <w:rFonts w:cstheme="minorHAnsi"/>
                <w:lang w:val="en-GB"/>
              </w:rPr>
            </w:pPr>
            <w:r w:rsidRPr="00226429">
              <w:rPr>
                <w:rFonts w:cstheme="minorHAnsi"/>
                <w:lang w:val="en-GB"/>
              </w:rPr>
              <w:t>13 to &lt;24</w:t>
            </w:r>
          </w:p>
        </w:tc>
        <w:tc>
          <w:tcPr>
            <w:tcW w:w="2020" w:type="dxa"/>
          </w:tcPr>
          <w:p w14:paraId="550AE426" w14:textId="77777777" w:rsidR="004F1B29" w:rsidRPr="00226429" w:rsidRDefault="004F1B29" w:rsidP="00945345">
            <w:pPr>
              <w:spacing w:afterLines="60" w:after="144"/>
              <w:rPr>
                <w:rFonts w:cstheme="minorHAnsi"/>
                <w:lang w:val="en-GB"/>
              </w:rPr>
            </w:pPr>
            <w:r w:rsidRPr="00226429">
              <w:rPr>
                <w:rFonts w:cstheme="minorHAnsi"/>
                <w:lang w:val="en-GB"/>
              </w:rPr>
              <w:t>320</w:t>
            </w:r>
          </w:p>
        </w:tc>
        <w:tc>
          <w:tcPr>
            <w:tcW w:w="1353" w:type="dxa"/>
          </w:tcPr>
          <w:p w14:paraId="1DDF608C" w14:textId="77777777" w:rsidR="004F1B29" w:rsidRPr="00226429" w:rsidRDefault="004F1B29" w:rsidP="00945345">
            <w:pPr>
              <w:spacing w:afterLines="60" w:after="144"/>
              <w:rPr>
                <w:rFonts w:cstheme="minorHAnsi"/>
                <w:lang w:val="en-GB"/>
              </w:rPr>
            </w:pPr>
            <w:r w:rsidRPr="00226429">
              <w:rPr>
                <w:rFonts w:cstheme="minorHAnsi"/>
                <w:lang w:val="en-GB"/>
              </w:rPr>
              <w:t>40</w:t>
            </w:r>
          </w:p>
        </w:tc>
        <w:tc>
          <w:tcPr>
            <w:tcW w:w="4469" w:type="dxa"/>
          </w:tcPr>
          <w:p w14:paraId="1D878D10" w14:textId="77777777" w:rsidR="004F1B29" w:rsidRPr="00226429" w:rsidRDefault="004F1B29" w:rsidP="00945345">
            <w:pPr>
              <w:spacing w:afterLines="60" w:after="144"/>
              <w:rPr>
                <w:rFonts w:cstheme="minorHAnsi"/>
                <w:lang w:val="en-GB"/>
              </w:rPr>
            </w:pPr>
            <w:r w:rsidRPr="00226429">
              <w:rPr>
                <w:rFonts w:cstheme="minorHAnsi"/>
                <w:lang w:val="en-GB"/>
              </w:rPr>
              <w:t>1 x 320mg / 40mg tablet</w:t>
            </w:r>
          </w:p>
        </w:tc>
      </w:tr>
      <w:tr w:rsidR="004F1B29" w:rsidRPr="00226429" w14:paraId="0008CBC4" w14:textId="77777777" w:rsidTr="00945345">
        <w:trPr>
          <w:trHeight w:hRule="exact" w:val="397"/>
        </w:trPr>
        <w:tc>
          <w:tcPr>
            <w:tcW w:w="2076" w:type="dxa"/>
          </w:tcPr>
          <w:p w14:paraId="26D5C442" w14:textId="77777777" w:rsidR="004F1B29" w:rsidRPr="00226429" w:rsidRDefault="004F1B29" w:rsidP="00945345">
            <w:pPr>
              <w:spacing w:afterLines="60" w:after="144"/>
              <w:rPr>
                <w:rFonts w:cstheme="minorHAnsi"/>
                <w:lang w:val="en-GB"/>
              </w:rPr>
            </w:pPr>
            <w:r w:rsidRPr="00226429">
              <w:rPr>
                <w:rFonts w:cstheme="minorHAnsi"/>
                <w:lang w:val="en-GB"/>
              </w:rPr>
              <w:t>24 to &lt;36</w:t>
            </w:r>
          </w:p>
        </w:tc>
        <w:tc>
          <w:tcPr>
            <w:tcW w:w="2020" w:type="dxa"/>
          </w:tcPr>
          <w:p w14:paraId="71D6DFD5" w14:textId="77777777" w:rsidR="004F1B29" w:rsidRPr="00226429" w:rsidRDefault="004F1B29" w:rsidP="00945345">
            <w:pPr>
              <w:spacing w:afterLines="60" w:after="144"/>
              <w:rPr>
                <w:rFonts w:cstheme="minorHAnsi"/>
                <w:lang w:val="en-GB"/>
              </w:rPr>
            </w:pPr>
            <w:r w:rsidRPr="00226429">
              <w:rPr>
                <w:rFonts w:cstheme="minorHAnsi"/>
                <w:lang w:val="en-GB"/>
              </w:rPr>
              <w:t>640</w:t>
            </w:r>
          </w:p>
        </w:tc>
        <w:tc>
          <w:tcPr>
            <w:tcW w:w="1353" w:type="dxa"/>
          </w:tcPr>
          <w:p w14:paraId="5B55CFA2" w14:textId="77777777" w:rsidR="004F1B29" w:rsidRPr="00226429" w:rsidRDefault="004F1B29" w:rsidP="00945345">
            <w:pPr>
              <w:spacing w:afterLines="60" w:after="144"/>
              <w:rPr>
                <w:rFonts w:cstheme="minorHAnsi"/>
                <w:lang w:val="en-GB"/>
              </w:rPr>
            </w:pPr>
            <w:r w:rsidRPr="00226429">
              <w:rPr>
                <w:rFonts w:cstheme="minorHAnsi"/>
                <w:lang w:val="en-GB"/>
              </w:rPr>
              <w:t>80</w:t>
            </w:r>
          </w:p>
        </w:tc>
        <w:tc>
          <w:tcPr>
            <w:tcW w:w="4469" w:type="dxa"/>
          </w:tcPr>
          <w:p w14:paraId="060B715E" w14:textId="77777777" w:rsidR="004F1B29" w:rsidRPr="00226429" w:rsidRDefault="004F1B29" w:rsidP="00945345">
            <w:pPr>
              <w:spacing w:afterLines="60" w:after="144"/>
              <w:rPr>
                <w:rFonts w:cstheme="minorHAnsi"/>
                <w:lang w:val="en-GB"/>
              </w:rPr>
            </w:pPr>
            <w:r w:rsidRPr="00226429">
              <w:rPr>
                <w:rFonts w:cstheme="minorHAnsi"/>
                <w:lang w:val="en-GB"/>
              </w:rPr>
              <w:t>2 x 320mg / 40mg tablet</w:t>
            </w:r>
          </w:p>
        </w:tc>
      </w:tr>
      <w:tr w:rsidR="004F1B29" w:rsidRPr="00226429" w14:paraId="24985D94" w14:textId="77777777" w:rsidTr="00945345">
        <w:trPr>
          <w:trHeight w:hRule="exact" w:val="397"/>
        </w:trPr>
        <w:tc>
          <w:tcPr>
            <w:tcW w:w="2076" w:type="dxa"/>
          </w:tcPr>
          <w:p w14:paraId="6C7DBC8C" w14:textId="77777777" w:rsidR="004F1B29" w:rsidRPr="00226429" w:rsidRDefault="004F1B29" w:rsidP="00945345">
            <w:pPr>
              <w:spacing w:afterLines="60" w:after="144"/>
              <w:rPr>
                <w:rFonts w:cstheme="minorHAnsi"/>
                <w:lang w:val="en-GB"/>
              </w:rPr>
            </w:pPr>
            <w:r w:rsidRPr="00226429">
              <w:rPr>
                <w:rFonts w:cstheme="minorHAnsi"/>
                <w:lang w:val="en-GB"/>
              </w:rPr>
              <w:t>36 to &lt;75</w:t>
            </w:r>
          </w:p>
        </w:tc>
        <w:tc>
          <w:tcPr>
            <w:tcW w:w="2020" w:type="dxa"/>
          </w:tcPr>
          <w:p w14:paraId="2EB7365B" w14:textId="77777777" w:rsidR="004F1B29" w:rsidRPr="00226429" w:rsidRDefault="004F1B29" w:rsidP="00945345">
            <w:pPr>
              <w:spacing w:afterLines="60" w:after="144"/>
              <w:rPr>
                <w:rFonts w:cstheme="minorHAnsi"/>
                <w:lang w:val="en-GB"/>
              </w:rPr>
            </w:pPr>
            <w:r w:rsidRPr="00226429">
              <w:rPr>
                <w:rFonts w:cstheme="minorHAnsi"/>
                <w:lang w:val="en-GB"/>
              </w:rPr>
              <w:t>960</w:t>
            </w:r>
          </w:p>
        </w:tc>
        <w:tc>
          <w:tcPr>
            <w:tcW w:w="1353" w:type="dxa"/>
          </w:tcPr>
          <w:p w14:paraId="45AD0D1C" w14:textId="77777777" w:rsidR="004F1B29" w:rsidRPr="00226429" w:rsidRDefault="004F1B29" w:rsidP="00945345">
            <w:pPr>
              <w:spacing w:afterLines="60" w:after="144"/>
              <w:rPr>
                <w:rFonts w:cstheme="minorHAnsi"/>
                <w:lang w:val="en-GB"/>
              </w:rPr>
            </w:pPr>
            <w:r w:rsidRPr="00226429">
              <w:rPr>
                <w:rFonts w:cstheme="minorHAnsi"/>
                <w:lang w:val="en-GB"/>
              </w:rPr>
              <w:t>120</w:t>
            </w:r>
          </w:p>
        </w:tc>
        <w:tc>
          <w:tcPr>
            <w:tcW w:w="4469" w:type="dxa"/>
          </w:tcPr>
          <w:p w14:paraId="1ADCD306" w14:textId="77777777" w:rsidR="004F1B29" w:rsidRPr="00226429" w:rsidRDefault="004F1B29" w:rsidP="00945345">
            <w:pPr>
              <w:spacing w:afterLines="60" w:after="144"/>
              <w:rPr>
                <w:rFonts w:cstheme="minorHAnsi"/>
                <w:lang w:val="en-GB"/>
              </w:rPr>
            </w:pPr>
            <w:r w:rsidRPr="00226429">
              <w:rPr>
                <w:rFonts w:cstheme="minorHAnsi"/>
                <w:lang w:val="en-GB"/>
              </w:rPr>
              <w:t>3 x 320mg / 40mg tablet</w:t>
            </w:r>
          </w:p>
        </w:tc>
      </w:tr>
      <w:tr w:rsidR="004F1B29" w:rsidRPr="00226429" w14:paraId="522C126C" w14:textId="77777777" w:rsidTr="00945345">
        <w:trPr>
          <w:trHeight w:hRule="exact" w:val="397"/>
        </w:trPr>
        <w:tc>
          <w:tcPr>
            <w:tcW w:w="2076" w:type="dxa"/>
          </w:tcPr>
          <w:p w14:paraId="044ACCCA" w14:textId="77777777" w:rsidR="004F1B29" w:rsidRPr="00226429" w:rsidRDefault="004F1B29" w:rsidP="00945345">
            <w:pPr>
              <w:spacing w:afterLines="60" w:after="144"/>
              <w:rPr>
                <w:rFonts w:cstheme="minorHAnsi"/>
                <w:lang w:val="en-GB"/>
              </w:rPr>
            </w:pPr>
            <w:r w:rsidRPr="00226429">
              <w:rPr>
                <w:rFonts w:cstheme="minorHAnsi"/>
                <w:lang w:val="en-GB"/>
              </w:rPr>
              <w:t>75 to 80</w:t>
            </w:r>
          </w:p>
        </w:tc>
        <w:tc>
          <w:tcPr>
            <w:tcW w:w="2020" w:type="dxa"/>
          </w:tcPr>
          <w:p w14:paraId="449F0293" w14:textId="77777777" w:rsidR="004F1B29" w:rsidRPr="00226429" w:rsidRDefault="004F1B29" w:rsidP="00945345">
            <w:pPr>
              <w:spacing w:afterLines="60" w:after="144"/>
              <w:rPr>
                <w:rFonts w:cstheme="minorHAnsi"/>
                <w:lang w:val="en-GB"/>
              </w:rPr>
            </w:pPr>
            <w:r w:rsidRPr="00226429">
              <w:rPr>
                <w:rFonts w:cstheme="minorHAnsi"/>
                <w:lang w:val="en-GB"/>
              </w:rPr>
              <w:t>1,280</w:t>
            </w:r>
          </w:p>
        </w:tc>
        <w:tc>
          <w:tcPr>
            <w:tcW w:w="1353" w:type="dxa"/>
          </w:tcPr>
          <w:p w14:paraId="2332AD27" w14:textId="77777777" w:rsidR="004F1B29" w:rsidRPr="00226429" w:rsidRDefault="004F1B29" w:rsidP="00945345">
            <w:pPr>
              <w:spacing w:afterLines="60" w:after="144"/>
              <w:rPr>
                <w:rFonts w:cstheme="minorHAnsi"/>
                <w:lang w:val="en-GB"/>
              </w:rPr>
            </w:pPr>
            <w:r w:rsidRPr="00226429">
              <w:rPr>
                <w:rFonts w:cstheme="minorHAnsi"/>
                <w:lang w:val="en-GB"/>
              </w:rPr>
              <w:t>160</w:t>
            </w:r>
          </w:p>
        </w:tc>
        <w:tc>
          <w:tcPr>
            <w:tcW w:w="4469" w:type="dxa"/>
          </w:tcPr>
          <w:p w14:paraId="6A296C49" w14:textId="77777777" w:rsidR="004F1B29" w:rsidRPr="00226429" w:rsidRDefault="004F1B29" w:rsidP="00945345">
            <w:pPr>
              <w:spacing w:afterLines="60" w:after="144"/>
              <w:rPr>
                <w:rFonts w:cstheme="minorHAnsi"/>
                <w:lang w:val="en-GB"/>
              </w:rPr>
            </w:pPr>
            <w:r w:rsidRPr="00226429">
              <w:rPr>
                <w:rFonts w:cstheme="minorHAnsi"/>
                <w:lang w:val="en-GB"/>
              </w:rPr>
              <w:t>4 x 320mg / 40mg tablet</w:t>
            </w:r>
          </w:p>
        </w:tc>
      </w:tr>
      <w:tr w:rsidR="004F1B29" w:rsidRPr="00226429" w14:paraId="76D3AC30" w14:textId="77777777" w:rsidTr="00945345">
        <w:trPr>
          <w:trHeight w:hRule="exact" w:val="397"/>
        </w:trPr>
        <w:tc>
          <w:tcPr>
            <w:tcW w:w="2076" w:type="dxa"/>
          </w:tcPr>
          <w:p w14:paraId="7FCB9445" w14:textId="77777777" w:rsidR="004F1B29" w:rsidRPr="00226429" w:rsidRDefault="004F1B29" w:rsidP="00945345">
            <w:pPr>
              <w:spacing w:afterLines="60" w:after="144"/>
              <w:rPr>
                <w:rFonts w:cstheme="minorHAnsi"/>
                <w:lang w:val="en-GB"/>
              </w:rPr>
            </w:pPr>
            <w:r w:rsidRPr="00226429">
              <w:rPr>
                <w:rFonts w:cstheme="minorHAnsi"/>
                <w:lang w:val="en-GB"/>
              </w:rPr>
              <w:t>&gt;80</w:t>
            </w:r>
          </w:p>
        </w:tc>
        <w:tc>
          <w:tcPr>
            <w:tcW w:w="7842" w:type="dxa"/>
            <w:gridSpan w:val="3"/>
          </w:tcPr>
          <w:p w14:paraId="40040F81" w14:textId="77777777" w:rsidR="004F1B29" w:rsidRPr="00226429" w:rsidRDefault="004F1B29" w:rsidP="00945345">
            <w:pPr>
              <w:spacing w:afterLines="60" w:after="144"/>
              <w:rPr>
                <w:rFonts w:cstheme="minorHAnsi"/>
                <w:lang w:val="en-GB"/>
              </w:rPr>
            </w:pPr>
            <w:r w:rsidRPr="00226429">
              <w:rPr>
                <w:rFonts w:cstheme="minorHAnsi"/>
                <w:lang w:val="en-GB"/>
              </w:rPr>
              <w:t>Not eligible</w:t>
            </w:r>
          </w:p>
        </w:tc>
      </w:tr>
    </w:tbl>
    <w:p w14:paraId="2B9D1967" w14:textId="77777777" w:rsidR="00F3745D" w:rsidRPr="00B91D68" w:rsidRDefault="00F3745D" w:rsidP="00B91D68">
      <w:pPr>
        <w:jc w:val="both"/>
        <w:rPr>
          <w:rFonts w:eastAsiaTheme="majorEastAsia" w:cstheme="majorBidi"/>
          <w:color w:val="000000" w:themeColor="text1"/>
          <w:szCs w:val="32"/>
        </w:rPr>
      </w:pPr>
    </w:p>
    <w:p w14:paraId="68AD4BBC" w14:textId="262C6E1C" w:rsidR="00404404" w:rsidRPr="00F042EA" w:rsidRDefault="00DE5C91">
      <w:pPr>
        <w:pStyle w:val="Heading1"/>
      </w:pPr>
      <w:bookmarkStart w:id="479" w:name="_Toc100306394"/>
      <w:bookmarkStart w:id="480" w:name="_Toc100324479"/>
      <w:bookmarkStart w:id="481" w:name="_Toc101204997"/>
      <w:bookmarkStart w:id="482" w:name="_Toc101205116"/>
      <w:bookmarkStart w:id="483" w:name="_Toc101205262"/>
      <w:bookmarkStart w:id="484" w:name="_Toc102984978"/>
      <w:bookmarkStart w:id="485" w:name="_Toc102985829"/>
      <w:bookmarkStart w:id="486" w:name="_Toc104981662"/>
      <w:bookmarkStart w:id="487" w:name="_Toc106288952"/>
      <w:r>
        <w:t>LABORATORY PROCEDURES</w:t>
      </w:r>
      <w:bookmarkEnd w:id="479"/>
      <w:bookmarkEnd w:id="480"/>
      <w:bookmarkEnd w:id="481"/>
      <w:bookmarkEnd w:id="482"/>
      <w:bookmarkEnd w:id="483"/>
      <w:bookmarkEnd w:id="484"/>
      <w:bookmarkEnd w:id="485"/>
      <w:bookmarkEnd w:id="486"/>
      <w:bookmarkEnd w:id="487"/>
      <w:r>
        <w:t xml:space="preserve"> </w:t>
      </w:r>
    </w:p>
    <w:p w14:paraId="165DB5D6" w14:textId="1188417C" w:rsidR="00404404" w:rsidRDefault="00404404">
      <w:pPr>
        <w:pStyle w:val="Heading2"/>
      </w:pPr>
      <w:bookmarkStart w:id="488" w:name="_Toc100306395"/>
      <w:bookmarkStart w:id="489" w:name="_Toc100324480"/>
      <w:bookmarkStart w:id="490" w:name="_Toc101204998"/>
      <w:bookmarkStart w:id="491" w:name="_Toc101205117"/>
      <w:bookmarkStart w:id="492" w:name="_Toc101205263"/>
      <w:bookmarkStart w:id="493" w:name="_Toc102984979"/>
      <w:bookmarkStart w:id="494" w:name="_Toc102985830"/>
      <w:bookmarkStart w:id="495" w:name="_Toc104981663"/>
      <w:bookmarkStart w:id="496" w:name="_Toc106288953"/>
      <w:r w:rsidRPr="00DE5C91">
        <w:t>Blood film</w:t>
      </w:r>
      <w:bookmarkEnd w:id="488"/>
      <w:bookmarkEnd w:id="489"/>
      <w:bookmarkEnd w:id="490"/>
      <w:bookmarkEnd w:id="491"/>
      <w:bookmarkEnd w:id="492"/>
      <w:bookmarkEnd w:id="493"/>
      <w:bookmarkEnd w:id="494"/>
      <w:bookmarkEnd w:id="495"/>
      <w:bookmarkEnd w:id="496"/>
    </w:p>
    <w:p w14:paraId="764CF79D" w14:textId="523F9EFC" w:rsidR="00EE4F8F" w:rsidRPr="00EE4F8F" w:rsidRDefault="00EE4F8F" w:rsidP="00B91D68">
      <w:pPr>
        <w:jc w:val="both"/>
      </w:pPr>
      <w:r w:rsidRPr="009B79D7">
        <w:t xml:space="preserve">Thick and/or thin blood films for parasite counts will be obtained and examined at screening to confirm </w:t>
      </w:r>
      <w:r w:rsidRPr="009B79D7">
        <w:rPr>
          <w:i/>
        </w:rPr>
        <w:t xml:space="preserve">P. falciparum </w:t>
      </w:r>
      <w:proofErr w:type="spellStart"/>
      <w:r w:rsidRPr="009B79D7">
        <w:t>monoinfection</w:t>
      </w:r>
      <w:proofErr w:type="spellEnd"/>
      <w:r w:rsidRPr="009B79D7">
        <w:t>. Giemsa-stained thick and/or thin blood films will be examined at a magnification of 100</w:t>
      </w:r>
      <w:r w:rsidRPr="009B79D7">
        <w:sym w:font="Symbol" w:char="F0B4"/>
      </w:r>
      <w:r w:rsidRPr="009B79D7">
        <w:t>. The blood smear will be considered negative if no parasites are seen after examining 100 high powered fields.</w:t>
      </w:r>
    </w:p>
    <w:p w14:paraId="5371F027" w14:textId="2EF413AF" w:rsidR="00404404" w:rsidRDefault="00404404">
      <w:pPr>
        <w:pStyle w:val="Heading2"/>
      </w:pPr>
      <w:bookmarkStart w:id="497" w:name="_Toc100306396"/>
      <w:bookmarkStart w:id="498" w:name="_Toc100324481"/>
      <w:bookmarkStart w:id="499" w:name="_Toc101204999"/>
      <w:bookmarkStart w:id="500" w:name="_Toc101205118"/>
      <w:bookmarkStart w:id="501" w:name="_Toc101205264"/>
      <w:bookmarkStart w:id="502" w:name="_Toc102984980"/>
      <w:bookmarkStart w:id="503" w:name="_Toc102985831"/>
      <w:bookmarkStart w:id="504" w:name="_Toc104981664"/>
      <w:bookmarkStart w:id="505" w:name="_Toc106288954"/>
      <w:r w:rsidRPr="00DE5C91">
        <w:lastRenderedPageBreak/>
        <w:t>Gametocyte and asexual stage density measurement</w:t>
      </w:r>
      <w:bookmarkEnd w:id="497"/>
      <w:bookmarkEnd w:id="498"/>
      <w:bookmarkEnd w:id="499"/>
      <w:bookmarkEnd w:id="500"/>
      <w:bookmarkEnd w:id="501"/>
      <w:bookmarkEnd w:id="502"/>
      <w:bookmarkEnd w:id="503"/>
      <w:bookmarkEnd w:id="504"/>
      <w:bookmarkEnd w:id="505"/>
    </w:p>
    <w:p w14:paraId="1CEA2D6C" w14:textId="76E8926A" w:rsidR="003B7916" w:rsidRPr="00146C3B" w:rsidRDefault="003B7916" w:rsidP="003B7916">
      <w:pPr>
        <w:jc w:val="both"/>
        <w:rPr>
          <w:noProof/>
          <w:highlight w:val="yellow"/>
        </w:rPr>
      </w:pPr>
      <w:r w:rsidRPr="009B79D7">
        <w:t xml:space="preserve">Blood slides stained with Giemsa will be double read over 500 fields for quantification of gametocytes and asexual stages. EDTA samples of blood (200 µL) will be tested for molecular quantification of gametocytes and asexual parasites. Parasite DNA and RNA will be extracted from whole blood samples in EDTA tubes and tested using quantitative real-time polymerase chain reaction (qPCR) with a detection limit of 0.02-0.1 parasites/µL of blood and highly precise parasite quantification </w:t>
      </w:r>
      <w:r w:rsidRPr="009B79D7">
        <w:fldChar w:fldCharType="begin" w:fldLock="1"/>
      </w:r>
      <w:r w:rsidR="00FB2554">
        <w:instrText xml:space="preserve"> ADDIN ZOTERO_ITEM CSL_CITATION {"citationID":"r03LRAET","properties":{"formattedCitation":"[24]","plainCitation":"[24]","noteIndex":0},"citationItems":[{"id":"CFWcq7VU/nFf5EI4R","uris":["http://www.mendeley.com/documents/?uuid=37399153-1ecf-3200-82dd-11baf97fdee6"],"itemData":{"ISSN":"00029637","abstract":"The demand for an effective malaria vaccine is high, with millions of people being affected by the disease every year. A large variety of potential vaccines are under investigation worldwide, and when tested in clinical trials, researchers need to extract as much data as possible from every vaccinated and control volunteer. The use of quantitative real-time polymerase chain reaction (PCR), carried out in real-time during the clinical trials of vaccines designed to act against the liver stage of the parasite's life cycle, provides more information than the gold standard method of microscopy alone and increases both safety and accuracy. PCR can detect malaria parasites in the blood up to 5 days before experienced microscopists see parasites on blood films, with a sensitivity of 20 parasites/mL blood. This PCR method has so far been used to follow 137 vaccinee and control volunteers in Phase IIa trials in Oxford and on 220 volunteer samples during a Phase IIb field trial in The Gambia.","author":[{"dropping-particle":"","family":"Andrews","given":"Laura","non-dropping-particle":"","parse-names":false,"suffix":""},{"dropping-particle":"","family":"Andersen","given":"Rikke F.","non-dropping-particle":"","parse-names":false,"suffix":""},{"dropping-particle":"","family":"Webster","given":"Daniel","non-dropping-particle":"","parse-names":false,"suffix":""},{"dropping-particle":"","family":"Dunachie","given":"Susanna","non-dropping-particle":"","parse-names":false,"suffix":""},{"dropping-particle":"","family":"Walther","given":"R. Michael","non-dropping-particle":"","parse-names":false,"suffix":""},{"dropping-particle":"","family":"Bejon","given":"Philip","non-dropping-particle":"","parse-names":false,"suffix":""},{"dropping-particle":"","family":"Hunt-Cooke","given":"Angela","non-dropping-particle":"","parse-names":false,"suffix":""},{"dropping-particle":"","family":"Bergson","given":"Gillian","non-dropping-particle":"","parse-names":false,"suffix":""},{"dropping-particle":"","family":"Sanderson","given":"Frances","non-dropping-particle":"","parse-names":false,"suffix":""},{"dropping-particle":"","family":"Hill","given":"Adrian V.S.","non-dropping-particle":"","parse-names":false,"suffix":""},{"dropping-particle":"","family":"Gilbert","given":"Sarah C.","non-dropping-particle":"","parse-names":false,"suffix":""}],"container-title":"American Journal of Tropical Medicine and Hygiene","id":"ITEM-1","issue":"1","issued":{"date-parts":[["2005","7"]]},"page":"191-198","title":"Quantitative real-time polymerase chain reaction for malaria diagnosis and its use in malaria vaccine clinical trials","type":"article-journal","volume":"73"}}],"schema":"https://github.com/citation-style-language/schema/raw/master/csl-citation.json"} </w:instrText>
      </w:r>
      <w:r w:rsidRPr="009B79D7">
        <w:fldChar w:fldCharType="separate"/>
      </w:r>
      <w:r w:rsidR="00FB2554">
        <w:rPr>
          <w:noProof/>
        </w:rPr>
        <w:t>[24]</w:t>
      </w:r>
      <w:r w:rsidRPr="009B79D7">
        <w:fldChar w:fldCharType="end"/>
      </w:r>
      <w:r w:rsidRPr="009B79D7">
        <w:t>. Quantification of gametocytes will be based on sex specific female (Pfs25/CCP4) and male (</w:t>
      </w:r>
      <w:proofErr w:type="spellStart"/>
      <w:r w:rsidRPr="009B79D7">
        <w:t>PfMGET</w:t>
      </w:r>
      <w:proofErr w:type="spellEnd"/>
      <w:r w:rsidRPr="009B79D7">
        <w:t xml:space="preserve">) mRNA detection and quantification by reverse transcriptase-PCR </w:t>
      </w:r>
      <w:r w:rsidRPr="009B79D7">
        <w:fldChar w:fldCharType="begin" w:fldLock="1"/>
      </w:r>
      <w:r w:rsidR="00FB2554">
        <w:instrText xml:space="preserve"> ADDIN ZOTERO_ITEM CSL_CITATION {"citationID":"In2CxOF4","properties":{"formattedCitation":"[25]","plainCitation":"[25]","noteIndex":0},"citationItems":[{"id":"CFWcq7VU/iQLNqaZd","uris":["http://www.mendeley.com/documents/?uuid=99e6e83b-7b24-444f-b237-80cbff61ef88"],"itemData":{"DOI":"10.1093/infdis/jix237","ISBN":"0022-1899","abstract":"BackgroundSingle low-dose primaquine (PQ) reduces Plasmodium falciparum infectivity before it impacts gametocyte density. Here, we examined the effect of PQ on gametocyte sex ratio as a possible explanation for this early sterilizing effect.MethodsQuantitative reverse-transcription polymerase chain reaction assays were developed to quantify female gametocytes (targeting Pfs25 messenger RNA [mRNA]) and male gametocytes (targeting Pf3D7_1469900 mRNA) in 2 randomized trials in Kenya and Mali, comparing dihydroartemisinin-piperaquine (DP) alone to DP with PQ. Gametocyte sex ratio was examined in relation to time since treatment and infectivity to mosquitoes.ResultsIn Kenya, the median proportion of male gametocytes was 0.33 at baseline. Seven days after treatment, gametocyte density was significantly reduced in the DP-PQ arm relative to the DP arm (females: 0.05% [interquartile range {IQR}, 0.0–0.7%] of baseline; males: 3.4% [IQR, 0.4%–32.9%] of baseline; P &amp;lt; .001). Twenty-four hours after treatment, gametocyte sex ratio became male-biased and was not significantly different between the DP and DP-PQ groups. In Mali, there was no significant difference in sex ratio between the DP and DP-PQ groups (&amp;gt;0.125 mg/kg) 48 hours after treatment, and gametocyte sex ratio was not associated with mosquito infection rates.ConclusionsThe early sterilizing effects of PQ may not be explained by the preferential clearance of male gametocytes and may be due to an effect on gametocyte fitness.","author":[{"dropping-particle":"","family":"Stone","given":"Will","non-dropping-particle":"","parse-names":false,"suffix":""},{"dropping-particle":"","family":"Sawa","given":"Patrick","non-dropping-particle":"","parse-names":false,"suffix":""},{"dropping-particle":"","family":"Lanke","given":"Kjerstin","non-dropping-particle":"","parse-names":false,"suffix":""},{"dropping-particle":"","family":"Rijpma","given":"Sanna","non-dropping-particle":"","parse-names":false,"suffix":""},{"dropping-particle":"","family":"Oriango","given":"Robin","non-dropping-particle":"","parse-names":false,"suffix":""},{"dropping-particle":"","family":"Nyaurah","given":"Maureen","non-dropping-particle":"","parse-names":false,"suffix":""},{"dropping-particle":"","family":"Osodo","given":"Paul","non-dropping-particle":"","parse-names":false,"suffix":""},{"dropping-particle":"","family":"Osoti","given":"Victor","non-dropping-particle":"","parse-names":false,"suffix":""},{"dropping-particle":"","family":"Mahamar","given":"Almahamoudou","non-dropping-particle":"","parse-names":false,"suffix":""},{"dropping-particle":"","family":"Diawara","given":"Halimatou","non-dropping-particle":"","parse-names":false,"suffix":""},{"dropping-particle":"","family":"Woestenenk","given":"Rob","non-dropping-particle":"","parse-names":false,"suffix":""},{"dropping-particle":"","family":"Graumans","given":"Wouter","non-dropping-particle":"","parse-names":false,"suffix":""},{"dropping-particle":"","family":"Vegte-Bolmer","given":"Marga","non-dropping-particle":"van de","parse-names":false,"suffix":""},{"dropping-particle":"","family":"Bradley","given":"John","non-dropping-particle":"","parse-names":false,"suffix":""},{"dropping-particle":"","family":"Chen","given":"Ingrid","non-dropping-particle":"","parse-names":false,"suffix":""},{"dropping-particle":"","family":"Brown","given":"Joelle","non-dropping-particle":"","parse-names":false,"suffix":""},{"dropping-particle":"","family":"Siciliano","given":"Giulia","non-dropping-particle":"","parse-names":false,"suffix":""},{"dropping-particle":"","family":"Alano","given":"Pietro","non-dropping-particle":"","parse-names":false,"suffix":""},{"dropping-particle":"","family":"Gosling","given":"Roly","non-dropping-particle":"","parse-names":false,"suffix":""},{"dropping-particle":"","family":"Dicko","given":"Alassane","non-dropping-particle":"","parse-names":false,"suffix":""},{"dropping-particle":"","family":"Drakeley","given":"Chris","non-dropping-particle":"","parse-names":false,"suffix":""},{"dropping-particle":"","family":"Bousema","given":"Teun","non-dropping-particle":"","parse-names":false,"suffix":""}],"container-title":"The Journal of infectious diseases","id":"ITEM-1","issue":"4","issued":{"date-parts":[["2017"]]},"note":"10.1093/infdis/jix237","page":"457-467","title":"A Molecular Assay to Quantify Male and Female Plasmodium falciparum Gametocytes: Results From 2 Randomized Controlled Trials Using Primaquine for Gametocyte Clearance","type":"article-journal","volume":"216"}}],"schema":"https://github.com/citation-style-language/schema/raw/master/csl-citation.json"} </w:instrText>
      </w:r>
      <w:r w:rsidRPr="009B79D7">
        <w:fldChar w:fldCharType="separate"/>
      </w:r>
      <w:r w:rsidR="00FB2554">
        <w:rPr>
          <w:noProof/>
        </w:rPr>
        <w:t>[25]</w:t>
      </w:r>
      <w:r w:rsidRPr="009B79D7">
        <w:fldChar w:fldCharType="end"/>
      </w:r>
      <w:r w:rsidRPr="009B79D7">
        <w:t xml:space="preserve">. Markers of asexual stage parasites will include 18s </w:t>
      </w:r>
      <w:proofErr w:type="spellStart"/>
      <w:r w:rsidRPr="009B79D7">
        <w:t>Ribosmal</w:t>
      </w:r>
      <w:proofErr w:type="spellEnd"/>
      <w:r w:rsidRPr="009B79D7">
        <w:t xml:space="preserve"> and SBP1 mRNA. Markers of sexual commitment will also be assessed (e.g. Ap2-g).</w:t>
      </w:r>
    </w:p>
    <w:p w14:paraId="2D07BCFE" w14:textId="7B20882B" w:rsidR="003B7916" w:rsidRPr="003B7916" w:rsidRDefault="003B7916" w:rsidP="00B91D68">
      <w:pPr>
        <w:jc w:val="both"/>
      </w:pPr>
      <w:r w:rsidRPr="009B79D7">
        <w:t xml:space="preserve">Further molecular analysis of samples from individuals who have undergone feeding assays (either from whole blood samples or from mosquito midguts) will include parasite genotyping (e.g. to assess clonal complexity or determine the presence of specific deletions e.g. HRP2) and human genotyping for specific genes (HBB, CYP2D6, G6PD). </w:t>
      </w:r>
    </w:p>
    <w:p w14:paraId="30279232" w14:textId="38941F7B" w:rsidR="00404404" w:rsidRDefault="00404404">
      <w:pPr>
        <w:pStyle w:val="Heading2"/>
      </w:pPr>
      <w:bookmarkStart w:id="506" w:name="_Toc100306397"/>
      <w:bookmarkStart w:id="507" w:name="_Toc100324482"/>
      <w:bookmarkStart w:id="508" w:name="_Toc101205000"/>
      <w:bookmarkStart w:id="509" w:name="_Toc101205119"/>
      <w:bookmarkStart w:id="510" w:name="_Toc101205265"/>
      <w:bookmarkStart w:id="511" w:name="_Toc102984981"/>
      <w:bookmarkStart w:id="512" w:name="_Toc102985832"/>
      <w:bookmarkStart w:id="513" w:name="_Toc104981665"/>
      <w:bookmarkStart w:id="514" w:name="_Toc106288955"/>
      <w:r w:rsidRPr="00DE5C91">
        <w:t>Serology and biomarkers</w:t>
      </w:r>
      <w:bookmarkEnd w:id="506"/>
      <w:bookmarkEnd w:id="507"/>
      <w:bookmarkEnd w:id="508"/>
      <w:bookmarkEnd w:id="509"/>
      <w:bookmarkEnd w:id="510"/>
      <w:bookmarkEnd w:id="511"/>
      <w:bookmarkEnd w:id="512"/>
      <w:bookmarkEnd w:id="513"/>
      <w:bookmarkEnd w:id="514"/>
    </w:p>
    <w:p w14:paraId="5A11C6B5" w14:textId="69EAE49A" w:rsidR="003B7916" w:rsidRPr="003B7916" w:rsidRDefault="003B7916" w:rsidP="00B91D68">
      <w:pPr>
        <w:jc w:val="both"/>
      </w:pPr>
      <w:r w:rsidRPr="009B79D7">
        <w:t xml:space="preserve">Serological analysis of these samples will include assessment of antibody responses to gametocyte and asexual stage proteins in the microarray platform </w:t>
      </w:r>
      <w:r w:rsidRPr="009B79D7">
        <w:fldChar w:fldCharType="begin" w:fldLock="1"/>
      </w:r>
      <w:r w:rsidR="00FB2554">
        <w:instrText xml:space="preserve"> ADDIN ZOTERO_ITEM CSL_CITATION {"citationID":"H7uA7F5y","properties":{"formattedCitation":"[26]","plainCitation":"[26]","noteIndex":0},"citationItems":[{"id":"CFWcq7VU/6VzN7ThP","uris":["http://www.mendeley.com/documents/?uuid=234144a0-b929-427f-a7a4-e6ab9392e86b"],"itemData":{"DOI":"10.1038/s41467-017-02646-2","ISBN":"2041-1723","abstract":"Infection with Plasmodium can elicit antibodies that inhibit parasite survival in the mosquito, when they are ingested in an infectious blood meal. Here, we determine the transmission-reducing activity (TRA) of naturally acquired antibodies from 648 malaria-exposed individuals using lab-based mosquito-feeding assays. Transmission inhibition is significantly associated with antibody responses to Pfs48/45, Pfs230, and to 43 novel gametocyte proteins assessed by protein microarray. In field-based mosquito-feeding assays the likelihood and rate of mosquito infection are significantly lower for individuals reactive to Pfs48/45, Pfs230 or to combinations of the novel TRA-associated proteins. We also show that naturally acquired purified antibodies against key transmission-blocking epitopes of Pfs48/45 and Pfs230 are mechanistically involved in TRA, whereas sera depleted of these antibodies retain high-level, complement-independent TRA. Our analysis demonstrates that host antibody responses to gametocyte proteins are associated with reduced malaria transmission efficiency from humans to mosquitoes.","author":[{"dropping-particle":"","family":"Stone","given":"Will J R","non-dropping-particle":"","parse-names":false,"suffix":""},{"dropping-particle":"","family":"Campo","given":"Joseph J","non-dropping-particle":"","parse-names":false,"suffix":""},{"dropping-particle":"","family":"Ouédraogo","given":"André Lin","non-dropping-particle":"","parse-names":false,"suffix":""},{"dropping-particle":"","family":"Meerstein-Kessel","given":"Lisette","non-dropping-particle":"","parse-names":false,"suffix":""},{"dropping-particle":"","family":"Morlais","given":"Isabelle","non-dropping-particle":"","parse-names":false,"suffix":""},{"dropping-particle":"","family":"Da","given":"Dari","non-dropping-particle":"","parse-names":false,"suffix":""},{"dropping-particle":"","family":"Cohuet","given":"Anna","non-dropping-particle":"","parse-names":false,"suffix":""},{"dropping-particle":"","family":"Nsango","given":"Sandrine","non-dropping-particle":"","parse-names":false,"suffix":""},{"dropping-particle":"","family":"Sutherland","given":"Colin J","non-dropping-particle":"","parse-names":false,"suffix":""},{"dropping-particle":"","family":"Vegte-Bolmer","given":"Marga","non-dropping-particle":"van de","parse-names":false,"suffix":""},{"dropping-particle":"","family":"Siebelink-Stoter","given":"Rianne","non-dropping-particle":"","parse-names":false,"suffix":""},{"dropping-particle":"","family":"Gemert","given":"Geert-Jan","non-dropping-particle":"van","parse-names":false,"suffix":""},{"dropping-particle":"","family":"Graumans","given":"Wouter","non-dropping-particle":"","parse-names":false,"suffix":""},{"dropping-particle":"","family":"Lanke","given":"Kjerstin","non-dropping-particle":"","parse-names":false,"suffix":""},{"dropping-particle":"","family":"Shandling","given":"Adam D","non-dropping-particle":"","parse-names":false,"suffix":""},{"dropping-particle":"V","family":"Pablo","given":"Jozelyn","non-dropping-particle":"","parse-names":false,"suffix":""},{"dropping-particle":"","family":"Teng","given":"Andy A","non-dropping-particle":"","parse-names":false,"suffix":""},{"dropping-particle":"","family":"Jones","given":"Sophie","non-dropping-particle":"","parse-names":false,"suffix":""},{"dropping-particle":"","family":"Jong","given":"Roos M","non-dropping-particle":"de","parse-names":false,"suffix":""},{"dropping-particle":"","family":"Fabra-García","given":"Amanda","non-dropping-particle":"","parse-names":false,"suffix":""},{"dropping-particle":"","family":"Bradley","given":"John","non-dropping-particle":"","parse-names":false,"suffix":""},{"dropping-particle":"","family":"Roeffen","given":"Will","non-dropping-particle":"","parse-names":false,"suffix":""},{"dropping-particle":"","family":"Lasonder","given":"Edwin","non-dropping-particle":"","parse-names":false,"suffix":""},{"dropping-particle":"","family":"Gremo","given":"Giuliana","non-dropping-particle":"","parse-names":false,"suffix":""},{"dropping-particle":"","family":"Schwarzer","given":"Evelin","non-dropping-particle":"","parse-names":false,"suffix":""},{"dropping-particle":"","family":"Janse","given":"Chris J","non-dropping-particle":"","parse-names":false,"suffix":""},{"dropping-particle":"","family":"Singh","given":"Susheel K","non-dropping-particle":"","parse-names":false,"suffix":""},{"dropping-particle":"","family":"Theisen","given":"Michael","non-dropping-particle":"","parse-names":false,"suffix":""},{"dropping-particle":"","family":"Felgner","given":"Phil","non-dropping-particle":"","parse-names":false,"suffix":""},{"dropping-particle":"","family":"Marti","given":"Matthias","non-dropping-particle":"","parse-names":false,"suffix":""},{"dropping-particle":"","family":"Drakeley","given":"Chris","non-dropping-particle":"","parse-names":false,"suffix":""},{"dropping-particle":"","family":"Sauerwein","given":"Robert","non-dropping-particle":"","parse-names":false,"suffix":""},{"dropping-particle":"","family":"Bousema","given":"Teun","non-dropping-particle":"","parse-names":false,"suffix":""},{"dropping-particle":"","family":"Jore","given":"Matthijs M","non-dropping-particle":"","parse-names":false,"suffix":""}],"container-title":"Nature Communications","id":"ITEM-1","issue":"1","issued":{"date-parts":[["2018"]]},"page":"558","title":"Unravelling the immune signature of Plasmodium falciparum transmission-reducing immunity","type":"article-journal","volume":"9"}}],"schema":"https://github.com/citation-style-language/schema/raw/master/csl-citation.json"} </w:instrText>
      </w:r>
      <w:r w:rsidRPr="009B79D7">
        <w:fldChar w:fldCharType="separate"/>
      </w:r>
      <w:r w:rsidR="00FB2554">
        <w:rPr>
          <w:noProof/>
        </w:rPr>
        <w:t>[26]</w:t>
      </w:r>
      <w:r w:rsidRPr="009B79D7">
        <w:fldChar w:fldCharType="end"/>
      </w:r>
      <w:r w:rsidRPr="009B79D7">
        <w:t xml:space="preserve">. Non antibody protein biomarker assessment will be conducted using </w:t>
      </w:r>
      <w:r w:rsidR="007651E4" w:rsidRPr="009B79D7">
        <w:t>bead-based</w:t>
      </w:r>
      <w:r w:rsidRPr="009B79D7">
        <w:t xml:space="preserve"> assays to assess for correlates of infection and infectivity (i.e. proteins associated with inflammation), or parasite density (HRP2)</w:t>
      </w:r>
      <w:r w:rsidR="00E81996">
        <w:t>, or parasite proteins linked with gamete activation in the mosquito midgut (</w:t>
      </w:r>
      <w:proofErr w:type="spellStart"/>
      <w:r w:rsidR="00E81996">
        <w:t>i.e</w:t>
      </w:r>
      <w:proofErr w:type="spellEnd"/>
      <w:r w:rsidR="00E81996">
        <w:t xml:space="preserve"> Pfg377)</w:t>
      </w:r>
      <w:r w:rsidRPr="009B79D7">
        <w:t xml:space="preserve">. If </w:t>
      </w:r>
      <w:r w:rsidR="00F50EE4">
        <w:t>plasma</w:t>
      </w:r>
      <w:r w:rsidRPr="009B79D7">
        <w:t xml:space="preserve"> remains after mosquito feeding, some may be stored and used in standard membrane feeding assays in Radboud University, Nijmegen, the Netherlands, for the assessment of functional transmission reducing immunity </w:t>
      </w:r>
      <w:r w:rsidRPr="0066550C">
        <w:fldChar w:fldCharType="begin" w:fldLock="1"/>
      </w:r>
      <w:r w:rsidR="00FB2554">
        <w:instrText xml:space="preserve"> ADDIN ZOTERO_ITEM CSL_CITATION {"citationID":"DfuyowkZ","properties":{"formattedCitation":"[27]","plainCitation":"[27]","noteIndex":0},"citationItems":[{"id":"CFWcq7VU/QwFpDBie","uris":["http://www.mendeley.com/documents/?uuid=62da0e8b-df9a-4dc7-b172-7ada5a923b62"],"itemData":{"DOI":"doi:10.1017/S0031182000062065","ISBN":"0031-1820","author":[{"dropping-particle":"","family":"Ponnudurai","given":"T","non-dropping-particle":"","parse-names":false,"suffix":""},{"dropping-particle":"","family":"Lensen","given":"A H W","non-dropping-particle":"","parse-names":false,"suffix":""},{"dropping-particle":"","family":"Gemert","given":"G J A","non-dropping-particle":"Van","parse-names":false,"suffix":""},{"dropping-particle":"","family":"Bensink","given":"M P E","non-dropping-particle":"","parse-names":false,"suffix":""},{"dropping-particle":"","family":"Bolmer","given":"M","non-dropping-particle":"","parse-names":false,"suffix":""},{"dropping-particle":"","family":"Meuwissen","given":"J H E T H","non-dropping-particle":"","parse-names":false,"suffix":""}],"container-title":"Parasitology","id":"ITEM-1","issue":"02","issued":{"date-parts":[["1989"]]},"page":"165-173","title":"Infectivity of cultured Plasmodium falciparum gametocytes to mosquitoes","type":"article-journal","volume":"98"}}],"schema":"https://github.com/citation-style-language/schema/raw/master/csl-citation.json"} </w:instrText>
      </w:r>
      <w:r w:rsidRPr="0066550C">
        <w:fldChar w:fldCharType="separate"/>
      </w:r>
      <w:r w:rsidR="00FB2554">
        <w:rPr>
          <w:noProof/>
        </w:rPr>
        <w:t>[27]</w:t>
      </w:r>
      <w:r w:rsidRPr="0066550C">
        <w:fldChar w:fldCharType="end"/>
      </w:r>
      <w:r w:rsidRPr="0066550C">
        <w:t>.</w:t>
      </w:r>
    </w:p>
    <w:p w14:paraId="553AA839" w14:textId="7711FF82" w:rsidR="00404404" w:rsidRDefault="00404404">
      <w:pPr>
        <w:pStyle w:val="Heading2"/>
      </w:pPr>
      <w:bookmarkStart w:id="515" w:name="_Toc100306398"/>
      <w:bookmarkStart w:id="516" w:name="_Toc100324483"/>
      <w:bookmarkStart w:id="517" w:name="_Toc101205001"/>
      <w:bookmarkStart w:id="518" w:name="_Toc101205120"/>
      <w:bookmarkStart w:id="519" w:name="_Toc101205266"/>
      <w:bookmarkStart w:id="520" w:name="_Toc102984982"/>
      <w:bookmarkStart w:id="521" w:name="_Toc102985833"/>
      <w:bookmarkStart w:id="522" w:name="_Toc104981666"/>
      <w:bookmarkStart w:id="523" w:name="_Toc106288956"/>
      <w:r w:rsidRPr="00DE5C91">
        <w:t>Mosquito infectivity assay</w:t>
      </w:r>
      <w:bookmarkEnd w:id="515"/>
      <w:bookmarkEnd w:id="516"/>
      <w:bookmarkEnd w:id="517"/>
      <w:bookmarkEnd w:id="518"/>
      <w:bookmarkEnd w:id="519"/>
      <w:bookmarkEnd w:id="520"/>
      <w:bookmarkEnd w:id="521"/>
      <w:bookmarkEnd w:id="522"/>
      <w:bookmarkEnd w:id="523"/>
    </w:p>
    <w:p w14:paraId="57E84614" w14:textId="1952AFDD" w:rsidR="003B7916" w:rsidRPr="003B7916" w:rsidRDefault="003B7916" w:rsidP="00B91D68">
      <w:pPr>
        <w:jc w:val="both"/>
      </w:pPr>
      <w:r w:rsidRPr="009B79D7">
        <w:t>For each assessment of infectivity 2 ml of heparinized blood will be drawn from the study participant and stored at 37</w:t>
      </w:r>
      <w:r w:rsidRPr="009B79D7">
        <w:rPr>
          <w:vertAlign w:val="superscript"/>
        </w:rPr>
        <w:t>o</w:t>
      </w:r>
      <w:r w:rsidRPr="009B79D7">
        <w:t xml:space="preserve">C and transported to the insectary. At the insectary, using standard procedures, ~70 </w:t>
      </w:r>
      <w:r w:rsidRPr="009B79D7">
        <w:rPr>
          <w:i/>
        </w:rPr>
        <w:t>A. gambiae</w:t>
      </w:r>
      <w:r w:rsidRPr="009B79D7">
        <w:t xml:space="preserve"> will be fed on the subjects’ blood for 15-20 minutes (this figure is based on a previous study where 61 fed mosquitoes allowed for an average of 50 mosquitoes surviving until day 7 after the feeding experiment and being available for dissection and examination for oocysts). </w:t>
      </w:r>
      <w:r w:rsidR="004D11E0" w:rsidRPr="009B79D7">
        <w:t>All</w:t>
      </w:r>
      <w:r w:rsidRPr="009B79D7">
        <w:t xml:space="preserve"> </w:t>
      </w:r>
      <w:r w:rsidR="004D11E0">
        <w:t xml:space="preserve">of </w:t>
      </w:r>
      <w:r w:rsidRPr="009B79D7">
        <w:t>these mosquitoes will be dissected on the 7</w:t>
      </w:r>
      <w:r w:rsidRPr="009B79D7">
        <w:rPr>
          <w:vertAlign w:val="superscript"/>
        </w:rPr>
        <w:t>th</w:t>
      </w:r>
      <w:r w:rsidRPr="009B79D7">
        <w:t xml:space="preserve"> day after the feeding assay for prevalence of mosquitoes with oocysts and quantification of oocysts. Infected guts will be stored for later PCR confirmation of oocysts.</w:t>
      </w:r>
    </w:p>
    <w:p w14:paraId="33B2932F" w14:textId="64C54A43" w:rsidR="00E02AC7" w:rsidRDefault="00E02AC7">
      <w:pPr>
        <w:pStyle w:val="Heading2"/>
        <w:rPr>
          <w:rFonts w:cs="Arial"/>
          <w:szCs w:val="22"/>
        </w:rPr>
      </w:pPr>
      <w:bookmarkStart w:id="524" w:name="_Toc102984983"/>
      <w:bookmarkStart w:id="525" w:name="_Toc102985834"/>
      <w:bookmarkStart w:id="526" w:name="_Toc104981667"/>
      <w:bookmarkStart w:id="527" w:name="_Toc106288957"/>
      <w:bookmarkStart w:id="528" w:name="_Toc100306399"/>
      <w:bookmarkStart w:id="529" w:name="_Toc100324484"/>
      <w:bookmarkStart w:id="530" w:name="_Toc101205002"/>
      <w:bookmarkStart w:id="531" w:name="_Toc101205121"/>
      <w:bookmarkStart w:id="532" w:name="_Toc101205267"/>
      <w:r w:rsidRPr="00F042EA">
        <w:rPr>
          <w:rFonts w:cs="Arial"/>
          <w:szCs w:val="22"/>
        </w:rPr>
        <w:t>Magnetic-activated cell sorting</w:t>
      </w:r>
      <w:bookmarkEnd w:id="524"/>
      <w:bookmarkEnd w:id="525"/>
      <w:bookmarkEnd w:id="526"/>
      <w:bookmarkEnd w:id="527"/>
      <w:r w:rsidRPr="00F042EA">
        <w:rPr>
          <w:rFonts w:cs="Arial"/>
          <w:szCs w:val="22"/>
        </w:rPr>
        <w:t xml:space="preserve"> </w:t>
      </w:r>
    </w:p>
    <w:p w14:paraId="7FBEE485" w14:textId="64E730C5" w:rsidR="00E02AC7" w:rsidRPr="00E02AC7" w:rsidRDefault="00DB02D4" w:rsidP="00E02AC7">
      <w:r>
        <w:t xml:space="preserve">Blood samples will be enriched for gametocytes </w:t>
      </w:r>
      <w:r w:rsidR="007651E4">
        <w:t xml:space="preserve">using MACS LS columns as previously described </w:t>
      </w:r>
      <w:r w:rsidR="007651E4">
        <w:fldChar w:fldCharType="begin"/>
      </w:r>
      <w:r w:rsidR="00FB2554">
        <w:instrText xml:space="preserve"> ADDIN ZOTERO_ITEM CSL_CITATION {"citationID":"eR32zRgl","properties":{"formattedCitation":"[28]","plainCitation":"[28]","noteIndex":0},"citationItems":[{"id":1175,"uris":["http://zotero.org/users/7806423/items/ZHJ4HJHM"],"itemData":{"id":1175,"type":"article-journal","abstract":"A method of gametocyte quantitation in human blood was developed based on magnetic fractionation using commercially available magnetic fractionation columns (MFCs) and exploiting the magnetic susceptibility of mature Plasmodium falciparum gametocytes. The technique uses magnetic microspheres as a calibration standard. Microspheres are added to each blood sample to a known concentration. When exposed to a magnetic field, gametocytes and magnetic microspheres are preferentially captured inside MFCs. After removal of the magnetizing field, the magnetically captured material can be eluted, placed on a microscope slide that is stained, and counted by using conventional methods. The limits of quantitation for P. falciparum gametocytes were determined from serial dilutions of blood samples with known gametocyte density. The upper limit was 1,000 gametocytes/μL. Quantitative analysis above this threshold is difficult because of an over-abundance of gametocytes. The lower limit was 0.1 gametocytes/μL, and there is a significant probability of a false-negative result below this level.","container-title":"The American Journal of Tropical Medicine and Hygiene","DOI":"10.4269/ajtmh.2011.10-0416","ISSN":"0002-9637, 1476-1645","issue":"1","language":"EN","note":"publisher: The American Society of Tropical Medicine and Hygiene\nsection: The American Journal of Tropical Medicine and Hygiene","page":"158-160","source":"www.ajtmh.org","title":"Quantification of Plasmodium falciparum Gametocytes by Magnetic Fractionation","volume":"84","author":[{"family":"Karl","given":"Stephan"},{"family":"Davis","given":"Timothy M. E."},{"family":"Pierre","given":"Tim G. St"}],"issued":{"date-parts":[["2011",1,5]]}}}],"schema":"https://github.com/citation-style-language/schema/raw/master/csl-citation.json"} </w:instrText>
      </w:r>
      <w:r w:rsidR="007651E4">
        <w:fldChar w:fldCharType="separate"/>
      </w:r>
      <w:r w:rsidR="00FB2554">
        <w:rPr>
          <w:noProof/>
        </w:rPr>
        <w:t>[28]</w:t>
      </w:r>
      <w:r w:rsidR="007651E4">
        <w:fldChar w:fldCharType="end"/>
      </w:r>
      <w:r w:rsidR="00F76B9B">
        <w:t xml:space="preserve">. </w:t>
      </w:r>
    </w:p>
    <w:p w14:paraId="5573472A" w14:textId="303B6265" w:rsidR="00404404" w:rsidRDefault="00404404">
      <w:pPr>
        <w:pStyle w:val="Heading2"/>
      </w:pPr>
      <w:bookmarkStart w:id="533" w:name="_Toc102984984"/>
      <w:bookmarkStart w:id="534" w:name="_Toc102985835"/>
      <w:bookmarkStart w:id="535" w:name="_Toc104981668"/>
      <w:bookmarkStart w:id="536" w:name="_Toc106288958"/>
      <w:r w:rsidRPr="00DE5C91">
        <w:t>Haemoglobin concentrations</w:t>
      </w:r>
      <w:bookmarkEnd w:id="528"/>
      <w:bookmarkEnd w:id="529"/>
      <w:bookmarkEnd w:id="530"/>
      <w:bookmarkEnd w:id="531"/>
      <w:bookmarkEnd w:id="532"/>
      <w:bookmarkEnd w:id="533"/>
      <w:bookmarkEnd w:id="534"/>
      <w:bookmarkEnd w:id="535"/>
      <w:bookmarkEnd w:id="536"/>
    </w:p>
    <w:p w14:paraId="4985FBE1" w14:textId="06167D35" w:rsidR="003B7916" w:rsidRPr="003B7916" w:rsidRDefault="003B7916" w:rsidP="00B91D68">
      <w:pPr>
        <w:jc w:val="both"/>
      </w:pPr>
      <w:r w:rsidRPr="009B79D7">
        <w:t xml:space="preserve">Haemoglobin concentrations will be also measured regularly throughout the study using the </w:t>
      </w:r>
      <w:proofErr w:type="spellStart"/>
      <w:r w:rsidRPr="009B79D7">
        <w:t>HemoCue</w:t>
      </w:r>
      <w:proofErr w:type="spellEnd"/>
      <w:r w:rsidRPr="009B79D7">
        <w:t xml:space="preserve"> system (</w:t>
      </w:r>
      <w:proofErr w:type="spellStart"/>
      <w:r w:rsidRPr="009B79D7">
        <w:t>Hemocue</w:t>
      </w:r>
      <w:proofErr w:type="spellEnd"/>
      <w:r w:rsidRPr="009B79D7">
        <w:t xml:space="preserve"> AB, </w:t>
      </w:r>
      <w:proofErr w:type="spellStart"/>
      <w:r w:rsidRPr="009B79D7">
        <w:t>Angelholm</w:t>
      </w:r>
      <w:proofErr w:type="spellEnd"/>
      <w:r w:rsidRPr="009B79D7">
        <w:t>, Sweden).</w:t>
      </w:r>
    </w:p>
    <w:p w14:paraId="1FE525BA" w14:textId="3826A00A" w:rsidR="00404404" w:rsidRDefault="00404404">
      <w:pPr>
        <w:pStyle w:val="Heading2"/>
      </w:pPr>
      <w:bookmarkStart w:id="537" w:name="_Toc100306401"/>
      <w:bookmarkStart w:id="538" w:name="_Toc100324486"/>
      <w:bookmarkStart w:id="539" w:name="_Toc101205004"/>
      <w:bookmarkStart w:id="540" w:name="_Toc101205123"/>
      <w:bookmarkStart w:id="541" w:name="_Toc101205269"/>
      <w:bookmarkStart w:id="542" w:name="_Toc102984986"/>
      <w:bookmarkStart w:id="543" w:name="_Toc102985837"/>
      <w:bookmarkStart w:id="544" w:name="_Toc104981669"/>
      <w:bookmarkStart w:id="545" w:name="_Toc106288959"/>
      <w:r w:rsidRPr="00DE5C91">
        <w:lastRenderedPageBreak/>
        <w:t>Complete blood count</w:t>
      </w:r>
      <w:bookmarkEnd w:id="537"/>
      <w:bookmarkEnd w:id="538"/>
      <w:bookmarkEnd w:id="539"/>
      <w:bookmarkEnd w:id="540"/>
      <w:bookmarkEnd w:id="541"/>
      <w:bookmarkEnd w:id="542"/>
      <w:bookmarkEnd w:id="543"/>
      <w:bookmarkEnd w:id="544"/>
      <w:bookmarkEnd w:id="545"/>
    </w:p>
    <w:p w14:paraId="20A2ABFA" w14:textId="5CA843F5" w:rsidR="003B7916" w:rsidRPr="003B7916" w:rsidRDefault="003B7916" w:rsidP="00B91D68">
      <w:pPr>
        <w:jc w:val="both"/>
      </w:pPr>
      <w:r w:rsidRPr="009B79D7">
        <w:t>Using standard techniques, the clinical laboratory will perform the complete blood count (CBC) and platelet count. The following CBC parameters will be evaluated for</w:t>
      </w:r>
      <w:r w:rsidRPr="009B79D7">
        <w:rPr>
          <w:rFonts w:eastAsia="Times New Roman"/>
          <w:lang w:eastAsia="en-CA"/>
        </w:rPr>
        <w:t xml:space="preserve"> exclusion criteria at baseline and </w:t>
      </w:r>
      <w:r w:rsidRPr="009B79D7">
        <w:t xml:space="preserve">for safety assessment during the study on days 2, 7 and 14: white blood cells, </w:t>
      </w:r>
      <w:r w:rsidR="00F76B9B" w:rsidRPr="009B79D7">
        <w:t>haemoglobin</w:t>
      </w:r>
      <w:r w:rsidR="00945EC4">
        <w:t>, h</w:t>
      </w:r>
      <w:r w:rsidR="009041B8">
        <w:t>a</w:t>
      </w:r>
      <w:r w:rsidR="00945EC4">
        <w:t xml:space="preserve">ematocrit, </w:t>
      </w:r>
      <w:r w:rsidRPr="009B79D7">
        <w:t>platelets.</w:t>
      </w:r>
    </w:p>
    <w:p w14:paraId="2ABC6916" w14:textId="7DF062FE" w:rsidR="00404404" w:rsidRDefault="00404404">
      <w:pPr>
        <w:pStyle w:val="Heading2"/>
      </w:pPr>
      <w:bookmarkStart w:id="546" w:name="_Toc100306402"/>
      <w:bookmarkStart w:id="547" w:name="_Toc100324487"/>
      <w:bookmarkStart w:id="548" w:name="_Toc101205005"/>
      <w:bookmarkStart w:id="549" w:name="_Toc101205124"/>
      <w:bookmarkStart w:id="550" w:name="_Toc101205270"/>
      <w:bookmarkStart w:id="551" w:name="_Toc102984987"/>
      <w:bookmarkStart w:id="552" w:name="_Toc102985838"/>
      <w:bookmarkStart w:id="553" w:name="_Toc104981670"/>
      <w:bookmarkStart w:id="554" w:name="_Toc106288960"/>
      <w:r w:rsidRPr="00DE5C91">
        <w:t>Biochemistry</w:t>
      </w:r>
      <w:bookmarkEnd w:id="546"/>
      <w:bookmarkEnd w:id="547"/>
      <w:bookmarkEnd w:id="548"/>
      <w:bookmarkEnd w:id="549"/>
      <w:bookmarkEnd w:id="550"/>
      <w:bookmarkEnd w:id="551"/>
      <w:bookmarkEnd w:id="552"/>
      <w:bookmarkEnd w:id="553"/>
      <w:bookmarkEnd w:id="554"/>
    </w:p>
    <w:p w14:paraId="3FB0D8A1" w14:textId="6EAEC4FE" w:rsidR="003B7916" w:rsidRPr="00B91D68" w:rsidRDefault="003B7916" w:rsidP="00B91D68">
      <w:pPr>
        <w:jc w:val="both"/>
        <w:rPr>
          <w:rFonts w:eastAsia="Times New Roman"/>
          <w:lang w:eastAsia="en-CA"/>
        </w:rPr>
      </w:pPr>
      <w:r w:rsidRPr="009B79D7">
        <w:rPr>
          <w:rFonts w:eastAsia="Times New Roman"/>
          <w:lang w:eastAsia="en-CA"/>
        </w:rPr>
        <w:t xml:space="preserve">Blood chemistries values </w:t>
      </w:r>
      <w:r w:rsidRPr="009B79D7">
        <w:t>will be also measured throughout the study. The following parameters will be evaluated for</w:t>
      </w:r>
      <w:r w:rsidRPr="009B79D7">
        <w:rPr>
          <w:rFonts w:eastAsia="Times New Roman"/>
          <w:lang w:eastAsia="en-CA"/>
        </w:rPr>
        <w:t xml:space="preserve"> exclusion criteria at baseline and </w:t>
      </w:r>
      <w:r w:rsidRPr="009B79D7">
        <w:t xml:space="preserve">for safety assessment during the study on days 2, 7 and 14: </w:t>
      </w:r>
      <w:r w:rsidRPr="009B79D7">
        <w:rPr>
          <w:rFonts w:eastAsia="Times New Roman"/>
          <w:lang w:eastAsia="en-CA"/>
        </w:rPr>
        <w:t>serum creatinine</w:t>
      </w:r>
      <w:r w:rsidR="00F3745D">
        <w:rPr>
          <w:rFonts w:eastAsia="Times New Roman"/>
          <w:lang w:eastAsia="en-CA"/>
        </w:rPr>
        <w:t xml:space="preserve"> and</w:t>
      </w:r>
      <w:r w:rsidRPr="009B79D7">
        <w:rPr>
          <w:rFonts w:eastAsia="Times New Roman"/>
          <w:lang w:eastAsia="en-CA"/>
        </w:rPr>
        <w:t xml:space="preserve"> ALT.</w:t>
      </w:r>
    </w:p>
    <w:p w14:paraId="43EC82E0" w14:textId="2DF55E92" w:rsidR="003F29E1" w:rsidRDefault="003F29E1">
      <w:pPr>
        <w:pStyle w:val="Heading1"/>
      </w:pPr>
      <w:bookmarkStart w:id="555" w:name="_Toc100324488"/>
      <w:bookmarkStart w:id="556" w:name="_Toc101205006"/>
      <w:bookmarkStart w:id="557" w:name="_Toc101205125"/>
      <w:bookmarkStart w:id="558" w:name="_Toc101205271"/>
      <w:bookmarkStart w:id="559" w:name="_Toc102984988"/>
      <w:bookmarkStart w:id="560" w:name="_Toc102985839"/>
      <w:bookmarkStart w:id="561" w:name="_Toc104981671"/>
      <w:bookmarkStart w:id="562" w:name="_Toc106288961"/>
      <w:r>
        <w:t>DATA MANAGEMENT AND ANALYSIS</w:t>
      </w:r>
      <w:bookmarkEnd w:id="555"/>
      <w:bookmarkEnd w:id="556"/>
      <w:bookmarkEnd w:id="557"/>
      <w:bookmarkEnd w:id="558"/>
      <w:bookmarkEnd w:id="559"/>
      <w:bookmarkEnd w:id="560"/>
      <w:bookmarkEnd w:id="561"/>
      <w:bookmarkEnd w:id="562"/>
    </w:p>
    <w:p w14:paraId="02966034" w14:textId="3BC28620" w:rsidR="003F29E1" w:rsidRPr="003F29E1" w:rsidRDefault="003F29E1" w:rsidP="00B91D68">
      <w:pPr>
        <w:jc w:val="both"/>
        <w:rPr>
          <w:lang w:eastAsia="en-CA"/>
        </w:rPr>
      </w:pPr>
      <w:r w:rsidRPr="003F29E1">
        <w:rPr>
          <w:lang w:eastAsia="en-CA"/>
        </w:rPr>
        <w:t>All data will be stored on secure password protected databases. Data that are collected on paper forms will be double entered. Data collected through handheld devices or directly produced by laboratory equipment will be examined for quality assurance and fed into the database using double data entry. Handheld devices used for data input and temporary storage will be password protected and data will be encrypted.</w:t>
      </w:r>
    </w:p>
    <w:p w14:paraId="1F7E4E4B" w14:textId="4E10C67D" w:rsidR="00404404" w:rsidRDefault="00404404">
      <w:pPr>
        <w:pStyle w:val="Heading2"/>
      </w:pPr>
      <w:bookmarkStart w:id="563" w:name="_Toc100324489"/>
      <w:bookmarkStart w:id="564" w:name="_Toc101205007"/>
      <w:bookmarkStart w:id="565" w:name="_Toc101205126"/>
      <w:bookmarkStart w:id="566" w:name="_Toc101205272"/>
      <w:bookmarkStart w:id="567" w:name="_Toc102984989"/>
      <w:bookmarkStart w:id="568" w:name="_Toc102985840"/>
      <w:bookmarkStart w:id="569" w:name="_Toc104981672"/>
      <w:bookmarkStart w:id="570" w:name="_Toc106288962"/>
      <w:r w:rsidRPr="003F29E1">
        <w:t>Analysis plan</w:t>
      </w:r>
      <w:bookmarkEnd w:id="563"/>
      <w:bookmarkEnd w:id="564"/>
      <w:bookmarkEnd w:id="565"/>
      <w:bookmarkEnd w:id="566"/>
      <w:bookmarkEnd w:id="567"/>
      <w:bookmarkEnd w:id="568"/>
      <w:bookmarkEnd w:id="569"/>
      <w:bookmarkEnd w:id="570"/>
    </w:p>
    <w:p w14:paraId="67323587" w14:textId="589ED4BE" w:rsidR="003F29E1" w:rsidRPr="009B79D7" w:rsidRDefault="003F29E1" w:rsidP="003F29E1">
      <w:pPr>
        <w:jc w:val="both"/>
      </w:pPr>
      <w:r w:rsidRPr="009B79D7">
        <w:t>Mosquito infectivity will be assessed at three levels: the mean number of oocysts in a sample of mosquitoes (i.e. oocyst intensity), the proportion of mosquitoes infected with any number of oocysts (i.e. mosquito infection rate), and the infectivity of the study participant to any number of mosquitoes (i.e. infectivity to mosquitoes). The primary outcome measure will be the percent change in mosquito infection rate within each arm by day 2 compared to baseline, with other time-points of infectivity assessments as secondary outcomes. Percent change will be reported as percent reduction (with 100% as total reduction of transmission, and negative values as enhanced transmission). Other secondary transmission outcomes are as described in the ‘Objectives’ section above. Some exploratory objectives may be published separately from the main primary/secondary outcomes.</w:t>
      </w:r>
    </w:p>
    <w:p w14:paraId="15080D96" w14:textId="7F2FBAD7" w:rsidR="00BF0173" w:rsidRPr="003F29E1" w:rsidRDefault="003F29E1" w:rsidP="00DF0558">
      <w:pPr>
        <w:jc w:val="both"/>
      </w:pPr>
      <w:r w:rsidRPr="009B79D7">
        <w:t xml:space="preserve">Statistical analysis will be conducted using the most recent STATA and SAS versions (16.0 and SAS version 9.4 at time of writing). Mosquito infection data will be analysed at time-points after baseline only for those individuals who are infectious at baseline, although the data and analyses from all enrolled individuals will be published in the appendix for completeness. Individuals will be classified as infectious to mosquitoes if they infect at least 1 mosquito, with any number of oocysts. Infectivity to mosquitoes and parasite/gametocyte prevalence will be compared within and between treatment arms using generalised linear models (family: binomial, z-score, co-efficient with 95% CI) or fishers exact tests. Absolute haemoglobin density and percent change in haemoglobin density (relative to baseline) will be compared using paired t-tests (t-score for difference compared to day 0) and two-way t-tests (t-score for difference between ACT matched treatment groups at each time-point). The proportion of gametocytes that are male will be calculated for all values with total gametocyte densities of 0.2/µL and over. Gametocyte circulation time will be calculated to determine the average period (in days) that a mature gametocyte circulates in the blood prior to clearance, using a deterministic compartmental model that assumes a constant rate of clearance and has a </w:t>
      </w:r>
      <w:r w:rsidRPr="009B79D7">
        <w:lastRenderedPageBreak/>
        <w:t>random effect to account for repeated measures on individuals, as described previously</w:t>
      </w:r>
      <w:r w:rsidR="005C18D2">
        <w:t xml:space="preserve"> </w:t>
      </w:r>
      <w:r w:rsidR="005C18D2">
        <w:fldChar w:fldCharType="begin"/>
      </w:r>
      <w:r w:rsidR="00FB2554">
        <w:instrText xml:space="preserve"> ADDIN ZOTERO_ITEM CSL_CITATION {"citationID":"tkslXrxT","properties":{"formattedCitation":"[29]","plainCitation":"[29]","noteIndex":0},"citationItems":[{"id":1102,"uris":["http://zotero.org/users/7806423/items/PMKXJ6GP"],"itemData":{"id":1102,"type":"article-journal","abstract":"Background: There is renewed acknowledgement that targeting gametocytes is essential for malaria control and elimination efforts. Simple mathematical models were fitted to data from clinical trials in order to determine the mean gametocyte circulation time and duration of gametocyte carriage in treated malaria patients.\nMethods: Data were used from clinical trials from East Africa. The first trial compared non-artemisinin combination therapy (non-ACT: sulphadoxine-pyrimethamine (SP) plus amodiaquine) and artemisinin-based combination therapy (ACT: SP plus artesunate (AS) or artemether-lumefantrine). The second trial compared ACT (SP+AS) with ACT in combination with a single dose of primaquine (ACT-PQ: SP+AS+PQ). Mature gametocytes were quantified in peripheral blood samples by nucleic acid sequence based amplification. A simple deterministic compartmental model was fitted to gametocyte densities to estimate the circulation time per gametocyte; a similar model was fitted to gametocyte prevalences to estimate the duration of gametocyte carriage after efficacious treatment.\nResults: The mean circulation time of gametocytes was 4.6-6.5 days. After non-ACT treatment, patients were estimated to carry gametocytes for an average of 55 days (95% CI 28.7 - 107.7). ACT reduced the duration of gametocyte carriage fourfold to 13.4 days (95% CI 10.2-17.5). Addition of PQ to ACT resulted in a further fourfold reduction of the duration of gametocyte carriage.\nConclusions: These findings confirm previous estimates of the circulation time of gametocytes, but indicate a much longer duration of (low density) gametocyte carriage after apparently successful clearance of asexual parasites. ACT shortened the period of gametocyte carriage considerably, and had the most pronounced effect on mature gametocytes when combined with PQ.","language":"en","page":"11","source":"Zotero","title":"Revisiting the circulation time of Plasmodium falciparum gametocytes: molecular detection methods to estimate the duration of gametocyte carriage and the effect of gametocytocidal drugs","author":[{"family":"Bousema","given":"Teun"},{"family":"Okell","given":"Lucy"},{"family":"Shekalaghe","given":"Seif"},{"family":"Griffin","given":"Jamie T"},{"family":"Omar","given":"Sabah"},{"family":"Sawa","given":"Patrick"},{"family":"Sutherland","given":"Colin"},{"family":"Sauerwein","given":"Robert"},{"family":"Ghani","given":"Azra C"},{"family":"Drakeley","given":"Chris"}],"issued":{"date-parts":[["2010"]]}}}],"schema":"https://github.com/citation-style-language/schema/raw/master/csl-citation.json"} </w:instrText>
      </w:r>
      <w:r w:rsidR="005C18D2">
        <w:fldChar w:fldCharType="separate"/>
      </w:r>
      <w:r w:rsidR="00FB2554">
        <w:rPr>
          <w:noProof/>
        </w:rPr>
        <w:t>[29]</w:t>
      </w:r>
      <w:r w:rsidR="005C18D2">
        <w:fldChar w:fldCharType="end"/>
      </w:r>
      <w:r w:rsidRPr="009B79D7">
        <w:t>; circulation time will be analysed using t-tests (t score for difference between ACT matched treatment groups) or linear regression analyses. Area under the curve (AUC) of gametocyte density per participant over time will be calculated using the linear trapezoid method</w:t>
      </w:r>
      <w:r w:rsidR="005C18D2">
        <w:t xml:space="preserve"> </w:t>
      </w:r>
      <w:r w:rsidR="005C18D2">
        <w:fldChar w:fldCharType="begin"/>
      </w:r>
      <w:r w:rsidR="00FB2554">
        <w:instrText xml:space="preserve"> ADDIN ZOTERO_ITEM CSL_CITATION {"citationID":"Cx1KEC7T","properties":{"formattedCitation":"[30]","plainCitation":"[30]","noteIndex":0},"citationItems":[{"id":1103,"uris":["http://zotero.org/users/7806423/items/DGENHGM2"],"itemData":{"id":1103,"type":"article-journal","abstract":"To evaluate transmission potential of Plasmodium falciparum, we use the area under the curve (AUC) of gametocyte levels after treatment as an approach to combine their duration and magnitude. Analysis of determinants of AUC was based on two main exposures: parasite clearance time (PCT) and presence of dihydrofolate reductase and dihydropteroate synthase mutations associated with sulfadoxine-pyrimethamine (SP) resistance in vitro. Exposures were determined based on the first three days after treatment with SP of 96 individuals who had malaria, cleared parasitemia by days 1–3, and were followed-up for 21 days. Using regression methods, we characterized both the heterogeneity of the presence of gametocytes (AUC &gt; 0) and the magnitude of the AUC among those with an AUC &gt; 0. A PCT of two or three days was associated with a substantial and highly significant odds ratio for presence of gametocytes. Among those who developed gametocytes, if their clearance time was 3 days or if they had any mutations (1 or 2) the magnitude of gametocytemia was ≥ 3-fold. Methods presented are applicable to both observational studies and clinical trials assessing the effect of therapies on transmission potential.","container-title":"The American Journal of Tropical Medicine and Hygiene","DOI":"10.4269/ajtmh.2006.75.640","issue":"4","language":"en","note":"publisher: American Society of Tropical Medicine and Hygiene\nsection: The American Journal of Tropical Medicine and Hygiene","page":"640-644","source":"www.ajtmh.org","title":"Use of area under the curve to characterize transmission potential after antimalarial treatment","volume":"75","author":[{"family":"Méndez","given":"Fabián"},{"family":"Muñoz","given":"Álvaro"},{"family":"Plowe","given":"Christopher V."}],"issued":{"date-parts":[["2006",10,1]]}}}],"schema":"https://github.com/citation-style-language/schema/raw/master/csl-citation.json"} </w:instrText>
      </w:r>
      <w:r w:rsidR="005C18D2">
        <w:fldChar w:fldCharType="separate"/>
      </w:r>
      <w:r w:rsidR="00FB2554">
        <w:rPr>
          <w:noProof/>
        </w:rPr>
        <w:t>[30]</w:t>
      </w:r>
      <w:r w:rsidR="005C18D2">
        <w:fldChar w:fldCharType="end"/>
      </w:r>
      <w:r w:rsidRPr="009B79D7">
        <w:t xml:space="preserve"> using the first 28 days of observation only, and analysed by fitting linear regression models to the log10 adjusted AUC values, with and without adjustment for baseline gametocyte density (t-score, coefficient with 95% CI). All other analyses of quantitative data will be performed using Wilcoxon sign rank tests (z-score for difference compared to matched values at day 0) and Wilcoxon rank-sum tests (z-score for difference between ACT matched treatment arms at each time-point). </w:t>
      </w:r>
      <w:bookmarkStart w:id="571" w:name="_Hlk66881349"/>
      <w:r w:rsidR="00582A11">
        <w:t xml:space="preserve">The nonparametric van </w:t>
      </w:r>
      <w:proofErr w:type="spellStart"/>
      <w:r w:rsidR="00582A11">
        <w:t>Elteren’s</w:t>
      </w:r>
      <w:proofErr w:type="spellEnd"/>
      <w:r w:rsidR="00582A11">
        <w:t xml:space="preserve"> test, an extension of the Wilcoxon rank sum test, will be used to compare the infectivity between treatment arms after adjusting for gametocyte density, as previously described </w:t>
      </w:r>
      <w:r w:rsidR="00582A11">
        <w:fldChar w:fldCharType="begin"/>
      </w:r>
      <w:r w:rsidR="00FB2554">
        <w:instrText xml:space="preserve"> ADDIN ZOTERO_ITEM CSL_CITATION {"citationID":"2orLnLg1","properties":{"formattedCitation":"[19]","plainCitation":"[19]","noteIndex":0},"citationItems":[{"id":105,"uris":["http://zotero.org/users/7806423/items/SXHI5JGT"],"itemData":{"id":105,"type":"article-journal","abstract":"Gametocyte density and sex ratio can predict the proportion of mosquitoes that will become infected after feeding on blood of patients receiving nongametocytocidal drugs. Because primaquine and methylene blue sterilize gametocytes before affecting their density and sex ratio, mosquito feeding experiments are required to demonstrate their early transmission-blocking effects.","container-title":"Clinical Infectious Diseases","DOI":"10.1093/cid/ciz134","ISSN":"1058-4838","issue":"8","journalAbbreviation":"Clinical Infectious Diseases","page":"1436-1439","source":"Silverchair","title":"Transmission-blocking Effects of Primaquine and Methylene Blue Suggest Plasmodium falciparum Gametocyte Sterilization Rather Than Effects on Sex Ratio","volume":"69","author":[{"family":"Bradley","given":"John"},{"family":"Soumaré","given":"Harouna M"},{"family":"Mahamar","given":"Almahamoudou"},{"family":"Diawara","given":"Halimatou"},{"family":"Roh","given":"Michelle"},{"family":"Delves","given":"Michael"},{"family":"Drakeley","given":"Chris"},{"family":"Churcher","given":"Thomas S"},{"family":"Dicko","given":"Alassane"},{"family":"Gosling","given":"Roly"},{"family":"Bousema","given":"Teun"}],"issued":{"date-parts":[["2019",9,27]]}}}],"schema":"https://github.com/citation-style-language/schema/raw/master/csl-citation.json"} </w:instrText>
      </w:r>
      <w:r w:rsidR="00582A11">
        <w:fldChar w:fldCharType="separate"/>
      </w:r>
      <w:r w:rsidR="00FB2554">
        <w:rPr>
          <w:noProof/>
        </w:rPr>
        <w:t>[19]</w:t>
      </w:r>
      <w:r w:rsidR="00582A11">
        <w:fldChar w:fldCharType="end"/>
      </w:r>
      <w:r w:rsidR="00582A11">
        <w:t xml:space="preserve">. This will compare infectivity between groups after stratifying into categories based on total gametocytes per microliter. Within these bins differences in infectivity between arms will be tested, thereby investigating sterilizing effects of gametocytocidal drugs. </w:t>
      </w:r>
      <w:r w:rsidRPr="009B79D7">
        <w:t>For all analyses, the threshold for statistical significance will be set at p&lt;0.05.</w:t>
      </w:r>
      <w:bookmarkEnd w:id="571"/>
    </w:p>
    <w:p w14:paraId="293BE5C7" w14:textId="3539CC36" w:rsidR="003F29E1" w:rsidRPr="003F29E1" w:rsidRDefault="003F29E1">
      <w:pPr>
        <w:pStyle w:val="Heading2"/>
      </w:pPr>
      <w:bookmarkStart w:id="572" w:name="_Toc100324490"/>
      <w:bookmarkStart w:id="573" w:name="_Toc101205008"/>
      <w:bookmarkStart w:id="574" w:name="_Toc101205127"/>
      <w:bookmarkStart w:id="575" w:name="_Toc101205273"/>
      <w:bookmarkStart w:id="576" w:name="_Toc102984990"/>
      <w:bookmarkStart w:id="577" w:name="_Toc102985841"/>
      <w:bookmarkStart w:id="578" w:name="_Toc104981673"/>
      <w:bookmarkStart w:id="579" w:name="_Toc106288963"/>
      <w:r>
        <w:t>Publication/Dissemination</w:t>
      </w:r>
      <w:bookmarkEnd w:id="572"/>
      <w:bookmarkEnd w:id="573"/>
      <w:bookmarkEnd w:id="574"/>
      <w:bookmarkEnd w:id="575"/>
      <w:bookmarkEnd w:id="576"/>
      <w:bookmarkEnd w:id="577"/>
      <w:bookmarkEnd w:id="578"/>
      <w:bookmarkEnd w:id="579"/>
    </w:p>
    <w:p w14:paraId="706F4B55" w14:textId="6D9ADB1E" w:rsidR="003F29E1" w:rsidRDefault="00BF0173" w:rsidP="005C18D2">
      <w:pPr>
        <w:jc w:val="both"/>
      </w:pPr>
      <w:bookmarkStart w:id="580" w:name="_Toc101205009"/>
      <w:r w:rsidRPr="009B79D7">
        <w:t xml:space="preserve">Findings will be analysed and presented to local researchers and stakeholders in Mali and at other research meetings and symposium. Data will be submitted for publication in peer reviewed journals in due course. Anonymized data </w:t>
      </w:r>
      <w:r w:rsidR="00F42527">
        <w:t>will</w:t>
      </w:r>
      <w:r w:rsidR="00F42527" w:rsidRPr="009B79D7">
        <w:t xml:space="preserve"> </w:t>
      </w:r>
      <w:r w:rsidRPr="009B79D7">
        <w:t>be shared in public repositories upon publication.</w:t>
      </w:r>
      <w:bookmarkEnd w:id="580"/>
    </w:p>
    <w:p w14:paraId="1D8AE086" w14:textId="7287CC63" w:rsidR="003F29E1" w:rsidRDefault="003F29E1">
      <w:pPr>
        <w:pStyle w:val="Heading1"/>
      </w:pPr>
      <w:bookmarkStart w:id="581" w:name="_Toc100324491"/>
      <w:bookmarkStart w:id="582" w:name="_Toc101205010"/>
      <w:bookmarkStart w:id="583" w:name="_Toc101205128"/>
      <w:bookmarkStart w:id="584" w:name="_Toc101205274"/>
      <w:bookmarkStart w:id="585" w:name="_Toc102984991"/>
      <w:bookmarkStart w:id="586" w:name="_Toc102985842"/>
      <w:bookmarkStart w:id="587" w:name="_Toc104981674"/>
      <w:bookmarkStart w:id="588" w:name="_Toc106288964"/>
      <w:r>
        <w:t>ETHICAL CONSIDERATIONS</w:t>
      </w:r>
      <w:bookmarkEnd w:id="581"/>
      <w:bookmarkEnd w:id="582"/>
      <w:bookmarkEnd w:id="583"/>
      <w:bookmarkEnd w:id="584"/>
      <w:bookmarkEnd w:id="585"/>
      <w:bookmarkEnd w:id="586"/>
      <w:bookmarkEnd w:id="587"/>
      <w:bookmarkEnd w:id="588"/>
    </w:p>
    <w:p w14:paraId="0795EF31" w14:textId="1C758888" w:rsidR="002B540C" w:rsidRPr="003F29E1" w:rsidRDefault="003F29E1" w:rsidP="003F29E1">
      <w:pPr>
        <w:jc w:val="both"/>
        <w:rPr>
          <w:rFonts w:eastAsia="Times New Roman"/>
          <w:lang w:eastAsia="en-CA"/>
        </w:rPr>
      </w:pPr>
      <w:r w:rsidRPr="003F29E1">
        <w:rPr>
          <w:rFonts w:eastAsia="Times New Roman"/>
          <w:lang w:eastAsia="en-CA"/>
        </w:rPr>
        <w:t xml:space="preserve">This research will be conducted in compliance with the protocol, Good Clinical Practice (GCP) guidelines, and all applicable regulatory requirements. A copy of the protocol, informed consent forms, and any other documents given to study participants will be submitted to the ethics committees (EC) of all the institutions involved. Written approval will be obtained for all subsequent amendments to the protocol, informed consent documents, and other study documentation referenced above. The investigator will notify the ECs and </w:t>
      </w:r>
      <w:r w:rsidR="00956157">
        <w:rPr>
          <w:rFonts w:eastAsia="Times New Roman"/>
          <w:lang w:eastAsia="en-CA"/>
        </w:rPr>
        <w:t>DSMB</w:t>
      </w:r>
      <w:r w:rsidRPr="003F29E1">
        <w:rPr>
          <w:rFonts w:eastAsia="Times New Roman"/>
          <w:lang w:eastAsia="en-CA"/>
        </w:rPr>
        <w:t xml:space="preserve"> of violations of the protocol and serious adverse events. Ethical approval will be sought from the Ethics Committee of the Faculty of Medicine, Pharmacy, and Dentistry of the University of Science, Techniques, and Technologies of Bamako (Bamako, Mali) and the Research Ethics Committee of the London School of Hygiene &amp; Tropical Medicine (London, UK). No activities will start before approval has been received by both committees.</w:t>
      </w:r>
    </w:p>
    <w:p w14:paraId="6128CC3E" w14:textId="139BE273" w:rsidR="002B540C" w:rsidRDefault="002B540C">
      <w:pPr>
        <w:pStyle w:val="Heading2"/>
      </w:pPr>
      <w:bookmarkStart w:id="589" w:name="_Toc100324492"/>
      <w:bookmarkStart w:id="590" w:name="_Toc101205011"/>
      <w:bookmarkStart w:id="591" w:name="_Toc101205129"/>
      <w:bookmarkStart w:id="592" w:name="_Toc101205275"/>
      <w:bookmarkStart w:id="593" w:name="_Toc102984992"/>
      <w:bookmarkStart w:id="594" w:name="_Toc102985843"/>
      <w:bookmarkStart w:id="595" w:name="_Toc104981675"/>
      <w:bookmarkStart w:id="596" w:name="_Toc106288965"/>
      <w:r>
        <w:t>Confidentiality</w:t>
      </w:r>
      <w:bookmarkEnd w:id="589"/>
      <w:bookmarkEnd w:id="590"/>
      <w:bookmarkEnd w:id="591"/>
      <w:bookmarkEnd w:id="592"/>
      <w:bookmarkEnd w:id="593"/>
      <w:bookmarkEnd w:id="594"/>
      <w:bookmarkEnd w:id="595"/>
      <w:bookmarkEnd w:id="596"/>
    </w:p>
    <w:p w14:paraId="40BB1765" w14:textId="77777777" w:rsidR="00114C5E" w:rsidRPr="00114C5E" w:rsidRDefault="00114C5E" w:rsidP="00114C5E">
      <w:pPr>
        <w:jc w:val="both"/>
        <w:rPr>
          <w:lang w:eastAsia="en-CA"/>
        </w:rPr>
      </w:pPr>
      <w:r w:rsidRPr="00114C5E">
        <w:rPr>
          <w:lang w:eastAsia="en-CA"/>
        </w:rPr>
        <w:t xml:space="preserve">The investigator will ensure that the subject’s anonymity is maintained. Participants will not be identified in any publicly released reports of this study. All records will be kept confidential to the extent provided by laws and regulations. The study monitors and other authorized representatives of the regulatory authorities may inspect all documents and records required to be maintained by the Investigator. </w:t>
      </w:r>
    </w:p>
    <w:p w14:paraId="647D45D8" w14:textId="77777777" w:rsidR="00114C5E" w:rsidRPr="00114C5E" w:rsidRDefault="00114C5E" w:rsidP="00114C5E">
      <w:pPr>
        <w:jc w:val="both"/>
        <w:rPr>
          <w:lang w:eastAsia="en-CA"/>
        </w:rPr>
      </w:pPr>
      <w:r w:rsidRPr="00114C5E">
        <w:rPr>
          <w:lang w:eastAsia="en-CA"/>
        </w:rPr>
        <w:t xml:space="preserve">All laboratory specimens, evaluation forms, reports, and other records that leave the site will be identified only by a coded number to maintain subject confidentiality. </w:t>
      </w:r>
    </w:p>
    <w:p w14:paraId="2A83847E" w14:textId="43913033" w:rsidR="00114C5E" w:rsidRPr="00114C5E" w:rsidRDefault="00114C5E" w:rsidP="00114C5E">
      <w:pPr>
        <w:jc w:val="both"/>
        <w:rPr>
          <w:lang w:eastAsia="en-CA"/>
        </w:rPr>
      </w:pPr>
      <w:r w:rsidRPr="00114C5E">
        <w:rPr>
          <w:lang w:eastAsia="en-CA"/>
        </w:rPr>
        <w:lastRenderedPageBreak/>
        <w:t xml:space="preserve">Fully anonymized data </w:t>
      </w:r>
      <w:r w:rsidR="00F42527">
        <w:rPr>
          <w:lang w:eastAsia="en-CA"/>
        </w:rPr>
        <w:t>will</w:t>
      </w:r>
      <w:r w:rsidR="00F42527" w:rsidRPr="00114C5E">
        <w:rPr>
          <w:lang w:eastAsia="en-CA"/>
        </w:rPr>
        <w:t xml:space="preserve"> </w:t>
      </w:r>
      <w:r w:rsidRPr="00114C5E">
        <w:rPr>
          <w:lang w:eastAsia="en-CA"/>
        </w:rPr>
        <w:t>be uploaded to publicly available data repositories (e.g. https://datadryad.org/, https://www.biorxiv.org/) if requested as a pre-requisite for publication of this research. This will be explained in the participant information and during the consenting procedure. The upload of anonymized data will only be permitted if the participants/participants parents provide explicit approval during consent (a tick box in addition to the signature required for trial participation).</w:t>
      </w:r>
    </w:p>
    <w:p w14:paraId="37D5A4FD" w14:textId="1EF0CA3F" w:rsidR="002B540C" w:rsidRDefault="002B540C">
      <w:pPr>
        <w:pStyle w:val="Heading2"/>
      </w:pPr>
      <w:bookmarkStart w:id="597" w:name="_Toc100324493"/>
      <w:bookmarkStart w:id="598" w:name="_Toc101205012"/>
      <w:bookmarkStart w:id="599" w:name="_Toc101205130"/>
      <w:bookmarkStart w:id="600" w:name="_Toc101205276"/>
      <w:bookmarkStart w:id="601" w:name="_Toc102984993"/>
      <w:bookmarkStart w:id="602" w:name="_Toc102985844"/>
      <w:bookmarkStart w:id="603" w:name="_Toc104981676"/>
      <w:bookmarkStart w:id="604" w:name="_Toc106288966"/>
      <w:r>
        <w:t>Risk</w:t>
      </w:r>
      <w:bookmarkEnd w:id="597"/>
      <w:bookmarkEnd w:id="598"/>
      <w:bookmarkEnd w:id="599"/>
      <w:bookmarkEnd w:id="600"/>
      <w:bookmarkEnd w:id="601"/>
      <w:bookmarkEnd w:id="602"/>
      <w:bookmarkEnd w:id="603"/>
      <w:bookmarkEnd w:id="604"/>
    </w:p>
    <w:p w14:paraId="7B05D869" w14:textId="3055865B" w:rsidR="00114C5E" w:rsidRPr="009B79D7" w:rsidRDefault="00114C5E" w:rsidP="00114C5E">
      <w:pPr>
        <w:jc w:val="both"/>
      </w:pPr>
      <w:r w:rsidRPr="009B79D7">
        <w:t xml:space="preserve">This study </w:t>
      </w:r>
      <w:r w:rsidR="00B767D0">
        <w:t>only</w:t>
      </w:r>
      <w:r w:rsidRPr="009B79D7">
        <w:t xml:space="preserve"> involve</w:t>
      </w:r>
      <w:r w:rsidR="00B767D0">
        <w:t>s</w:t>
      </w:r>
      <w:r w:rsidRPr="009B79D7">
        <w:t xml:space="preserve"> the use of antimalarial drugs at doses equal or lower than the recommended dosing and schedules. </w:t>
      </w:r>
      <w:r w:rsidR="00731718">
        <w:t>All drugs have been studie</w:t>
      </w:r>
      <w:r w:rsidR="004D11E0">
        <w:t>d</w:t>
      </w:r>
      <w:r w:rsidR="00731718">
        <w:t xml:space="preserve"> thoroughly and their toxicities are well described.</w:t>
      </w:r>
    </w:p>
    <w:p w14:paraId="55F66113" w14:textId="516A3A68" w:rsidR="00114C5E" w:rsidRDefault="00A166CB" w:rsidP="00B91D68">
      <w:pPr>
        <w:jc w:val="both"/>
      </w:pPr>
      <w:proofErr w:type="spellStart"/>
      <w:r w:rsidRPr="00A166CB">
        <w:t>Venipuncture</w:t>
      </w:r>
      <w:proofErr w:type="spellEnd"/>
      <w:r w:rsidRPr="00A166CB">
        <w:t xml:space="preserve"> </w:t>
      </w:r>
      <w:r>
        <w:t>can be</w:t>
      </w:r>
      <w:r w:rsidRPr="00A166CB">
        <w:t xml:space="preserve"> associated with pain and bruising at the site of the prick, and rarely infection. </w:t>
      </w:r>
      <w:r w:rsidR="00114C5E" w:rsidRPr="009B79D7">
        <w:t xml:space="preserve">Risks will be minimized by the study sites by ensuring adequate training of staff in all procedures and supply of consumables. The study site adheres to the standards of GCP and will be monitored. </w:t>
      </w:r>
    </w:p>
    <w:p w14:paraId="42D03497" w14:textId="300C13DD" w:rsidR="00B767D0" w:rsidRDefault="00B767D0">
      <w:pPr>
        <w:pStyle w:val="Heading2"/>
        <w:numPr>
          <w:ilvl w:val="2"/>
          <w:numId w:val="13"/>
        </w:numPr>
      </w:pPr>
      <w:bookmarkStart w:id="605" w:name="_Toc102984994"/>
      <w:bookmarkStart w:id="606" w:name="_Toc102985845"/>
      <w:bookmarkStart w:id="607" w:name="_Toc104981677"/>
      <w:bookmarkStart w:id="608" w:name="_Toc106288967"/>
      <w:r>
        <w:t>Risk of artesunate-amodiaquine</w:t>
      </w:r>
      <w:bookmarkEnd w:id="605"/>
      <w:bookmarkEnd w:id="606"/>
      <w:bookmarkEnd w:id="607"/>
      <w:bookmarkEnd w:id="608"/>
    </w:p>
    <w:p w14:paraId="5C21BA4C" w14:textId="7F1FF571" w:rsidR="009B2F31" w:rsidRPr="00B12845" w:rsidRDefault="00B12845" w:rsidP="00B12845">
      <w:pPr>
        <w:jc w:val="both"/>
        <w:rPr>
          <w:rFonts w:ascii="Times New Roman" w:hAnsi="Times New Roman"/>
          <w:sz w:val="24"/>
        </w:rPr>
      </w:pPr>
      <w:r>
        <w:rPr>
          <w:rFonts w:hint="eastAsia"/>
        </w:rPr>
        <w:t xml:space="preserve">About 30% of treated patients experience adverse reactions. Most of the reported adverse reactions </w:t>
      </w:r>
      <w:r>
        <w:t>are</w:t>
      </w:r>
      <w:r>
        <w:rPr>
          <w:rFonts w:hint="eastAsia"/>
        </w:rPr>
        <w:t xml:space="preserve"> similar to symptoms usually seen during a malaria attack. </w:t>
      </w:r>
      <w:r>
        <w:t>Common side effects of artesunate-amodiaquine include anorexia, abdominal pain, nausea, asthenia, somnolence, insomnia and cough. More serious adverse reactions, although infrequently, are anaemia and vertigo.</w:t>
      </w:r>
    </w:p>
    <w:p w14:paraId="5F55F3E1" w14:textId="55A906CE" w:rsidR="00B767D0" w:rsidRPr="006F7298" w:rsidRDefault="00B767D0">
      <w:pPr>
        <w:pStyle w:val="Heading2"/>
        <w:numPr>
          <w:ilvl w:val="2"/>
          <w:numId w:val="13"/>
        </w:numPr>
      </w:pPr>
      <w:bookmarkStart w:id="609" w:name="_Toc102984995"/>
      <w:bookmarkStart w:id="610" w:name="_Toc102985846"/>
      <w:bookmarkStart w:id="611" w:name="_Toc104981678"/>
      <w:bookmarkStart w:id="612" w:name="_Toc106288968"/>
      <w:r w:rsidRPr="006F7298">
        <w:t>Risk of primaquin</w:t>
      </w:r>
      <w:r w:rsidR="00B12845" w:rsidRPr="006F7298">
        <w:t>e</w:t>
      </w:r>
      <w:bookmarkEnd w:id="609"/>
      <w:bookmarkEnd w:id="610"/>
      <w:bookmarkEnd w:id="611"/>
      <w:bookmarkEnd w:id="612"/>
    </w:p>
    <w:p w14:paraId="32615924" w14:textId="5F481457" w:rsidR="00B12845" w:rsidRPr="00B12845" w:rsidRDefault="0030231C" w:rsidP="0030231C">
      <w:pPr>
        <w:jc w:val="both"/>
      </w:pPr>
      <w:r w:rsidRPr="009B79D7">
        <w:t xml:space="preserve">Primaquine is known to cause dose-dependent haemolysis among individuals who are deficient in glucose-6-phosphate dehydrogenase (G6PD), an enzyme involved in glucose metabolism prevalent in </w:t>
      </w:r>
      <w:r w:rsidR="009853A1">
        <w:t>malaria endemic</w:t>
      </w:r>
      <w:r w:rsidRPr="009B79D7">
        <w:t xml:space="preserve"> geographie</w:t>
      </w:r>
      <w:r>
        <w:t>s</w:t>
      </w:r>
      <w:r w:rsidR="001F5E98">
        <w:t xml:space="preserve"> </w:t>
      </w:r>
      <w:r w:rsidR="001F5E98">
        <w:fldChar w:fldCharType="begin"/>
      </w:r>
      <w:r w:rsidR="00FB2554">
        <w:instrText xml:space="preserve"> ADDIN ZOTERO_ITEM CSL_CITATION {"citationID":"4O4WA56a","properties":{"formattedCitation":"[31]","plainCitation":"[31]","noteIndex":0},"citationItems":[{"id":1182,"uris":["http://zotero.org/users/7806423/items/68INIJYJ"],"itemData":{"id":1182,"type":"article-journal","container-title":"The Lancet","DOI":"10.1016/S0140-6736(08)60073-2","ISSN":"0140-6736, 1474-547X","issue":"9606","journalAbbreviation":"The Lancet","language":"English","note":"publisher: Elsevier\nPMID: 18177777","page":"64-74","source":"www.thelancet.com","title":"Glucose-6-phosphate dehydrogenase deficiency","volume":"371","author":[{"family":"Cappellini","given":"M. D."},{"family":"Fiorelli","given":"G."}],"issued":{"date-parts":[["2008",1,5]]}}}],"schema":"https://github.com/citation-style-language/schema/raw/master/csl-citation.json"} </w:instrText>
      </w:r>
      <w:r w:rsidR="001F5E98">
        <w:fldChar w:fldCharType="separate"/>
      </w:r>
      <w:r w:rsidR="00FB2554">
        <w:rPr>
          <w:noProof/>
        </w:rPr>
        <w:t>[31]</w:t>
      </w:r>
      <w:r w:rsidR="001F5E98">
        <w:fldChar w:fldCharType="end"/>
      </w:r>
      <w:r w:rsidRPr="009B79D7">
        <w:t>. Haemolysis in G6PD-deficient</w:t>
      </w:r>
      <w:r w:rsidR="009853A1">
        <w:t xml:space="preserve"> </w:t>
      </w:r>
      <w:r w:rsidRPr="009B79D7">
        <w:t>individuals is caused by oxidative stress induced by primaquine within red blood cells (RBCs); the extent of haemolysis depends on several factors including the dose of primaquine, the type of G6PD deficiency, the functional G6PD assessment at the time of dosing, the concurrent use of other oxidant drugs, and whether the person is hemizygous (homozygous) or heterozygous for G6PD-deficienc</w:t>
      </w:r>
      <w:r>
        <w:t>y</w:t>
      </w:r>
      <w:r w:rsidR="004F2C06">
        <w:t xml:space="preserve"> </w:t>
      </w:r>
      <w:r w:rsidR="004F2C06">
        <w:fldChar w:fldCharType="begin"/>
      </w:r>
      <w:r w:rsidR="00FB2554">
        <w:instrText xml:space="preserve"> ADDIN ZOTERO_ITEM CSL_CITATION {"citationID":"RVC4UUkl","properties":{"formattedCitation":"[31]","plainCitation":"[31]","noteIndex":0},"citationItems":[{"id":1182,"uris":["http://zotero.org/users/7806423/items/68INIJYJ"],"itemData":{"id":1182,"type":"article-journal","container-title":"The Lancet","DOI":"10.1016/S0140-6736(08)60073-2","ISSN":"0140-6736, 1474-547X","issue":"9606","journalAbbreviation":"The Lancet","language":"English","note":"publisher: Elsevier\nPMID: 18177777","page":"64-74","source":"www.thelancet.com","title":"Glucose-6-phosphate dehydrogenase deficiency","volume":"371","author":[{"family":"Cappellini","given":"M. D."},{"family":"Fiorelli","given":"G."}],"issued":{"date-parts":[["2008",1,5]]}}}],"schema":"https://github.com/citation-style-language/schema/raw/master/csl-citation.json"} </w:instrText>
      </w:r>
      <w:r w:rsidR="004F2C06">
        <w:fldChar w:fldCharType="separate"/>
      </w:r>
      <w:r w:rsidR="00FB2554">
        <w:rPr>
          <w:noProof/>
        </w:rPr>
        <w:t>[31]</w:t>
      </w:r>
      <w:r w:rsidR="004F2C06">
        <w:fldChar w:fldCharType="end"/>
      </w:r>
      <w:r w:rsidRPr="009B79D7">
        <w:t xml:space="preserve">. In 2010 the WHO recommended the addition of a single low dose of primaquine (0.25 mg/kg) to standard ACT treatment, without mandatory G6PD testing to block </w:t>
      </w:r>
      <w:r w:rsidRPr="009B79D7">
        <w:rPr>
          <w:i/>
        </w:rPr>
        <w:t>P. falciparum</w:t>
      </w:r>
      <w:r w:rsidRPr="009B79D7">
        <w:t xml:space="preserve"> transmission in areas threatened by artemisinin resistance or approaching malaria elimination</w:t>
      </w:r>
      <w:r w:rsidR="00CB7371">
        <w:t xml:space="preserve"> </w:t>
      </w:r>
      <w:r w:rsidR="00CB7371">
        <w:fldChar w:fldCharType="begin"/>
      </w:r>
      <w:r w:rsidR="00FB2554">
        <w:instrText xml:space="preserve"> ADDIN ZOTERO_ITEM CSL_CITATION {"citationID":"GATMsua1","properties":{"formattedCitation":"[1], [32]","plainCitation":"[1], [32]","noteIndex":0},"citationItems":[{"id":279,"uris":["http://zotero.org/users/7806423/items/LQE84JMR"],"itemData":{"id":279,"type":"document","title":"Updated WHO policy recommendation October 2012: single dose primaquine as a gametocytocide in Plasmodium falciparum malaria","author":[{"literal":"World Health Organization"}],"issued":{"date-parts":[["2012"]]}}},{"id":1186,"uris":["http://zotero.org/users/7806423/items/YAD83KYY"],"itemData":{"id":1186,"type":"article-journal","abstract":"In areas of low malaria transmission, it is currently recommended that a single dose of primaquine (0.75 mg base/kg; 45 mg adult dose) be added to artemisinin combination treatment (ACT) in acute falciparum malaria to block malaria transmission. Review of studies of transmission-blocking activity based on the infectivity of patients or volunteers to anopheline mosquitoes, and of haemolytic toxicity in glucose 6-dehydrogenase (G6PD) deficient subjects, suggests that a lower primaquine dose (0.25 mg base/kg) would be safer and equally effective. This lower dose could be deployed together with ACTs without G6PD testing wherever use of a specific gametocytocide is indicated.","container-title":"Malaria Journal","DOI":"10.1186/1475-2875-11-418","ISSN":"1475-2875","issue":"1","journalAbbreviation":"Malaria Journal","page":"418","source":"BioMed Central","title":"Rationale for recommending a lower dose of primaquine as a Plasmodium falciparum gametocytocide in populations where G6PD deficiency is common","volume":"11","author":[{"family":"White","given":"Nicholas J."},{"family":"Qiao","given":"Li Guo"},{"family":"Qi","given":"Gao"},{"family":"Luzzatto","given":"Lucio"}],"issued":{"date-parts":[["2012",12,14]]}}}],"schema":"https://github.com/citation-style-language/schema/raw/master/csl-citation.json"} </w:instrText>
      </w:r>
      <w:r w:rsidR="00CB7371">
        <w:fldChar w:fldCharType="separate"/>
      </w:r>
      <w:r w:rsidR="00FB2554">
        <w:rPr>
          <w:noProof/>
        </w:rPr>
        <w:t>[1], [32]</w:t>
      </w:r>
      <w:r w:rsidR="00CB7371">
        <w:fldChar w:fldCharType="end"/>
      </w:r>
      <w:r w:rsidRPr="009B79D7">
        <w:t>. The safety of single low dose PQ has subsequently been confirmed in clinical trials where PQ was combined with either DP or AL</w:t>
      </w:r>
      <w:r w:rsidR="00CB7371">
        <w:t xml:space="preserve"> </w:t>
      </w:r>
      <w:r w:rsidR="00CB7371">
        <w:fldChar w:fldCharType="begin"/>
      </w:r>
      <w:r w:rsidR="00FB2554">
        <w:instrText xml:space="preserve"> ADDIN ZOTERO_ITEM CSL_CITATION {"citationID":"WvGyAhoh","properties":{"formattedCitation":"[33]\\uc0\\u8211{}[35]","plainCitation":"[33]–[35]","noteIndex":0},"citationItems":[{"id":275,"uris":["http://zotero.org/users/7806423/items/UJ8SHGFZ"],"itemData":{"id":275,"type":"article-journal","abstract":"This phase 1, open-label, nonrandomized, dose-adjustment trial showed that single doses of primaquine between 0.40 and 0.50 mg/kg were well tolerated in G6PD-deficient and G6PD-normal males in Mali, supporting the World Health Organization recommendation on the use of a single low of dose primaquine to reduce Plasmodium falciparum malaria transmission.","container-title":"The Journal of Infectious Diseases","DOI":"10.1093/infdis/jiy014","ISSN":"0022-1899","issue":"8","journalAbbreviation":"J Infect Dis","note":"PMID: 29342267\nPMCID: PMC5974787","page":"1298-1308","source":"PubMed Central","title":"Safety of Single-Dose Primaquine in G6PD-Deficient and G6PD-Normal Males in Mali Without Malaria: An Open-Label, Phase 1, Dose-Adjustment Trial","title-short":"Safety of Single-Dose Primaquine in G6PD-Deficient and G6PD-Normal Males in Mali Without Malaria","volume":"217","author":[{"family":"Chen","given":"Ingrid"},{"family":"Diawara","given":"Halimatou"},{"family":"Mahamar","given":"Almahamoudou"},{"family":"Sanogo","given":"Koualy"},{"family":"Keita","given":"Sekouba"},{"family":"Kone","given":"Daouda"},{"family":"Diarra","given":"Kalifa"},{"family":"Djimde","given":"Moussa"},{"family":"Keita","given":"Mohamed"},{"family":"Brown","given":"Joelle"},{"family":"Roh","given":"Michelle E"},{"family":"Hwang","given":"Jimee"},{"family":"Pett","given":"Helmi"},{"family":"Murphy","given":"Maxwell"},{"family":"Niemi","given":"Mikko"},{"family":"Greenhouse","given":"Bryan"},{"family":"Bousema","given":"Teun"},{"family":"Gosling","given":"Roly"},{"family":"Dicko","given":"Alassane"}],"issued":{"date-parts":[["2018",4,15]]}}},{"id":1208,"uris":["http://zotero.org/users/7806423/items/HJ6GZPVI"],"itemData":{"id":1208,"type":"article-journal","abstract":"BACKGROUND: Primaquine (PQ) actively clears mature Plasmodium falciparum gametocytes but in glucose-6-phosphate dehydrogenase deficient (G6PDd) individuals can cause hemolysis. We assessed the safety of low-dose PQ in combination with artemether-lumefantrine (AL) or dihydroartemisinin-piperaquine (DP) in G6PDd African males with asymptomatic P. falciparum malaria.\nMETHODS AND FINDINGS: In Burkina Faso, G6PDd adult males were randomized to treatment with AL alone (n = 10) or with PQ at 0.25 (n = 20) or 0.40 mg/kg (n = 20) dosage; G6PD-normal males received AL plus 0.25 (n = 10) or 0.40 mg/kg (n = 10) PQ. In The Gambia, G6PDd adult males and boys received DP alone (n = 10) or with 0.25 mg/kg PQ (n = 20); G6PD-normal males received DP plus 0.25 (n = 10) or 0.40 mg/kg (n = 10) PQ. The primary study endpoint was change in hemoglobin concentration during the 28-day follow-up. Cytochrome P-450 isoenzyme 2D6 (CYP2D6) metabolizer status, gametocyte carriage, haptoglobin, lactate dehydrogenase levels and reticulocyte counts were also determined. In Burkina Faso, the mean maximum absolute change in hemoglobin was -2.13 g/dL (95% confidence interval [CI], -2.78, -1.49) in G6PDd individuals randomized to 0.25 PQ mg/kg and -2.29 g/dL (95% CI, -2.79, -1.79) in those receiving 0.40 PQ mg/kg. In The Gambia, the mean maximum absolute change in hemoglobin concentration was -1.83 g/dL (95% CI, -2.19, -1.47) in G6PDd individuals receiving 0.25 PQ mg/kg. After adjustment for baseline concentrations, hemoglobin reductions in G6PDd individuals in Burkina Faso were more pronounced compared to those in G6PD-normal individuals receiving the same PQ doses (P = 0.062 and P = 0.022, respectively). Hemoglobin levels normalized during follow-up. Abnormal haptoglobin and lactate dehydrogenase levels provided additional evidence of mild transient hemolysis post-PQ.\nCONCLUSIONS: Single low-dose PQ in combination with AL and DP was associated with mild and transient reductions in hemoglobin. None of the study participants developed moderate or severe anemia; there were no severe adverse events. This indicates that single low-dose PQ is safe in G6PDd African males when used with artemisinin-based combination therapy.\nTRIAL REGISTRATION: Clinicaltrials.gov NCT02174900 Clinicaltrials.gov NCT02654730.","container-title":"PloS One","DOI":"10.1371/journal.pone.0190272","ISSN":"1932-6203","issue":"1","journalAbbreviation":"PLoS One","language":"eng","note":"PMID: 29324864\nPMCID: PMC5764271","page":"e0190272","source":"PubMed","title":"Safety of single low-dose primaquine in glucose-6-phosphate dehydrogenase deficient falciparum-infected African males: Two open-label, randomized, safety trials","title-short":"Safety of single low-dose primaquine in glucose-6-phosphate dehydrogenase deficient falciparum-infected African males","volume":"13","author":[{"family":"Bastiaens","given":"Guido J. H."},{"family":"Tiono","given":"Alfred B."},{"family":"Okebe","given":"Joseph"},{"family":"Pett","given":"Helmi E."},{"family":"Coulibaly","given":"Sam A."},{"family":"Gonçalves","given":"Bronner P."},{"family":"Affara","given":"Muna"},{"family":"Ouédraogo","given":"Alphonse"},{"family":"Bougouma","given":"Edith C."},{"family":"Sanou","given":"Guillaume S."},{"family":"Nébié","given":"Issa"},{"family":"Bradley","given":"John"},{"family":"Lanke","given":"Kjerstin H. W."},{"family":"Niemi","given":"Mikko"},{"family":"Sirima","given":"Sodiomon B."},{"family":"Alessandro","given":"Umberto","non-dropping-particle":"d'"},{"family":"Bousema","given":"Teun"},{"family":"Drakeley","given":"Chris"}],"issued":{"date-parts":[["2018"]]}}},{"id":1211,"uris":["http://zotero.org/users/7806423/items/E6ENDA6J"],"itemData":{"id":1211,"type":"article-journal","abstract":"BACKGROUND: Primaquine is the only available drug that clears mature Plasmodium falciparum gametocytes in infected human hosts, thereby preventing transmission of malaria to mosquitoes. However, concerns about dose-dependent haemolysis in people with glucose-6-phosphate dehydrogenase (G6PD) deficiencies have limited its use. We assessed the dose-response association of single-dose primaquine for gametocyte clearance and for safety in P falciparum malaria.\nMETHODS: We undertook this randomised, double-blind, placebo-controlled trial with four parallel groups in Jinja district, eastern Uganda. We randomly allocated Ugandan children aged 1-10 years with uncomplicated falciparum malaria and normal G6PD enzyme function to receive artemether-lumefantrine, combined with either placebo or with 0.1 mg/kg, 0.4 mg/kg, or 0.75 mg/kg (WHO reference dose) primaquine base. Randomisation was done with computer-generated four-digit treatment assignment codes allocated to random dose groups in block sizes of 16. Study staff who provided care or assessed outcomes and the participants remained masked to the intervention group after assignment. The primary efficacy endpoint was the non-inferiority of the mean duration of gametocyte carriage in the test doses compared with the reference group of 0.75 mg primaquine per kg, with a non-inferiority margin of 2.5 days. The primary safety endpoint was the superiority of the arithmetic mean maximum decrease in haemoglobin concentration from enrolment to day 28 of follow-up in the primaquine treatment groups compared with placebo, with use of significance testing of pairwise comparisons with a cutoff of p=0.05. The trial is registered with ClinicalTrials.gov, number NCT01365598.\nFINDINGS: We randomly allocated 468 participants to receive artemether-lumefantrine combined with placebo (119 children) or with 0.1 mg/kg (116), 0.4 mg/kg (116), or 0.75 mg/kg (117) primaquine base. The mean duration of gametocyte carriage was 6.6 days (95% CI 5.3-7.8) in the 0.75 mg/kg reference group, 6.3 days (5.1-7.5) in the 0.4 mg/kg primaquine group (p=0.74), 8.0 days (6.6-9.4) in the 0.1 mg/kg primaquine group (p=0.14), and 12.4 days (9.9-15.0) in the placebo group (p&lt;0.0001). No children showed evidence of treatment-related haemolysis, and the mean maximum decrease in haemoglobin concentration was not associated with the dose of primaquine received-it did not differ significantly compared with placebo (10.7 g/L, SD 11.1) in the 0.1 mg/kg (11.4 g/L, 9.4; p=0.61), 0.4 mg/kg (11.3 g/L, 10.0; p=0.67), or 0.75 mg/kg (12.7 g/L, 8.2; p=0.11) primaquine groups.\nINTERPRETATION: We conclude that 0.4 mg/kg primaquine has similar gametocytocidal efficacy to the reference 0.75 mg/kg primaquine dose, but a dose of 0.1 mg/kg was inconclusive for non-inferiority. Our findings call for the prioritisation of further trials into the efficacy and safety of doses of primaquine between 0.1 mg/kg and 0.4 mg/kg (including the dose of 0.25 mg/kg recently recommended by WHO), in view of the potential for widespread use of the drug to block malaria transmission.\nFUNDING: Wellcome Trust and the Bill &amp; Melinda Gates Foundation.","container-title":"The Lancet. Infectious Diseases","DOI":"10.1016/S1473-3099(13)70268-8","ISSN":"1474-4457","issue":"2","journalAbbreviation":"Lancet Infect Dis","language":"eng","note":"PMID: 24239324","page":"130-139","source":"PubMed","title":"Single dose primaquine for clearance of Plasmodium falciparum gametocytes in children with uncomplicated malaria in Uganda: a randomised, controlled, double-blind, dose-ranging trial","title-short":"Single dose primaquine for clearance of Plasmodium falciparum gametocytes in children with uncomplicated malaria in Uganda","volume":"14","author":[{"family":"Eziefula","given":"Alice C."},{"family":"Bousema","given":"Teun"},{"family":"Yeung","given":"Shunmay"},{"family":"Kamya","given":"Moses"},{"family":"Owaraganise","given":"Asiphas"},{"family":"Gabagaya","given":"Grace"},{"family":"Bradley","given":"John"},{"family":"Grignard","given":"Lynn"},{"family":"Lanke","given":"Kjerstin H. W."},{"family":"Wanzira","given":"Humphrey"},{"family":"Mpimbaza","given":"Arthur"},{"family":"Nsobya","given":"Samuel"},{"family":"White","given":"Nicholas J."},{"family":"Webb","given":"Emily L."},{"family":"Staedke","given":"Sarah G."},{"family":"Drakeley","given":"Chris"}],"issued":{"date-parts":[["2014",2]]}}}],"schema":"https://github.com/citation-style-language/schema/raw/master/csl-citation.json"} </w:instrText>
      </w:r>
      <w:r w:rsidR="00CB7371">
        <w:fldChar w:fldCharType="separate"/>
      </w:r>
      <w:r w:rsidR="00FB2554" w:rsidRPr="00FB2554">
        <w:rPr>
          <w:rFonts w:cs="Arial"/>
        </w:rPr>
        <w:t>[33]–[35]</w:t>
      </w:r>
      <w:r w:rsidR="00CB7371">
        <w:fldChar w:fldCharType="end"/>
      </w:r>
      <w:r w:rsidRPr="009B79D7">
        <w:fldChar w:fldCharType="begin">
          <w:fldData xml:space="preserve">PEVuZE5vdGU+PENpdGU+PEF1dGhvcj5DaGVuPC9BdXRob3I+PFllYXI+MjAxODwvWWVhcj48UmVj
TnVtPjI4MTA8L1JlY051bT48RGlzcGxheVRleHQ+KDEyLCAxMywgMTUpPC9EaXNwbGF5VGV4dD48
cmVjb3JkPjxyZWMtbnVtYmVyPjI4MTA8L3JlYy1udW1iZXI+PGZvcmVpZ24ta2V5cz48a2V5IGFw
cD0iRU4iIGRiLWlkPSJzdnJmc3BlZHdkdnYyeGV6OXNxdjJkNXB6cHBzdDJzNXZhNWQiIHRpbWVz
dGFtcD0iMTUyMTQ2ODE0MCI+MjgxMDwva2V5PjwvZm9yZWlnbi1rZXlzPjxyZWYtdHlwZSBuYW1l
PSJKb3VybmFsIEFydGljbGUiPjE3PC9yZWYtdHlwZT48Y29udHJpYnV0b3JzPjxhdXRob3JzPjxh
dXRob3I+Q2hlbiwgSW5ncmlkPC9hdXRob3I+PGF1dGhvcj5EaWF3YXJhLCBIYWxpbWF0b3U8L2F1
dGhvcj48YXV0aG9yPk1haGFtYXIsIEFsbWFoYW1vdWRvdTwvYXV0aG9yPjxhdXRob3I+U2Fub2dv
LCBLb3VhbHk8L2F1dGhvcj48YXV0aG9yPktlaXRhLCBTZWtvdWJhPC9hdXRob3I+PGF1dGhvcj5L
b25lLCBEYW91ZGE8L2F1dGhvcj48YXV0aG9yPkRpYXJyYSwgS2FsaWZhPC9hdXRob3I+PGF1dGhv
cj5EamltZGUsIE1vdXNzYTwvYXV0aG9yPjxhdXRob3I+S2VpdGEsIE1vaGFtZWQ8L2F1dGhvcj48
YXV0aG9yPkJyb3duLCBKb2VsbGU8L2F1dGhvcj48YXV0aG9yPlJvaCwgTWljaGVsbGUgRS48L2F1
dGhvcj48YXV0aG9yPkh3YW5nLCBKaW1lZTwvYXV0aG9yPjxhdXRob3I+UGV0dCwgSGVsbWk8L2F1
dGhvcj48YXV0aG9yPk11cnBoeSwgTWF4d2VsbDwvYXV0aG9yPjxhdXRob3I+TmllbWksIE1pa2tv
PC9hdXRob3I+PGF1dGhvcj5HcmVlbmhvdXNlLCBCcnlhbjwvYXV0aG9yPjxhdXRob3I+Qm91c2Vt
YSwgVGV1bjwvYXV0aG9yPjxhdXRob3I+R29zbGluZywgUm9seTwvYXV0aG9yPjxhdXRob3I+RGlj
a28sIEFsYXNzYW5lPC9hdXRob3I+PC9hdXRob3JzPjwvY29udHJpYnV0b3JzPjx0aXRsZXM+PHRp
dGxlPlNhZmV0eSBvZiBTaW5nbGUtRG9zZSBQcmltYXF1aW5lIGluIEc2UEQtRGVmaWNpZW50IGFu
ZCBHNlBELU5vcm1hbCBNYWxlcyBpbiBNYWxpIFdpdGhvdXQgTWFsYXJpYTogQW4gT3Blbi1MYWJl
bCwgUGhhc2UgMSwgRG9zZS1BZGp1c3RtZW50IFRyaWFsPC90aXRsZT48c2Vjb25kYXJ5LXRpdGxl
PlRoZSBKb3VybmFsIG9mIEluZmVjdGlvdXMgRGlzZWFzZXM8L3NlY29uZGFyeS10aXRsZT48L3Rp
dGxlcz48cGVyaW9kaWNhbD48ZnVsbC10aXRsZT5UaGUgSm91cm5hbCBvZiBpbmZlY3Rpb3VzIGRp
c2Vhc2VzPC9mdWxsLXRpdGxlPjwvcGVyaW9kaWNhbD48cGFnZXM+aml5MDE0LWppeTAxNDwvcGFn
ZXM+PGRhdGVzPjx5ZWFyPjIwMTg8L3llYXI+PC9kYXRlcz48aXNibj4wMDIyLTE4OTk8L2lzYm4+
PHVybHM+PHJlbGF0ZWQtdXJscz48dXJsPmh0dHA6Ly9keC5kb2kub3JnLzEwLjEwOTMvaW5mZGlz
L2ppeTAxNDwvdXJsPjwvcmVsYXRlZC11cmxzPjwvdXJscz48ZWxlY3Ryb25pYy1yZXNvdXJjZS1u
dW0+MTAuMTA5My9pbmZkaXMvaml5MDE0PC9lbGVjdHJvbmljLXJlc291cmNlLW51bT48L3JlY29y
ZD48L0NpdGU+PENpdGU+PEF1dGhvcj5CYXN0aWFlbnM8L0F1dGhvcj48WWVhcj4yMDE4PC9ZZWFy
PjxSZWNOdW0+MjgwMzwvUmVjTnVtPjxyZWNvcmQ+PHJlYy1udW1iZXI+MjgwMzwvcmVjLW51bWJl
cj48Zm9yZWlnbi1rZXlzPjxrZXkgYXBwPSJFTiIgZGItaWQ9InN2cmZzcGVkd2R2djJ4ZXo5c3F2
MmQ1cHpwcHN0MnM1dmE1ZCIgdGltZXN0YW1wPSIxNTIwNjEzMDg4Ij4yODAzPC9rZXk+PC9mb3Jl
aWduLWtleXM+PHJlZi10eXBlIG5hbWU9IkpvdXJuYWwgQXJ0aWNsZSI+MTc8L3JlZi10eXBlPjxj
b250cmlidXRvcnM+PGF1dGhvcnM+PGF1dGhvcj5CYXN0aWFlbnMsIEd1aWRvIEouIEguPC9hdXRo
b3I+PGF1dGhvcj5UaW9ubywgQWxmcmVkIEIuPC9hdXRob3I+PGF1dGhvcj5Pa2ViZSwgSm9zZXBo
PC9hdXRob3I+PGF1dGhvcj5QZXR0LCBIZWxtaSBFLjwvYXV0aG9yPjxhdXRob3I+Q291bGliYWx5
LCBTYW0gQS48L2F1dGhvcj48YXV0aG9yPkdvbsOnYWx2ZXMsIEJyb25uZXIgUC48L2F1dGhvcj48
YXV0aG9yPkFmZmFyYSwgTXVuYTwvYXV0aG9yPjxhdXRob3I+T3XDqWRyYW9nbywgQWxwaG9uc2U8
L2F1dGhvcj48YXV0aG9yPkJvdWdvdW1hLCBFZGl0aCBDLjwvYXV0aG9yPjxhdXRob3I+U2Fub3Us
IEd1aWxsYXVtZSBTLjwvYXV0aG9yPjxhdXRob3I+TsOpYmnDqSwgSXNzYTwvYXV0aG9yPjxhdXRo
b3I+QnJhZGxleSwgSm9objwvYXV0aG9yPjxhdXRob3I+TGFua2UsIEtqZXJzdGluIEguIFcuPC9h
dXRob3I+PGF1dGhvcj5OaWVtaSwgTWlra288L2F1dGhvcj48YXV0aG9yPlNpcmltYSwgU29kaW9t
b24gQi48L2F1dGhvcj48YXV0aG9yPmTigJlBbGVzc2FuZHJvLCBVbWJlcnRvPC9hdXRob3I+PGF1
dGhvcj5Cb3VzZW1hLCBUZXVuPC9hdXRob3I+PGF1dGhvcj5EcmFrZWxleSwgQ2hyaXM8L2F1dGhv
cj48L2F1dGhvcnM+PC9jb250cmlidXRvcnM+PHRpdGxlcz48dGl0bGU+U2FmZXR5IG9mIHNpbmds
ZSBsb3ctZG9zZSBwcmltYXF1aW5lIGluIGdsdWNvc2UtNi1waG9zcGhhdGUgZGVoeWRyb2dlbmFz
ZSBkZWZpY2llbnQgZmFsY2lwYXJ1bS1pbmZlY3RlZCBBZnJpY2FuIG1hbGVzOiBUd28gb3Blbi1s
YWJlbCwgcmFuZG9taXplZCwgc2FmZXR5IHRyaWFsczwvdGl0bGU+PHNlY29uZGFyeS10aXRsZT5Q
TE9TIE9ORTwvc2Vjb25kYXJ5LXRpdGxlPjwvdGl0bGVzPjxwZXJpb2RpY2FsPjxmdWxsLXRpdGxl
PlBMb1MgT05FPC9mdWxsLXRpdGxlPjwvcGVyaW9kaWNhbD48cGFnZXM+ZTAxOTAyNzI8L3BhZ2Vz
Pjx2b2x1bWU+MTM8L3ZvbHVtZT48bnVtYmVyPjE8L251bWJlcj48ZGF0ZXM+PHllYXI+MjAxODwv
eWVhcj48L2RhdGVzPjxwdWJsaXNoZXI+UHVibGljIExpYnJhcnkgb2YgU2NpZW5jZTwvcHVibGlz
aGVyPjx1cmxzPjxyZWxhdGVkLXVybHM+PHVybD5odHRwczovL2RvaS5vcmcvMTAuMTM3MS9qb3Vy
bmFsLnBvbmUuMDE5MDI3MjwvdXJsPjwvcmVsYXRlZC11cmxzPjwvdXJscz48ZWxlY3Ryb25pYy1y
ZXNvdXJjZS1udW0+MTAuMTM3MS9qb3VybmFsLnBvbmUuMDE5MDI3MjwvZWxlY3Ryb25pYy1yZXNv
dXJjZS1udW0+PC9yZWNvcmQ+PC9DaXRlPjxDaXRlPjxBdXRob3I+RXppZWZ1bGE8L0F1dGhvcj48
WWVhcj4yMDE0PC9ZZWFyPjxSZWNOdW0+NzcwPC9SZWNOdW0+PHJlY29yZD48cmVjLW51bWJlcj43
NzA8L3JlYy1udW1iZXI+PGZvcmVpZ24ta2V5cz48a2V5IGFwcD0iRU4iIGRiLWlkPSJzdnJmc3Bl
ZHdkdnYyeGV6OXNxdjJkNXB6cHBzdDJzNXZhNWQiIHRpbWVzdGFtcD0iMTQxNzY4MzEwNiI+Nzcw
PC9rZXk+PC9mb3JlaWduLWtleXM+PHJlZi10eXBlIG5hbWU9IkpvdXJuYWwgQXJ0aWNsZSI+MTc8
L3JlZi10eXBlPjxjb250cmlidXRvcnM+PGF1dGhvcnM+PGF1dGhvcj5FemllZnVsYSwgQWxpY2Ug
Qy48L2F1dGhvcj48YXV0aG9yPkJvdXNlbWEsIFRldW48L2F1dGhvcj48YXV0aG9yPllldW5nLCBT
aHVubWF5PC9hdXRob3I+PGF1dGhvcj5LYW15YSwgTW9zZXM8L2F1dGhvcj48YXV0aG9yPk93YXJh
Z2FuaXNlLCBBc2lwaGFzPC9hdXRob3I+PGF1dGhvcj5HYWJhZ2F5YSwgR3JhY2U8L2F1dGhvcj48
YXV0aG9yPkJyYWRsZXksIEpvaG48L2F1dGhvcj48YXV0aG9yPkdyaWduYXJkLCBMeW5uPC9hdXRo
b3I+PGF1dGhvcj5MYW5rZSwgS2plcnN0aW4gSC4gVy48L2F1dGhvcj48YXV0aG9yPldhbnppcmEs
IEh1bXBocmV5PC9hdXRob3I+PGF1dGhvcj5NcGltYmF6YSwgQXJ0aHVyPC9hdXRob3I+PGF1dGhv
cj5Oc29ieWEsIFNhbXVlbDwvYXV0aG9yPjxhdXRob3I+V2hpdGUsIE5pY2hvbGFzIEouPC9hdXRo
b3I+PGF1dGhvcj5XZWJiLCBFbWlseSBMLjwvYXV0aG9yPjxhdXRob3I+U3RhZWRrZSwgU2FyYWgg
Ry48L2F1dGhvcj48YXV0aG9yPkRyYWtlbGV5LCBDaHJpczwvYXV0aG9yPjwvYXV0aG9ycz48L2Nv
bnRyaWJ1dG9ycz48dGl0bGVzPjx0aXRsZT5TaW5nbGUgZG9zZSBwcmltYXF1aW5lIGZvciBjbGVh
cmFuY2Ugb2YgUGxhc21vZGl1bSBmYWxjaXBhcnVtIGdhbWV0b2N5dGVzIGluIGNoaWxkcmVuIHdp
dGggdW5jb21wbGljYXRlZCBtYWxhcmlhIGluIFVnYW5kYTogYSByYW5kb21pc2VkLCBjb250cm9s
bGVkLCBkb3VibGUtYmxpbmQsIGRvc2UtcmFuZ2luZyB0cmlhbDwvdGl0bGU+PHNlY29uZGFyeS10
aXRsZT5UaGUgTGFuY2V0IEluZmVjdGlvdXMgRGlzZWFzZXM8L3NlY29uZGFyeS10aXRsZT48L3Rp
dGxlcz48cGVyaW9kaWNhbD48ZnVsbC10aXRsZT5UaGUgTGFuY2V0IEluZmVjdGlvdXMgRGlzZWFz
ZXM8L2Z1bGwtdGl0bGU+PGFiYnItMT5MYW5jZXQgSW5mZWN0IERpczwvYWJici0xPjxhYmJyLTI+
TGFuY2V0IEluZmVjdCBEaXMuPC9hYmJyLTI+PC9wZXJpb2RpY2FsPjxwYWdlcz4xMzAtMTM5PC9w
YWdlcz48dm9sdW1lPjE0PC92b2x1bWU+PG51bWJlcj4yPC9udW1iZXI+PGRhdGVzPjx5ZWFyPjIw
MTQ8L3llYXI+PC9kYXRlcz48aXNibj4xNDczLTMwOTk8L2lzYm4+PHVybHM+PHJlbGF0ZWQtdXJs
cz48dXJsPmh0dHA6Ly9saW5raW5naHViLmVsc2V2aWVyLmNvbS9yZXRyaWV2ZS9waWkvUzE0NzMz
MDk5MTM3MDI2ODg8L3VybD48dXJsPmh0dHA6Ly93d3cudGhlbGFuY2V0LmNvbS9wZGZzL2pvdXJu
YWxzL2xhbmluZi9QSUlTMTQ3My0zMDk5KDEzKTcwMjY4LTgucGRmPC91cmw+PC9yZWxhdGVkLXVy
bHM+PC91cmxzPjwvcmVjb3JkPjwvQ2l0ZT48L0VuZE5vdGU+
</w:fldData>
        </w:fldChar>
      </w:r>
      <w:r w:rsidRPr="009B79D7">
        <w:instrText xml:space="preserve"> ADDIN EN.CITE </w:instrText>
      </w:r>
      <w:r w:rsidRPr="009B79D7">
        <w:fldChar w:fldCharType="begin">
          <w:fldData xml:space="preserve">PEVuZE5vdGU+PENpdGU+PEF1dGhvcj5DaGVuPC9BdXRob3I+PFllYXI+MjAxODwvWWVhcj48UmVj
TnVtPjI4MTA8L1JlY051bT48RGlzcGxheVRleHQ+KDEyLCAxMywgMTUpPC9EaXNwbGF5VGV4dD48
cmVjb3JkPjxyZWMtbnVtYmVyPjI4MTA8L3JlYy1udW1iZXI+PGZvcmVpZ24ta2V5cz48a2V5IGFw
cD0iRU4iIGRiLWlkPSJzdnJmc3BlZHdkdnYyeGV6OXNxdjJkNXB6cHBzdDJzNXZhNWQiIHRpbWVz
dGFtcD0iMTUyMTQ2ODE0MCI+MjgxMDwva2V5PjwvZm9yZWlnbi1rZXlzPjxyZWYtdHlwZSBuYW1l
PSJKb3VybmFsIEFydGljbGUiPjE3PC9yZWYtdHlwZT48Y29udHJpYnV0b3JzPjxhdXRob3JzPjxh
dXRob3I+Q2hlbiwgSW5ncmlkPC9hdXRob3I+PGF1dGhvcj5EaWF3YXJhLCBIYWxpbWF0b3U8L2F1
dGhvcj48YXV0aG9yPk1haGFtYXIsIEFsbWFoYW1vdWRvdTwvYXV0aG9yPjxhdXRob3I+U2Fub2dv
LCBLb3VhbHk8L2F1dGhvcj48YXV0aG9yPktlaXRhLCBTZWtvdWJhPC9hdXRob3I+PGF1dGhvcj5L
b25lLCBEYW91ZGE8L2F1dGhvcj48YXV0aG9yPkRpYXJyYSwgS2FsaWZhPC9hdXRob3I+PGF1dGhv
cj5EamltZGUsIE1vdXNzYTwvYXV0aG9yPjxhdXRob3I+S2VpdGEsIE1vaGFtZWQ8L2F1dGhvcj48
YXV0aG9yPkJyb3duLCBKb2VsbGU8L2F1dGhvcj48YXV0aG9yPlJvaCwgTWljaGVsbGUgRS48L2F1
dGhvcj48YXV0aG9yPkh3YW5nLCBKaW1lZTwvYXV0aG9yPjxhdXRob3I+UGV0dCwgSGVsbWk8L2F1
dGhvcj48YXV0aG9yPk11cnBoeSwgTWF4d2VsbDwvYXV0aG9yPjxhdXRob3I+TmllbWksIE1pa2tv
PC9hdXRob3I+PGF1dGhvcj5HcmVlbmhvdXNlLCBCcnlhbjwvYXV0aG9yPjxhdXRob3I+Qm91c2Vt
YSwgVGV1bjwvYXV0aG9yPjxhdXRob3I+R29zbGluZywgUm9seTwvYXV0aG9yPjxhdXRob3I+RGlj
a28sIEFsYXNzYW5lPC9hdXRob3I+PC9hdXRob3JzPjwvY29udHJpYnV0b3JzPjx0aXRsZXM+PHRp
dGxlPlNhZmV0eSBvZiBTaW5nbGUtRG9zZSBQcmltYXF1aW5lIGluIEc2UEQtRGVmaWNpZW50IGFu
ZCBHNlBELU5vcm1hbCBNYWxlcyBpbiBNYWxpIFdpdGhvdXQgTWFsYXJpYTogQW4gT3Blbi1MYWJl
bCwgUGhhc2UgMSwgRG9zZS1BZGp1c3RtZW50IFRyaWFsPC90aXRsZT48c2Vjb25kYXJ5LXRpdGxl
PlRoZSBKb3VybmFsIG9mIEluZmVjdGlvdXMgRGlzZWFzZXM8L3NlY29uZGFyeS10aXRsZT48L3Rp
dGxlcz48cGVyaW9kaWNhbD48ZnVsbC10aXRsZT5UaGUgSm91cm5hbCBvZiBpbmZlY3Rpb3VzIGRp
c2Vhc2VzPC9mdWxsLXRpdGxlPjwvcGVyaW9kaWNhbD48cGFnZXM+aml5MDE0LWppeTAxNDwvcGFn
ZXM+PGRhdGVzPjx5ZWFyPjIwMTg8L3llYXI+PC9kYXRlcz48aXNibj4wMDIyLTE4OTk8L2lzYm4+
PHVybHM+PHJlbGF0ZWQtdXJscz48dXJsPmh0dHA6Ly9keC5kb2kub3JnLzEwLjEwOTMvaW5mZGlz
L2ppeTAxNDwvdXJsPjwvcmVsYXRlZC11cmxzPjwvdXJscz48ZWxlY3Ryb25pYy1yZXNvdXJjZS1u
dW0+MTAuMTA5My9pbmZkaXMvaml5MDE0PC9lbGVjdHJvbmljLXJlc291cmNlLW51bT48L3JlY29y
ZD48L0NpdGU+PENpdGU+PEF1dGhvcj5CYXN0aWFlbnM8L0F1dGhvcj48WWVhcj4yMDE4PC9ZZWFy
PjxSZWNOdW0+MjgwMzwvUmVjTnVtPjxyZWNvcmQ+PHJlYy1udW1iZXI+MjgwMzwvcmVjLW51bWJl
cj48Zm9yZWlnbi1rZXlzPjxrZXkgYXBwPSJFTiIgZGItaWQ9InN2cmZzcGVkd2R2djJ4ZXo5c3F2
MmQ1cHpwcHN0MnM1dmE1ZCIgdGltZXN0YW1wPSIxNTIwNjEzMDg4Ij4yODAzPC9rZXk+PC9mb3Jl
aWduLWtleXM+PHJlZi10eXBlIG5hbWU9IkpvdXJuYWwgQXJ0aWNsZSI+MTc8L3JlZi10eXBlPjxj
b250cmlidXRvcnM+PGF1dGhvcnM+PGF1dGhvcj5CYXN0aWFlbnMsIEd1aWRvIEouIEguPC9hdXRo
b3I+PGF1dGhvcj5UaW9ubywgQWxmcmVkIEIuPC9hdXRob3I+PGF1dGhvcj5Pa2ViZSwgSm9zZXBo
PC9hdXRob3I+PGF1dGhvcj5QZXR0LCBIZWxtaSBFLjwvYXV0aG9yPjxhdXRob3I+Q291bGliYWx5
LCBTYW0gQS48L2F1dGhvcj48YXV0aG9yPkdvbsOnYWx2ZXMsIEJyb25uZXIgUC48L2F1dGhvcj48
YXV0aG9yPkFmZmFyYSwgTXVuYTwvYXV0aG9yPjxhdXRob3I+T3XDqWRyYW9nbywgQWxwaG9uc2U8
L2F1dGhvcj48YXV0aG9yPkJvdWdvdW1hLCBFZGl0aCBDLjwvYXV0aG9yPjxhdXRob3I+U2Fub3Us
IEd1aWxsYXVtZSBTLjwvYXV0aG9yPjxhdXRob3I+TsOpYmnDqSwgSXNzYTwvYXV0aG9yPjxhdXRo
b3I+QnJhZGxleSwgSm9objwvYXV0aG9yPjxhdXRob3I+TGFua2UsIEtqZXJzdGluIEguIFcuPC9h
dXRob3I+PGF1dGhvcj5OaWVtaSwgTWlra288L2F1dGhvcj48YXV0aG9yPlNpcmltYSwgU29kaW9t
b24gQi48L2F1dGhvcj48YXV0aG9yPmTigJlBbGVzc2FuZHJvLCBVbWJlcnRvPC9hdXRob3I+PGF1
dGhvcj5Cb3VzZW1hLCBUZXVuPC9hdXRob3I+PGF1dGhvcj5EcmFrZWxleSwgQ2hyaXM8L2F1dGhv
cj48L2F1dGhvcnM+PC9jb250cmlidXRvcnM+PHRpdGxlcz48dGl0bGU+U2FmZXR5IG9mIHNpbmds
ZSBsb3ctZG9zZSBwcmltYXF1aW5lIGluIGdsdWNvc2UtNi1waG9zcGhhdGUgZGVoeWRyb2dlbmFz
ZSBkZWZpY2llbnQgZmFsY2lwYXJ1bS1pbmZlY3RlZCBBZnJpY2FuIG1hbGVzOiBUd28gb3Blbi1s
YWJlbCwgcmFuZG9taXplZCwgc2FmZXR5IHRyaWFsczwvdGl0bGU+PHNlY29uZGFyeS10aXRsZT5Q
TE9TIE9ORTwvc2Vjb25kYXJ5LXRpdGxlPjwvdGl0bGVzPjxwZXJpb2RpY2FsPjxmdWxsLXRpdGxl
PlBMb1MgT05FPC9mdWxsLXRpdGxlPjwvcGVyaW9kaWNhbD48cGFnZXM+ZTAxOTAyNzI8L3BhZ2Vz
Pjx2b2x1bWU+MTM8L3ZvbHVtZT48bnVtYmVyPjE8L251bWJlcj48ZGF0ZXM+PHllYXI+MjAxODwv
eWVhcj48L2RhdGVzPjxwdWJsaXNoZXI+UHVibGljIExpYnJhcnkgb2YgU2NpZW5jZTwvcHVibGlz
aGVyPjx1cmxzPjxyZWxhdGVkLXVybHM+PHVybD5odHRwczovL2RvaS5vcmcvMTAuMTM3MS9qb3Vy
bmFsLnBvbmUuMDE5MDI3MjwvdXJsPjwvcmVsYXRlZC11cmxzPjwvdXJscz48ZWxlY3Ryb25pYy1y
ZXNvdXJjZS1udW0+MTAuMTM3MS9qb3VybmFsLnBvbmUuMDE5MDI3MjwvZWxlY3Ryb25pYy1yZXNv
dXJjZS1udW0+PC9yZWNvcmQ+PC9DaXRlPjxDaXRlPjxBdXRob3I+RXppZWZ1bGE8L0F1dGhvcj48
WWVhcj4yMDE0PC9ZZWFyPjxSZWNOdW0+NzcwPC9SZWNOdW0+PHJlY29yZD48cmVjLW51bWJlcj43
NzA8L3JlYy1udW1iZXI+PGZvcmVpZ24ta2V5cz48a2V5IGFwcD0iRU4iIGRiLWlkPSJzdnJmc3Bl
ZHdkdnYyeGV6OXNxdjJkNXB6cHBzdDJzNXZhNWQiIHRpbWVzdGFtcD0iMTQxNzY4MzEwNiI+Nzcw
PC9rZXk+PC9mb3JlaWduLWtleXM+PHJlZi10eXBlIG5hbWU9IkpvdXJuYWwgQXJ0aWNsZSI+MTc8
L3JlZi10eXBlPjxjb250cmlidXRvcnM+PGF1dGhvcnM+PGF1dGhvcj5FemllZnVsYSwgQWxpY2Ug
Qy48L2F1dGhvcj48YXV0aG9yPkJvdXNlbWEsIFRldW48L2F1dGhvcj48YXV0aG9yPllldW5nLCBT
aHVubWF5PC9hdXRob3I+PGF1dGhvcj5LYW15YSwgTW9zZXM8L2F1dGhvcj48YXV0aG9yPk93YXJh
Z2FuaXNlLCBBc2lwaGFzPC9hdXRob3I+PGF1dGhvcj5HYWJhZ2F5YSwgR3JhY2U8L2F1dGhvcj48
YXV0aG9yPkJyYWRsZXksIEpvaG48L2F1dGhvcj48YXV0aG9yPkdyaWduYXJkLCBMeW5uPC9hdXRo
b3I+PGF1dGhvcj5MYW5rZSwgS2plcnN0aW4gSC4gVy48L2F1dGhvcj48YXV0aG9yPldhbnppcmEs
IEh1bXBocmV5PC9hdXRob3I+PGF1dGhvcj5NcGltYmF6YSwgQXJ0aHVyPC9hdXRob3I+PGF1dGhv
cj5Oc29ieWEsIFNhbXVlbDwvYXV0aG9yPjxhdXRob3I+V2hpdGUsIE5pY2hvbGFzIEouPC9hdXRo
b3I+PGF1dGhvcj5XZWJiLCBFbWlseSBMLjwvYXV0aG9yPjxhdXRob3I+U3RhZWRrZSwgU2FyYWgg
Ry48L2F1dGhvcj48YXV0aG9yPkRyYWtlbGV5LCBDaHJpczwvYXV0aG9yPjwvYXV0aG9ycz48L2Nv
bnRyaWJ1dG9ycz48dGl0bGVzPjx0aXRsZT5TaW5nbGUgZG9zZSBwcmltYXF1aW5lIGZvciBjbGVh
cmFuY2Ugb2YgUGxhc21vZGl1bSBmYWxjaXBhcnVtIGdhbWV0b2N5dGVzIGluIGNoaWxkcmVuIHdp
dGggdW5jb21wbGljYXRlZCBtYWxhcmlhIGluIFVnYW5kYTogYSByYW5kb21pc2VkLCBjb250cm9s
bGVkLCBkb3VibGUtYmxpbmQsIGRvc2UtcmFuZ2luZyB0cmlhbDwvdGl0bGU+PHNlY29uZGFyeS10
aXRsZT5UaGUgTGFuY2V0IEluZmVjdGlvdXMgRGlzZWFzZXM8L3NlY29uZGFyeS10aXRsZT48L3Rp
dGxlcz48cGVyaW9kaWNhbD48ZnVsbC10aXRsZT5UaGUgTGFuY2V0IEluZmVjdGlvdXMgRGlzZWFz
ZXM8L2Z1bGwtdGl0bGU+PGFiYnItMT5MYW5jZXQgSW5mZWN0IERpczwvYWJici0xPjxhYmJyLTI+
TGFuY2V0IEluZmVjdCBEaXMuPC9hYmJyLTI+PC9wZXJpb2RpY2FsPjxwYWdlcz4xMzAtMTM5PC9w
YWdlcz48dm9sdW1lPjE0PC92b2x1bWU+PG51bWJlcj4yPC9udW1iZXI+PGRhdGVzPjx5ZWFyPjIw
MTQ8L3llYXI+PC9kYXRlcz48aXNibj4xNDczLTMwOTk8L2lzYm4+PHVybHM+PHJlbGF0ZWQtdXJs
cz48dXJsPmh0dHA6Ly9saW5raW5naHViLmVsc2V2aWVyLmNvbS9yZXRyaWV2ZS9waWkvUzE0NzMz
MDk5MTM3MDI2ODg8L3VybD48dXJsPmh0dHA6Ly93d3cudGhlbGFuY2V0LmNvbS9wZGZzL2pvdXJu
YWxzL2xhbmluZi9QSUlTMTQ3My0zMDk5KDEzKTcwMjY4LTgucGRmPC91cmw+PC9yZWxhdGVkLXVy
bHM+PC91cmxzPjwvcmVjb3JkPjwvQ2l0ZT48L0VuZE5vdGU+
</w:fldData>
        </w:fldChar>
      </w:r>
      <w:r w:rsidRPr="009B79D7">
        <w:instrText xml:space="preserve"> ADDIN EN.CITE.DATA </w:instrText>
      </w:r>
      <w:r w:rsidRPr="009B79D7">
        <w:fldChar w:fldCharType="end"/>
      </w:r>
      <w:r w:rsidRPr="009B79D7">
        <w:fldChar w:fldCharType="end"/>
      </w:r>
      <w:r w:rsidRPr="009B79D7">
        <w:t>; two of these studies were specifically designed to assess safety in G6PD deficient individuals and found no clinically relevant reductions in haemoglobin concentrations</w:t>
      </w:r>
      <w:r w:rsidR="006F7298">
        <w:t xml:space="preserve"> </w:t>
      </w:r>
      <w:r w:rsidR="006F7298">
        <w:fldChar w:fldCharType="begin"/>
      </w:r>
      <w:r w:rsidR="00FB2554">
        <w:instrText xml:space="preserve"> ADDIN ZOTERO_ITEM CSL_CITATION {"citationID":"4x0Kd3GD","properties":{"formattedCitation":"[33], [34]","plainCitation":"[33], [34]","noteIndex":0},"citationItems":[{"id":275,"uris":["http://zotero.org/users/7806423/items/UJ8SHGFZ"],"itemData":{"id":275,"type":"article-journal","abstract":"This phase 1, open-label, nonrandomized, dose-adjustment trial showed that single doses of primaquine between 0.40 and 0.50 mg/kg were well tolerated in G6PD-deficient and G6PD-normal males in Mali, supporting the World Health Organization recommendation on the use of a single low of dose primaquine to reduce Plasmodium falciparum malaria transmission.","container-title":"The Journal of Infectious Diseases","DOI":"10.1093/infdis/jiy014","ISSN":"0022-1899","issue":"8","journalAbbreviation":"J Infect Dis","note":"PMID: 29342267\nPMCID: PMC5974787","page":"1298-1308","source":"PubMed Central","title":"Safety of Single-Dose Primaquine in G6PD-Deficient and G6PD-Normal Males in Mali Without Malaria: An Open-Label, Phase 1, Dose-Adjustment Trial","title-short":"Safety of Single-Dose Primaquine in G6PD-Deficient and G6PD-Normal Males in Mali Without Malaria","volume":"217","author":[{"family":"Chen","given":"Ingrid"},{"family":"Diawara","given":"Halimatou"},{"family":"Mahamar","given":"Almahamoudou"},{"family":"Sanogo","given":"Koualy"},{"family":"Keita","given":"Sekouba"},{"family":"Kone","given":"Daouda"},{"family":"Diarra","given":"Kalifa"},{"family":"Djimde","given":"Moussa"},{"family":"Keita","given":"Mohamed"},{"family":"Brown","given":"Joelle"},{"family":"Roh","given":"Michelle E"},{"family":"Hwang","given":"Jimee"},{"family":"Pett","given":"Helmi"},{"family":"Murphy","given":"Maxwell"},{"family":"Niemi","given":"Mikko"},{"family":"Greenhouse","given":"Bryan"},{"family":"Bousema","given":"Teun"},{"family":"Gosling","given":"Roly"},{"family":"Dicko","given":"Alassane"}],"issued":{"date-parts":[["2018",4,15]]}}},{"id":1208,"uris":["http://zotero.org/users/7806423/items/HJ6GZPVI"],"itemData":{"id":1208,"type":"article-journal","abstract":"BACKGROUND: Primaquine (PQ) actively clears mature Plasmodium falciparum gametocytes but in glucose-6-phosphate dehydrogenase deficient (G6PDd) individuals can cause hemolysis. We assessed the safety of low-dose PQ in combination with artemether-lumefantrine (AL) or dihydroartemisinin-piperaquine (DP) in G6PDd African males with asymptomatic P. falciparum malaria.\nMETHODS AND FINDINGS: In Burkina Faso, G6PDd adult males were randomized to treatment with AL alone (n = 10) or with PQ at 0.25 (n = 20) or 0.40 mg/kg (n = 20) dosage; G6PD-normal males received AL plus 0.25 (n = 10) or 0.40 mg/kg (n = 10) PQ. In The Gambia, G6PDd adult males and boys received DP alone (n = 10) or with 0.25 mg/kg PQ (n = 20); G6PD-normal males received DP plus 0.25 (n = 10) or 0.40 mg/kg (n = 10) PQ. The primary study endpoint was change in hemoglobin concentration during the 28-day follow-up. Cytochrome P-450 isoenzyme 2D6 (CYP2D6) metabolizer status, gametocyte carriage, haptoglobin, lactate dehydrogenase levels and reticulocyte counts were also determined. In Burkina Faso, the mean maximum absolute change in hemoglobin was -2.13 g/dL (95% confidence interval [CI], -2.78, -1.49) in G6PDd individuals randomized to 0.25 PQ mg/kg and -2.29 g/dL (95% CI, -2.79, -1.79) in those receiving 0.40 PQ mg/kg. In The Gambia, the mean maximum absolute change in hemoglobin concentration was -1.83 g/dL (95% CI, -2.19, -1.47) in G6PDd individuals receiving 0.25 PQ mg/kg. After adjustment for baseline concentrations, hemoglobin reductions in G6PDd individuals in Burkina Faso were more pronounced compared to those in G6PD-normal individuals receiving the same PQ doses (P = 0.062 and P = 0.022, respectively). Hemoglobin levels normalized during follow-up. Abnormal haptoglobin and lactate dehydrogenase levels provided additional evidence of mild transient hemolysis post-PQ.\nCONCLUSIONS: Single low-dose PQ in combination with AL and DP was associated with mild and transient reductions in hemoglobin. None of the study participants developed moderate or severe anemia; there were no severe adverse events. This indicates that single low-dose PQ is safe in G6PDd African males when used with artemisinin-based combination therapy.\nTRIAL REGISTRATION: Clinicaltrials.gov NCT02174900 Clinicaltrials.gov NCT02654730.","container-title":"PloS One","DOI":"10.1371/journal.pone.0190272","ISSN":"1932-6203","issue":"1","journalAbbreviation":"PLoS One","language":"eng","note":"PMID: 29324864\nPMCID: PMC5764271","page":"e0190272","source":"PubMed","title":"Safety of single low-dose primaquine in glucose-6-phosphate dehydrogenase deficient falciparum-infected African males: Two open-label, randomized, safety trials","title-short":"Safety of single low-dose primaquine in glucose-6-phosphate dehydrogenase deficient falciparum-infected African males","volume":"13","author":[{"family":"Bastiaens","given":"Guido J. H."},{"family":"Tiono","given":"Alfred B."},{"family":"Okebe","given":"Joseph"},{"family":"Pett","given":"Helmi E."},{"family":"Coulibaly","given":"Sam A."},{"family":"Gonçalves","given":"Bronner P."},{"family":"Affara","given":"Muna"},{"family":"Ouédraogo","given":"Alphonse"},{"family":"Bougouma","given":"Edith C."},{"family":"Sanou","given":"Guillaume S."},{"family":"Nébié","given":"Issa"},{"family":"Bradley","given":"John"},{"family":"Lanke","given":"Kjerstin H. W."},{"family":"Niemi","given":"Mikko"},{"family":"Sirima","given":"Sodiomon B."},{"family":"Alessandro","given":"Umberto","non-dropping-particle":"d'"},{"family":"Bousema","given":"Teun"},{"family":"Drakeley","given":"Chris"}],"issued":{"date-parts":[["2018"]]}}}],"schema":"https://github.com/citation-style-language/schema/raw/master/csl-citation.json"} </w:instrText>
      </w:r>
      <w:r w:rsidR="006F7298">
        <w:fldChar w:fldCharType="separate"/>
      </w:r>
      <w:r w:rsidR="00FB2554">
        <w:rPr>
          <w:noProof/>
        </w:rPr>
        <w:t>[33], [34]</w:t>
      </w:r>
      <w:r w:rsidR="006F7298">
        <w:fldChar w:fldCharType="end"/>
      </w:r>
      <w:r w:rsidRPr="009B79D7">
        <w:t>. PQ use is now widespread throughout the world, and many countries have adopted the 0.25 mg/kg WHO recommendation for single low dose PQ without prior G6PD testing</w:t>
      </w:r>
      <w:r w:rsidR="006F7298">
        <w:t xml:space="preserve"> </w:t>
      </w:r>
      <w:r w:rsidR="006F7298">
        <w:fldChar w:fldCharType="begin"/>
      </w:r>
      <w:r w:rsidR="00FB2554">
        <w:instrText xml:space="preserve"> ADDIN ZOTERO_ITEM CSL_CITATION {"citationID":"9ChY2x6F","properties":{"formattedCitation":"[36]","plainCitation":"[36]","noteIndex":0},"citationItems":[{"id":1214,"uris":["http://zotero.org/users/7806423/items/CLCTJI2Y"],"itemData":{"id":1214,"type":"article-journal","abstract":"Malaria transmission is declining worldwide, leading to a growing interest in strategies to reach elimination and eradication. Insecticide and drug resistance threaten these efforts, driving an interest in the use of gametocytocidal drugs to curb the spread of artemisinin resistance and accelerate the path to malaria elimination. Primaquine is the only marketed drug that can kill mature Plasmodium falciparum gametocytes, which can otherwise contribute to ongoing transmission for long periods of time. While primaquine has been widely used in Asia and the Americas, African countries have little experience with this drug and are reluctant to use primaquine due to a fear of hemolytic side effects. We discuss the underlying knowledge base and motivation to use primaquine as a P. falciparum transmission blocker, revealing that while primaquine implementation can benefit from further study, there remains an overall need for improved transmission-blocking drugs.","container-title":"Expert Review of Clinical Pharmacology","DOI":"10.1586/17512433.2014.948421","ISSN":"1751-2441","issue":"6","journalAbbreviation":"Expert Rev Clin Pharmacol","language":"eng","note":"PMID: 25118908","page":"681-686","source":"PubMed","title":"Targeting Plasmodium falciparum transmission with primaquine: same efficacy, improved safety with a lower dose?","title-short":"Targeting Plasmodium falciparum transmission with primaquine","volume":"7","author":[{"family":"Chen","given":"Ingrid T."},{"family":"Gosling","given":"Roly D."}],"issued":{"date-parts":[["2014",11]]}}}],"schema":"https://github.com/citation-style-language/schema/raw/master/csl-citation.json"} </w:instrText>
      </w:r>
      <w:r w:rsidR="006F7298">
        <w:fldChar w:fldCharType="separate"/>
      </w:r>
      <w:r w:rsidR="00FB2554">
        <w:rPr>
          <w:noProof/>
        </w:rPr>
        <w:t>[36]</w:t>
      </w:r>
      <w:r w:rsidR="006F7298">
        <w:fldChar w:fldCharType="end"/>
      </w:r>
      <w:r w:rsidRPr="009B79D7">
        <w:t>.</w:t>
      </w:r>
      <w:r w:rsidR="00E518E2">
        <w:t xml:space="preserve"> Common side effects include heartburn, nausea and abdominal cramps.</w:t>
      </w:r>
    </w:p>
    <w:p w14:paraId="468E5890" w14:textId="2E0F3DB3" w:rsidR="00B767D0" w:rsidRDefault="00B767D0">
      <w:pPr>
        <w:pStyle w:val="Heading2"/>
        <w:numPr>
          <w:ilvl w:val="2"/>
          <w:numId w:val="13"/>
        </w:numPr>
      </w:pPr>
      <w:bookmarkStart w:id="613" w:name="_Toc102984996"/>
      <w:bookmarkStart w:id="614" w:name="_Toc102985847"/>
      <w:bookmarkStart w:id="615" w:name="_Toc104981679"/>
      <w:bookmarkStart w:id="616" w:name="_Toc106288969"/>
      <w:r>
        <w:t>Risk of artemether-lumefantrine</w:t>
      </w:r>
      <w:bookmarkEnd w:id="613"/>
      <w:bookmarkEnd w:id="614"/>
      <w:bookmarkEnd w:id="615"/>
      <w:bookmarkEnd w:id="616"/>
    </w:p>
    <w:p w14:paraId="19AD1B87" w14:textId="7505F1BD" w:rsidR="0030231C" w:rsidRPr="0030231C" w:rsidRDefault="0030231C" w:rsidP="0030231C">
      <w:pPr>
        <w:jc w:val="both"/>
      </w:pPr>
      <w:r w:rsidRPr="00932225">
        <w:t xml:space="preserve">Reported AL side effects have generally been mild. The main side effects are GI upset: anorexia (~18%), nausea (~5%), vomiting (~18%), abdominal pain (~5%), and diarrhoea </w:t>
      </w:r>
      <w:r w:rsidRPr="00932225">
        <w:lastRenderedPageBreak/>
        <w:t xml:space="preserve">(~10%), headache (~10%), dizziness (~4%), fatigue (~1%) and sleep disturbance (~2%). Other symptoms reported infrequently include palpitations, myalgia, arthralgia (all of which could be disease related), and rash. </w:t>
      </w:r>
    </w:p>
    <w:p w14:paraId="199B3669" w14:textId="2394CD43" w:rsidR="00B767D0" w:rsidRDefault="00B767D0">
      <w:pPr>
        <w:pStyle w:val="Heading2"/>
        <w:numPr>
          <w:ilvl w:val="2"/>
          <w:numId w:val="13"/>
        </w:numPr>
      </w:pPr>
      <w:bookmarkStart w:id="617" w:name="_Toc102984997"/>
      <w:bookmarkStart w:id="618" w:name="_Toc102985848"/>
      <w:bookmarkStart w:id="619" w:name="_Toc104981680"/>
      <w:bookmarkStart w:id="620" w:name="_Toc106288970"/>
      <w:r>
        <w:t>Risk of amodiaquine</w:t>
      </w:r>
      <w:bookmarkEnd w:id="617"/>
      <w:bookmarkEnd w:id="618"/>
      <w:bookmarkEnd w:id="619"/>
      <w:bookmarkEnd w:id="620"/>
    </w:p>
    <w:p w14:paraId="03400FBB" w14:textId="53192816" w:rsidR="00597D03" w:rsidRDefault="0030231C" w:rsidP="0030231C">
      <w:pPr>
        <w:jc w:val="both"/>
      </w:pPr>
      <w:r w:rsidRPr="00932225">
        <w:t>The main side-effects of amodiaquine are nausea, vomiting and fatigue which are mild to moderate in nature. When the drug was used for prophylaxis, rare adverse reactions of agranulocytosis and hepatotoxicity were observed.</w:t>
      </w:r>
    </w:p>
    <w:p w14:paraId="0B190837" w14:textId="570CC25A" w:rsidR="00597D03" w:rsidRDefault="00597D03">
      <w:pPr>
        <w:pStyle w:val="Heading2"/>
        <w:numPr>
          <w:ilvl w:val="2"/>
          <w:numId w:val="13"/>
        </w:numPr>
      </w:pPr>
      <w:bookmarkStart w:id="621" w:name="_Toc102984998"/>
      <w:bookmarkStart w:id="622" w:name="_Toc102985849"/>
      <w:bookmarkStart w:id="623" w:name="_Toc104981681"/>
      <w:bookmarkStart w:id="624" w:name="_Toc106288971"/>
      <w:r>
        <w:t>Risk of artemether-lumefantrine-amodiaquine</w:t>
      </w:r>
      <w:bookmarkEnd w:id="621"/>
      <w:bookmarkEnd w:id="622"/>
      <w:bookmarkEnd w:id="623"/>
      <w:bookmarkEnd w:id="624"/>
    </w:p>
    <w:p w14:paraId="14E22FF7" w14:textId="223047B8" w:rsidR="00597D03" w:rsidRPr="00597D03" w:rsidRDefault="006935FC" w:rsidP="008362A3">
      <w:pPr>
        <w:jc w:val="both"/>
      </w:pPr>
      <w:r w:rsidRPr="00E41624">
        <w:t xml:space="preserve">In two recent studies </w:t>
      </w:r>
      <w:r w:rsidRPr="00E41624">
        <w:fldChar w:fldCharType="begin"/>
      </w:r>
      <w:r w:rsidR="004C2AEA">
        <w:instrText xml:space="preserve"> ADDIN ZOTERO_ITEM CSL_CITATION {"citationID":"pwEu0RuK","properties":{"formattedCitation":"[5], [6]","plainCitation":"[5], [6]","noteIndex":0},"citationItems":[{"id":628,"uris":["http://zotero.org/users/7806423/items/LG6TPZYM"],"itemData":{"id":628,"type":"article-journal","abstract":"Background Artemisinin and partner-drug resistance in Plasmodium falciparum are major threats to malaria control and elimination. Triple artemisinin-based combination therapies (TACTs), which combine existing co-formulated ACTs with a second partner drug that is slowly eliminated, might provide effective treatment and delay emergence of antimalarial drug resistance.","container-title":"The Lancet","DOI":"10.1016/S0140-6736(20)30552-3","ISSN":"01406736","issue":"10233","journalAbbreviation":"The Lancet","language":"en","note":"Is TRACII","page":"1345-1360","source":"DOI.org (Crossref)","title":"Triple artemisinin-based combination therapies versus artemisinin-based combination therapies for uncomplicated Plasmodium falciparum malaria: a multicentre, open-label, randomised clinical trial","title-short":"Triple artemisinin-based combination therapies versus artemisinin-based combination therapies for uncomplicated Plasmodium falciparum malaria","volume":"395","author":[{"family":"Pluijm","given":"Rob W","non-dropping-particle":"van der"},{"family":"Tripura","given":"Rupam"},{"family":"Hoglund","given":"Richard M"},{"family":"Pyae Phyo","given":"Aung"},{"family":"Lek","given":"Dysoley"},{"family":"Islam","given":"Akhter","non-dropping-particle":"ul"},{"family":"Anvikar","given":"Anupkumar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Thanh"},{"family":"Kwiatkowski","given":"Dominic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Tinh"},{"family":"Valecha","given":"Neena"},{"family":"Smithuis","given":"Frank"},{"family":"Pukrittayakamee","given":"Sasithon"},{"family":"Faiz","given":"Abul"},{"family":"Miotto","given":"Olivo"},{"family":"Tarning","given":"Joel"},{"family":"Day","given":"Nicholas P J"},{"family":"White","given":"Nicholas J"},{"family":"Dondorp","given":"Arjen M"},{"family":"Pluijm","given":"Rob W","non-dropping-particle":"van der"},{"family":"Tripura","given":"Rupam"},{"family":"Hoglund","given":"Richard M"},{"family":"Phyo","given":"Aung Pyae"},{"family":"Lek","given":"Dysoley"},{"family":"Islam","given":"Akhter","non-dropping-particle":"ul"},{"family":"Anvikar","given":"Anupkumar R"},{"family":"Satpathi","given":"Parthasarathi"},{"family":"Satpathi","given":"Sanghamitra"},{"family":"Behera","given":"Prativa Kumari"},{"family":"Tripura","given":"Amar"},{"family":"Baidya","given":"Subrata"},{"family":"Onyamboko","given":"Marie"},{"family":"Chau","given":"Nguyen Hoang"},{"family":"Sovann","given":"Yok"},{"family":"Suon","given":"Seila"},{"family":"Sreng","given":"Sokunthea"},{"family":"Mao","given":"Sivanna"},{"family":"Oun","given":"Savuth"},{"family":"Yen","given":"Sovannary"},{"family":"Amaratunga","given":"Chanaki"},{"family":"Chutasmit","given":"Kitipumi"},{"family":"Saelow","given":"Chalermpon"},{"family":"Runcharern","given":"Ratchadaporn"},{"family":"Kaewmok","given":"Weerayuth"},{"family":"Hoa","given":"Nhu Thi"},{"family":"Thanh","given":"Ngo Viet"},{"family":"Hanboonkunupakarn","given":"Borimas"},{"family":"Callery","given":"James J"},{"family":"Mohanty","given":"Akshaya Kumar"},{"family":"Heaton","given":"James"},{"family":"Thant","given":"Myo"},{"family":"Gantait","given":"Kripasindhu"},{"family":"Ghosh","given":"Tarapada"},{"family":"Amato","given":"Roberto"},{"family":"Pearson","given":"Richard D"},{"family":"Jacob","given":"Christopher G"},{"family":"Gonçalves","given":"Sónia"},{"family":"Mukaka","given":"Mavuto"},{"family":"Waithira","given":"Naomi"},{"family":"Woodrow","given":"Charles J"},{"family":"Grobusch","given":"Martin P"},{"family":"Vugt","given":"Michele","non-dropping-particle":"van"},{"family":"Fairhurst","given":"Rick M"},{"family":"Cheah","given":"Phaik Yeong"},{"family":"Peto","given":"Thomas J"},{"family":"Seidlein","given":"Lorenz","non-dropping-particle":"von"},{"family":"Dhorda","given":"Mehul"},{"family":"Maude","given":"Richard J"},{"family":"Winterberg","given":"Markus"},{"family":"Thuy-Nhien","given":"Nguyen T"},{"family":"Kwiatkowski","given":"Dominic P"},{"family":"Imwong","given":"Mallika"},{"family":"Jittamala","given":"Podjanee"},{"family":"Lin","given":"Khin"},{"family":"Hlaing","given":"Tin Maung"},{"family":"Chotivanich","given":"Kesinee"},{"family":"Huy","given":"Rekol"},{"family":"Fanello","given":"Caterina"},{"family":"Ashley","given":"Elizabeth"},{"family":"Mayxay","given":"Mayfong"},{"family":"Newton","given":"Paul N"},{"family":"Hien","given":"Tran Tinh"},{"family":"Valeche","given":"Neena"},{"family":"Smithuis","given":"Frank"},{"family":"Pukrittayakamee","given":"Sasithon"},{"family":"Faiz","given":"Abul"},{"family":"Miotto","given":"Olivo"},{"family":"Tarning","given":"Joel"},{"family":"Day","given":"Nicholas PJ"},{"family":"White","given":"Nicholas J"},{"family":"Dondorp","given":"Arjen M"}],"issued":{"date-parts":[["2020",4]]}}},{"id":682,"uris":["http://zotero.org/users/7806423/items/SQVUC4J6"],"itemData":{"id":682,"type":"article-journal","abstract":"BACKGROUND: Late treatment failures after artemisinin-based combination therapies (ACTs) for falciparum malaria have increased in the Greater Mekong subregion in southeast Asia. Addition of amodiaquine to artemether-lumefantrine could provide an efficacious treatment for multidrug-resistant infections.\nMETHODS: We conducted an open-label, randomised trial at five hospitals or health centres in three locations (western Cambodia, eastern Cambodia, and Vietnam). Eligible participants were male and female patients aged 2-65 years with uncomplicated Plasmodium falciparum malaria. Patients were randomly allocated (1:1 in blocks of eight to 12) to either artemether-lumefantrine alone (dosed according to WHO guidelines) or artemether-lumefantrine plus amodiaquine (10 mg base per kg/day), both given orally as six doses over 3 days. All received a single dose of primaquine (0·25 mg/kg) 24 h after the start of study treatment to limit transmission of the parasite. Parasites were genotyped, identifying artemisinin resistance. The primary outcome was Kaplan-Meier 42-day PCR-corrected efficacy against recrudescence of the original parasite, assessed by intent-to-treat. Safety was a secondary outcome. This completed trial is registered at ClinicalTrials.gov (NCT03355664).\nFINDINGS: Between March 18, 2018, and Jan 30, 2020, 310 patients received randomly allocated treatment; 154 received artemether-lumefantrine alone and 156 received artemether-lumefantrine plus amodiaquine. Parasites from 305 of these patients were genotyped. 42-day PCR-corrected treatment efficacy was noted in 151 (97%, 95% CI 92-99) of 156 patients with artemether-lumefantrine plus amodiaquine versus 146 (95%, 89-97) of 154 patients with artemether-lumefantrine alone; hazard ratio (HR) for recrudescence 0·6 (95% CI 0·2-1·9, p=0·38). Of the 13 recrudescences, 12 were in 174 (57%) of 305 infections with pfkelch13 mutations indicating artemisinin resistance, for which 42-day efficacy was noted in 89 (96%) of 93 infections with artemether-lumefantrine plus amodiaquine versus 73 (90%) of 81 infections with artemether-lumefantrine alone; HR for recrudescence 0·44 (95% CI 0·14-1·40, p=0·17). Artemether-lumefantrine plus amodiaquine was generally well tolerated, but the number of mild (grade 1-2) adverse events, mainly gastrointestinal, was greater in this group compared with artemether-lumefantrine alone (vomiting, 12 [8%] with artemether-lumefantrine plus amodiaquine vs three [2%] with artemether-lumefantrine alone, p=0·03; and nausea, 11 [7%] with artemether-lumefantrine plus amodiaquine vs three [2%] with artemether-lumefantrine alone, p=0·05). Early vomiting within 1 h of treatment, requiring retreatment, occurred in no patients of 154 with artemether-lumefantrine alone versus five (3%) of 156 with artemether-lumefantrine plus amodiaquine, p=0·06. Bradycardia (≤54 beats/min) of any grade was noted in 59 (38%) of 154 patients with artemether-lumefantrine alone and 95 (61%) of 156 with artemether-lumefantrine plus amodiaquine, p=0·0001.\nINTERPRETATION: Artemether-lumefantrine plus amodiaquine provides an alternative to artemether-lumefantrine alone as first-line treatment for multidrug-resistant P falciparum malaria in the Greater Mekong subregion, and could prolong the therapeutic lifetime of artemether-lumefantrine in malaria-endemic populations.\nFUNDING: Bill &amp; Melinda Gates Foundation, Wellcome Trust.","container-title":"The Lancet. Infectious Diseases","DOI":"10.1016/S1473-3099(21)00692-7","ISSN":"1474-4457","journalAbbreviation":"Lancet Infect Dis","language":"eng","note":"PMID: 35276064","page":"S1473-3099(21)00692-7","source":"PubMed","title":"Triple therapy with artemether-lumefantrine plus amodiaquine versus artemether-lumefantrine alone for artemisinin-resistant, uncomplicated falciparum malaria: an open-label, randomised, multicentre trial","title-short":"Triple therapy with artemether-lumefantrine plus amodiaquine versus artemether-lumefantrine alone for artemisinin-resistant, uncomplicated falciparum malaria","author":[{"family":"Peto","given":"Thomas J."},{"family":"Tripura","given":"Rupam"},{"family":"Callery","given":"James J."},{"family":"Lek","given":"Dysoley"},{"family":"Nghia","given":"Ho Dang Trung"},{"family":"Nguon","given":"Chea"},{"family":"Thuong","given":"Nguyen Thi Huyen"},{"family":"Pluijm","given":"Rob W.","non-dropping-particle":"van der"},{"family":"Dung","given":"Nguyen Thi Phuong"},{"family":"Sokha","given":"Meas"},{"family":"Van Luong","given":"Vo"},{"family":"Long","given":"Le Thanh"},{"family":"Sovann","given":"Yok"},{"family":"Duanguppama","given":"Jureeporn"},{"family":"Waithira","given":"Naomi"},{"family":"Hoglund","given":"Richard M."},{"family":"Chotsiri","given":"Palang"},{"family":"Chau","given":"Nguyen Hoang"},{"family":"Ruecker","given":"Andrea"},{"family":"Amaratunga","given":"Chanaki"},{"family":"Dhorda","given":"Mehul"},{"family":"Miotto","given":"Olivo"},{"family":"Maude","given":"Richard J."},{"family":"Rekol","given":"Huy"},{"family":"Chotivanich","given":"Kesinee"},{"family":"Tarning","given":"Joel"},{"family":"Seidlein","given":"Lorenz","non-dropping-particle":"von"},{"family":"Imwong","given":"Mallika"},{"family":"Mukaka","given":"Mavuto"},{"family":"Day","given":"Nicholas P. J."},{"family":"Hien","given":"Tran Tinh"},{"family":"White","given":"Nicholas J."},{"family":"Dondorp","given":"Arjen M."}],"issued":{"date-parts":[["2022",3,8]]}}}],"schema":"https://github.com/citation-style-language/schema/raw/master/csl-citation.json"} </w:instrText>
      </w:r>
      <w:r w:rsidRPr="00E41624">
        <w:fldChar w:fldCharType="separate"/>
      </w:r>
      <w:r w:rsidR="004C2AEA">
        <w:rPr>
          <w:noProof/>
        </w:rPr>
        <w:t>[5], [6]</w:t>
      </w:r>
      <w:r w:rsidRPr="00E41624">
        <w:fldChar w:fldCharType="end"/>
      </w:r>
      <w:r w:rsidRPr="00E41624">
        <w:t>, artemether-lumefantrine-amodiaquine was</w:t>
      </w:r>
      <w:r w:rsidR="00B56264">
        <w:t xml:space="preserve"> found to be</w:t>
      </w:r>
      <w:r w:rsidRPr="00E41624">
        <w:t xml:space="preserve"> generally well tolerated</w:t>
      </w:r>
      <w:r w:rsidR="00B56264">
        <w:t xml:space="preserve"> and safe</w:t>
      </w:r>
      <w:r w:rsidRPr="00E41624">
        <w:t xml:space="preserve">, </w:t>
      </w:r>
      <w:r w:rsidR="008362A3" w:rsidRPr="00E41624">
        <w:t>although</w:t>
      </w:r>
      <w:r w:rsidRPr="00E41624">
        <w:t xml:space="preserve"> mild adverse events</w:t>
      </w:r>
      <w:r w:rsidR="008362A3" w:rsidRPr="00E41624">
        <w:t xml:space="preserve"> (mainly gastrointestinal) were more frequent compared to artemether-lumefantrine</w:t>
      </w:r>
      <w:r w:rsidR="00E518E2">
        <w:t xml:space="preserve"> alone</w:t>
      </w:r>
      <w:r w:rsidR="008362A3" w:rsidRPr="00E41624">
        <w:t>.</w:t>
      </w:r>
      <w:r w:rsidR="008362A3">
        <w:t xml:space="preserve"> </w:t>
      </w:r>
      <w:r w:rsidR="003F78AC">
        <w:t>The addition of amodiaquine</w:t>
      </w:r>
      <w:r w:rsidR="00B56264">
        <w:t xml:space="preserve"> was also observed t</w:t>
      </w:r>
      <w:r w:rsidR="008D00EF">
        <w:t xml:space="preserve">o cause a small prolongation of the </w:t>
      </w:r>
      <w:r w:rsidR="00B56264">
        <w:t>electrocardiogram corrected QT interval</w:t>
      </w:r>
      <w:r w:rsidR="00346903">
        <w:t xml:space="preserve"> compared to artemether-lumefantrine alone</w:t>
      </w:r>
      <w:r w:rsidR="008D00EF">
        <w:t xml:space="preserve"> </w:t>
      </w:r>
      <w:r w:rsidR="008D23E7">
        <w:t>(</w:t>
      </w:r>
      <w:r w:rsidR="00346903" w:rsidRPr="00346903">
        <w:t>mean increase at 52 h of 8</w:t>
      </w:r>
      <w:r w:rsidR="00346903">
        <w:t>.</w:t>
      </w:r>
      <w:r w:rsidR="00346903" w:rsidRPr="00346903">
        <w:t xml:space="preserve">8 </w:t>
      </w:r>
      <w:proofErr w:type="spellStart"/>
      <w:r w:rsidR="00346903" w:rsidRPr="00346903">
        <w:t>ms</w:t>
      </w:r>
      <w:proofErr w:type="spellEnd"/>
      <w:r w:rsidR="00346903">
        <w:t xml:space="preserve"> versus </w:t>
      </w:r>
      <w:r w:rsidR="00346903" w:rsidRPr="00346903">
        <w:t>0</w:t>
      </w:r>
      <w:r w:rsidR="00346903">
        <w:t>.</w:t>
      </w:r>
      <w:r w:rsidR="00346903" w:rsidRPr="00346903">
        <w:t xml:space="preserve">9 </w:t>
      </w:r>
      <w:proofErr w:type="spellStart"/>
      <w:r w:rsidR="00346903" w:rsidRPr="00346903">
        <w:t>ms</w:t>
      </w:r>
      <w:proofErr w:type="spellEnd"/>
      <w:r w:rsidR="003F78AC">
        <w:t>), but not to the extent of cardiac arrhythmias.</w:t>
      </w:r>
      <w:r w:rsidR="008D23E7">
        <w:t xml:space="preserve"> In addition, </w:t>
      </w:r>
      <w:r w:rsidR="008D23E7" w:rsidRPr="00932225">
        <w:t xml:space="preserve">amodiaquine use </w:t>
      </w:r>
      <w:r w:rsidR="003F78AC">
        <w:t>was</w:t>
      </w:r>
      <w:r w:rsidR="008D23E7" w:rsidRPr="00932225">
        <w:t xml:space="preserve"> associated with a bigger decrease in heart rate </w:t>
      </w:r>
      <w:r w:rsidR="003F78AC">
        <w:t>compared to artemether-lumefantrine alone</w:t>
      </w:r>
      <w:r w:rsidR="008D23E7" w:rsidRPr="00932225">
        <w:t xml:space="preserve"> and a higher incidence of bradycardia (&lt;54 beats/minute), both in adults and children.</w:t>
      </w:r>
    </w:p>
    <w:p w14:paraId="3E3AB57E" w14:textId="0F1792F3" w:rsidR="002B540C" w:rsidRDefault="002B540C">
      <w:pPr>
        <w:pStyle w:val="Heading2"/>
      </w:pPr>
      <w:bookmarkStart w:id="625" w:name="_Toc106288972"/>
      <w:bookmarkStart w:id="626" w:name="_Toc106288973"/>
      <w:bookmarkStart w:id="627" w:name="_Toc100324494"/>
      <w:bookmarkStart w:id="628" w:name="_Toc101205013"/>
      <w:bookmarkStart w:id="629" w:name="_Toc101205131"/>
      <w:bookmarkStart w:id="630" w:name="_Toc101205277"/>
      <w:bookmarkStart w:id="631" w:name="_Toc102985000"/>
      <w:bookmarkStart w:id="632" w:name="_Toc102985851"/>
      <w:bookmarkStart w:id="633" w:name="_Toc104981683"/>
      <w:bookmarkStart w:id="634" w:name="_Toc106288974"/>
      <w:bookmarkEnd w:id="625"/>
      <w:bookmarkEnd w:id="626"/>
      <w:r>
        <w:t>Benef</w:t>
      </w:r>
      <w:r w:rsidR="00114C5E">
        <w:t>its</w:t>
      </w:r>
      <w:bookmarkEnd w:id="627"/>
      <w:bookmarkEnd w:id="628"/>
      <w:bookmarkEnd w:id="629"/>
      <w:bookmarkEnd w:id="630"/>
      <w:bookmarkEnd w:id="631"/>
      <w:bookmarkEnd w:id="632"/>
      <w:bookmarkEnd w:id="633"/>
      <w:bookmarkEnd w:id="634"/>
    </w:p>
    <w:p w14:paraId="3F081A22" w14:textId="3E8F6A9B" w:rsidR="00114C5E" w:rsidRPr="00114C5E" w:rsidRDefault="00114C5E" w:rsidP="00B91D68">
      <w:pPr>
        <w:jc w:val="both"/>
      </w:pPr>
      <w:r w:rsidRPr="00114C5E">
        <w:t xml:space="preserve">The benefits of the participation include free treatment of malaria and other acute diseases that may occur during the follow-up period. Participants who are in the groups that receive </w:t>
      </w:r>
      <w:r w:rsidR="004D11E0">
        <w:t>prima</w:t>
      </w:r>
      <w:r w:rsidRPr="00114C5E">
        <w:t>quine may be less infectious to mosquitoes and reduce the chance of having mosquitoes in their environment becoming infectious. Findings will help in the treatment of future patients and communities with malaria and further optimize the design of community intervention programmes.</w:t>
      </w:r>
    </w:p>
    <w:p w14:paraId="7064492E" w14:textId="2479CB3D" w:rsidR="002B540C" w:rsidRDefault="002B540C">
      <w:pPr>
        <w:pStyle w:val="Heading2"/>
      </w:pPr>
      <w:bookmarkStart w:id="635" w:name="_Toc100324495"/>
      <w:bookmarkStart w:id="636" w:name="_Toc101205014"/>
      <w:bookmarkStart w:id="637" w:name="_Toc101205132"/>
      <w:bookmarkStart w:id="638" w:name="_Toc101205278"/>
      <w:bookmarkStart w:id="639" w:name="_Toc102985001"/>
      <w:bookmarkStart w:id="640" w:name="_Toc102985852"/>
      <w:bookmarkStart w:id="641" w:name="_Toc104981684"/>
      <w:bookmarkStart w:id="642" w:name="_Toc106288975"/>
      <w:r>
        <w:t>Compensation</w:t>
      </w:r>
      <w:bookmarkEnd w:id="635"/>
      <w:bookmarkEnd w:id="636"/>
      <w:bookmarkEnd w:id="637"/>
      <w:bookmarkEnd w:id="638"/>
      <w:bookmarkEnd w:id="639"/>
      <w:bookmarkEnd w:id="640"/>
      <w:bookmarkEnd w:id="641"/>
      <w:bookmarkEnd w:id="642"/>
    </w:p>
    <w:p w14:paraId="043ADF7D" w14:textId="0B17518B" w:rsidR="00114C5E" w:rsidRPr="00114C5E" w:rsidRDefault="000F459A" w:rsidP="00B91D68">
      <w:pPr>
        <w:jc w:val="both"/>
      </w:pPr>
      <w:r w:rsidRPr="009B79D7">
        <w:t xml:space="preserve">Participants will receive compensation for the time and travel for protocol specified visits. This compensation will be carefully evaluated and provided upon agreement of the local ethics committee. In Mali, the estimated cost of time and travel expense per visit in </w:t>
      </w:r>
      <w:proofErr w:type="spellStart"/>
      <w:r w:rsidRPr="009B79D7">
        <w:t>Ouelessebougou</w:t>
      </w:r>
      <w:proofErr w:type="spellEnd"/>
      <w:r w:rsidRPr="009B79D7">
        <w:t xml:space="preserve"> for residents of </w:t>
      </w:r>
      <w:proofErr w:type="spellStart"/>
      <w:r w:rsidRPr="009B79D7">
        <w:t>Ouelessebougou</w:t>
      </w:r>
      <w:proofErr w:type="spellEnd"/>
      <w:r w:rsidRPr="009B79D7">
        <w:t xml:space="preserve"> is estimated to be 1500 CFA (~3 US $). The compensation for enrolment visit will be 3000 CFA (~6.0 US $) and 1500 CFA (~3 US $) for each additional visit.</w:t>
      </w:r>
    </w:p>
    <w:p w14:paraId="6B34988C" w14:textId="3000B6E2" w:rsidR="002B540C" w:rsidRDefault="002B540C">
      <w:pPr>
        <w:pStyle w:val="Heading1"/>
      </w:pPr>
      <w:bookmarkStart w:id="643" w:name="_Toc100324496"/>
      <w:bookmarkStart w:id="644" w:name="_Toc101205015"/>
      <w:bookmarkStart w:id="645" w:name="_Toc101205133"/>
      <w:bookmarkStart w:id="646" w:name="_Toc101205279"/>
      <w:bookmarkStart w:id="647" w:name="_Toc102985002"/>
      <w:bookmarkStart w:id="648" w:name="_Toc102985853"/>
      <w:bookmarkStart w:id="649" w:name="_Toc104981685"/>
      <w:bookmarkStart w:id="650" w:name="_Toc106288976"/>
      <w:r>
        <w:t>USE AND STORAGE OF STUDY SAMPLES</w:t>
      </w:r>
      <w:bookmarkEnd w:id="643"/>
      <w:bookmarkEnd w:id="644"/>
      <w:bookmarkEnd w:id="645"/>
      <w:bookmarkEnd w:id="646"/>
      <w:bookmarkEnd w:id="647"/>
      <w:bookmarkEnd w:id="648"/>
      <w:bookmarkEnd w:id="649"/>
      <w:bookmarkEnd w:id="650"/>
    </w:p>
    <w:p w14:paraId="0720DE17" w14:textId="579D90DE" w:rsidR="000F459A" w:rsidRPr="00B91D68" w:rsidRDefault="000F459A" w:rsidP="00B91D68">
      <w:pPr>
        <w:jc w:val="both"/>
        <w:rPr>
          <w:rFonts w:cs="Arial"/>
          <w:sz w:val="21"/>
          <w:szCs w:val="22"/>
        </w:rPr>
      </w:pPr>
      <w:r w:rsidRPr="000F459A">
        <w:rPr>
          <w:rFonts w:eastAsia="MS Mincho" w:cs="Arial"/>
          <w:szCs w:val="22"/>
        </w:rPr>
        <w:t xml:space="preserve">Samples </w:t>
      </w:r>
      <w:r w:rsidRPr="000F459A">
        <w:rPr>
          <w:rFonts w:cs="Arial"/>
          <w:szCs w:val="22"/>
        </w:rPr>
        <w:t xml:space="preserve">collected </w:t>
      </w:r>
      <w:r w:rsidRPr="000F459A">
        <w:rPr>
          <w:rFonts w:eastAsia="MS Mincho" w:cs="Arial"/>
          <w:szCs w:val="22"/>
        </w:rPr>
        <w:t>will be stored at MRTC in Bamako, Mali</w:t>
      </w:r>
      <w:r w:rsidRPr="000F459A">
        <w:rPr>
          <w:rFonts w:cs="Arial"/>
          <w:szCs w:val="22"/>
        </w:rPr>
        <w:t xml:space="preserve"> </w:t>
      </w:r>
      <w:r w:rsidRPr="000F459A">
        <w:rPr>
          <w:rFonts w:eastAsia="MS Mincho" w:cs="Arial"/>
          <w:szCs w:val="22"/>
        </w:rPr>
        <w:t>and some will also be shipped to collaborating research centres</w:t>
      </w:r>
      <w:r w:rsidRPr="000F459A">
        <w:rPr>
          <w:rFonts w:cs="Arial"/>
          <w:szCs w:val="22"/>
        </w:rPr>
        <w:t xml:space="preserve"> such as the London School of Hygiene &amp; Tropical Medicine and/or Radboud University medical </w:t>
      </w:r>
      <w:r w:rsidR="005C18D2" w:rsidRPr="000F459A">
        <w:rPr>
          <w:rFonts w:cs="Arial"/>
          <w:szCs w:val="22"/>
        </w:rPr>
        <w:t>centre</w:t>
      </w:r>
      <w:r w:rsidRPr="000F459A">
        <w:rPr>
          <w:rFonts w:cs="Arial"/>
          <w:szCs w:val="22"/>
        </w:rPr>
        <w:t xml:space="preserve"> to perform specific tests </w:t>
      </w:r>
      <w:r w:rsidRPr="000F459A">
        <w:rPr>
          <w:rFonts w:eastAsia="MS Mincho" w:cs="Arial"/>
          <w:szCs w:val="22"/>
        </w:rPr>
        <w:t xml:space="preserve">as described </w:t>
      </w:r>
      <w:r w:rsidRPr="000F459A">
        <w:rPr>
          <w:rFonts w:cs="Arial"/>
          <w:szCs w:val="22"/>
        </w:rPr>
        <w:t>above. Samples may be kept for a maximum of 10 years.</w:t>
      </w:r>
      <w:r w:rsidR="00D812B9">
        <w:rPr>
          <w:rFonts w:cs="Arial"/>
          <w:szCs w:val="22"/>
        </w:rPr>
        <w:t xml:space="preserve"> As described in the patient consent forms</w:t>
      </w:r>
      <w:r w:rsidR="00A0779C">
        <w:rPr>
          <w:rFonts w:cs="Arial"/>
          <w:szCs w:val="22"/>
        </w:rPr>
        <w:t xml:space="preserve"> secondary use of patient samples may be shared with collaborating institutes, if ethical approval and appropriate material transfer agreements are in place.</w:t>
      </w:r>
    </w:p>
    <w:p w14:paraId="15D52270" w14:textId="5FD96C98" w:rsidR="002B540C" w:rsidRDefault="002B540C">
      <w:pPr>
        <w:pStyle w:val="Heading1"/>
      </w:pPr>
      <w:bookmarkStart w:id="651" w:name="_Toc100324497"/>
      <w:bookmarkStart w:id="652" w:name="_Toc101205016"/>
      <w:bookmarkStart w:id="653" w:name="_Toc101205134"/>
      <w:bookmarkStart w:id="654" w:name="_Toc101205280"/>
      <w:bookmarkStart w:id="655" w:name="_Toc102985003"/>
      <w:bookmarkStart w:id="656" w:name="_Toc102985854"/>
      <w:bookmarkStart w:id="657" w:name="_Toc104981686"/>
      <w:bookmarkStart w:id="658" w:name="_Toc106288977"/>
      <w:r w:rsidRPr="002B540C">
        <w:lastRenderedPageBreak/>
        <w:t>SPONSOR INFORMATION</w:t>
      </w:r>
      <w:bookmarkEnd w:id="651"/>
      <w:bookmarkEnd w:id="652"/>
      <w:bookmarkEnd w:id="653"/>
      <w:bookmarkEnd w:id="654"/>
      <w:bookmarkEnd w:id="655"/>
      <w:bookmarkEnd w:id="656"/>
      <w:bookmarkEnd w:id="657"/>
      <w:bookmarkEnd w:id="658"/>
    </w:p>
    <w:p w14:paraId="21DEFE00" w14:textId="1678ADEA" w:rsidR="000F459A" w:rsidRPr="000F459A" w:rsidRDefault="000F459A">
      <w:pPr>
        <w:pStyle w:val="Heading2"/>
      </w:pPr>
      <w:bookmarkStart w:id="659" w:name="_Toc100324498"/>
      <w:bookmarkStart w:id="660" w:name="_Toc101205017"/>
      <w:bookmarkStart w:id="661" w:name="_Toc101205135"/>
      <w:bookmarkStart w:id="662" w:name="_Toc101205281"/>
      <w:bookmarkStart w:id="663" w:name="_Toc102985004"/>
      <w:bookmarkStart w:id="664" w:name="_Toc102985855"/>
      <w:bookmarkStart w:id="665" w:name="_Toc104981687"/>
      <w:bookmarkStart w:id="666" w:name="_Toc106288978"/>
      <w:r w:rsidRPr="000F459A">
        <w:t>Indemnity</w:t>
      </w:r>
      <w:bookmarkEnd w:id="659"/>
      <w:bookmarkEnd w:id="660"/>
      <w:bookmarkEnd w:id="661"/>
      <w:bookmarkEnd w:id="662"/>
      <w:bookmarkEnd w:id="663"/>
      <w:bookmarkEnd w:id="664"/>
      <w:bookmarkEnd w:id="665"/>
      <w:bookmarkEnd w:id="666"/>
    </w:p>
    <w:p w14:paraId="02C3082A" w14:textId="77777777" w:rsidR="000F459A" w:rsidRPr="000F459A" w:rsidRDefault="000F459A" w:rsidP="000F459A">
      <w:pPr>
        <w:jc w:val="both"/>
        <w:rPr>
          <w:rFonts w:eastAsia="MS Mincho" w:cs="Arial"/>
          <w:szCs w:val="22"/>
        </w:rPr>
      </w:pPr>
      <w:r w:rsidRPr="000F459A">
        <w:rPr>
          <w:rFonts w:eastAsia="MS Mincho" w:cs="Arial"/>
          <w:szCs w:val="22"/>
        </w:rPr>
        <w:t>London School of Hygiene &amp; Tropical Medicine holds Public Liability ("negligent harm") and Clinical Trial ("non-negligent harm") insurance policies which apply to this trial.</w:t>
      </w:r>
    </w:p>
    <w:p w14:paraId="0F1CF5A6" w14:textId="37FE6565" w:rsidR="000F459A" w:rsidRPr="000F459A" w:rsidRDefault="000F459A">
      <w:pPr>
        <w:pStyle w:val="Heading2"/>
      </w:pPr>
      <w:bookmarkStart w:id="667" w:name="_Toc100324499"/>
      <w:bookmarkStart w:id="668" w:name="_Toc101205018"/>
      <w:bookmarkStart w:id="669" w:name="_Toc101205136"/>
      <w:bookmarkStart w:id="670" w:name="_Toc101205282"/>
      <w:bookmarkStart w:id="671" w:name="_Toc102985005"/>
      <w:bookmarkStart w:id="672" w:name="_Toc102985856"/>
      <w:bookmarkStart w:id="673" w:name="_Toc104981688"/>
      <w:bookmarkStart w:id="674" w:name="_Toc106288979"/>
      <w:r w:rsidRPr="000F459A">
        <w:t>Sponsor</w:t>
      </w:r>
      <w:bookmarkEnd w:id="667"/>
      <w:bookmarkEnd w:id="668"/>
      <w:bookmarkEnd w:id="669"/>
      <w:bookmarkEnd w:id="670"/>
      <w:bookmarkEnd w:id="671"/>
      <w:bookmarkEnd w:id="672"/>
      <w:bookmarkEnd w:id="673"/>
      <w:bookmarkEnd w:id="674"/>
    </w:p>
    <w:p w14:paraId="6508923C" w14:textId="77777777" w:rsidR="000F459A" w:rsidRPr="000F459A" w:rsidRDefault="000F459A" w:rsidP="000F459A">
      <w:pPr>
        <w:jc w:val="both"/>
        <w:rPr>
          <w:rFonts w:eastAsia="MS Mincho" w:cs="Arial"/>
          <w:szCs w:val="22"/>
        </w:rPr>
      </w:pPr>
      <w:r w:rsidRPr="000F459A">
        <w:rPr>
          <w:rFonts w:eastAsia="MS Mincho" w:cs="Arial"/>
          <w:szCs w:val="22"/>
        </w:rPr>
        <w:t>London School of Hygiene &amp; Tropical Medicine will act as the main sponsor for this study. Delegated responsibilities will be assigned locally.</w:t>
      </w:r>
    </w:p>
    <w:p w14:paraId="14DEE9BB" w14:textId="3B403C55" w:rsidR="000F459A" w:rsidRPr="000F459A" w:rsidRDefault="000F459A">
      <w:pPr>
        <w:pStyle w:val="Heading2"/>
      </w:pPr>
      <w:bookmarkStart w:id="675" w:name="_Toc100324500"/>
      <w:bookmarkStart w:id="676" w:name="_Toc101205019"/>
      <w:bookmarkStart w:id="677" w:name="_Toc101205137"/>
      <w:bookmarkStart w:id="678" w:name="_Toc101205283"/>
      <w:bookmarkStart w:id="679" w:name="_Toc102985006"/>
      <w:bookmarkStart w:id="680" w:name="_Toc102985857"/>
      <w:bookmarkStart w:id="681" w:name="_Toc104981689"/>
      <w:bookmarkStart w:id="682" w:name="_Toc106288980"/>
      <w:r w:rsidRPr="000F459A">
        <w:t>Audits and Inspections</w:t>
      </w:r>
      <w:bookmarkEnd w:id="675"/>
      <w:bookmarkEnd w:id="676"/>
      <w:bookmarkEnd w:id="677"/>
      <w:bookmarkEnd w:id="678"/>
      <w:bookmarkEnd w:id="679"/>
      <w:bookmarkEnd w:id="680"/>
      <w:bookmarkEnd w:id="681"/>
      <w:bookmarkEnd w:id="682"/>
    </w:p>
    <w:p w14:paraId="73EC972C" w14:textId="023C4C1E" w:rsidR="000F459A" w:rsidRPr="00B91D68" w:rsidRDefault="000F459A" w:rsidP="00B91D68">
      <w:pPr>
        <w:jc w:val="both"/>
        <w:rPr>
          <w:rFonts w:eastAsia="MS Mincho" w:cs="Arial"/>
          <w:szCs w:val="22"/>
        </w:rPr>
      </w:pPr>
      <w:r w:rsidRPr="000F459A">
        <w:rPr>
          <w:rFonts w:eastAsia="MS Mincho" w:cs="Arial"/>
          <w:szCs w:val="22"/>
        </w:rPr>
        <w:t>The study may be subject audit by the London School of Hygiene &amp; Tropical Medicine under their remit as sponsor, the Study Coordination Centre, and other regulatory bodies to ensure adherence to GCP.</w:t>
      </w:r>
    </w:p>
    <w:p w14:paraId="55DDBED2" w14:textId="557D3C48" w:rsidR="002B540C" w:rsidRDefault="002B540C">
      <w:pPr>
        <w:pStyle w:val="Heading1"/>
      </w:pPr>
      <w:bookmarkStart w:id="683" w:name="_Toc100324501"/>
      <w:bookmarkStart w:id="684" w:name="_Toc101205020"/>
      <w:bookmarkStart w:id="685" w:name="_Toc101205138"/>
      <w:bookmarkStart w:id="686" w:name="_Toc101205284"/>
      <w:bookmarkStart w:id="687" w:name="_Toc102985007"/>
      <w:bookmarkStart w:id="688" w:name="_Toc102985858"/>
      <w:bookmarkStart w:id="689" w:name="_Toc104981690"/>
      <w:bookmarkStart w:id="690" w:name="_Toc106288981"/>
      <w:r>
        <w:t>REFERENCES</w:t>
      </w:r>
      <w:bookmarkEnd w:id="683"/>
      <w:bookmarkEnd w:id="684"/>
      <w:bookmarkEnd w:id="685"/>
      <w:bookmarkEnd w:id="686"/>
      <w:bookmarkEnd w:id="687"/>
      <w:bookmarkEnd w:id="688"/>
      <w:bookmarkEnd w:id="689"/>
      <w:bookmarkEnd w:id="690"/>
    </w:p>
    <w:p w14:paraId="5760C042" w14:textId="77777777" w:rsidR="00FB2554" w:rsidRPr="00FB2554" w:rsidRDefault="00DA55BC" w:rsidP="00FB2554">
      <w:pPr>
        <w:pStyle w:val="Bibliography"/>
        <w:rPr>
          <w:rFonts w:cs="Arial"/>
        </w:rPr>
      </w:pPr>
      <w:r>
        <w:rPr>
          <w:rFonts w:cs="Arial"/>
        </w:rPr>
        <w:t xml:space="preserve"> </w:t>
      </w:r>
      <w:r>
        <w:rPr>
          <w:rFonts w:cs="Arial"/>
        </w:rPr>
        <w:fldChar w:fldCharType="begin"/>
      </w:r>
      <w:r w:rsidR="00FB2554">
        <w:rPr>
          <w:rFonts w:cs="Arial"/>
        </w:rPr>
        <w:instrText xml:space="preserve"> ADDIN ZOTERO_BIBL {"uncited":[],"omitted":[],"custom":[]} CSL_BIBLIOGRAPHY </w:instrText>
      </w:r>
      <w:r>
        <w:rPr>
          <w:rFonts w:cs="Arial"/>
        </w:rPr>
        <w:fldChar w:fldCharType="separate"/>
      </w:r>
      <w:r w:rsidR="00FB2554" w:rsidRPr="00FB2554">
        <w:rPr>
          <w:rFonts w:cs="Arial"/>
        </w:rPr>
        <w:t>[1]</w:t>
      </w:r>
      <w:r w:rsidR="00FB2554" w:rsidRPr="00FB2554">
        <w:rPr>
          <w:rFonts w:cs="Arial"/>
        </w:rPr>
        <w:tab/>
        <w:t>World Health Organization, ‘Updated WHO policy recommendation October 2012: single dose primaquine as a gametocytocide in Plasmodium falciparum malaria’. 2012.</w:t>
      </w:r>
    </w:p>
    <w:p w14:paraId="35BC7B92" w14:textId="77777777" w:rsidR="00FB2554" w:rsidRPr="00FB2554" w:rsidRDefault="00FB2554" w:rsidP="00FB2554">
      <w:pPr>
        <w:pStyle w:val="Bibliography"/>
        <w:rPr>
          <w:rFonts w:cs="Arial"/>
        </w:rPr>
      </w:pPr>
      <w:r w:rsidRPr="00FB2554">
        <w:rPr>
          <w:rFonts w:cs="Arial"/>
        </w:rPr>
        <w:t>[2]</w:t>
      </w:r>
      <w:r w:rsidRPr="00FB2554">
        <w:rPr>
          <w:rFonts w:cs="Arial"/>
        </w:rPr>
        <w:tab/>
        <w:t xml:space="preserve">‘Gametocyte carriage in uncomplicated Plasmodium falciparum malaria following treatment with artemisinin combination therapy: a systematic review and meta-analysis of individual patient data’, </w:t>
      </w:r>
      <w:r w:rsidRPr="00FB2554">
        <w:rPr>
          <w:rFonts w:cs="Arial"/>
          <w:i/>
          <w:iCs/>
        </w:rPr>
        <w:t>BMC Med.</w:t>
      </w:r>
      <w:r w:rsidRPr="00FB2554">
        <w:rPr>
          <w:rFonts w:cs="Arial"/>
        </w:rPr>
        <w:t>, vol. 14, p. 79, May 2016, doi: 10.1186/s12916-016-0621-7.</w:t>
      </w:r>
    </w:p>
    <w:p w14:paraId="1ADD507B" w14:textId="77777777" w:rsidR="00FB2554" w:rsidRPr="00FB2554" w:rsidRDefault="00FB2554" w:rsidP="00FB2554">
      <w:pPr>
        <w:pStyle w:val="Bibliography"/>
        <w:rPr>
          <w:rFonts w:cs="Arial"/>
        </w:rPr>
      </w:pPr>
      <w:r w:rsidRPr="00FB2554">
        <w:rPr>
          <w:rFonts w:cs="Arial"/>
        </w:rPr>
        <w:t>[3]</w:t>
      </w:r>
      <w:r w:rsidRPr="00FB2554">
        <w:rPr>
          <w:rFonts w:cs="Arial"/>
        </w:rPr>
        <w:tab/>
        <w:t xml:space="preserve">W. Stone </w:t>
      </w:r>
      <w:r w:rsidRPr="00FB2554">
        <w:rPr>
          <w:rFonts w:cs="Arial"/>
          <w:i/>
          <w:iCs/>
        </w:rPr>
        <w:t>et al.</w:t>
      </w:r>
      <w:r w:rsidRPr="00FB2554">
        <w:rPr>
          <w:rFonts w:cs="Arial"/>
        </w:rPr>
        <w:t xml:space="preserve">, ‘Pyronaridine–artesunate or dihydroartemisinin–piperaquine combined with single low-dose primaquine to prevent Plasmodium falciparum malaria transmission in Ouélessébougou, Mali: a four-arm, single-blind, phase 2/3, randomised trial’, </w:t>
      </w:r>
      <w:r w:rsidRPr="00FB2554">
        <w:rPr>
          <w:rFonts w:cs="Arial"/>
          <w:i/>
          <w:iCs/>
        </w:rPr>
        <w:t>Lancet Microbe</w:t>
      </w:r>
      <w:r w:rsidRPr="00FB2554">
        <w:rPr>
          <w:rFonts w:cs="Arial"/>
        </w:rPr>
        <w:t>, vol. 3, no. 1, pp. e41–e51, Jan. 2022, doi: 10.1016/S2666-5247(21)00192-0.</w:t>
      </w:r>
    </w:p>
    <w:p w14:paraId="37653A41" w14:textId="77777777" w:rsidR="00FB2554" w:rsidRPr="00FB2554" w:rsidRDefault="00FB2554" w:rsidP="00FB2554">
      <w:pPr>
        <w:pStyle w:val="Bibliography"/>
        <w:rPr>
          <w:rFonts w:cs="Arial"/>
        </w:rPr>
      </w:pPr>
      <w:r w:rsidRPr="00FB2554">
        <w:rPr>
          <w:rFonts w:cs="Arial"/>
        </w:rPr>
        <w:t>[4]</w:t>
      </w:r>
      <w:r w:rsidRPr="00FB2554">
        <w:rPr>
          <w:rFonts w:cs="Arial"/>
        </w:rPr>
        <w:tab/>
        <w:t xml:space="preserve">W. Stone </w:t>
      </w:r>
      <w:r w:rsidRPr="00FB2554">
        <w:rPr>
          <w:rFonts w:cs="Arial"/>
          <w:i/>
          <w:iCs/>
        </w:rPr>
        <w:t>et al.</w:t>
      </w:r>
      <w:r w:rsidRPr="00FB2554">
        <w:rPr>
          <w:rFonts w:cs="Arial"/>
        </w:rPr>
        <w:t xml:space="preserve">, ‘Single low-dose tafenoquine combined with dihydroartemisinin–piperaquine to reduce Plasmodium falciparum transmission in Ouelessebougou, Mali: a phase 2, single-blind, randomised clinical trial’, </w:t>
      </w:r>
      <w:r w:rsidRPr="00FB2554">
        <w:rPr>
          <w:rFonts w:cs="Arial"/>
          <w:i/>
          <w:iCs/>
        </w:rPr>
        <w:t>Lancet Microbe</w:t>
      </w:r>
      <w:r w:rsidRPr="00FB2554">
        <w:rPr>
          <w:rFonts w:cs="Arial"/>
        </w:rPr>
        <w:t>, vol. 3, no. 5, pp. e336–e347, May 2022, doi: 10.1016/S2666-5247(21)00356-6.</w:t>
      </w:r>
    </w:p>
    <w:p w14:paraId="41789299" w14:textId="77777777" w:rsidR="00FB2554" w:rsidRPr="00FB2554" w:rsidRDefault="00FB2554" w:rsidP="00FB2554">
      <w:pPr>
        <w:pStyle w:val="Bibliography"/>
        <w:rPr>
          <w:rFonts w:cs="Arial"/>
        </w:rPr>
      </w:pPr>
      <w:r w:rsidRPr="00FB2554">
        <w:rPr>
          <w:rFonts w:cs="Arial"/>
        </w:rPr>
        <w:t>[5]</w:t>
      </w:r>
      <w:r w:rsidRPr="00FB2554">
        <w:rPr>
          <w:rFonts w:cs="Arial"/>
        </w:rPr>
        <w:tab/>
        <w:t xml:space="preserve">R. W. van der Pluijm </w:t>
      </w:r>
      <w:r w:rsidRPr="00FB2554">
        <w:rPr>
          <w:rFonts w:cs="Arial"/>
          <w:i/>
          <w:iCs/>
        </w:rPr>
        <w:t>et al.</w:t>
      </w:r>
      <w:r w:rsidRPr="00FB2554">
        <w:rPr>
          <w:rFonts w:cs="Arial"/>
        </w:rPr>
        <w:t xml:space="preserve">, ‘Triple artemisinin-based combination therapies versus artemisinin-based combination therapies for uncomplicated Plasmodium falciparum malaria: a multicentre, open-label, randomised clinical trial’, </w:t>
      </w:r>
      <w:r w:rsidRPr="00FB2554">
        <w:rPr>
          <w:rFonts w:cs="Arial"/>
          <w:i/>
          <w:iCs/>
        </w:rPr>
        <w:t>The Lancet</w:t>
      </w:r>
      <w:r w:rsidRPr="00FB2554">
        <w:rPr>
          <w:rFonts w:cs="Arial"/>
        </w:rPr>
        <w:t>, vol. 395, no. 10233, pp. 1345–1360, Apr. 2020, doi: 10.1016/S0140-6736(20)30552-3.</w:t>
      </w:r>
    </w:p>
    <w:p w14:paraId="499CE042" w14:textId="77777777" w:rsidR="00FB2554" w:rsidRPr="00FB2554" w:rsidRDefault="00FB2554" w:rsidP="00FB2554">
      <w:pPr>
        <w:pStyle w:val="Bibliography"/>
        <w:rPr>
          <w:rFonts w:cs="Arial"/>
        </w:rPr>
      </w:pPr>
      <w:r w:rsidRPr="00FB2554">
        <w:rPr>
          <w:rFonts w:cs="Arial"/>
        </w:rPr>
        <w:t>[6]</w:t>
      </w:r>
      <w:r w:rsidRPr="00FB2554">
        <w:rPr>
          <w:rFonts w:cs="Arial"/>
        </w:rPr>
        <w:tab/>
        <w:t xml:space="preserve">T. J. Peto </w:t>
      </w:r>
      <w:r w:rsidRPr="00FB2554">
        <w:rPr>
          <w:rFonts w:cs="Arial"/>
          <w:i/>
          <w:iCs/>
        </w:rPr>
        <w:t>et al.</w:t>
      </w:r>
      <w:r w:rsidRPr="00FB2554">
        <w:rPr>
          <w:rFonts w:cs="Arial"/>
        </w:rPr>
        <w:t xml:space="preserve">, ‘Triple therapy with artemether-lumefantrine plus amodiaquine versus artemether-lumefantrine alone for artemisinin-resistant, uncomplicated falciparum malaria: an open-label, randomised, multicentre trial’, </w:t>
      </w:r>
      <w:r w:rsidRPr="00FB2554">
        <w:rPr>
          <w:rFonts w:cs="Arial"/>
          <w:i/>
          <w:iCs/>
        </w:rPr>
        <w:t>Lancet Infect. Dis.</w:t>
      </w:r>
      <w:r w:rsidRPr="00FB2554">
        <w:rPr>
          <w:rFonts w:cs="Arial"/>
        </w:rPr>
        <w:t>, pp. S1473-3099(21)00692–7, Mar. 2022, doi: 10.1016/S1473-3099(21)00692-7.</w:t>
      </w:r>
    </w:p>
    <w:p w14:paraId="2254144D" w14:textId="77777777" w:rsidR="00FB2554" w:rsidRPr="00FB2554" w:rsidRDefault="00FB2554" w:rsidP="00FB2554">
      <w:pPr>
        <w:pStyle w:val="Bibliography"/>
        <w:rPr>
          <w:rFonts w:cs="Arial"/>
        </w:rPr>
      </w:pPr>
      <w:r w:rsidRPr="00FB2554">
        <w:rPr>
          <w:rFonts w:cs="Arial"/>
        </w:rPr>
        <w:t>[7]</w:t>
      </w:r>
      <w:r w:rsidRPr="00FB2554">
        <w:rPr>
          <w:rFonts w:cs="Arial"/>
        </w:rPr>
        <w:tab/>
        <w:t xml:space="preserve">World Health Organization, </w:t>
      </w:r>
      <w:r w:rsidRPr="00FB2554">
        <w:rPr>
          <w:rFonts w:cs="Arial"/>
          <w:i/>
          <w:iCs/>
        </w:rPr>
        <w:t>World malaria report 2021</w:t>
      </w:r>
      <w:r w:rsidRPr="00FB2554">
        <w:rPr>
          <w:rFonts w:cs="Arial"/>
        </w:rPr>
        <w:t>. Geneva: World Health Organization, 2021. Accessed: Apr. 04, 2022. [Online]. Available: https://apps.who.int/iris/handle/10665/350147</w:t>
      </w:r>
    </w:p>
    <w:p w14:paraId="0E9B9D06" w14:textId="77777777" w:rsidR="00FB2554" w:rsidRPr="00FB2554" w:rsidRDefault="00FB2554" w:rsidP="00FB2554">
      <w:pPr>
        <w:pStyle w:val="Bibliography"/>
        <w:rPr>
          <w:rFonts w:cs="Arial"/>
        </w:rPr>
      </w:pPr>
      <w:r w:rsidRPr="00FB2554">
        <w:rPr>
          <w:rFonts w:cs="Arial"/>
        </w:rPr>
        <w:t>[8]</w:t>
      </w:r>
      <w:r w:rsidRPr="00FB2554">
        <w:rPr>
          <w:rFonts w:cs="Arial"/>
        </w:rPr>
        <w:tab/>
        <w:t xml:space="preserve">A. Dicko </w:t>
      </w:r>
      <w:r w:rsidRPr="00FB2554">
        <w:rPr>
          <w:rFonts w:cs="Arial"/>
          <w:i/>
          <w:iCs/>
        </w:rPr>
        <w:t>et al.</w:t>
      </w:r>
      <w:r w:rsidRPr="00FB2554">
        <w:rPr>
          <w:rFonts w:cs="Arial"/>
        </w:rPr>
        <w:t xml:space="preserve">, ‘Primaquine to reduce transmission of Plasmodium falciparum malaria in Mali: a single-blind, dose-ranging, adaptive randomised phase 2 trial’, </w:t>
      </w:r>
      <w:r w:rsidRPr="00FB2554">
        <w:rPr>
          <w:rFonts w:cs="Arial"/>
          <w:i/>
          <w:iCs/>
        </w:rPr>
        <w:t>Lancet Infect. Dis.</w:t>
      </w:r>
      <w:r w:rsidRPr="00FB2554">
        <w:rPr>
          <w:rFonts w:cs="Arial"/>
        </w:rPr>
        <w:t>, vol. 16, no. 6, pp. 674–684, Jun. 2016, doi: 10.1016/S1473-3099(15)00479-X.</w:t>
      </w:r>
    </w:p>
    <w:p w14:paraId="02E3BADC" w14:textId="77777777" w:rsidR="00FB2554" w:rsidRPr="00FB2554" w:rsidRDefault="00FB2554" w:rsidP="00FB2554">
      <w:pPr>
        <w:pStyle w:val="Bibliography"/>
        <w:rPr>
          <w:rFonts w:cs="Arial"/>
        </w:rPr>
      </w:pPr>
      <w:r w:rsidRPr="00FB2554">
        <w:rPr>
          <w:rFonts w:cs="Arial"/>
        </w:rPr>
        <w:lastRenderedPageBreak/>
        <w:t>[9]</w:t>
      </w:r>
      <w:r w:rsidRPr="00FB2554">
        <w:rPr>
          <w:rFonts w:cs="Arial"/>
        </w:rPr>
        <w:tab/>
        <w:t xml:space="preserve">A. M. Dondorp </w:t>
      </w:r>
      <w:r w:rsidRPr="00FB2554">
        <w:rPr>
          <w:rFonts w:cs="Arial"/>
          <w:i/>
          <w:iCs/>
        </w:rPr>
        <w:t>et al.</w:t>
      </w:r>
      <w:r w:rsidRPr="00FB2554">
        <w:rPr>
          <w:rFonts w:cs="Arial"/>
        </w:rPr>
        <w:t xml:space="preserve">, ‘Artemisinin Resistance in Plasmodium falciparum Malaria’, </w:t>
      </w:r>
      <w:r w:rsidRPr="00FB2554">
        <w:rPr>
          <w:rFonts w:cs="Arial"/>
          <w:i/>
          <w:iCs/>
        </w:rPr>
        <w:t>N. Engl. J. Med.</w:t>
      </w:r>
      <w:r w:rsidRPr="00FB2554">
        <w:rPr>
          <w:rFonts w:cs="Arial"/>
        </w:rPr>
        <w:t>, vol. 361, no. 5, pp. 455–467, Jul. 2009, doi: 10.1056/NEJMoa0808859.</w:t>
      </w:r>
    </w:p>
    <w:p w14:paraId="75844EEE" w14:textId="77777777" w:rsidR="00FB2554" w:rsidRPr="00FB2554" w:rsidRDefault="00FB2554" w:rsidP="00FB2554">
      <w:pPr>
        <w:pStyle w:val="Bibliography"/>
        <w:rPr>
          <w:rFonts w:cs="Arial"/>
        </w:rPr>
      </w:pPr>
      <w:r w:rsidRPr="00FB2554">
        <w:rPr>
          <w:rFonts w:cs="Arial"/>
        </w:rPr>
        <w:t>[10]</w:t>
      </w:r>
      <w:r w:rsidRPr="00FB2554">
        <w:rPr>
          <w:rFonts w:cs="Arial"/>
        </w:rPr>
        <w:tab/>
        <w:t xml:space="preserve">H. Noedl, Y. Se, K. Schaecher, B. L. Smith, D. Socheat, and M. M. Fukuda, ‘Evidence of Artemisinin-Resistant Malaria in Western Cambodia’, </w:t>
      </w:r>
      <w:r w:rsidRPr="00FB2554">
        <w:rPr>
          <w:rFonts w:cs="Arial"/>
          <w:i/>
          <w:iCs/>
        </w:rPr>
        <w:t>N. Engl. J. Med.</w:t>
      </w:r>
      <w:r w:rsidRPr="00FB2554">
        <w:rPr>
          <w:rFonts w:cs="Arial"/>
        </w:rPr>
        <w:t>, vol. 359, no. 24, pp. 2619–2620, Dec. 2008, doi: 10.1056/NEJMc0805011.</w:t>
      </w:r>
    </w:p>
    <w:p w14:paraId="6FD4E577" w14:textId="77777777" w:rsidR="00FB2554" w:rsidRPr="00FB2554" w:rsidRDefault="00FB2554" w:rsidP="00FB2554">
      <w:pPr>
        <w:pStyle w:val="Bibliography"/>
        <w:rPr>
          <w:rFonts w:cs="Arial"/>
        </w:rPr>
      </w:pPr>
      <w:r w:rsidRPr="00FB2554">
        <w:rPr>
          <w:rFonts w:cs="Arial"/>
        </w:rPr>
        <w:t>[11]</w:t>
      </w:r>
      <w:r w:rsidRPr="00FB2554">
        <w:rPr>
          <w:rFonts w:cs="Arial"/>
        </w:rPr>
        <w:tab/>
        <w:t xml:space="preserve">S. Saralamba </w:t>
      </w:r>
      <w:r w:rsidRPr="00FB2554">
        <w:rPr>
          <w:rFonts w:cs="Arial"/>
          <w:i/>
          <w:iCs/>
        </w:rPr>
        <w:t>et al.</w:t>
      </w:r>
      <w:r w:rsidRPr="00FB2554">
        <w:rPr>
          <w:rFonts w:cs="Arial"/>
        </w:rPr>
        <w:t xml:space="preserve">, ‘Intrahost modeling of artemisinin resistance in Plasmodium falciparum’, </w:t>
      </w:r>
      <w:r w:rsidRPr="00FB2554">
        <w:rPr>
          <w:rFonts w:cs="Arial"/>
          <w:i/>
          <w:iCs/>
        </w:rPr>
        <w:t>Proc. Natl. Acad. Sci.</w:t>
      </w:r>
      <w:r w:rsidRPr="00FB2554">
        <w:rPr>
          <w:rFonts w:cs="Arial"/>
        </w:rPr>
        <w:t>, vol. 108, no. 1, pp. 397–402, Jan. 2011, doi: 10.1073/pnas.1006113108.</w:t>
      </w:r>
    </w:p>
    <w:p w14:paraId="5573F174" w14:textId="77777777" w:rsidR="00FB2554" w:rsidRPr="00FB2554" w:rsidRDefault="00FB2554" w:rsidP="00FB2554">
      <w:pPr>
        <w:pStyle w:val="Bibliography"/>
        <w:rPr>
          <w:rFonts w:cs="Arial"/>
        </w:rPr>
      </w:pPr>
      <w:r w:rsidRPr="00FB2554">
        <w:rPr>
          <w:rFonts w:cs="Arial"/>
        </w:rPr>
        <w:t>[12]</w:t>
      </w:r>
      <w:r w:rsidRPr="00FB2554">
        <w:rPr>
          <w:rFonts w:cs="Arial"/>
        </w:rPr>
        <w:tab/>
        <w:t xml:space="preserve">B. Q. Phuc </w:t>
      </w:r>
      <w:r w:rsidRPr="00FB2554">
        <w:rPr>
          <w:rFonts w:cs="Arial"/>
          <w:i/>
          <w:iCs/>
        </w:rPr>
        <w:t>et al.</w:t>
      </w:r>
      <w:r w:rsidRPr="00FB2554">
        <w:rPr>
          <w:rFonts w:cs="Arial"/>
        </w:rPr>
        <w:t xml:space="preserve">, ‘Treatment Failure of Dihydroartemisinin/Piperaquine for Plasmodium falciparum Malaria, Vietnam’, </w:t>
      </w:r>
      <w:r w:rsidRPr="00FB2554">
        <w:rPr>
          <w:rFonts w:cs="Arial"/>
          <w:i/>
          <w:iCs/>
        </w:rPr>
        <w:t>Emerg. Infect. Dis.</w:t>
      </w:r>
      <w:r w:rsidRPr="00FB2554">
        <w:rPr>
          <w:rFonts w:cs="Arial"/>
        </w:rPr>
        <w:t>, vol. 23, no. 4, pp. 715–717, Apr. 2017, doi: 10.3201/eid2304.161872.</w:t>
      </w:r>
    </w:p>
    <w:p w14:paraId="5C02C648" w14:textId="77777777" w:rsidR="00FB2554" w:rsidRPr="00FB2554" w:rsidRDefault="00FB2554" w:rsidP="00FB2554">
      <w:pPr>
        <w:pStyle w:val="Bibliography"/>
        <w:rPr>
          <w:rFonts w:cs="Arial"/>
        </w:rPr>
      </w:pPr>
      <w:r w:rsidRPr="00FB2554">
        <w:rPr>
          <w:rFonts w:cs="Arial"/>
        </w:rPr>
        <w:t>[13]</w:t>
      </w:r>
      <w:r w:rsidRPr="00FB2554">
        <w:rPr>
          <w:rFonts w:cs="Arial"/>
        </w:rPr>
        <w:tab/>
        <w:t xml:space="preserve">N. V. Thanh </w:t>
      </w:r>
      <w:r w:rsidRPr="00FB2554">
        <w:rPr>
          <w:rFonts w:cs="Arial"/>
          <w:i/>
          <w:iCs/>
        </w:rPr>
        <w:t>et al.</w:t>
      </w:r>
      <w:r w:rsidRPr="00FB2554">
        <w:rPr>
          <w:rFonts w:cs="Arial"/>
        </w:rPr>
        <w:t xml:space="preserve">, ‘Rapid decline in the susceptibility of Plasmodium falciparum to dihydroartemisinin–piperaquine in the south of Vietnam’, </w:t>
      </w:r>
      <w:r w:rsidRPr="00FB2554">
        <w:rPr>
          <w:rFonts w:cs="Arial"/>
          <w:i/>
          <w:iCs/>
        </w:rPr>
        <w:t>Malar. J.</w:t>
      </w:r>
      <w:r w:rsidRPr="00FB2554">
        <w:rPr>
          <w:rFonts w:cs="Arial"/>
        </w:rPr>
        <w:t>, vol. 16, no. 1, p. 27, Dec. 2017, doi: 10.1186/s12936-017-1680-8.</w:t>
      </w:r>
    </w:p>
    <w:p w14:paraId="717D9B82" w14:textId="77777777" w:rsidR="00FB2554" w:rsidRPr="00FB2554" w:rsidRDefault="00FB2554" w:rsidP="00FB2554">
      <w:pPr>
        <w:pStyle w:val="Bibliography"/>
        <w:rPr>
          <w:rFonts w:cs="Arial"/>
        </w:rPr>
      </w:pPr>
      <w:r w:rsidRPr="00FB2554">
        <w:rPr>
          <w:rFonts w:cs="Arial"/>
        </w:rPr>
        <w:t>[14]</w:t>
      </w:r>
      <w:r w:rsidRPr="00FB2554">
        <w:rPr>
          <w:rFonts w:cs="Arial"/>
        </w:rPr>
        <w:tab/>
        <w:t xml:space="preserve">A. Uwimana </w:t>
      </w:r>
      <w:r w:rsidRPr="00FB2554">
        <w:rPr>
          <w:rFonts w:cs="Arial"/>
          <w:i/>
          <w:iCs/>
        </w:rPr>
        <w:t>et al.</w:t>
      </w:r>
      <w:r w:rsidRPr="00FB2554">
        <w:rPr>
          <w:rFonts w:cs="Arial"/>
        </w:rPr>
        <w:t xml:space="preserve">, ‘Emergence and clonal expansion of in vitro artemisinin-resistant Plasmodium falciparum kelch13 R561H mutant parasites in Rwanda’, </w:t>
      </w:r>
      <w:r w:rsidRPr="00FB2554">
        <w:rPr>
          <w:rFonts w:cs="Arial"/>
          <w:i/>
          <w:iCs/>
        </w:rPr>
        <w:t>Nat. Med.</w:t>
      </w:r>
      <w:r w:rsidRPr="00FB2554">
        <w:rPr>
          <w:rFonts w:cs="Arial"/>
        </w:rPr>
        <w:t>, vol. 26, no. 10, pp. 1602–1608, Oct. 2020, doi: 10.1038/s41591-020-1005-2.</w:t>
      </w:r>
    </w:p>
    <w:p w14:paraId="7AC3C4E2" w14:textId="77777777" w:rsidR="00FB2554" w:rsidRPr="00FB2554" w:rsidRDefault="00FB2554" w:rsidP="00FB2554">
      <w:pPr>
        <w:pStyle w:val="Bibliography"/>
        <w:rPr>
          <w:rFonts w:cs="Arial"/>
        </w:rPr>
      </w:pPr>
      <w:r w:rsidRPr="00FB2554">
        <w:rPr>
          <w:rFonts w:cs="Arial"/>
        </w:rPr>
        <w:t>[15]</w:t>
      </w:r>
      <w:r w:rsidRPr="00FB2554">
        <w:rPr>
          <w:rFonts w:cs="Arial"/>
        </w:rPr>
        <w:tab/>
        <w:t xml:space="preserve">V. Asua </w:t>
      </w:r>
      <w:r w:rsidRPr="00FB2554">
        <w:rPr>
          <w:rFonts w:cs="Arial"/>
          <w:i/>
          <w:iCs/>
        </w:rPr>
        <w:t>et al.</w:t>
      </w:r>
      <w:r w:rsidRPr="00FB2554">
        <w:rPr>
          <w:rFonts w:cs="Arial"/>
        </w:rPr>
        <w:t xml:space="preserve">, ‘Changing Prevalence of Potential Mediators of Aminoquinoline, Antifolate, and Artemisinin Resistance Across Uganda’, </w:t>
      </w:r>
      <w:r w:rsidRPr="00FB2554">
        <w:rPr>
          <w:rFonts w:cs="Arial"/>
          <w:i/>
          <w:iCs/>
        </w:rPr>
        <w:t>J. Infect. Dis.</w:t>
      </w:r>
      <w:r w:rsidRPr="00FB2554">
        <w:rPr>
          <w:rFonts w:cs="Arial"/>
        </w:rPr>
        <w:t>, vol. 223, no. 6, pp. 985–994, Nov. 2020, doi: 10.1093/infdis/jiaa687.</w:t>
      </w:r>
    </w:p>
    <w:p w14:paraId="4364F947" w14:textId="77777777" w:rsidR="00FB2554" w:rsidRPr="00FB2554" w:rsidRDefault="00FB2554" w:rsidP="00FB2554">
      <w:pPr>
        <w:pStyle w:val="Bibliography"/>
        <w:rPr>
          <w:rFonts w:cs="Arial"/>
        </w:rPr>
      </w:pPr>
      <w:r w:rsidRPr="00FB2554">
        <w:rPr>
          <w:rFonts w:cs="Arial"/>
        </w:rPr>
        <w:t>[16]</w:t>
      </w:r>
      <w:r w:rsidRPr="00FB2554">
        <w:rPr>
          <w:rFonts w:cs="Arial"/>
        </w:rPr>
        <w:tab/>
        <w:t xml:space="preserve">A. M. Dorkenoo </w:t>
      </w:r>
      <w:r w:rsidRPr="00FB2554">
        <w:rPr>
          <w:rFonts w:cs="Arial"/>
          <w:i/>
          <w:iCs/>
        </w:rPr>
        <w:t>et al.</w:t>
      </w:r>
      <w:r w:rsidRPr="00FB2554">
        <w:rPr>
          <w:rFonts w:cs="Arial"/>
        </w:rPr>
        <w:t xml:space="preserve">, ‘Therapeutic efficacy trial of artemisinin-based combination therapy for the treatment of uncomplicated malaria and investigation of mutations in k13 propeller domain in Togo, 2012–2013’, </w:t>
      </w:r>
      <w:r w:rsidRPr="00FB2554">
        <w:rPr>
          <w:rFonts w:cs="Arial"/>
          <w:i/>
          <w:iCs/>
        </w:rPr>
        <w:t>Malar. J.</w:t>
      </w:r>
      <w:r w:rsidRPr="00FB2554">
        <w:rPr>
          <w:rFonts w:cs="Arial"/>
        </w:rPr>
        <w:t>, vol. 15, no. 1, p. 331, Jun. 2016, doi: 10.1186/s12936-016-1381-8.</w:t>
      </w:r>
    </w:p>
    <w:p w14:paraId="13BBF748" w14:textId="77777777" w:rsidR="00FB2554" w:rsidRPr="00FB2554" w:rsidRDefault="00FB2554" w:rsidP="00FB2554">
      <w:pPr>
        <w:pStyle w:val="Bibliography"/>
        <w:rPr>
          <w:rFonts w:cs="Arial"/>
        </w:rPr>
      </w:pPr>
      <w:r w:rsidRPr="00FB2554">
        <w:rPr>
          <w:rFonts w:cs="Arial"/>
        </w:rPr>
        <w:t>[17]</w:t>
      </w:r>
      <w:r w:rsidRPr="00FB2554">
        <w:rPr>
          <w:rFonts w:cs="Arial"/>
        </w:rPr>
        <w:tab/>
        <w:t xml:space="preserve">D. T. Ouologuem </w:t>
      </w:r>
      <w:r w:rsidRPr="00FB2554">
        <w:rPr>
          <w:rFonts w:cs="Arial"/>
          <w:i/>
          <w:iCs/>
        </w:rPr>
        <w:t>et al.</w:t>
      </w:r>
      <w:r w:rsidRPr="00FB2554">
        <w:rPr>
          <w:rFonts w:cs="Arial"/>
        </w:rPr>
        <w:t xml:space="preserve">, ‘Differential infectivity of gametocytes after artemisinin-based combination therapy of uncomplicated falciparum malaria’, </w:t>
      </w:r>
      <w:r w:rsidRPr="00FB2554">
        <w:rPr>
          <w:rFonts w:cs="Arial"/>
          <w:i/>
          <w:iCs/>
        </w:rPr>
        <w:t>Afr. J. Lab. Med.</w:t>
      </w:r>
      <w:r w:rsidRPr="00FB2554">
        <w:rPr>
          <w:rFonts w:cs="Arial"/>
        </w:rPr>
        <w:t>, vol. 7, no. 2, p. 784, Dec. 2018, doi: 10.4102/ajlm.v7i2.784.</w:t>
      </w:r>
    </w:p>
    <w:p w14:paraId="2D0A3A82" w14:textId="77777777" w:rsidR="00FB2554" w:rsidRPr="00FB2554" w:rsidRDefault="00FB2554" w:rsidP="00FB2554">
      <w:pPr>
        <w:pStyle w:val="Bibliography"/>
        <w:rPr>
          <w:rFonts w:cs="Arial"/>
        </w:rPr>
      </w:pPr>
      <w:r w:rsidRPr="00FB2554">
        <w:rPr>
          <w:rFonts w:cs="Arial"/>
        </w:rPr>
        <w:t>[18]</w:t>
      </w:r>
      <w:r w:rsidRPr="00FB2554">
        <w:rPr>
          <w:rFonts w:cs="Arial"/>
        </w:rPr>
        <w:tab/>
        <w:t xml:space="preserve">A. Yeka </w:t>
      </w:r>
      <w:r w:rsidRPr="00FB2554">
        <w:rPr>
          <w:rFonts w:cs="Arial"/>
          <w:i/>
          <w:iCs/>
        </w:rPr>
        <w:t>et al.</w:t>
      </w:r>
      <w:r w:rsidRPr="00FB2554">
        <w:rPr>
          <w:rFonts w:cs="Arial"/>
        </w:rPr>
        <w:t xml:space="preserve">, ‘Efficacy and Safety of Fixed-Dose Artesunate-Amodiaquine vs. Artemether-Lumefantrine for Repeated Treatment of Uncomplicated Malaria in Ugandan Children’, </w:t>
      </w:r>
      <w:r w:rsidRPr="00FB2554">
        <w:rPr>
          <w:rFonts w:cs="Arial"/>
          <w:i/>
          <w:iCs/>
        </w:rPr>
        <w:t>PLOS ONE</w:t>
      </w:r>
      <w:r w:rsidRPr="00FB2554">
        <w:rPr>
          <w:rFonts w:cs="Arial"/>
        </w:rPr>
        <w:t>, vol. 9, no. 12, p. e113311, Dec. 2014, doi: 10.1371/journal.pone.0113311.</w:t>
      </w:r>
    </w:p>
    <w:p w14:paraId="7C734D49" w14:textId="77777777" w:rsidR="00FB2554" w:rsidRPr="00FB2554" w:rsidRDefault="00FB2554" w:rsidP="00FB2554">
      <w:pPr>
        <w:pStyle w:val="Bibliography"/>
        <w:rPr>
          <w:rFonts w:cs="Arial"/>
        </w:rPr>
      </w:pPr>
      <w:r w:rsidRPr="00FB2554">
        <w:rPr>
          <w:rFonts w:cs="Arial"/>
        </w:rPr>
        <w:t>[19]</w:t>
      </w:r>
      <w:r w:rsidRPr="00FB2554">
        <w:rPr>
          <w:rFonts w:cs="Arial"/>
        </w:rPr>
        <w:tab/>
        <w:t xml:space="preserve">J. Bradley </w:t>
      </w:r>
      <w:r w:rsidRPr="00FB2554">
        <w:rPr>
          <w:rFonts w:cs="Arial"/>
          <w:i/>
          <w:iCs/>
        </w:rPr>
        <w:t>et al.</w:t>
      </w:r>
      <w:r w:rsidRPr="00FB2554">
        <w:rPr>
          <w:rFonts w:cs="Arial"/>
        </w:rPr>
        <w:t xml:space="preserve">, ‘Transmission-blocking Effects of Primaquine and Methylene Blue Suggest Plasmodium falciparum Gametocyte Sterilization Rather Than Effects on Sex Ratio’, </w:t>
      </w:r>
      <w:r w:rsidRPr="00FB2554">
        <w:rPr>
          <w:rFonts w:cs="Arial"/>
          <w:i/>
          <w:iCs/>
        </w:rPr>
        <w:t>Clin. Infect. Dis.</w:t>
      </w:r>
      <w:r w:rsidRPr="00FB2554">
        <w:rPr>
          <w:rFonts w:cs="Arial"/>
        </w:rPr>
        <w:t>, vol. 69, no. 8, pp. 1436–1439, Sep. 2019, doi: 10.1093/cid/ciz134.</w:t>
      </w:r>
    </w:p>
    <w:p w14:paraId="6E68F555" w14:textId="77777777" w:rsidR="00FB2554" w:rsidRPr="00FB2554" w:rsidRDefault="00FB2554" w:rsidP="00FB2554">
      <w:pPr>
        <w:pStyle w:val="Bibliography"/>
        <w:rPr>
          <w:rFonts w:cs="Arial"/>
        </w:rPr>
      </w:pPr>
      <w:r w:rsidRPr="00FB2554">
        <w:rPr>
          <w:rFonts w:cs="Arial"/>
        </w:rPr>
        <w:t>[20]</w:t>
      </w:r>
      <w:r w:rsidRPr="00FB2554">
        <w:rPr>
          <w:rFonts w:cs="Arial"/>
        </w:rPr>
        <w:tab/>
        <w:t xml:space="preserve">P. Schneider </w:t>
      </w:r>
      <w:r w:rsidRPr="00FB2554">
        <w:rPr>
          <w:rFonts w:cs="Arial"/>
          <w:i/>
          <w:iCs/>
        </w:rPr>
        <w:t>et al.</w:t>
      </w:r>
      <w:r w:rsidRPr="00FB2554">
        <w:rPr>
          <w:rFonts w:cs="Arial"/>
        </w:rPr>
        <w:t xml:space="preserve">, ‘(Sub)microscopic Plasmodium falciparum gametocytaemia in Kenyan children after treatment with sulphadoxine-pyrimethamine monotherapy or in combination with artesunate’, </w:t>
      </w:r>
      <w:r w:rsidRPr="00FB2554">
        <w:rPr>
          <w:rFonts w:cs="Arial"/>
          <w:i/>
          <w:iCs/>
        </w:rPr>
        <w:t>Int. J. Parasitol.</w:t>
      </w:r>
      <w:r w:rsidRPr="00FB2554">
        <w:rPr>
          <w:rFonts w:cs="Arial"/>
        </w:rPr>
        <w:t>, vol. 36, no. 4, pp. 403–408, Apr. 2006, doi: 10.1016/j.ijpara.2006.01.002.</w:t>
      </w:r>
    </w:p>
    <w:p w14:paraId="4B98BBFC" w14:textId="77777777" w:rsidR="00FB2554" w:rsidRPr="00FB2554" w:rsidRDefault="00FB2554" w:rsidP="00FB2554">
      <w:pPr>
        <w:pStyle w:val="Bibliography"/>
        <w:rPr>
          <w:rFonts w:cs="Arial"/>
        </w:rPr>
      </w:pPr>
      <w:r w:rsidRPr="00FB2554">
        <w:rPr>
          <w:rFonts w:cs="Arial"/>
        </w:rPr>
        <w:t>[21]</w:t>
      </w:r>
      <w:r w:rsidRPr="00FB2554">
        <w:rPr>
          <w:rFonts w:cs="Arial"/>
        </w:rPr>
        <w:tab/>
        <w:t xml:space="preserve">I. J. Reuling </w:t>
      </w:r>
      <w:r w:rsidRPr="00FB2554">
        <w:rPr>
          <w:rFonts w:cs="Arial"/>
          <w:i/>
          <w:iCs/>
        </w:rPr>
        <w:t>et al.</w:t>
      </w:r>
      <w:r w:rsidRPr="00FB2554">
        <w:rPr>
          <w:rFonts w:cs="Arial"/>
        </w:rPr>
        <w:t xml:space="preserve">, ‘Concentration of Plasmodium falciparum gametocytes in whole blood samples by magnetic cell sorting enhances parasite infection rates in mosquito feeding assays’, </w:t>
      </w:r>
      <w:r w:rsidRPr="00FB2554">
        <w:rPr>
          <w:rFonts w:cs="Arial"/>
          <w:i/>
          <w:iCs/>
        </w:rPr>
        <w:t>Malar. J.</w:t>
      </w:r>
      <w:r w:rsidRPr="00FB2554">
        <w:rPr>
          <w:rFonts w:cs="Arial"/>
        </w:rPr>
        <w:t>, vol. 16, p. 315, Aug. 2017, doi: 10.1186/s12936-017-1959-9.</w:t>
      </w:r>
    </w:p>
    <w:p w14:paraId="3D7080FF" w14:textId="77777777" w:rsidR="00FB2554" w:rsidRPr="00FB2554" w:rsidRDefault="00FB2554" w:rsidP="00FB2554">
      <w:pPr>
        <w:pStyle w:val="Bibliography"/>
        <w:rPr>
          <w:rFonts w:cs="Arial"/>
        </w:rPr>
      </w:pPr>
      <w:r w:rsidRPr="00FB2554">
        <w:rPr>
          <w:rFonts w:cs="Arial"/>
        </w:rPr>
        <w:t>[22]</w:t>
      </w:r>
      <w:r w:rsidRPr="00FB2554">
        <w:rPr>
          <w:rFonts w:cs="Arial"/>
        </w:rPr>
        <w:tab/>
        <w:t xml:space="preserve">I. J. Reuling </w:t>
      </w:r>
      <w:r w:rsidRPr="00FB2554">
        <w:rPr>
          <w:rFonts w:cs="Arial"/>
          <w:i/>
          <w:iCs/>
        </w:rPr>
        <w:t>et al.</w:t>
      </w:r>
      <w:r w:rsidRPr="00FB2554">
        <w:rPr>
          <w:rFonts w:cs="Arial"/>
        </w:rPr>
        <w:t xml:space="preserve">, ‘A randomized feasibility trial comparing four antimalarial drug regimens to induce Plasmodium falciparum gametocytemia in the controlled human malaria infection model’, </w:t>
      </w:r>
      <w:r w:rsidRPr="00FB2554">
        <w:rPr>
          <w:rFonts w:cs="Arial"/>
          <w:i/>
          <w:iCs/>
        </w:rPr>
        <w:t>eLife</w:t>
      </w:r>
      <w:r w:rsidRPr="00FB2554">
        <w:rPr>
          <w:rFonts w:cs="Arial"/>
        </w:rPr>
        <w:t>, vol. 7, p. e31549, 2018, doi: 10.7554/eLife.31549.</w:t>
      </w:r>
    </w:p>
    <w:p w14:paraId="2011974C" w14:textId="77777777" w:rsidR="00FB2554" w:rsidRPr="00FB2554" w:rsidRDefault="00FB2554" w:rsidP="00FB2554">
      <w:pPr>
        <w:pStyle w:val="Bibliography"/>
        <w:rPr>
          <w:rFonts w:cs="Arial"/>
        </w:rPr>
      </w:pPr>
      <w:r w:rsidRPr="00FB2554">
        <w:rPr>
          <w:rFonts w:cs="Arial"/>
        </w:rPr>
        <w:t>[23]</w:t>
      </w:r>
      <w:r w:rsidRPr="00FB2554">
        <w:rPr>
          <w:rFonts w:cs="Arial"/>
        </w:rPr>
        <w:tab/>
        <w:t xml:space="preserve">A. Dicko </w:t>
      </w:r>
      <w:r w:rsidRPr="00FB2554">
        <w:rPr>
          <w:rFonts w:cs="Arial"/>
          <w:i/>
          <w:iCs/>
        </w:rPr>
        <w:t>et al.</w:t>
      </w:r>
      <w:r w:rsidRPr="00FB2554">
        <w:rPr>
          <w:rFonts w:cs="Arial"/>
        </w:rPr>
        <w:t xml:space="preserve">, ‘Efficacy and safety of primaquine and methylene blue for prevention of Plasmodium falciparum transmission in Mali: a phase 2, single-blind, randomised </w:t>
      </w:r>
      <w:r w:rsidRPr="00FB2554">
        <w:rPr>
          <w:rFonts w:cs="Arial"/>
        </w:rPr>
        <w:lastRenderedPageBreak/>
        <w:t xml:space="preserve">controlled trial’, </w:t>
      </w:r>
      <w:r w:rsidRPr="00FB2554">
        <w:rPr>
          <w:rFonts w:cs="Arial"/>
          <w:i/>
          <w:iCs/>
        </w:rPr>
        <w:t>Lancet Infect. Dis.</w:t>
      </w:r>
      <w:r w:rsidRPr="00FB2554">
        <w:rPr>
          <w:rFonts w:cs="Arial"/>
        </w:rPr>
        <w:t>, vol. 18, no. 6, pp. 627–639, Jun. 2018, doi: 10.1016/S1473-3099(18)30044-6.</w:t>
      </w:r>
    </w:p>
    <w:p w14:paraId="5DE5FE39" w14:textId="77777777" w:rsidR="00FB2554" w:rsidRPr="00FB2554" w:rsidRDefault="00FB2554" w:rsidP="00FB2554">
      <w:pPr>
        <w:pStyle w:val="Bibliography"/>
        <w:rPr>
          <w:rFonts w:cs="Arial"/>
        </w:rPr>
      </w:pPr>
      <w:r w:rsidRPr="00FB2554">
        <w:rPr>
          <w:rFonts w:cs="Arial"/>
        </w:rPr>
        <w:t>[24]</w:t>
      </w:r>
      <w:r w:rsidRPr="00FB2554">
        <w:rPr>
          <w:rFonts w:cs="Arial"/>
        </w:rPr>
        <w:tab/>
        <w:t xml:space="preserve">L. Andrews </w:t>
      </w:r>
      <w:r w:rsidRPr="00FB2554">
        <w:rPr>
          <w:rFonts w:cs="Arial"/>
          <w:i/>
          <w:iCs/>
        </w:rPr>
        <w:t>et al.</w:t>
      </w:r>
      <w:r w:rsidRPr="00FB2554">
        <w:rPr>
          <w:rFonts w:cs="Arial"/>
        </w:rPr>
        <w:t xml:space="preserve">, ‘Quantitative real-time polymerase chain reaction for malaria diagnosis and its use in malaria vaccine clinical trials’, </w:t>
      </w:r>
      <w:r w:rsidRPr="00FB2554">
        <w:rPr>
          <w:rFonts w:cs="Arial"/>
          <w:i/>
          <w:iCs/>
        </w:rPr>
        <w:t>Am. J. Trop. Med. Hyg.</w:t>
      </w:r>
      <w:r w:rsidRPr="00FB2554">
        <w:rPr>
          <w:rFonts w:cs="Arial"/>
        </w:rPr>
        <w:t>, vol. 73, no. 1, pp. 191–198, Jul. 2005.</w:t>
      </w:r>
    </w:p>
    <w:p w14:paraId="5B56B2B6" w14:textId="77777777" w:rsidR="00FB2554" w:rsidRPr="00FB2554" w:rsidRDefault="00FB2554" w:rsidP="00FB2554">
      <w:pPr>
        <w:pStyle w:val="Bibliography"/>
        <w:rPr>
          <w:rFonts w:cs="Arial"/>
        </w:rPr>
      </w:pPr>
      <w:r w:rsidRPr="00FB2554">
        <w:rPr>
          <w:rFonts w:cs="Arial"/>
        </w:rPr>
        <w:t>[25]</w:t>
      </w:r>
      <w:r w:rsidRPr="00FB2554">
        <w:rPr>
          <w:rFonts w:cs="Arial"/>
        </w:rPr>
        <w:tab/>
        <w:t xml:space="preserve">W. Stone </w:t>
      </w:r>
      <w:r w:rsidRPr="00FB2554">
        <w:rPr>
          <w:rFonts w:cs="Arial"/>
          <w:i/>
          <w:iCs/>
        </w:rPr>
        <w:t>et al.</w:t>
      </w:r>
      <w:r w:rsidRPr="00FB2554">
        <w:rPr>
          <w:rFonts w:cs="Arial"/>
        </w:rPr>
        <w:t xml:space="preserve">, ‘A Molecular Assay to Quantify Male and Female Plasmodium falciparum Gametocytes: Results From 2 Randomized Controlled Trials Using Primaquine for Gametocyte Clearance’, </w:t>
      </w:r>
      <w:r w:rsidRPr="00FB2554">
        <w:rPr>
          <w:rFonts w:cs="Arial"/>
          <w:i/>
          <w:iCs/>
        </w:rPr>
        <w:t>J. Infect. Dis.</w:t>
      </w:r>
      <w:r w:rsidRPr="00FB2554">
        <w:rPr>
          <w:rFonts w:cs="Arial"/>
        </w:rPr>
        <w:t>, vol. 216, no. 4, pp. 457–467, 2017, doi: 10.1093/infdis/jix237.</w:t>
      </w:r>
    </w:p>
    <w:p w14:paraId="2812E070" w14:textId="77777777" w:rsidR="00FB2554" w:rsidRPr="00FB2554" w:rsidRDefault="00FB2554" w:rsidP="00FB2554">
      <w:pPr>
        <w:pStyle w:val="Bibliography"/>
        <w:rPr>
          <w:rFonts w:cs="Arial"/>
        </w:rPr>
      </w:pPr>
      <w:r w:rsidRPr="00FB2554">
        <w:rPr>
          <w:rFonts w:cs="Arial"/>
        </w:rPr>
        <w:t>[26]</w:t>
      </w:r>
      <w:r w:rsidRPr="00FB2554">
        <w:rPr>
          <w:rFonts w:cs="Arial"/>
        </w:rPr>
        <w:tab/>
        <w:t xml:space="preserve">W. J. R. Stone </w:t>
      </w:r>
      <w:r w:rsidRPr="00FB2554">
        <w:rPr>
          <w:rFonts w:cs="Arial"/>
          <w:i/>
          <w:iCs/>
        </w:rPr>
        <w:t>et al.</w:t>
      </w:r>
      <w:r w:rsidRPr="00FB2554">
        <w:rPr>
          <w:rFonts w:cs="Arial"/>
        </w:rPr>
        <w:t xml:space="preserve">, ‘Unravelling the immune signature of Plasmodium falciparum transmission-reducing immunity’, </w:t>
      </w:r>
      <w:r w:rsidRPr="00FB2554">
        <w:rPr>
          <w:rFonts w:cs="Arial"/>
          <w:i/>
          <w:iCs/>
        </w:rPr>
        <w:t>Nat. Commun.</w:t>
      </w:r>
      <w:r w:rsidRPr="00FB2554">
        <w:rPr>
          <w:rFonts w:cs="Arial"/>
        </w:rPr>
        <w:t>, vol. 9, no. 1, p. 558, 2018, doi: 10.1038/s41467-017-02646-2.</w:t>
      </w:r>
    </w:p>
    <w:p w14:paraId="7738E6E0" w14:textId="77777777" w:rsidR="00FB2554" w:rsidRPr="00FB2554" w:rsidRDefault="00FB2554" w:rsidP="00FB2554">
      <w:pPr>
        <w:pStyle w:val="Bibliography"/>
        <w:rPr>
          <w:rFonts w:cs="Arial"/>
        </w:rPr>
      </w:pPr>
      <w:r w:rsidRPr="00FB2554">
        <w:rPr>
          <w:rFonts w:cs="Arial"/>
        </w:rPr>
        <w:t>[27]</w:t>
      </w:r>
      <w:r w:rsidRPr="00FB2554">
        <w:rPr>
          <w:rFonts w:cs="Arial"/>
        </w:rPr>
        <w:tab/>
        <w:t xml:space="preserve">T. Ponnudurai, A. H. W. Lensen, G. J. A. Van Gemert, M. P. E. Bensink, M. Bolmer, and J. H. E. T. H. Meuwissen, ‘Infectivity of cultured Plasmodium falciparum gametocytes to mosquitoes’, </w:t>
      </w:r>
      <w:r w:rsidRPr="00FB2554">
        <w:rPr>
          <w:rFonts w:cs="Arial"/>
          <w:i/>
          <w:iCs/>
        </w:rPr>
        <w:t>Parasitology</w:t>
      </w:r>
      <w:r w:rsidRPr="00FB2554">
        <w:rPr>
          <w:rFonts w:cs="Arial"/>
        </w:rPr>
        <w:t>, vol. 98, no. 02, pp. 165–173, 1989, doi: doi:10.1017/S0031182000062065.</w:t>
      </w:r>
    </w:p>
    <w:p w14:paraId="5CFE166F" w14:textId="77777777" w:rsidR="00FB2554" w:rsidRPr="00FB2554" w:rsidRDefault="00FB2554" w:rsidP="00FB2554">
      <w:pPr>
        <w:pStyle w:val="Bibliography"/>
        <w:rPr>
          <w:rFonts w:cs="Arial"/>
        </w:rPr>
      </w:pPr>
      <w:r w:rsidRPr="00FB2554">
        <w:rPr>
          <w:rFonts w:cs="Arial"/>
        </w:rPr>
        <w:t>[28]</w:t>
      </w:r>
      <w:r w:rsidRPr="00FB2554">
        <w:rPr>
          <w:rFonts w:cs="Arial"/>
        </w:rPr>
        <w:tab/>
        <w:t xml:space="preserve">S. Karl, T. M. E. Davis, and T. G. S. Pierre, ‘Quantification of Plasmodium falciparum Gametocytes by Magnetic Fractionation’, </w:t>
      </w:r>
      <w:r w:rsidRPr="00FB2554">
        <w:rPr>
          <w:rFonts w:cs="Arial"/>
          <w:i/>
          <w:iCs/>
        </w:rPr>
        <w:t>Am. J. Trop. Med. Hyg.</w:t>
      </w:r>
      <w:r w:rsidRPr="00FB2554">
        <w:rPr>
          <w:rFonts w:cs="Arial"/>
        </w:rPr>
        <w:t>, vol. 84, no. 1, pp. 158–160, Jan. 2011, doi: 10.4269/ajtmh.2011.10-0416.</w:t>
      </w:r>
    </w:p>
    <w:p w14:paraId="1AAF924B" w14:textId="77777777" w:rsidR="00FB2554" w:rsidRPr="00FB2554" w:rsidRDefault="00FB2554" w:rsidP="00FB2554">
      <w:pPr>
        <w:pStyle w:val="Bibliography"/>
        <w:rPr>
          <w:rFonts w:cs="Arial"/>
        </w:rPr>
      </w:pPr>
      <w:r w:rsidRPr="00FB2554">
        <w:rPr>
          <w:rFonts w:cs="Arial"/>
        </w:rPr>
        <w:t>[29]</w:t>
      </w:r>
      <w:r w:rsidRPr="00FB2554">
        <w:rPr>
          <w:rFonts w:cs="Arial"/>
        </w:rPr>
        <w:tab/>
        <w:t xml:space="preserve">T. Bousema </w:t>
      </w:r>
      <w:r w:rsidRPr="00FB2554">
        <w:rPr>
          <w:rFonts w:cs="Arial"/>
          <w:i/>
          <w:iCs/>
        </w:rPr>
        <w:t>et al.</w:t>
      </w:r>
      <w:r w:rsidRPr="00FB2554">
        <w:rPr>
          <w:rFonts w:cs="Arial"/>
        </w:rPr>
        <w:t>, ‘Revisiting the circulation time of Plasmodium falciparum gametocytes: molecular detection methods to estimate the duration of gametocyte carriage and the effect of gametocytocidal drugs’, p. 11, 2010.</w:t>
      </w:r>
    </w:p>
    <w:p w14:paraId="5C8C0549" w14:textId="77777777" w:rsidR="00FB2554" w:rsidRPr="00FB2554" w:rsidRDefault="00FB2554" w:rsidP="00FB2554">
      <w:pPr>
        <w:pStyle w:val="Bibliography"/>
        <w:rPr>
          <w:rFonts w:cs="Arial"/>
        </w:rPr>
      </w:pPr>
      <w:r w:rsidRPr="00FB2554">
        <w:rPr>
          <w:rFonts w:cs="Arial"/>
        </w:rPr>
        <w:t>[30]</w:t>
      </w:r>
      <w:r w:rsidRPr="00FB2554">
        <w:rPr>
          <w:rFonts w:cs="Arial"/>
        </w:rPr>
        <w:tab/>
        <w:t xml:space="preserve">F. Méndez, Á. Muñoz, and C. V. Plowe, ‘Use of area under the curve to characterize transmission potential after antimalarial treatment’, </w:t>
      </w:r>
      <w:r w:rsidRPr="00FB2554">
        <w:rPr>
          <w:rFonts w:cs="Arial"/>
          <w:i/>
          <w:iCs/>
        </w:rPr>
        <w:t>Am. J. Trop. Med. Hyg.</w:t>
      </w:r>
      <w:r w:rsidRPr="00FB2554">
        <w:rPr>
          <w:rFonts w:cs="Arial"/>
        </w:rPr>
        <w:t>, vol. 75, no. 4, pp. 640–644, Oct. 2006, doi: 10.4269/ajtmh.2006.75.640.</w:t>
      </w:r>
    </w:p>
    <w:p w14:paraId="02B3AAA6" w14:textId="77777777" w:rsidR="00FB2554" w:rsidRPr="00FB2554" w:rsidRDefault="00FB2554" w:rsidP="00FB2554">
      <w:pPr>
        <w:pStyle w:val="Bibliography"/>
        <w:rPr>
          <w:rFonts w:cs="Arial"/>
        </w:rPr>
      </w:pPr>
      <w:r w:rsidRPr="00FB2554">
        <w:rPr>
          <w:rFonts w:cs="Arial"/>
        </w:rPr>
        <w:t>[31]</w:t>
      </w:r>
      <w:r w:rsidRPr="00FB2554">
        <w:rPr>
          <w:rFonts w:cs="Arial"/>
        </w:rPr>
        <w:tab/>
        <w:t xml:space="preserve">M. D. Cappellini and G. Fiorelli, ‘Glucose-6-phosphate dehydrogenase deficiency’, </w:t>
      </w:r>
      <w:r w:rsidRPr="00FB2554">
        <w:rPr>
          <w:rFonts w:cs="Arial"/>
          <w:i/>
          <w:iCs/>
        </w:rPr>
        <w:t>The Lancet</w:t>
      </w:r>
      <w:r w:rsidRPr="00FB2554">
        <w:rPr>
          <w:rFonts w:cs="Arial"/>
        </w:rPr>
        <w:t>, vol. 371, no. 9606, pp. 64–74, Jan. 2008, doi: 10.1016/S0140-6736(08)60073-2.</w:t>
      </w:r>
    </w:p>
    <w:p w14:paraId="41A64FB6" w14:textId="77777777" w:rsidR="00FB2554" w:rsidRPr="00FB2554" w:rsidRDefault="00FB2554" w:rsidP="00FB2554">
      <w:pPr>
        <w:pStyle w:val="Bibliography"/>
        <w:rPr>
          <w:rFonts w:cs="Arial"/>
        </w:rPr>
      </w:pPr>
      <w:r w:rsidRPr="00FB2554">
        <w:rPr>
          <w:rFonts w:cs="Arial"/>
        </w:rPr>
        <w:t>[32]</w:t>
      </w:r>
      <w:r w:rsidRPr="00FB2554">
        <w:rPr>
          <w:rFonts w:cs="Arial"/>
        </w:rPr>
        <w:tab/>
        <w:t xml:space="preserve">N. J. White, L. G. Qiao, G. Qi, and L. Luzzatto, ‘Rationale for recommending a lower dose of primaquine as a Plasmodium falciparum gametocytocide in populations where G6PD deficiency is common’, </w:t>
      </w:r>
      <w:r w:rsidRPr="00FB2554">
        <w:rPr>
          <w:rFonts w:cs="Arial"/>
          <w:i/>
          <w:iCs/>
        </w:rPr>
        <w:t>Malar. J.</w:t>
      </w:r>
      <w:r w:rsidRPr="00FB2554">
        <w:rPr>
          <w:rFonts w:cs="Arial"/>
        </w:rPr>
        <w:t>, vol. 11, no. 1, p. 418, Dec. 2012, doi: 10.1186/1475-2875-11-418.</w:t>
      </w:r>
    </w:p>
    <w:p w14:paraId="244CD5CF" w14:textId="77777777" w:rsidR="00FB2554" w:rsidRPr="00FB2554" w:rsidRDefault="00FB2554" w:rsidP="00FB2554">
      <w:pPr>
        <w:pStyle w:val="Bibliography"/>
        <w:rPr>
          <w:rFonts w:cs="Arial"/>
        </w:rPr>
      </w:pPr>
      <w:r w:rsidRPr="00FB2554">
        <w:rPr>
          <w:rFonts w:cs="Arial"/>
        </w:rPr>
        <w:t>[33]</w:t>
      </w:r>
      <w:r w:rsidRPr="00FB2554">
        <w:rPr>
          <w:rFonts w:cs="Arial"/>
        </w:rPr>
        <w:tab/>
        <w:t xml:space="preserve">I. Chen </w:t>
      </w:r>
      <w:r w:rsidRPr="00FB2554">
        <w:rPr>
          <w:rFonts w:cs="Arial"/>
          <w:i/>
          <w:iCs/>
        </w:rPr>
        <w:t>et al.</w:t>
      </w:r>
      <w:r w:rsidRPr="00FB2554">
        <w:rPr>
          <w:rFonts w:cs="Arial"/>
        </w:rPr>
        <w:t xml:space="preserve">, ‘Safety of Single-Dose Primaquine in G6PD-Deficient and G6PD-Normal Males in Mali Without Malaria: An Open-Label, Phase 1, Dose-Adjustment Trial’, </w:t>
      </w:r>
      <w:r w:rsidRPr="00FB2554">
        <w:rPr>
          <w:rFonts w:cs="Arial"/>
          <w:i/>
          <w:iCs/>
        </w:rPr>
        <w:t>J. Infect. Dis.</w:t>
      </w:r>
      <w:r w:rsidRPr="00FB2554">
        <w:rPr>
          <w:rFonts w:cs="Arial"/>
        </w:rPr>
        <w:t>, vol. 217, no. 8, pp. 1298–1308, Apr. 2018, doi: 10.1093/infdis/jiy014.</w:t>
      </w:r>
    </w:p>
    <w:p w14:paraId="32B324C4" w14:textId="77777777" w:rsidR="00FB2554" w:rsidRPr="00FB2554" w:rsidRDefault="00FB2554" w:rsidP="00FB2554">
      <w:pPr>
        <w:pStyle w:val="Bibliography"/>
        <w:rPr>
          <w:rFonts w:cs="Arial"/>
        </w:rPr>
      </w:pPr>
      <w:r w:rsidRPr="00FB2554">
        <w:rPr>
          <w:rFonts w:cs="Arial"/>
        </w:rPr>
        <w:t>[34]</w:t>
      </w:r>
      <w:r w:rsidRPr="00FB2554">
        <w:rPr>
          <w:rFonts w:cs="Arial"/>
        </w:rPr>
        <w:tab/>
        <w:t xml:space="preserve">G. J. H. Bastiaens </w:t>
      </w:r>
      <w:r w:rsidRPr="00FB2554">
        <w:rPr>
          <w:rFonts w:cs="Arial"/>
          <w:i/>
          <w:iCs/>
        </w:rPr>
        <w:t>et al.</w:t>
      </w:r>
      <w:r w:rsidRPr="00FB2554">
        <w:rPr>
          <w:rFonts w:cs="Arial"/>
        </w:rPr>
        <w:t xml:space="preserve">, ‘Safety of single low-dose primaquine in glucose-6-phosphate dehydrogenase deficient falciparum-infected African males: Two open-label, randomized, safety trials’, </w:t>
      </w:r>
      <w:r w:rsidRPr="00FB2554">
        <w:rPr>
          <w:rFonts w:cs="Arial"/>
          <w:i/>
          <w:iCs/>
        </w:rPr>
        <w:t>PloS One</w:t>
      </w:r>
      <w:r w:rsidRPr="00FB2554">
        <w:rPr>
          <w:rFonts w:cs="Arial"/>
        </w:rPr>
        <w:t>, vol. 13, no. 1, p. e0190272, 2018, doi: 10.1371/journal.pone.0190272.</w:t>
      </w:r>
    </w:p>
    <w:p w14:paraId="1D964062" w14:textId="77777777" w:rsidR="00FB2554" w:rsidRPr="00FB2554" w:rsidRDefault="00FB2554" w:rsidP="00FB2554">
      <w:pPr>
        <w:pStyle w:val="Bibliography"/>
        <w:rPr>
          <w:rFonts w:cs="Arial"/>
        </w:rPr>
      </w:pPr>
      <w:r w:rsidRPr="00FB2554">
        <w:rPr>
          <w:rFonts w:cs="Arial"/>
        </w:rPr>
        <w:t>[35]</w:t>
      </w:r>
      <w:r w:rsidRPr="00FB2554">
        <w:rPr>
          <w:rFonts w:cs="Arial"/>
        </w:rPr>
        <w:tab/>
        <w:t xml:space="preserve">A. C. Eziefula </w:t>
      </w:r>
      <w:r w:rsidRPr="00FB2554">
        <w:rPr>
          <w:rFonts w:cs="Arial"/>
          <w:i/>
          <w:iCs/>
        </w:rPr>
        <w:t>et al.</w:t>
      </w:r>
      <w:r w:rsidRPr="00FB2554">
        <w:rPr>
          <w:rFonts w:cs="Arial"/>
        </w:rPr>
        <w:t xml:space="preserve">, ‘Single dose primaquine for clearance of Plasmodium falciparum gametocytes in children with uncomplicated malaria in Uganda: a randomised, controlled, double-blind, dose-ranging trial’, </w:t>
      </w:r>
      <w:r w:rsidRPr="00FB2554">
        <w:rPr>
          <w:rFonts w:cs="Arial"/>
          <w:i/>
          <w:iCs/>
        </w:rPr>
        <w:t>Lancet Infect. Dis.</w:t>
      </w:r>
      <w:r w:rsidRPr="00FB2554">
        <w:rPr>
          <w:rFonts w:cs="Arial"/>
        </w:rPr>
        <w:t>, vol. 14, no. 2, pp. 130–139, Feb. 2014, doi: 10.1016/S1473-3099(13)70268-8.</w:t>
      </w:r>
    </w:p>
    <w:p w14:paraId="2830A687" w14:textId="77777777" w:rsidR="00FB2554" w:rsidRPr="00FB2554" w:rsidRDefault="00FB2554" w:rsidP="00FB2554">
      <w:pPr>
        <w:pStyle w:val="Bibliography"/>
        <w:rPr>
          <w:rFonts w:cs="Arial"/>
        </w:rPr>
      </w:pPr>
      <w:r w:rsidRPr="00FB2554">
        <w:rPr>
          <w:rFonts w:cs="Arial"/>
        </w:rPr>
        <w:t>[36]</w:t>
      </w:r>
      <w:r w:rsidRPr="00FB2554">
        <w:rPr>
          <w:rFonts w:cs="Arial"/>
        </w:rPr>
        <w:tab/>
        <w:t xml:space="preserve">I. T. Chen and R. D. Gosling, ‘Targeting Plasmodium falciparum transmission with primaquine: same efficacy, improved safety with a lower dose?’, </w:t>
      </w:r>
      <w:r w:rsidRPr="00FB2554">
        <w:rPr>
          <w:rFonts w:cs="Arial"/>
          <w:i/>
          <w:iCs/>
        </w:rPr>
        <w:t>Expert Rev. Clin. Pharmacol.</w:t>
      </w:r>
      <w:r w:rsidRPr="00FB2554">
        <w:rPr>
          <w:rFonts w:cs="Arial"/>
        </w:rPr>
        <w:t>, vol. 7, no. 6, pp. 681–686, Nov. 2014, doi: 10.1586/17512433.2014.948421.</w:t>
      </w:r>
    </w:p>
    <w:p w14:paraId="6BE6AB0D" w14:textId="677E0C94" w:rsidR="00C8279C" w:rsidRPr="00F042EA" w:rsidRDefault="00DA55BC" w:rsidP="00F042EA">
      <w:pPr>
        <w:rPr>
          <w:rFonts w:cs="Arial"/>
          <w:b/>
          <w:bCs/>
        </w:rPr>
      </w:pPr>
      <w:r>
        <w:rPr>
          <w:rFonts w:cs="Arial"/>
        </w:rPr>
        <w:fldChar w:fldCharType="end"/>
      </w:r>
    </w:p>
    <w:p w14:paraId="78400620" w14:textId="6724EBEC" w:rsidR="00D511CD" w:rsidRDefault="00D511CD" w:rsidP="00F042EA">
      <w:pPr>
        <w:rPr>
          <w:rFonts w:cs="Arial"/>
          <w:b/>
          <w:bCs/>
        </w:rPr>
      </w:pPr>
    </w:p>
    <w:p w14:paraId="0E7BAEA1" w14:textId="77777777" w:rsidR="00F042EA" w:rsidRPr="00F042EA" w:rsidRDefault="00F042EA" w:rsidP="00F042EA">
      <w:pPr>
        <w:rPr>
          <w:rFonts w:cs="Arial"/>
          <w:b/>
          <w:bCs/>
        </w:rPr>
      </w:pPr>
    </w:p>
    <w:sectPr w:rsidR="00F042EA" w:rsidRPr="00F042EA" w:rsidSect="00D841F1">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E31D" w14:textId="77777777" w:rsidR="00D841F1" w:rsidRDefault="00D841F1" w:rsidP="00820CF5">
      <w:pPr>
        <w:spacing w:before="0" w:after="0" w:line="240" w:lineRule="auto"/>
      </w:pPr>
      <w:r>
        <w:separator/>
      </w:r>
    </w:p>
  </w:endnote>
  <w:endnote w:type="continuationSeparator" w:id="0">
    <w:p w14:paraId="33C9B58A" w14:textId="77777777" w:rsidR="00D841F1" w:rsidRDefault="00D841F1" w:rsidP="00820C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851076"/>
      <w:docPartObj>
        <w:docPartGallery w:val="Page Numbers (Bottom of Page)"/>
        <w:docPartUnique/>
      </w:docPartObj>
    </w:sdtPr>
    <w:sdtContent>
      <w:p w14:paraId="6AC1DD75" w14:textId="4F598642" w:rsidR="00404FC6" w:rsidRDefault="00404FC6" w:rsidP="00404F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817066" w14:textId="77777777" w:rsidR="00404FC6" w:rsidRDefault="00404FC6" w:rsidP="00820C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8833932"/>
      <w:docPartObj>
        <w:docPartGallery w:val="Page Numbers (Bottom of Page)"/>
        <w:docPartUnique/>
      </w:docPartObj>
    </w:sdtPr>
    <w:sdtContent>
      <w:p w14:paraId="630D6359" w14:textId="74C45FB2" w:rsidR="00404FC6" w:rsidRDefault="00404FC6" w:rsidP="00404F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818663" w14:textId="77777777" w:rsidR="00404FC6" w:rsidRDefault="00404FC6" w:rsidP="00820C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588A" w14:textId="77777777" w:rsidR="00D841F1" w:rsidRDefault="00D841F1" w:rsidP="00820CF5">
      <w:pPr>
        <w:spacing w:before="0" w:after="0" w:line="240" w:lineRule="auto"/>
      </w:pPr>
      <w:r>
        <w:separator/>
      </w:r>
    </w:p>
  </w:footnote>
  <w:footnote w:type="continuationSeparator" w:id="0">
    <w:p w14:paraId="278CC6BD" w14:textId="77777777" w:rsidR="00D841F1" w:rsidRDefault="00D841F1" w:rsidP="00820C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CDD"/>
    <w:multiLevelType w:val="hybridMultilevel"/>
    <w:tmpl w:val="51FCB4E0"/>
    <w:lvl w:ilvl="0" w:tplc="08090001">
      <w:start w:val="1"/>
      <w:numFmt w:val="bullet"/>
      <w:lvlText w:val=""/>
      <w:lvlJc w:val="left"/>
      <w:pPr>
        <w:ind w:left="4069" w:hanging="360"/>
      </w:pPr>
      <w:rPr>
        <w:rFonts w:ascii="Symbol" w:hAnsi="Symbol" w:hint="default"/>
      </w:rPr>
    </w:lvl>
    <w:lvl w:ilvl="1" w:tplc="08090003" w:tentative="1">
      <w:start w:val="1"/>
      <w:numFmt w:val="bullet"/>
      <w:lvlText w:val="o"/>
      <w:lvlJc w:val="left"/>
      <w:pPr>
        <w:ind w:left="4789" w:hanging="360"/>
      </w:pPr>
      <w:rPr>
        <w:rFonts w:ascii="Courier New" w:hAnsi="Courier New" w:cs="Courier New" w:hint="default"/>
      </w:rPr>
    </w:lvl>
    <w:lvl w:ilvl="2" w:tplc="08090005" w:tentative="1">
      <w:start w:val="1"/>
      <w:numFmt w:val="bullet"/>
      <w:lvlText w:val=""/>
      <w:lvlJc w:val="left"/>
      <w:pPr>
        <w:ind w:left="5509" w:hanging="360"/>
      </w:pPr>
      <w:rPr>
        <w:rFonts w:ascii="Wingdings" w:hAnsi="Wingdings" w:hint="default"/>
      </w:rPr>
    </w:lvl>
    <w:lvl w:ilvl="3" w:tplc="08090001" w:tentative="1">
      <w:start w:val="1"/>
      <w:numFmt w:val="bullet"/>
      <w:lvlText w:val=""/>
      <w:lvlJc w:val="left"/>
      <w:pPr>
        <w:ind w:left="6229" w:hanging="360"/>
      </w:pPr>
      <w:rPr>
        <w:rFonts w:ascii="Symbol" w:hAnsi="Symbol" w:hint="default"/>
      </w:rPr>
    </w:lvl>
    <w:lvl w:ilvl="4" w:tplc="08090003" w:tentative="1">
      <w:start w:val="1"/>
      <w:numFmt w:val="bullet"/>
      <w:lvlText w:val="o"/>
      <w:lvlJc w:val="left"/>
      <w:pPr>
        <w:ind w:left="6949" w:hanging="360"/>
      </w:pPr>
      <w:rPr>
        <w:rFonts w:ascii="Courier New" w:hAnsi="Courier New" w:cs="Courier New" w:hint="default"/>
      </w:rPr>
    </w:lvl>
    <w:lvl w:ilvl="5" w:tplc="08090005" w:tentative="1">
      <w:start w:val="1"/>
      <w:numFmt w:val="bullet"/>
      <w:lvlText w:val=""/>
      <w:lvlJc w:val="left"/>
      <w:pPr>
        <w:ind w:left="7669" w:hanging="360"/>
      </w:pPr>
      <w:rPr>
        <w:rFonts w:ascii="Wingdings" w:hAnsi="Wingdings" w:hint="default"/>
      </w:rPr>
    </w:lvl>
    <w:lvl w:ilvl="6" w:tplc="08090001" w:tentative="1">
      <w:start w:val="1"/>
      <w:numFmt w:val="bullet"/>
      <w:lvlText w:val=""/>
      <w:lvlJc w:val="left"/>
      <w:pPr>
        <w:ind w:left="8389" w:hanging="360"/>
      </w:pPr>
      <w:rPr>
        <w:rFonts w:ascii="Symbol" w:hAnsi="Symbol" w:hint="default"/>
      </w:rPr>
    </w:lvl>
    <w:lvl w:ilvl="7" w:tplc="08090003" w:tentative="1">
      <w:start w:val="1"/>
      <w:numFmt w:val="bullet"/>
      <w:lvlText w:val="o"/>
      <w:lvlJc w:val="left"/>
      <w:pPr>
        <w:ind w:left="9109" w:hanging="360"/>
      </w:pPr>
      <w:rPr>
        <w:rFonts w:ascii="Courier New" w:hAnsi="Courier New" w:cs="Courier New" w:hint="default"/>
      </w:rPr>
    </w:lvl>
    <w:lvl w:ilvl="8" w:tplc="08090005" w:tentative="1">
      <w:start w:val="1"/>
      <w:numFmt w:val="bullet"/>
      <w:lvlText w:val=""/>
      <w:lvlJc w:val="left"/>
      <w:pPr>
        <w:ind w:left="9829" w:hanging="360"/>
      </w:pPr>
      <w:rPr>
        <w:rFonts w:ascii="Wingdings" w:hAnsi="Wingdings" w:hint="default"/>
      </w:rPr>
    </w:lvl>
  </w:abstractNum>
  <w:abstractNum w:abstractNumId="1" w15:restartNumberingAfterBreak="0">
    <w:nsid w:val="0BAB5E49"/>
    <w:multiLevelType w:val="multilevel"/>
    <w:tmpl w:val="89FE64BC"/>
    <w:styleLink w:val="CurrentList1"/>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0971CB"/>
    <w:multiLevelType w:val="multilevel"/>
    <w:tmpl w:val="69EAB89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8207CE"/>
    <w:multiLevelType w:val="hybridMultilevel"/>
    <w:tmpl w:val="5666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B34DB"/>
    <w:multiLevelType w:val="hybridMultilevel"/>
    <w:tmpl w:val="9DF2FBDC"/>
    <w:lvl w:ilvl="0" w:tplc="08090001">
      <w:start w:val="1"/>
      <w:numFmt w:val="bullet"/>
      <w:lvlText w:val=""/>
      <w:lvlJc w:val="left"/>
      <w:pPr>
        <w:ind w:left="720" w:hanging="360"/>
      </w:pPr>
      <w:rPr>
        <w:rFonts w:ascii="Symbol" w:hAnsi="Symbol" w:hint="default"/>
      </w:rPr>
    </w:lvl>
    <w:lvl w:ilvl="1" w:tplc="5D7A6C14">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A15E1"/>
    <w:multiLevelType w:val="hybridMultilevel"/>
    <w:tmpl w:val="22CE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90B00"/>
    <w:multiLevelType w:val="hybridMultilevel"/>
    <w:tmpl w:val="279A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C7435"/>
    <w:multiLevelType w:val="hybridMultilevel"/>
    <w:tmpl w:val="05968E04"/>
    <w:lvl w:ilvl="0" w:tplc="53148748">
      <w:start w:val="1"/>
      <w:numFmt w:val="decimal"/>
      <w:lvlText w:val="%1."/>
      <w:lvlJc w:val="left"/>
      <w:pPr>
        <w:ind w:left="1440" w:hanging="720"/>
      </w:pPr>
      <w:rPr>
        <w:rFonts w:hint="default"/>
      </w:rPr>
    </w:lvl>
    <w:lvl w:ilvl="1" w:tplc="D69A5DE6">
      <w:start w:val="1"/>
      <w:numFmt w:val="lowerLetter"/>
      <w:lvlText w:val="%2."/>
      <w:lvlJc w:val="left"/>
      <w:pPr>
        <w:ind w:left="2160" w:hanging="720"/>
      </w:pPr>
      <w:rPr>
        <w:rFonts w:hint="default"/>
      </w:rPr>
    </w:lvl>
    <w:lvl w:ilvl="2" w:tplc="CA8E6690">
      <w:start w:val="3"/>
      <w:numFmt w:val="bullet"/>
      <w:lvlText w:val="•"/>
      <w:lvlJc w:val="left"/>
      <w:pPr>
        <w:ind w:left="3060" w:hanging="720"/>
      </w:pPr>
      <w:rPr>
        <w:rFonts w:ascii="Times New Roman" w:eastAsiaTheme="minorHAnsi" w:hAnsi="Times New Roman" w:cs="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B42105"/>
    <w:multiLevelType w:val="hybridMultilevel"/>
    <w:tmpl w:val="F4CC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70681"/>
    <w:multiLevelType w:val="hybridMultilevel"/>
    <w:tmpl w:val="8820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F09CA"/>
    <w:multiLevelType w:val="multilevel"/>
    <w:tmpl w:val="B7304412"/>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0321E4"/>
    <w:multiLevelType w:val="multilevel"/>
    <w:tmpl w:val="00144EF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BC3145"/>
    <w:multiLevelType w:val="multilevel"/>
    <w:tmpl w:val="EFB0FB1C"/>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3711152">
    <w:abstractNumId w:val="1"/>
  </w:num>
  <w:num w:numId="2" w16cid:durableId="58333276">
    <w:abstractNumId w:val="10"/>
  </w:num>
  <w:num w:numId="3" w16cid:durableId="1179782301">
    <w:abstractNumId w:val="6"/>
  </w:num>
  <w:num w:numId="4" w16cid:durableId="1907304569">
    <w:abstractNumId w:val="3"/>
  </w:num>
  <w:num w:numId="5" w16cid:durableId="739906929">
    <w:abstractNumId w:val="8"/>
  </w:num>
  <w:num w:numId="6" w16cid:durableId="2104298580">
    <w:abstractNumId w:val="5"/>
  </w:num>
  <w:num w:numId="7" w16cid:durableId="1376197059">
    <w:abstractNumId w:val="9"/>
  </w:num>
  <w:num w:numId="8" w16cid:durableId="1491216199">
    <w:abstractNumId w:val="4"/>
  </w:num>
  <w:num w:numId="9" w16cid:durableId="711461137">
    <w:abstractNumId w:val="0"/>
  </w:num>
  <w:num w:numId="10" w16cid:durableId="776601888">
    <w:abstractNumId w:val="7"/>
  </w:num>
  <w:num w:numId="11" w16cid:durableId="1298804948">
    <w:abstractNumId w:val="11"/>
  </w:num>
  <w:num w:numId="12" w16cid:durableId="1350256516">
    <w:abstractNumId w:val="12"/>
  </w:num>
  <w:num w:numId="13" w16cid:durableId="17032419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MTMxMzA2MzG1MDRX0lEKTi0uzszPAykwqgUAdIIPBCwAAAA="/>
  </w:docVars>
  <w:rsids>
    <w:rsidRoot w:val="00371F6D"/>
    <w:rsid w:val="00006BF6"/>
    <w:rsid w:val="00021A15"/>
    <w:rsid w:val="000508EA"/>
    <w:rsid w:val="00054A8E"/>
    <w:rsid w:val="00062CFA"/>
    <w:rsid w:val="00063660"/>
    <w:rsid w:val="0006399D"/>
    <w:rsid w:val="0008092D"/>
    <w:rsid w:val="000A0E69"/>
    <w:rsid w:val="000B7E41"/>
    <w:rsid w:val="000C0F55"/>
    <w:rsid w:val="000C0FBA"/>
    <w:rsid w:val="000C4714"/>
    <w:rsid w:val="000E6BDB"/>
    <w:rsid w:val="000F41D3"/>
    <w:rsid w:val="000F459A"/>
    <w:rsid w:val="000F4719"/>
    <w:rsid w:val="00114C5E"/>
    <w:rsid w:val="001256DE"/>
    <w:rsid w:val="00146C3B"/>
    <w:rsid w:val="00152525"/>
    <w:rsid w:val="001558AD"/>
    <w:rsid w:val="001601E4"/>
    <w:rsid w:val="00164E47"/>
    <w:rsid w:val="00171FE9"/>
    <w:rsid w:val="0017490D"/>
    <w:rsid w:val="0018170A"/>
    <w:rsid w:val="001B0A32"/>
    <w:rsid w:val="001B4343"/>
    <w:rsid w:val="001C44F7"/>
    <w:rsid w:val="001E1DEC"/>
    <w:rsid w:val="001E73E5"/>
    <w:rsid w:val="001F0B2D"/>
    <w:rsid w:val="001F5E98"/>
    <w:rsid w:val="00203DA3"/>
    <w:rsid w:val="00204D6F"/>
    <w:rsid w:val="0020765E"/>
    <w:rsid w:val="00221205"/>
    <w:rsid w:val="00223E3B"/>
    <w:rsid w:val="00226F09"/>
    <w:rsid w:val="00232B1D"/>
    <w:rsid w:val="00240D19"/>
    <w:rsid w:val="0024129E"/>
    <w:rsid w:val="00243364"/>
    <w:rsid w:val="0025135B"/>
    <w:rsid w:val="00256993"/>
    <w:rsid w:val="00257060"/>
    <w:rsid w:val="00261865"/>
    <w:rsid w:val="0026456A"/>
    <w:rsid w:val="002958A6"/>
    <w:rsid w:val="002A4443"/>
    <w:rsid w:val="002A5DE9"/>
    <w:rsid w:val="002B0717"/>
    <w:rsid w:val="002B540C"/>
    <w:rsid w:val="002C2FD6"/>
    <w:rsid w:val="002E25CA"/>
    <w:rsid w:val="002F105C"/>
    <w:rsid w:val="0030231C"/>
    <w:rsid w:val="003203C4"/>
    <w:rsid w:val="0032382A"/>
    <w:rsid w:val="00337547"/>
    <w:rsid w:val="00344F7D"/>
    <w:rsid w:val="00346903"/>
    <w:rsid w:val="003522DB"/>
    <w:rsid w:val="00352643"/>
    <w:rsid w:val="00363F90"/>
    <w:rsid w:val="00367F96"/>
    <w:rsid w:val="00371F6D"/>
    <w:rsid w:val="00395520"/>
    <w:rsid w:val="003A4006"/>
    <w:rsid w:val="003B2E45"/>
    <w:rsid w:val="003B7916"/>
    <w:rsid w:val="003C3DCA"/>
    <w:rsid w:val="003C6534"/>
    <w:rsid w:val="003D2E7B"/>
    <w:rsid w:val="003D4BAE"/>
    <w:rsid w:val="003E53BB"/>
    <w:rsid w:val="003F1F4D"/>
    <w:rsid w:val="003F29E1"/>
    <w:rsid w:val="003F78AC"/>
    <w:rsid w:val="00404404"/>
    <w:rsid w:val="00404FC6"/>
    <w:rsid w:val="00405CC5"/>
    <w:rsid w:val="004404FC"/>
    <w:rsid w:val="00442788"/>
    <w:rsid w:val="004455A4"/>
    <w:rsid w:val="0045040C"/>
    <w:rsid w:val="00451B95"/>
    <w:rsid w:val="004615CA"/>
    <w:rsid w:val="004672AF"/>
    <w:rsid w:val="00467FDD"/>
    <w:rsid w:val="00487F9F"/>
    <w:rsid w:val="00497011"/>
    <w:rsid w:val="004C2AEA"/>
    <w:rsid w:val="004C577F"/>
    <w:rsid w:val="004D11E0"/>
    <w:rsid w:val="004E67BE"/>
    <w:rsid w:val="004E784A"/>
    <w:rsid w:val="004F1B29"/>
    <w:rsid w:val="004F1CEA"/>
    <w:rsid w:val="004F2C06"/>
    <w:rsid w:val="004F5E4F"/>
    <w:rsid w:val="00511A8E"/>
    <w:rsid w:val="0051695D"/>
    <w:rsid w:val="00532B20"/>
    <w:rsid w:val="005345F5"/>
    <w:rsid w:val="00534CD6"/>
    <w:rsid w:val="005406E7"/>
    <w:rsid w:val="005672CB"/>
    <w:rsid w:val="00580907"/>
    <w:rsid w:val="00582A11"/>
    <w:rsid w:val="00584B0A"/>
    <w:rsid w:val="00591333"/>
    <w:rsid w:val="00597D03"/>
    <w:rsid w:val="005A3E6F"/>
    <w:rsid w:val="005A5C16"/>
    <w:rsid w:val="005A6A96"/>
    <w:rsid w:val="005C18D2"/>
    <w:rsid w:val="005E1A74"/>
    <w:rsid w:val="005E6035"/>
    <w:rsid w:val="006402B7"/>
    <w:rsid w:val="00655318"/>
    <w:rsid w:val="006566AE"/>
    <w:rsid w:val="006576D5"/>
    <w:rsid w:val="0066550C"/>
    <w:rsid w:val="0068271E"/>
    <w:rsid w:val="006834AC"/>
    <w:rsid w:val="0069258A"/>
    <w:rsid w:val="006935FC"/>
    <w:rsid w:val="006A0112"/>
    <w:rsid w:val="006A2CD2"/>
    <w:rsid w:val="006C0434"/>
    <w:rsid w:val="006D6DD2"/>
    <w:rsid w:val="006F2234"/>
    <w:rsid w:val="006F7298"/>
    <w:rsid w:val="0070269A"/>
    <w:rsid w:val="00703DB2"/>
    <w:rsid w:val="00706997"/>
    <w:rsid w:val="007112DC"/>
    <w:rsid w:val="00721A19"/>
    <w:rsid w:val="00731718"/>
    <w:rsid w:val="00753261"/>
    <w:rsid w:val="007542E6"/>
    <w:rsid w:val="00763AB8"/>
    <w:rsid w:val="007651E4"/>
    <w:rsid w:val="0077191E"/>
    <w:rsid w:val="00773CC9"/>
    <w:rsid w:val="007A4C0B"/>
    <w:rsid w:val="007B6420"/>
    <w:rsid w:val="007D46B2"/>
    <w:rsid w:val="007E0E80"/>
    <w:rsid w:val="007F5A51"/>
    <w:rsid w:val="00800E21"/>
    <w:rsid w:val="00816DAE"/>
    <w:rsid w:val="00820CF5"/>
    <w:rsid w:val="008306B1"/>
    <w:rsid w:val="00833433"/>
    <w:rsid w:val="008362A3"/>
    <w:rsid w:val="008410CB"/>
    <w:rsid w:val="00844E90"/>
    <w:rsid w:val="00855B8A"/>
    <w:rsid w:val="0087015E"/>
    <w:rsid w:val="00872AAD"/>
    <w:rsid w:val="0088199E"/>
    <w:rsid w:val="0088662C"/>
    <w:rsid w:val="008A4976"/>
    <w:rsid w:val="008A59C4"/>
    <w:rsid w:val="008B3BBA"/>
    <w:rsid w:val="008C0E7E"/>
    <w:rsid w:val="008D00EF"/>
    <w:rsid w:val="008D23E7"/>
    <w:rsid w:val="008E48CA"/>
    <w:rsid w:val="009041B8"/>
    <w:rsid w:val="0090749A"/>
    <w:rsid w:val="00914348"/>
    <w:rsid w:val="0092384B"/>
    <w:rsid w:val="00945EC4"/>
    <w:rsid w:val="00954B9B"/>
    <w:rsid w:val="00955319"/>
    <w:rsid w:val="00956157"/>
    <w:rsid w:val="0097787B"/>
    <w:rsid w:val="009853A1"/>
    <w:rsid w:val="00986994"/>
    <w:rsid w:val="009A1BF6"/>
    <w:rsid w:val="009B2F31"/>
    <w:rsid w:val="009C027D"/>
    <w:rsid w:val="009D4224"/>
    <w:rsid w:val="009D757C"/>
    <w:rsid w:val="009F3E06"/>
    <w:rsid w:val="00A00FB4"/>
    <w:rsid w:val="00A0779C"/>
    <w:rsid w:val="00A1371E"/>
    <w:rsid w:val="00A148EA"/>
    <w:rsid w:val="00A166CB"/>
    <w:rsid w:val="00A23B5D"/>
    <w:rsid w:val="00A6060C"/>
    <w:rsid w:val="00A83D63"/>
    <w:rsid w:val="00A871ED"/>
    <w:rsid w:val="00A878BB"/>
    <w:rsid w:val="00A87B12"/>
    <w:rsid w:val="00A90E9F"/>
    <w:rsid w:val="00AA74EC"/>
    <w:rsid w:val="00AB5C4B"/>
    <w:rsid w:val="00AC68E8"/>
    <w:rsid w:val="00AE06D4"/>
    <w:rsid w:val="00AE1DDE"/>
    <w:rsid w:val="00AF16EC"/>
    <w:rsid w:val="00B06021"/>
    <w:rsid w:val="00B12845"/>
    <w:rsid w:val="00B276B6"/>
    <w:rsid w:val="00B3090C"/>
    <w:rsid w:val="00B36121"/>
    <w:rsid w:val="00B51162"/>
    <w:rsid w:val="00B5183B"/>
    <w:rsid w:val="00B54352"/>
    <w:rsid w:val="00B54F1E"/>
    <w:rsid w:val="00B56264"/>
    <w:rsid w:val="00B56B66"/>
    <w:rsid w:val="00B619CB"/>
    <w:rsid w:val="00B70657"/>
    <w:rsid w:val="00B74826"/>
    <w:rsid w:val="00B7624C"/>
    <w:rsid w:val="00B7654A"/>
    <w:rsid w:val="00B767D0"/>
    <w:rsid w:val="00B81457"/>
    <w:rsid w:val="00B818E0"/>
    <w:rsid w:val="00B91D68"/>
    <w:rsid w:val="00B95AA3"/>
    <w:rsid w:val="00BA27FB"/>
    <w:rsid w:val="00BB741B"/>
    <w:rsid w:val="00BC5D1D"/>
    <w:rsid w:val="00BD1DB9"/>
    <w:rsid w:val="00BE6CC9"/>
    <w:rsid w:val="00BF0173"/>
    <w:rsid w:val="00C159CD"/>
    <w:rsid w:val="00C1630F"/>
    <w:rsid w:val="00C2687E"/>
    <w:rsid w:val="00C310F3"/>
    <w:rsid w:val="00C41A15"/>
    <w:rsid w:val="00C423A5"/>
    <w:rsid w:val="00C5400F"/>
    <w:rsid w:val="00C55FF8"/>
    <w:rsid w:val="00C6772B"/>
    <w:rsid w:val="00C7066C"/>
    <w:rsid w:val="00C8279C"/>
    <w:rsid w:val="00C874EA"/>
    <w:rsid w:val="00C924AC"/>
    <w:rsid w:val="00C94B4B"/>
    <w:rsid w:val="00C9762A"/>
    <w:rsid w:val="00CA6B55"/>
    <w:rsid w:val="00CA7297"/>
    <w:rsid w:val="00CB7371"/>
    <w:rsid w:val="00CC66D7"/>
    <w:rsid w:val="00CD22A7"/>
    <w:rsid w:val="00CD2C54"/>
    <w:rsid w:val="00CF0FC2"/>
    <w:rsid w:val="00D17C28"/>
    <w:rsid w:val="00D23F06"/>
    <w:rsid w:val="00D36E3F"/>
    <w:rsid w:val="00D37BDD"/>
    <w:rsid w:val="00D511CD"/>
    <w:rsid w:val="00D5288A"/>
    <w:rsid w:val="00D56BFE"/>
    <w:rsid w:val="00D6230D"/>
    <w:rsid w:val="00D676AC"/>
    <w:rsid w:val="00D77A27"/>
    <w:rsid w:val="00D80075"/>
    <w:rsid w:val="00D812B9"/>
    <w:rsid w:val="00D81F37"/>
    <w:rsid w:val="00D841F1"/>
    <w:rsid w:val="00D974F1"/>
    <w:rsid w:val="00DA2D22"/>
    <w:rsid w:val="00DA55BC"/>
    <w:rsid w:val="00DB02D4"/>
    <w:rsid w:val="00DD0A48"/>
    <w:rsid w:val="00DE3540"/>
    <w:rsid w:val="00DE5C91"/>
    <w:rsid w:val="00DE6A07"/>
    <w:rsid w:val="00DF0558"/>
    <w:rsid w:val="00DF4AE9"/>
    <w:rsid w:val="00E02AC7"/>
    <w:rsid w:val="00E04012"/>
    <w:rsid w:val="00E26E8E"/>
    <w:rsid w:val="00E41624"/>
    <w:rsid w:val="00E47E45"/>
    <w:rsid w:val="00E518E2"/>
    <w:rsid w:val="00E65C46"/>
    <w:rsid w:val="00E67B86"/>
    <w:rsid w:val="00E723F5"/>
    <w:rsid w:val="00E74F00"/>
    <w:rsid w:val="00E76E51"/>
    <w:rsid w:val="00E81996"/>
    <w:rsid w:val="00E904FC"/>
    <w:rsid w:val="00E92C9E"/>
    <w:rsid w:val="00E93EDB"/>
    <w:rsid w:val="00EB4473"/>
    <w:rsid w:val="00EB7F37"/>
    <w:rsid w:val="00EC60BE"/>
    <w:rsid w:val="00ED4C6A"/>
    <w:rsid w:val="00EE15C6"/>
    <w:rsid w:val="00EE45F1"/>
    <w:rsid w:val="00EE4F8F"/>
    <w:rsid w:val="00F042EA"/>
    <w:rsid w:val="00F34AF6"/>
    <w:rsid w:val="00F3745D"/>
    <w:rsid w:val="00F42527"/>
    <w:rsid w:val="00F443A0"/>
    <w:rsid w:val="00F5074E"/>
    <w:rsid w:val="00F50EE4"/>
    <w:rsid w:val="00F548E5"/>
    <w:rsid w:val="00F5654A"/>
    <w:rsid w:val="00F67ECC"/>
    <w:rsid w:val="00F73996"/>
    <w:rsid w:val="00F73CB2"/>
    <w:rsid w:val="00F76B9B"/>
    <w:rsid w:val="00F86C2B"/>
    <w:rsid w:val="00F9183B"/>
    <w:rsid w:val="00F95099"/>
    <w:rsid w:val="00F978DA"/>
    <w:rsid w:val="00FA7FF1"/>
    <w:rsid w:val="00FB1BFD"/>
    <w:rsid w:val="00FB2554"/>
    <w:rsid w:val="00FD1F8F"/>
    <w:rsid w:val="00FD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4D20"/>
  <w15:chartTrackingRefBased/>
  <w15:docId w15:val="{A3A9330E-7A43-BA4A-93F9-839A23EF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B8"/>
    <w:pPr>
      <w:spacing w:before="120" w:after="120" w:line="276" w:lineRule="auto"/>
    </w:pPr>
    <w:rPr>
      <w:rFonts w:ascii="Arial" w:hAnsi="Arial"/>
      <w:sz w:val="22"/>
    </w:rPr>
  </w:style>
  <w:style w:type="paragraph" w:styleId="Heading1">
    <w:name w:val="heading 1"/>
    <w:basedOn w:val="Normal"/>
    <w:next w:val="Normal"/>
    <w:link w:val="Heading1Char"/>
    <w:autoRedefine/>
    <w:uiPriority w:val="9"/>
    <w:qFormat/>
    <w:rsid w:val="00F9183B"/>
    <w:pPr>
      <w:keepNext/>
      <w:keepLines/>
      <w:numPr>
        <w:numId w:val="13"/>
      </w:numPr>
      <w:spacing w:before="480"/>
      <w:ind w:left="357" w:hanging="357"/>
      <w:jc w:val="both"/>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B91D68"/>
    <w:pPr>
      <w:keepNext/>
      <w:keepLines/>
      <w:numPr>
        <w:ilvl w:val="1"/>
        <w:numId w:val="13"/>
      </w:numPr>
      <w:spacing w:before="3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763AB8"/>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E60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3A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F6D"/>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06E7"/>
    <w:rPr>
      <w:sz w:val="16"/>
      <w:szCs w:val="16"/>
    </w:rPr>
  </w:style>
  <w:style w:type="paragraph" w:styleId="CommentText">
    <w:name w:val="annotation text"/>
    <w:basedOn w:val="Normal"/>
    <w:link w:val="CommentTextChar"/>
    <w:uiPriority w:val="99"/>
    <w:unhideWhenUsed/>
    <w:rsid w:val="005406E7"/>
    <w:rPr>
      <w:sz w:val="20"/>
      <w:szCs w:val="20"/>
    </w:rPr>
  </w:style>
  <w:style w:type="character" w:customStyle="1" w:styleId="CommentTextChar">
    <w:name w:val="Comment Text Char"/>
    <w:basedOn w:val="DefaultParagraphFont"/>
    <w:link w:val="CommentText"/>
    <w:uiPriority w:val="99"/>
    <w:rsid w:val="005406E7"/>
    <w:rPr>
      <w:sz w:val="20"/>
      <w:szCs w:val="20"/>
    </w:rPr>
  </w:style>
  <w:style w:type="paragraph" w:styleId="ListParagraph">
    <w:name w:val="List Paragraph"/>
    <w:basedOn w:val="Normal"/>
    <w:link w:val="ListParagraphChar"/>
    <w:qFormat/>
    <w:rsid w:val="00D511CD"/>
    <w:pPr>
      <w:ind w:left="720"/>
      <w:contextualSpacing/>
    </w:pPr>
  </w:style>
  <w:style w:type="character" w:customStyle="1" w:styleId="ListParagraphChar">
    <w:name w:val="List Paragraph Char"/>
    <w:basedOn w:val="DefaultParagraphFont"/>
    <w:link w:val="ListParagraph"/>
    <w:uiPriority w:val="34"/>
    <w:rsid w:val="003D2E7B"/>
  </w:style>
  <w:style w:type="numbering" w:customStyle="1" w:styleId="CurrentList1">
    <w:name w:val="Current List1"/>
    <w:uiPriority w:val="99"/>
    <w:rsid w:val="00855B8A"/>
    <w:pPr>
      <w:numPr>
        <w:numId w:val="1"/>
      </w:numPr>
    </w:pPr>
  </w:style>
  <w:style w:type="character" w:customStyle="1" w:styleId="Heading1Char">
    <w:name w:val="Heading 1 Char"/>
    <w:basedOn w:val="DefaultParagraphFont"/>
    <w:link w:val="Heading1"/>
    <w:uiPriority w:val="9"/>
    <w:rsid w:val="00F9183B"/>
    <w:rPr>
      <w:rFonts w:ascii="Arial" w:eastAsiaTheme="majorEastAsia" w:hAnsi="Arial" w:cstheme="majorBidi"/>
      <w:color w:val="000000" w:themeColor="text1"/>
      <w:sz w:val="22"/>
      <w:szCs w:val="32"/>
    </w:rPr>
  </w:style>
  <w:style w:type="paragraph" w:styleId="TOCHeading">
    <w:name w:val="TOC Heading"/>
    <w:basedOn w:val="Heading1"/>
    <w:next w:val="Normal"/>
    <w:uiPriority w:val="39"/>
    <w:unhideWhenUsed/>
    <w:qFormat/>
    <w:rsid w:val="008E48CA"/>
    <w:pPr>
      <w:outlineLvl w:val="9"/>
    </w:pPr>
    <w:rPr>
      <w:b/>
      <w:bCs/>
      <w:sz w:val="28"/>
      <w:szCs w:val="28"/>
      <w:lang w:val="en-US"/>
    </w:rPr>
  </w:style>
  <w:style w:type="paragraph" w:styleId="TOC1">
    <w:name w:val="toc 1"/>
    <w:basedOn w:val="Normal"/>
    <w:next w:val="Normal"/>
    <w:autoRedefine/>
    <w:uiPriority w:val="39"/>
    <w:unhideWhenUsed/>
    <w:rsid w:val="00C310F3"/>
    <w:pPr>
      <w:tabs>
        <w:tab w:val="left" w:pos="440"/>
        <w:tab w:val="right" w:leader="dot" w:pos="9016"/>
      </w:tabs>
      <w:spacing w:after="0"/>
    </w:pPr>
    <w:rPr>
      <w:rFonts w:asciiTheme="minorHAnsi" w:hAnsiTheme="minorHAnsi" w:cstheme="minorHAnsi"/>
      <w:b/>
      <w:bCs/>
      <w:i/>
      <w:iCs/>
      <w:sz w:val="24"/>
    </w:rPr>
  </w:style>
  <w:style w:type="paragraph" w:styleId="TOC2">
    <w:name w:val="toc 2"/>
    <w:basedOn w:val="Normal"/>
    <w:next w:val="Normal"/>
    <w:autoRedefine/>
    <w:uiPriority w:val="39"/>
    <w:unhideWhenUsed/>
    <w:rsid w:val="00FB1BFD"/>
    <w:pPr>
      <w:tabs>
        <w:tab w:val="left" w:pos="1100"/>
        <w:tab w:val="right" w:leader="dot" w:pos="9016"/>
      </w:tabs>
      <w:spacing w:before="0" w:after="0" w:line="240" w:lineRule="auto"/>
      <w:ind w:left="220"/>
    </w:pPr>
    <w:rPr>
      <w:rFonts w:cs="Arial"/>
      <w:noProof/>
      <w:color w:val="000000" w:themeColor="text1"/>
      <w:sz w:val="20"/>
      <w:szCs w:val="20"/>
    </w:rPr>
  </w:style>
  <w:style w:type="paragraph" w:styleId="TOC3">
    <w:name w:val="toc 3"/>
    <w:basedOn w:val="Normal"/>
    <w:next w:val="Normal"/>
    <w:autoRedefine/>
    <w:uiPriority w:val="39"/>
    <w:unhideWhenUsed/>
    <w:rsid w:val="008E48CA"/>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8E48CA"/>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8E48C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8E48C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8E48C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8E48C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8E48CA"/>
    <w:pPr>
      <w:spacing w:before="0" w:after="0"/>
      <w:ind w:left="1760"/>
    </w:pPr>
    <w:rPr>
      <w:rFonts w:asciiTheme="minorHAnsi" w:hAnsiTheme="minorHAnsi" w:cstheme="minorHAnsi"/>
      <w:sz w:val="20"/>
      <w:szCs w:val="20"/>
    </w:rPr>
  </w:style>
  <w:style w:type="paragraph" w:styleId="Subtitle">
    <w:name w:val="Subtitle"/>
    <w:basedOn w:val="Normal"/>
    <w:next w:val="Normal"/>
    <w:link w:val="SubtitleChar"/>
    <w:uiPriority w:val="11"/>
    <w:qFormat/>
    <w:rsid w:val="00D676AC"/>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D676AC"/>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D676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6AC"/>
    <w:rPr>
      <w:rFonts w:asciiTheme="majorHAnsi" w:eastAsiaTheme="majorEastAsia" w:hAnsiTheme="majorHAnsi" w:cstheme="majorBidi"/>
      <w:spacing w:val="-10"/>
      <w:kern w:val="28"/>
      <w:sz w:val="56"/>
      <w:szCs w:val="56"/>
    </w:rPr>
  </w:style>
  <w:style w:type="paragraph" w:customStyle="1" w:styleId="Style1">
    <w:name w:val="Style1"/>
    <w:basedOn w:val="Title"/>
    <w:autoRedefine/>
    <w:qFormat/>
    <w:rsid w:val="00D676AC"/>
    <w:pPr>
      <w:numPr>
        <w:numId w:val="2"/>
      </w:numPr>
    </w:pPr>
    <w:rPr>
      <w:rFonts w:ascii="Arial" w:hAnsi="Arial"/>
      <w:sz w:val="24"/>
    </w:rPr>
  </w:style>
  <w:style w:type="character" w:customStyle="1" w:styleId="Heading2Char">
    <w:name w:val="Heading 2 Char"/>
    <w:basedOn w:val="DefaultParagraphFont"/>
    <w:link w:val="Heading2"/>
    <w:uiPriority w:val="9"/>
    <w:rsid w:val="00B91D68"/>
    <w:rPr>
      <w:rFonts w:ascii="Arial" w:eastAsiaTheme="majorEastAsia" w:hAnsi="Arial" w:cstheme="majorBidi"/>
      <w:b/>
      <w:color w:val="000000" w:themeColor="text1"/>
      <w:sz w:val="22"/>
      <w:szCs w:val="26"/>
    </w:rPr>
  </w:style>
  <w:style w:type="character" w:styleId="Hyperlink">
    <w:name w:val="Hyperlink"/>
    <w:basedOn w:val="DefaultParagraphFont"/>
    <w:uiPriority w:val="99"/>
    <w:unhideWhenUsed/>
    <w:rsid w:val="007112DC"/>
    <w:rPr>
      <w:color w:val="0563C1" w:themeColor="hyperlink"/>
      <w:u w:val="single"/>
    </w:rPr>
  </w:style>
  <w:style w:type="character" w:customStyle="1" w:styleId="Heading4Char">
    <w:name w:val="Heading 4 Char"/>
    <w:basedOn w:val="DefaultParagraphFont"/>
    <w:link w:val="Heading4"/>
    <w:uiPriority w:val="9"/>
    <w:semiHidden/>
    <w:rsid w:val="005E6035"/>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77191E"/>
    <w:rPr>
      <w:b/>
      <w:bCs/>
    </w:rPr>
  </w:style>
  <w:style w:type="character" w:customStyle="1" w:styleId="CommentSubjectChar">
    <w:name w:val="Comment Subject Char"/>
    <w:basedOn w:val="CommentTextChar"/>
    <w:link w:val="CommentSubject"/>
    <w:uiPriority w:val="99"/>
    <w:semiHidden/>
    <w:rsid w:val="0077191E"/>
    <w:rPr>
      <w:rFonts w:ascii="Arial" w:hAnsi="Arial"/>
      <w:b/>
      <w:bCs/>
      <w:sz w:val="20"/>
      <w:szCs w:val="20"/>
    </w:rPr>
  </w:style>
  <w:style w:type="table" w:customStyle="1" w:styleId="TableGrid1">
    <w:name w:val="Table Grid1"/>
    <w:basedOn w:val="TableNormal"/>
    <w:next w:val="TableGrid"/>
    <w:uiPriority w:val="59"/>
    <w:rsid w:val="00405C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7B1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D17C28"/>
    <w:pPr>
      <w:numPr>
        <w:numId w:val="11"/>
      </w:numPr>
    </w:pPr>
  </w:style>
  <w:style w:type="character" w:customStyle="1" w:styleId="Heading3Char">
    <w:name w:val="Heading 3 Char"/>
    <w:basedOn w:val="DefaultParagraphFont"/>
    <w:link w:val="Heading3"/>
    <w:uiPriority w:val="9"/>
    <w:semiHidden/>
    <w:rsid w:val="00763AB8"/>
    <w:rPr>
      <w:rFonts w:asciiTheme="majorHAnsi" w:eastAsiaTheme="majorEastAsia" w:hAnsiTheme="majorHAnsi" w:cstheme="majorBidi"/>
      <w:color w:val="1F3763" w:themeColor="accent1" w:themeShade="7F"/>
    </w:rPr>
  </w:style>
  <w:style w:type="numbering" w:customStyle="1" w:styleId="CurrentList3">
    <w:name w:val="Current List3"/>
    <w:uiPriority w:val="99"/>
    <w:rsid w:val="00F978DA"/>
    <w:pPr>
      <w:numPr>
        <w:numId w:val="12"/>
      </w:numPr>
    </w:pPr>
  </w:style>
  <w:style w:type="character" w:customStyle="1" w:styleId="Heading5Char">
    <w:name w:val="Heading 5 Char"/>
    <w:basedOn w:val="DefaultParagraphFont"/>
    <w:link w:val="Heading5"/>
    <w:uiPriority w:val="9"/>
    <w:semiHidden/>
    <w:rsid w:val="00763AB8"/>
    <w:rPr>
      <w:rFonts w:asciiTheme="majorHAnsi" w:eastAsiaTheme="majorEastAsia" w:hAnsiTheme="majorHAnsi" w:cstheme="majorBidi"/>
      <w:color w:val="2F5496" w:themeColor="accent1" w:themeShade="BF"/>
      <w:sz w:val="22"/>
    </w:rPr>
  </w:style>
  <w:style w:type="paragraph" w:styleId="Bibliography">
    <w:name w:val="Bibliography"/>
    <w:basedOn w:val="Normal"/>
    <w:next w:val="Normal"/>
    <w:uiPriority w:val="37"/>
    <w:unhideWhenUsed/>
    <w:rsid w:val="0066550C"/>
    <w:pPr>
      <w:tabs>
        <w:tab w:val="left" w:pos="500"/>
      </w:tabs>
      <w:spacing w:after="0" w:line="240" w:lineRule="auto"/>
      <w:ind w:left="504" w:hanging="504"/>
    </w:pPr>
  </w:style>
  <w:style w:type="table" w:customStyle="1" w:styleId="TableGridLight1">
    <w:name w:val="Table Grid Light1"/>
    <w:basedOn w:val="TableNormal"/>
    <w:uiPriority w:val="40"/>
    <w:rsid w:val="0026456A"/>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12845"/>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BodyA">
    <w:name w:val="Body A"/>
    <w:rsid w:val="0030231C"/>
    <w:pPr>
      <w:spacing w:before="120" w:after="120"/>
      <w:jc w:val="both"/>
    </w:pPr>
    <w:rPr>
      <w:rFonts w:ascii="Arial" w:eastAsia="Arial Unicode MS" w:hAnsi="Arial Unicode MS" w:cs="Arial Unicode MS"/>
      <w:color w:val="000000"/>
      <w:sz w:val="22"/>
      <w:szCs w:val="22"/>
      <w:u w:color="000000"/>
      <w:lang w:val="en-US" w:bidi="th-TH"/>
    </w:rPr>
  </w:style>
  <w:style w:type="paragraph" w:styleId="Footer">
    <w:name w:val="footer"/>
    <w:basedOn w:val="Normal"/>
    <w:link w:val="FooterChar"/>
    <w:uiPriority w:val="99"/>
    <w:unhideWhenUsed/>
    <w:rsid w:val="00820CF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0CF5"/>
    <w:rPr>
      <w:rFonts w:ascii="Arial" w:hAnsi="Arial"/>
      <w:sz w:val="22"/>
    </w:rPr>
  </w:style>
  <w:style w:type="character" w:styleId="PageNumber">
    <w:name w:val="page number"/>
    <w:basedOn w:val="DefaultParagraphFont"/>
    <w:uiPriority w:val="99"/>
    <w:semiHidden/>
    <w:unhideWhenUsed/>
    <w:rsid w:val="00820CF5"/>
  </w:style>
  <w:style w:type="paragraph" w:styleId="Header">
    <w:name w:val="header"/>
    <w:basedOn w:val="Normal"/>
    <w:link w:val="HeaderChar"/>
    <w:uiPriority w:val="99"/>
    <w:unhideWhenUsed/>
    <w:rsid w:val="00820CF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0CF5"/>
    <w:rPr>
      <w:rFonts w:ascii="Arial" w:hAnsi="Arial"/>
      <w:sz w:val="22"/>
    </w:rPr>
  </w:style>
  <w:style w:type="paragraph" w:styleId="Revision">
    <w:name w:val="Revision"/>
    <w:hidden/>
    <w:uiPriority w:val="99"/>
    <w:semiHidden/>
    <w:rsid w:val="00EE45F1"/>
    <w:rPr>
      <w:rFonts w:ascii="Arial" w:hAnsi="Arial"/>
      <w:sz w:val="22"/>
    </w:rPr>
  </w:style>
  <w:style w:type="character" w:customStyle="1" w:styleId="docsum-authors">
    <w:name w:val="docsum-authors"/>
    <w:basedOn w:val="DefaultParagraphFont"/>
    <w:rsid w:val="00F50EE4"/>
  </w:style>
  <w:style w:type="character" w:customStyle="1" w:styleId="docsum-journal-citation">
    <w:name w:val="docsum-journal-citation"/>
    <w:basedOn w:val="DefaultParagraphFont"/>
    <w:rsid w:val="00F50EE4"/>
  </w:style>
  <w:style w:type="character" w:customStyle="1" w:styleId="citation-part">
    <w:name w:val="citation-part"/>
    <w:basedOn w:val="DefaultParagraphFont"/>
    <w:rsid w:val="00F50EE4"/>
  </w:style>
  <w:style w:type="character" w:customStyle="1" w:styleId="docsum-pmid">
    <w:name w:val="docsum-pmid"/>
    <w:basedOn w:val="DefaultParagraphFont"/>
    <w:rsid w:val="00F50EE4"/>
  </w:style>
  <w:style w:type="paragraph" w:customStyle="1" w:styleId="Default">
    <w:name w:val="Default"/>
    <w:rsid w:val="000F41D3"/>
    <w:pPr>
      <w:autoSpaceDE w:val="0"/>
      <w:autoSpaceDN w:val="0"/>
      <w:adjustRightInd w:val="0"/>
    </w:pPr>
    <w:rPr>
      <w:rFonts w:ascii="Lato" w:hAnsi="Lato" w:cs="Lato"/>
      <w:color w:val="000000"/>
      <w:lang w:val="en-CA"/>
    </w:rPr>
  </w:style>
  <w:style w:type="paragraph" w:styleId="BalloonText">
    <w:name w:val="Balloon Text"/>
    <w:basedOn w:val="Normal"/>
    <w:link w:val="BalloonTextChar"/>
    <w:uiPriority w:val="99"/>
    <w:semiHidden/>
    <w:unhideWhenUsed/>
    <w:rsid w:val="00467F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894">
      <w:bodyDiv w:val="1"/>
      <w:marLeft w:val="0"/>
      <w:marRight w:val="0"/>
      <w:marTop w:val="0"/>
      <w:marBottom w:val="0"/>
      <w:divBdr>
        <w:top w:val="none" w:sz="0" w:space="0" w:color="auto"/>
        <w:left w:val="none" w:sz="0" w:space="0" w:color="auto"/>
        <w:bottom w:val="none" w:sz="0" w:space="0" w:color="auto"/>
        <w:right w:val="none" w:sz="0" w:space="0" w:color="auto"/>
      </w:divBdr>
      <w:divsChild>
        <w:div w:id="1325477324">
          <w:marLeft w:val="0"/>
          <w:marRight w:val="0"/>
          <w:marTop w:val="0"/>
          <w:marBottom w:val="0"/>
          <w:divBdr>
            <w:top w:val="none" w:sz="0" w:space="0" w:color="auto"/>
            <w:left w:val="none" w:sz="0" w:space="0" w:color="auto"/>
            <w:bottom w:val="none" w:sz="0" w:space="0" w:color="auto"/>
            <w:right w:val="none" w:sz="0" w:space="0" w:color="auto"/>
          </w:divBdr>
          <w:divsChild>
            <w:div w:id="253825387">
              <w:marLeft w:val="0"/>
              <w:marRight w:val="0"/>
              <w:marTop w:val="0"/>
              <w:marBottom w:val="0"/>
              <w:divBdr>
                <w:top w:val="none" w:sz="0" w:space="0" w:color="auto"/>
                <w:left w:val="none" w:sz="0" w:space="0" w:color="auto"/>
                <w:bottom w:val="none" w:sz="0" w:space="0" w:color="auto"/>
                <w:right w:val="none" w:sz="0" w:space="0" w:color="auto"/>
              </w:divBdr>
              <w:divsChild>
                <w:div w:id="5422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612">
      <w:bodyDiv w:val="1"/>
      <w:marLeft w:val="0"/>
      <w:marRight w:val="0"/>
      <w:marTop w:val="0"/>
      <w:marBottom w:val="0"/>
      <w:divBdr>
        <w:top w:val="none" w:sz="0" w:space="0" w:color="auto"/>
        <w:left w:val="none" w:sz="0" w:space="0" w:color="auto"/>
        <w:bottom w:val="none" w:sz="0" w:space="0" w:color="auto"/>
        <w:right w:val="none" w:sz="0" w:space="0" w:color="auto"/>
      </w:divBdr>
      <w:divsChild>
        <w:div w:id="776220699">
          <w:marLeft w:val="0"/>
          <w:marRight w:val="0"/>
          <w:marTop w:val="0"/>
          <w:marBottom w:val="0"/>
          <w:divBdr>
            <w:top w:val="none" w:sz="0" w:space="0" w:color="auto"/>
            <w:left w:val="none" w:sz="0" w:space="0" w:color="auto"/>
            <w:bottom w:val="none" w:sz="0" w:space="0" w:color="auto"/>
            <w:right w:val="none" w:sz="0" w:space="0" w:color="auto"/>
          </w:divBdr>
          <w:divsChild>
            <w:div w:id="1650287557">
              <w:marLeft w:val="0"/>
              <w:marRight w:val="0"/>
              <w:marTop w:val="0"/>
              <w:marBottom w:val="0"/>
              <w:divBdr>
                <w:top w:val="none" w:sz="0" w:space="0" w:color="auto"/>
                <w:left w:val="none" w:sz="0" w:space="0" w:color="auto"/>
                <w:bottom w:val="none" w:sz="0" w:space="0" w:color="auto"/>
                <w:right w:val="none" w:sz="0" w:space="0" w:color="auto"/>
              </w:divBdr>
              <w:divsChild>
                <w:div w:id="21416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821">
      <w:bodyDiv w:val="1"/>
      <w:marLeft w:val="0"/>
      <w:marRight w:val="0"/>
      <w:marTop w:val="0"/>
      <w:marBottom w:val="0"/>
      <w:divBdr>
        <w:top w:val="none" w:sz="0" w:space="0" w:color="auto"/>
        <w:left w:val="none" w:sz="0" w:space="0" w:color="auto"/>
        <w:bottom w:val="none" w:sz="0" w:space="0" w:color="auto"/>
        <w:right w:val="none" w:sz="0" w:space="0" w:color="auto"/>
      </w:divBdr>
    </w:div>
    <w:div w:id="115105464">
      <w:bodyDiv w:val="1"/>
      <w:marLeft w:val="0"/>
      <w:marRight w:val="0"/>
      <w:marTop w:val="0"/>
      <w:marBottom w:val="0"/>
      <w:divBdr>
        <w:top w:val="none" w:sz="0" w:space="0" w:color="auto"/>
        <w:left w:val="none" w:sz="0" w:space="0" w:color="auto"/>
        <w:bottom w:val="none" w:sz="0" w:space="0" w:color="auto"/>
        <w:right w:val="none" w:sz="0" w:space="0" w:color="auto"/>
      </w:divBdr>
      <w:divsChild>
        <w:div w:id="1533301486">
          <w:marLeft w:val="0"/>
          <w:marRight w:val="0"/>
          <w:marTop w:val="0"/>
          <w:marBottom w:val="0"/>
          <w:divBdr>
            <w:top w:val="none" w:sz="0" w:space="0" w:color="auto"/>
            <w:left w:val="none" w:sz="0" w:space="0" w:color="auto"/>
            <w:bottom w:val="none" w:sz="0" w:space="0" w:color="auto"/>
            <w:right w:val="none" w:sz="0" w:space="0" w:color="auto"/>
          </w:divBdr>
          <w:divsChild>
            <w:div w:id="1584995145">
              <w:marLeft w:val="0"/>
              <w:marRight w:val="0"/>
              <w:marTop w:val="0"/>
              <w:marBottom w:val="0"/>
              <w:divBdr>
                <w:top w:val="none" w:sz="0" w:space="0" w:color="auto"/>
                <w:left w:val="none" w:sz="0" w:space="0" w:color="auto"/>
                <w:bottom w:val="none" w:sz="0" w:space="0" w:color="auto"/>
                <w:right w:val="none" w:sz="0" w:space="0" w:color="auto"/>
              </w:divBdr>
              <w:divsChild>
                <w:div w:id="8529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7091">
      <w:bodyDiv w:val="1"/>
      <w:marLeft w:val="0"/>
      <w:marRight w:val="0"/>
      <w:marTop w:val="0"/>
      <w:marBottom w:val="0"/>
      <w:divBdr>
        <w:top w:val="none" w:sz="0" w:space="0" w:color="auto"/>
        <w:left w:val="none" w:sz="0" w:space="0" w:color="auto"/>
        <w:bottom w:val="none" w:sz="0" w:space="0" w:color="auto"/>
        <w:right w:val="none" w:sz="0" w:space="0" w:color="auto"/>
      </w:divBdr>
      <w:divsChild>
        <w:div w:id="1685086936">
          <w:marLeft w:val="0"/>
          <w:marRight w:val="0"/>
          <w:marTop w:val="0"/>
          <w:marBottom w:val="0"/>
          <w:divBdr>
            <w:top w:val="none" w:sz="0" w:space="0" w:color="auto"/>
            <w:left w:val="none" w:sz="0" w:space="0" w:color="auto"/>
            <w:bottom w:val="none" w:sz="0" w:space="0" w:color="auto"/>
            <w:right w:val="none" w:sz="0" w:space="0" w:color="auto"/>
          </w:divBdr>
          <w:divsChild>
            <w:div w:id="1483496804">
              <w:marLeft w:val="0"/>
              <w:marRight w:val="0"/>
              <w:marTop w:val="0"/>
              <w:marBottom w:val="0"/>
              <w:divBdr>
                <w:top w:val="none" w:sz="0" w:space="0" w:color="auto"/>
                <w:left w:val="none" w:sz="0" w:space="0" w:color="auto"/>
                <w:bottom w:val="none" w:sz="0" w:space="0" w:color="auto"/>
                <w:right w:val="none" w:sz="0" w:space="0" w:color="auto"/>
              </w:divBdr>
              <w:divsChild>
                <w:div w:id="14260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60974">
      <w:bodyDiv w:val="1"/>
      <w:marLeft w:val="0"/>
      <w:marRight w:val="0"/>
      <w:marTop w:val="0"/>
      <w:marBottom w:val="0"/>
      <w:divBdr>
        <w:top w:val="none" w:sz="0" w:space="0" w:color="auto"/>
        <w:left w:val="none" w:sz="0" w:space="0" w:color="auto"/>
        <w:bottom w:val="none" w:sz="0" w:space="0" w:color="auto"/>
        <w:right w:val="none" w:sz="0" w:space="0" w:color="auto"/>
      </w:divBdr>
      <w:divsChild>
        <w:div w:id="2139452892">
          <w:marLeft w:val="0"/>
          <w:marRight w:val="0"/>
          <w:marTop w:val="0"/>
          <w:marBottom w:val="0"/>
          <w:divBdr>
            <w:top w:val="none" w:sz="0" w:space="0" w:color="auto"/>
            <w:left w:val="none" w:sz="0" w:space="0" w:color="auto"/>
            <w:bottom w:val="none" w:sz="0" w:space="0" w:color="auto"/>
            <w:right w:val="none" w:sz="0" w:space="0" w:color="auto"/>
          </w:divBdr>
          <w:divsChild>
            <w:div w:id="1323195969">
              <w:marLeft w:val="0"/>
              <w:marRight w:val="0"/>
              <w:marTop w:val="0"/>
              <w:marBottom w:val="0"/>
              <w:divBdr>
                <w:top w:val="none" w:sz="0" w:space="0" w:color="auto"/>
                <w:left w:val="none" w:sz="0" w:space="0" w:color="auto"/>
                <w:bottom w:val="none" w:sz="0" w:space="0" w:color="auto"/>
                <w:right w:val="none" w:sz="0" w:space="0" w:color="auto"/>
              </w:divBdr>
              <w:divsChild>
                <w:div w:id="18727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4719">
      <w:bodyDiv w:val="1"/>
      <w:marLeft w:val="0"/>
      <w:marRight w:val="0"/>
      <w:marTop w:val="0"/>
      <w:marBottom w:val="0"/>
      <w:divBdr>
        <w:top w:val="none" w:sz="0" w:space="0" w:color="auto"/>
        <w:left w:val="none" w:sz="0" w:space="0" w:color="auto"/>
        <w:bottom w:val="none" w:sz="0" w:space="0" w:color="auto"/>
        <w:right w:val="none" w:sz="0" w:space="0" w:color="auto"/>
      </w:divBdr>
    </w:div>
    <w:div w:id="634145836">
      <w:bodyDiv w:val="1"/>
      <w:marLeft w:val="0"/>
      <w:marRight w:val="0"/>
      <w:marTop w:val="0"/>
      <w:marBottom w:val="0"/>
      <w:divBdr>
        <w:top w:val="none" w:sz="0" w:space="0" w:color="auto"/>
        <w:left w:val="none" w:sz="0" w:space="0" w:color="auto"/>
        <w:bottom w:val="none" w:sz="0" w:space="0" w:color="auto"/>
        <w:right w:val="none" w:sz="0" w:space="0" w:color="auto"/>
      </w:divBdr>
      <w:divsChild>
        <w:div w:id="2043556822">
          <w:marLeft w:val="0"/>
          <w:marRight w:val="0"/>
          <w:marTop w:val="0"/>
          <w:marBottom w:val="0"/>
          <w:divBdr>
            <w:top w:val="none" w:sz="0" w:space="0" w:color="auto"/>
            <w:left w:val="none" w:sz="0" w:space="0" w:color="auto"/>
            <w:bottom w:val="none" w:sz="0" w:space="0" w:color="auto"/>
            <w:right w:val="none" w:sz="0" w:space="0" w:color="auto"/>
          </w:divBdr>
          <w:divsChild>
            <w:div w:id="795835460">
              <w:marLeft w:val="0"/>
              <w:marRight w:val="0"/>
              <w:marTop w:val="0"/>
              <w:marBottom w:val="0"/>
              <w:divBdr>
                <w:top w:val="none" w:sz="0" w:space="0" w:color="auto"/>
                <w:left w:val="none" w:sz="0" w:space="0" w:color="auto"/>
                <w:bottom w:val="none" w:sz="0" w:space="0" w:color="auto"/>
                <w:right w:val="none" w:sz="0" w:space="0" w:color="auto"/>
              </w:divBdr>
              <w:divsChild>
                <w:div w:id="9208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089">
      <w:bodyDiv w:val="1"/>
      <w:marLeft w:val="0"/>
      <w:marRight w:val="0"/>
      <w:marTop w:val="0"/>
      <w:marBottom w:val="0"/>
      <w:divBdr>
        <w:top w:val="none" w:sz="0" w:space="0" w:color="auto"/>
        <w:left w:val="none" w:sz="0" w:space="0" w:color="auto"/>
        <w:bottom w:val="none" w:sz="0" w:space="0" w:color="auto"/>
        <w:right w:val="none" w:sz="0" w:space="0" w:color="auto"/>
      </w:divBdr>
    </w:div>
    <w:div w:id="773790971">
      <w:bodyDiv w:val="1"/>
      <w:marLeft w:val="0"/>
      <w:marRight w:val="0"/>
      <w:marTop w:val="0"/>
      <w:marBottom w:val="0"/>
      <w:divBdr>
        <w:top w:val="none" w:sz="0" w:space="0" w:color="auto"/>
        <w:left w:val="none" w:sz="0" w:space="0" w:color="auto"/>
        <w:bottom w:val="none" w:sz="0" w:space="0" w:color="auto"/>
        <w:right w:val="none" w:sz="0" w:space="0" w:color="auto"/>
      </w:divBdr>
      <w:divsChild>
        <w:div w:id="2133473849">
          <w:marLeft w:val="0"/>
          <w:marRight w:val="0"/>
          <w:marTop w:val="0"/>
          <w:marBottom w:val="0"/>
          <w:divBdr>
            <w:top w:val="none" w:sz="0" w:space="0" w:color="auto"/>
            <w:left w:val="none" w:sz="0" w:space="0" w:color="auto"/>
            <w:bottom w:val="none" w:sz="0" w:space="0" w:color="auto"/>
            <w:right w:val="none" w:sz="0" w:space="0" w:color="auto"/>
          </w:divBdr>
          <w:divsChild>
            <w:div w:id="1307782597">
              <w:marLeft w:val="0"/>
              <w:marRight w:val="0"/>
              <w:marTop w:val="0"/>
              <w:marBottom w:val="0"/>
              <w:divBdr>
                <w:top w:val="none" w:sz="0" w:space="0" w:color="auto"/>
                <w:left w:val="none" w:sz="0" w:space="0" w:color="auto"/>
                <w:bottom w:val="none" w:sz="0" w:space="0" w:color="auto"/>
                <w:right w:val="none" w:sz="0" w:space="0" w:color="auto"/>
              </w:divBdr>
              <w:divsChild>
                <w:div w:id="339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6571">
      <w:bodyDiv w:val="1"/>
      <w:marLeft w:val="0"/>
      <w:marRight w:val="0"/>
      <w:marTop w:val="0"/>
      <w:marBottom w:val="0"/>
      <w:divBdr>
        <w:top w:val="none" w:sz="0" w:space="0" w:color="auto"/>
        <w:left w:val="none" w:sz="0" w:space="0" w:color="auto"/>
        <w:bottom w:val="none" w:sz="0" w:space="0" w:color="auto"/>
        <w:right w:val="none" w:sz="0" w:space="0" w:color="auto"/>
      </w:divBdr>
    </w:div>
    <w:div w:id="1029721526">
      <w:bodyDiv w:val="1"/>
      <w:marLeft w:val="0"/>
      <w:marRight w:val="0"/>
      <w:marTop w:val="0"/>
      <w:marBottom w:val="0"/>
      <w:divBdr>
        <w:top w:val="none" w:sz="0" w:space="0" w:color="auto"/>
        <w:left w:val="none" w:sz="0" w:space="0" w:color="auto"/>
        <w:bottom w:val="none" w:sz="0" w:space="0" w:color="auto"/>
        <w:right w:val="none" w:sz="0" w:space="0" w:color="auto"/>
      </w:divBdr>
      <w:divsChild>
        <w:div w:id="1271745686">
          <w:marLeft w:val="0"/>
          <w:marRight w:val="0"/>
          <w:marTop w:val="0"/>
          <w:marBottom w:val="0"/>
          <w:divBdr>
            <w:top w:val="none" w:sz="0" w:space="0" w:color="auto"/>
            <w:left w:val="none" w:sz="0" w:space="0" w:color="auto"/>
            <w:bottom w:val="none" w:sz="0" w:space="0" w:color="auto"/>
            <w:right w:val="none" w:sz="0" w:space="0" w:color="auto"/>
          </w:divBdr>
          <w:divsChild>
            <w:div w:id="1929846721">
              <w:marLeft w:val="0"/>
              <w:marRight w:val="0"/>
              <w:marTop w:val="0"/>
              <w:marBottom w:val="0"/>
              <w:divBdr>
                <w:top w:val="none" w:sz="0" w:space="0" w:color="auto"/>
                <w:left w:val="none" w:sz="0" w:space="0" w:color="auto"/>
                <w:bottom w:val="none" w:sz="0" w:space="0" w:color="auto"/>
                <w:right w:val="none" w:sz="0" w:space="0" w:color="auto"/>
              </w:divBdr>
              <w:divsChild>
                <w:div w:id="10086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2408">
      <w:bodyDiv w:val="1"/>
      <w:marLeft w:val="0"/>
      <w:marRight w:val="0"/>
      <w:marTop w:val="0"/>
      <w:marBottom w:val="0"/>
      <w:divBdr>
        <w:top w:val="none" w:sz="0" w:space="0" w:color="auto"/>
        <w:left w:val="none" w:sz="0" w:space="0" w:color="auto"/>
        <w:bottom w:val="none" w:sz="0" w:space="0" w:color="auto"/>
        <w:right w:val="none" w:sz="0" w:space="0" w:color="auto"/>
      </w:divBdr>
      <w:divsChild>
        <w:div w:id="2016223559">
          <w:marLeft w:val="0"/>
          <w:marRight w:val="0"/>
          <w:marTop w:val="0"/>
          <w:marBottom w:val="0"/>
          <w:divBdr>
            <w:top w:val="none" w:sz="0" w:space="0" w:color="auto"/>
            <w:left w:val="none" w:sz="0" w:space="0" w:color="auto"/>
            <w:bottom w:val="none" w:sz="0" w:space="0" w:color="auto"/>
            <w:right w:val="none" w:sz="0" w:space="0" w:color="auto"/>
          </w:divBdr>
          <w:divsChild>
            <w:div w:id="1984844272">
              <w:marLeft w:val="0"/>
              <w:marRight w:val="0"/>
              <w:marTop w:val="0"/>
              <w:marBottom w:val="0"/>
              <w:divBdr>
                <w:top w:val="none" w:sz="0" w:space="0" w:color="auto"/>
                <w:left w:val="none" w:sz="0" w:space="0" w:color="auto"/>
                <w:bottom w:val="none" w:sz="0" w:space="0" w:color="auto"/>
                <w:right w:val="none" w:sz="0" w:space="0" w:color="auto"/>
              </w:divBdr>
              <w:divsChild>
                <w:div w:id="21046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9182">
      <w:bodyDiv w:val="1"/>
      <w:marLeft w:val="0"/>
      <w:marRight w:val="0"/>
      <w:marTop w:val="0"/>
      <w:marBottom w:val="0"/>
      <w:divBdr>
        <w:top w:val="none" w:sz="0" w:space="0" w:color="auto"/>
        <w:left w:val="none" w:sz="0" w:space="0" w:color="auto"/>
        <w:bottom w:val="none" w:sz="0" w:space="0" w:color="auto"/>
        <w:right w:val="none" w:sz="0" w:space="0" w:color="auto"/>
      </w:divBdr>
      <w:divsChild>
        <w:div w:id="961576573">
          <w:marLeft w:val="0"/>
          <w:marRight w:val="0"/>
          <w:marTop w:val="0"/>
          <w:marBottom w:val="0"/>
          <w:divBdr>
            <w:top w:val="none" w:sz="0" w:space="0" w:color="auto"/>
            <w:left w:val="none" w:sz="0" w:space="0" w:color="auto"/>
            <w:bottom w:val="none" w:sz="0" w:space="0" w:color="auto"/>
            <w:right w:val="none" w:sz="0" w:space="0" w:color="auto"/>
          </w:divBdr>
          <w:divsChild>
            <w:div w:id="175653447">
              <w:marLeft w:val="0"/>
              <w:marRight w:val="0"/>
              <w:marTop w:val="0"/>
              <w:marBottom w:val="0"/>
              <w:divBdr>
                <w:top w:val="none" w:sz="0" w:space="0" w:color="auto"/>
                <w:left w:val="none" w:sz="0" w:space="0" w:color="auto"/>
                <w:bottom w:val="none" w:sz="0" w:space="0" w:color="auto"/>
                <w:right w:val="none" w:sz="0" w:space="0" w:color="auto"/>
              </w:divBdr>
              <w:divsChild>
                <w:div w:id="6876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04">
      <w:bodyDiv w:val="1"/>
      <w:marLeft w:val="0"/>
      <w:marRight w:val="0"/>
      <w:marTop w:val="0"/>
      <w:marBottom w:val="0"/>
      <w:divBdr>
        <w:top w:val="none" w:sz="0" w:space="0" w:color="auto"/>
        <w:left w:val="none" w:sz="0" w:space="0" w:color="auto"/>
        <w:bottom w:val="none" w:sz="0" w:space="0" w:color="auto"/>
        <w:right w:val="none" w:sz="0" w:space="0" w:color="auto"/>
      </w:divBdr>
      <w:divsChild>
        <w:div w:id="768895315">
          <w:marLeft w:val="0"/>
          <w:marRight w:val="0"/>
          <w:marTop w:val="0"/>
          <w:marBottom w:val="0"/>
          <w:divBdr>
            <w:top w:val="none" w:sz="0" w:space="0" w:color="auto"/>
            <w:left w:val="none" w:sz="0" w:space="0" w:color="auto"/>
            <w:bottom w:val="none" w:sz="0" w:space="0" w:color="auto"/>
            <w:right w:val="none" w:sz="0" w:space="0" w:color="auto"/>
          </w:divBdr>
          <w:divsChild>
            <w:div w:id="1080983038">
              <w:marLeft w:val="0"/>
              <w:marRight w:val="0"/>
              <w:marTop w:val="0"/>
              <w:marBottom w:val="0"/>
              <w:divBdr>
                <w:top w:val="none" w:sz="0" w:space="0" w:color="auto"/>
                <w:left w:val="none" w:sz="0" w:space="0" w:color="auto"/>
                <w:bottom w:val="none" w:sz="0" w:space="0" w:color="auto"/>
                <w:right w:val="none" w:sz="0" w:space="0" w:color="auto"/>
              </w:divBdr>
              <w:divsChild>
                <w:div w:id="121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0287">
      <w:bodyDiv w:val="1"/>
      <w:marLeft w:val="0"/>
      <w:marRight w:val="0"/>
      <w:marTop w:val="0"/>
      <w:marBottom w:val="0"/>
      <w:divBdr>
        <w:top w:val="none" w:sz="0" w:space="0" w:color="auto"/>
        <w:left w:val="none" w:sz="0" w:space="0" w:color="auto"/>
        <w:bottom w:val="none" w:sz="0" w:space="0" w:color="auto"/>
        <w:right w:val="none" w:sz="0" w:space="0" w:color="auto"/>
      </w:divBdr>
      <w:divsChild>
        <w:div w:id="1250890178">
          <w:marLeft w:val="0"/>
          <w:marRight w:val="0"/>
          <w:marTop w:val="0"/>
          <w:marBottom w:val="0"/>
          <w:divBdr>
            <w:top w:val="none" w:sz="0" w:space="0" w:color="auto"/>
            <w:left w:val="none" w:sz="0" w:space="0" w:color="auto"/>
            <w:bottom w:val="none" w:sz="0" w:space="0" w:color="auto"/>
            <w:right w:val="none" w:sz="0" w:space="0" w:color="auto"/>
          </w:divBdr>
        </w:div>
      </w:divsChild>
    </w:div>
    <w:div w:id="1266504093">
      <w:bodyDiv w:val="1"/>
      <w:marLeft w:val="0"/>
      <w:marRight w:val="0"/>
      <w:marTop w:val="0"/>
      <w:marBottom w:val="0"/>
      <w:divBdr>
        <w:top w:val="none" w:sz="0" w:space="0" w:color="auto"/>
        <w:left w:val="none" w:sz="0" w:space="0" w:color="auto"/>
        <w:bottom w:val="none" w:sz="0" w:space="0" w:color="auto"/>
        <w:right w:val="none" w:sz="0" w:space="0" w:color="auto"/>
      </w:divBdr>
    </w:div>
    <w:div w:id="1280381835">
      <w:bodyDiv w:val="1"/>
      <w:marLeft w:val="0"/>
      <w:marRight w:val="0"/>
      <w:marTop w:val="0"/>
      <w:marBottom w:val="0"/>
      <w:divBdr>
        <w:top w:val="none" w:sz="0" w:space="0" w:color="auto"/>
        <w:left w:val="none" w:sz="0" w:space="0" w:color="auto"/>
        <w:bottom w:val="none" w:sz="0" w:space="0" w:color="auto"/>
        <w:right w:val="none" w:sz="0" w:space="0" w:color="auto"/>
      </w:divBdr>
      <w:divsChild>
        <w:div w:id="1232040907">
          <w:marLeft w:val="0"/>
          <w:marRight w:val="0"/>
          <w:marTop w:val="0"/>
          <w:marBottom w:val="0"/>
          <w:divBdr>
            <w:top w:val="none" w:sz="0" w:space="0" w:color="auto"/>
            <w:left w:val="none" w:sz="0" w:space="0" w:color="auto"/>
            <w:bottom w:val="none" w:sz="0" w:space="0" w:color="auto"/>
            <w:right w:val="none" w:sz="0" w:space="0" w:color="auto"/>
          </w:divBdr>
          <w:divsChild>
            <w:div w:id="1097944488">
              <w:marLeft w:val="0"/>
              <w:marRight w:val="0"/>
              <w:marTop w:val="0"/>
              <w:marBottom w:val="0"/>
              <w:divBdr>
                <w:top w:val="none" w:sz="0" w:space="0" w:color="auto"/>
                <w:left w:val="none" w:sz="0" w:space="0" w:color="auto"/>
                <w:bottom w:val="none" w:sz="0" w:space="0" w:color="auto"/>
                <w:right w:val="none" w:sz="0" w:space="0" w:color="auto"/>
              </w:divBdr>
              <w:divsChild>
                <w:div w:id="19574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3679">
      <w:bodyDiv w:val="1"/>
      <w:marLeft w:val="0"/>
      <w:marRight w:val="0"/>
      <w:marTop w:val="0"/>
      <w:marBottom w:val="0"/>
      <w:divBdr>
        <w:top w:val="none" w:sz="0" w:space="0" w:color="auto"/>
        <w:left w:val="none" w:sz="0" w:space="0" w:color="auto"/>
        <w:bottom w:val="none" w:sz="0" w:space="0" w:color="auto"/>
        <w:right w:val="none" w:sz="0" w:space="0" w:color="auto"/>
      </w:divBdr>
      <w:divsChild>
        <w:div w:id="1280989929">
          <w:marLeft w:val="0"/>
          <w:marRight w:val="0"/>
          <w:marTop w:val="0"/>
          <w:marBottom w:val="0"/>
          <w:divBdr>
            <w:top w:val="none" w:sz="0" w:space="0" w:color="auto"/>
            <w:left w:val="none" w:sz="0" w:space="0" w:color="auto"/>
            <w:bottom w:val="none" w:sz="0" w:space="0" w:color="auto"/>
            <w:right w:val="none" w:sz="0" w:space="0" w:color="auto"/>
          </w:divBdr>
          <w:divsChild>
            <w:div w:id="1917130709">
              <w:marLeft w:val="0"/>
              <w:marRight w:val="0"/>
              <w:marTop w:val="0"/>
              <w:marBottom w:val="0"/>
              <w:divBdr>
                <w:top w:val="none" w:sz="0" w:space="0" w:color="auto"/>
                <w:left w:val="none" w:sz="0" w:space="0" w:color="auto"/>
                <w:bottom w:val="none" w:sz="0" w:space="0" w:color="auto"/>
                <w:right w:val="none" w:sz="0" w:space="0" w:color="auto"/>
              </w:divBdr>
              <w:divsChild>
                <w:div w:id="977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5064">
      <w:bodyDiv w:val="1"/>
      <w:marLeft w:val="0"/>
      <w:marRight w:val="0"/>
      <w:marTop w:val="0"/>
      <w:marBottom w:val="0"/>
      <w:divBdr>
        <w:top w:val="none" w:sz="0" w:space="0" w:color="auto"/>
        <w:left w:val="none" w:sz="0" w:space="0" w:color="auto"/>
        <w:bottom w:val="none" w:sz="0" w:space="0" w:color="auto"/>
        <w:right w:val="none" w:sz="0" w:space="0" w:color="auto"/>
      </w:divBdr>
      <w:divsChild>
        <w:div w:id="93212569">
          <w:marLeft w:val="0"/>
          <w:marRight w:val="0"/>
          <w:marTop w:val="0"/>
          <w:marBottom w:val="0"/>
          <w:divBdr>
            <w:top w:val="none" w:sz="0" w:space="0" w:color="auto"/>
            <w:left w:val="none" w:sz="0" w:space="0" w:color="auto"/>
            <w:bottom w:val="none" w:sz="0" w:space="0" w:color="auto"/>
            <w:right w:val="none" w:sz="0" w:space="0" w:color="auto"/>
          </w:divBdr>
          <w:divsChild>
            <w:div w:id="1201749136">
              <w:marLeft w:val="0"/>
              <w:marRight w:val="0"/>
              <w:marTop w:val="0"/>
              <w:marBottom w:val="0"/>
              <w:divBdr>
                <w:top w:val="none" w:sz="0" w:space="0" w:color="auto"/>
                <w:left w:val="none" w:sz="0" w:space="0" w:color="auto"/>
                <w:bottom w:val="none" w:sz="0" w:space="0" w:color="auto"/>
                <w:right w:val="none" w:sz="0" w:space="0" w:color="auto"/>
              </w:divBdr>
              <w:divsChild>
                <w:div w:id="4649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4801">
      <w:bodyDiv w:val="1"/>
      <w:marLeft w:val="0"/>
      <w:marRight w:val="0"/>
      <w:marTop w:val="0"/>
      <w:marBottom w:val="0"/>
      <w:divBdr>
        <w:top w:val="none" w:sz="0" w:space="0" w:color="auto"/>
        <w:left w:val="none" w:sz="0" w:space="0" w:color="auto"/>
        <w:bottom w:val="none" w:sz="0" w:space="0" w:color="auto"/>
        <w:right w:val="none" w:sz="0" w:space="0" w:color="auto"/>
      </w:divBdr>
    </w:div>
    <w:div w:id="1388065502">
      <w:bodyDiv w:val="1"/>
      <w:marLeft w:val="0"/>
      <w:marRight w:val="0"/>
      <w:marTop w:val="0"/>
      <w:marBottom w:val="0"/>
      <w:divBdr>
        <w:top w:val="none" w:sz="0" w:space="0" w:color="auto"/>
        <w:left w:val="none" w:sz="0" w:space="0" w:color="auto"/>
        <w:bottom w:val="none" w:sz="0" w:space="0" w:color="auto"/>
        <w:right w:val="none" w:sz="0" w:space="0" w:color="auto"/>
      </w:divBdr>
      <w:divsChild>
        <w:div w:id="1247304909">
          <w:marLeft w:val="0"/>
          <w:marRight w:val="0"/>
          <w:marTop w:val="0"/>
          <w:marBottom w:val="0"/>
          <w:divBdr>
            <w:top w:val="none" w:sz="0" w:space="0" w:color="auto"/>
            <w:left w:val="none" w:sz="0" w:space="0" w:color="auto"/>
            <w:bottom w:val="none" w:sz="0" w:space="0" w:color="auto"/>
            <w:right w:val="none" w:sz="0" w:space="0" w:color="auto"/>
          </w:divBdr>
          <w:divsChild>
            <w:div w:id="1675722422">
              <w:marLeft w:val="0"/>
              <w:marRight w:val="0"/>
              <w:marTop w:val="0"/>
              <w:marBottom w:val="0"/>
              <w:divBdr>
                <w:top w:val="none" w:sz="0" w:space="0" w:color="auto"/>
                <w:left w:val="none" w:sz="0" w:space="0" w:color="auto"/>
                <w:bottom w:val="none" w:sz="0" w:space="0" w:color="auto"/>
                <w:right w:val="none" w:sz="0" w:space="0" w:color="auto"/>
              </w:divBdr>
              <w:divsChild>
                <w:div w:id="561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208">
      <w:bodyDiv w:val="1"/>
      <w:marLeft w:val="0"/>
      <w:marRight w:val="0"/>
      <w:marTop w:val="0"/>
      <w:marBottom w:val="0"/>
      <w:divBdr>
        <w:top w:val="none" w:sz="0" w:space="0" w:color="auto"/>
        <w:left w:val="none" w:sz="0" w:space="0" w:color="auto"/>
        <w:bottom w:val="none" w:sz="0" w:space="0" w:color="auto"/>
        <w:right w:val="none" w:sz="0" w:space="0" w:color="auto"/>
      </w:divBdr>
      <w:divsChild>
        <w:div w:id="1793858290">
          <w:marLeft w:val="0"/>
          <w:marRight w:val="0"/>
          <w:marTop w:val="0"/>
          <w:marBottom w:val="0"/>
          <w:divBdr>
            <w:top w:val="none" w:sz="0" w:space="0" w:color="auto"/>
            <w:left w:val="none" w:sz="0" w:space="0" w:color="auto"/>
            <w:bottom w:val="none" w:sz="0" w:space="0" w:color="auto"/>
            <w:right w:val="none" w:sz="0" w:space="0" w:color="auto"/>
          </w:divBdr>
          <w:divsChild>
            <w:div w:id="443353662">
              <w:marLeft w:val="0"/>
              <w:marRight w:val="0"/>
              <w:marTop w:val="0"/>
              <w:marBottom w:val="0"/>
              <w:divBdr>
                <w:top w:val="none" w:sz="0" w:space="0" w:color="auto"/>
                <w:left w:val="none" w:sz="0" w:space="0" w:color="auto"/>
                <w:bottom w:val="none" w:sz="0" w:space="0" w:color="auto"/>
                <w:right w:val="none" w:sz="0" w:space="0" w:color="auto"/>
              </w:divBdr>
              <w:divsChild>
                <w:div w:id="1081948988">
                  <w:marLeft w:val="0"/>
                  <w:marRight w:val="0"/>
                  <w:marTop w:val="0"/>
                  <w:marBottom w:val="0"/>
                  <w:divBdr>
                    <w:top w:val="none" w:sz="0" w:space="0" w:color="auto"/>
                    <w:left w:val="none" w:sz="0" w:space="0" w:color="auto"/>
                    <w:bottom w:val="none" w:sz="0" w:space="0" w:color="auto"/>
                    <w:right w:val="none" w:sz="0" w:space="0" w:color="auto"/>
                  </w:divBdr>
                </w:div>
                <w:div w:id="2132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248">
      <w:bodyDiv w:val="1"/>
      <w:marLeft w:val="0"/>
      <w:marRight w:val="0"/>
      <w:marTop w:val="0"/>
      <w:marBottom w:val="0"/>
      <w:divBdr>
        <w:top w:val="none" w:sz="0" w:space="0" w:color="auto"/>
        <w:left w:val="none" w:sz="0" w:space="0" w:color="auto"/>
        <w:bottom w:val="none" w:sz="0" w:space="0" w:color="auto"/>
        <w:right w:val="none" w:sz="0" w:space="0" w:color="auto"/>
      </w:divBdr>
    </w:div>
    <w:div w:id="1467896733">
      <w:bodyDiv w:val="1"/>
      <w:marLeft w:val="0"/>
      <w:marRight w:val="0"/>
      <w:marTop w:val="0"/>
      <w:marBottom w:val="0"/>
      <w:divBdr>
        <w:top w:val="none" w:sz="0" w:space="0" w:color="auto"/>
        <w:left w:val="none" w:sz="0" w:space="0" w:color="auto"/>
        <w:bottom w:val="none" w:sz="0" w:space="0" w:color="auto"/>
        <w:right w:val="none" w:sz="0" w:space="0" w:color="auto"/>
      </w:divBdr>
    </w:div>
    <w:div w:id="1535849412">
      <w:bodyDiv w:val="1"/>
      <w:marLeft w:val="0"/>
      <w:marRight w:val="0"/>
      <w:marTop w:val="0"/>
      <w:marBottom w:val="0"/>
      <w:divBdr>
        <w:top w:val="none" w:sz="0" w:space="0" w:color="auto"/>
        <w:left w:val="none" w:sz="0" w:space="0" w:color="auto"/>
        <w:bottom w:val="none" w:sz="0" w:space="0" w:color="auto"/>
        <w:right w:val="none" w:sz="0" w:space="0" w:color="auto"/>
      </w:divBdr>
      <w:divsChild>
        <w:div w:id="2061859464">
          <w:marLeft w:val="0"/>
          <w:marRight w:val="0"/>
          <w:marTop w:val="0"/>
          <w:marBottom w:val="0"/>
          <w:divBdr>
            <w:top w:val="none" w:sz="0" w:space="0" w:color="auto"/>
            <w:left w:val="none" w:sz="0" w:space="0" w:color="auto"/>
            <w:bottom w:val="none" w:sz="0" w:space="0" w:color="auto"/>
            <w:right w:val="none" w:sz="0" w:space="0" w:color="auto"/>
          </w:divBdr>
          <w:divsChild>
            <w:div w:id="2144612312">
              <w:marLeft w:val="0"/>
              <w:marRight w:val="0"/>
              <w:marTop w:val="0"/>
              <w:marBottom w:val="0"/>
              <w:divBdr>
                <w:top w:val="none" w:sz="0" w:space="0" w:color="auto"/>
                <w:left w:val="none" w:sz="0" w:space="0" w:color="auto"/>
                <w:bottom w:val="none" w:sz="0" w:space="0" w:color="auto"/>
                <w:right w:val="none" w:sz="0" w:space="0" w:color="auto"/>
              </w:divBdr>
              <w:divsChild>
                <w:div w:id="971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8375">
      <w:bodyDiv w:val="1"/>
      <w:marLeft w:val="0"/>
      <w:marRight w:val="0"/>
      <w:marTop w:val="0"/>
      <w:marBottom w:val="0"/>
      <w:divBdr>
        <w:top w:val="none" w:sz="0" w:space="0" w:color="auto"/>
        <w:left w:val="none" w:sz="0" w:space="0" w:color="auto"/>
        <w:bottom w:val="none" w:sz="0" w:space="0" w:color="auto"/>
        <w:right w:val="none" w:sz="0" w:space="0" w:color="auto"/>
      </w:divBdr>
      <w:divsChild>
        <w:div w:id="854029172">
          <w:marLeft w:val="0"/>
          <w:marRight w:val="0"/>
          <w:marTop w:val="0"/>
          <w:marBottom w:val="0"/>
          <w:divBdr>
            <w:top w:val="none" w:sz="0" w:space="0" w:color="auto"/>
            <w:left w:val="none" w:sz="0" w:space="0" w:color="auto"/>
            <w:bottom w:val="none" w:sz="0" w:space="0" w:color="auto"/>
            <w:right w:val="none" w:sz="0" w:space="0" w:color="auto"/>
          </w:divBdr>
          <w:divsChild>
            <w:div w:id="778376248">
              <w:marLeft w:val="0"/>
              <w:marRight w:val="0"/>
              <w:marTop w:val="0"/>
              <w:marBottom w:val="0"/>
              <w:divBdr>
                <w:top w:val="none" w:sz="0" w:space="0" w:color="auto"/>
                <w:left w:val="none" w:sz="0" w:space="0" w:color="auto"/>
                <w:bottom w:val="none" w:sz="0" w:space="0" w:color="auto"/>
                <w:right w:val="none" w:sz="0" w:space="0" w:color="auto"/>
              </w:divBdr>
              <w:divsChild>
                <w:div w:id="16949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89323">
      <w:bodyDiv w:val="1"/>
      <w:marLeft w:val="0"/>
      <w:marRight w:val="0"/>
      <w:marTop w:val="0"/>
      <w:marBottom w:val="0"/>
      <w:divBdr>
        <w:top w:val="none" w:sz="0" w:space="0" w:color="auto"/>
        <w:left w:val="none" w:sz="0" w:space="0" w:color="auto"/>
        <w:bottom w:val="none" w:sz="0" w:space="0" w:color="auto"/>
        <w:right w:val="none" w:sz="0" w:space="0" w:color="auto"/>
      </w:divBdr>
    </w:div>
    <w:div w:id="1914460825">
      <w:bodyDiv w:val="1"/>
      <w:marLeft w:val="0"/>
      <w:marRight w:val="0"/>
      <w:marTop w:val="0"/>
      <w:marBottom w:val="0"/>
      <w:divBdr>
        <w:top w:val="none" w:sz="0" w:space="0" w:color="auto"/>
        <w:left w:val="none" w:sz="0" w:space="0" w:color="auto"/>
        <w:bottom w:val="none" w:sz="0" w:space="0" w:color="auto"/>
        <w:right w:val="none" w:sz="0" w:space="0" w:color="auto"/>
      </w:divBdr>
    </w:div>
    <w:div w:id="1979917686">
      <w:bodyDiv w:val="1"/>
      <w:marLeft w:val="0"/>
      <w:marRight w:val="0"/>
      <w:marTop w:val="0"/>
      <w:marBottom w:val="0"/>
      <w:divBdr>
        <w:top w:val="none" w:sz="0" w:space="0" w:color="auto"/>
        <w:left w:val="none" w:sz="0" w:space="0" w:color="auto"/>
        <w:bottom w:val="none" w:sz="0" w:space="0" w:color="auto"/>
        <w:right w:val="none" w:sz="0" w:space="0" w:color="auto"/>
      </w:divBdr>
      <w:divsChild>
        <w:div w:id="304435435">
          <w:marLeft w:val="0"/>
          <w:marRight w:val="0"/>
          <w:marTop w:val="0"/>
          <w:marBottom w:val="0"/>
          <w:divBdr>
            <w:top w:val="none" w:sz="0" w:space="0" w:color="auto"/>
            <w:left w:val="none" w:sz="0" w:space="0" w:color="auto"/>
            <w:bottom w:val="none" w:sz="0" w:space="0" w:color="auto"/>
            <w:right w:val="none" w:sz="0" w:space="0" w:color="auto"/>
          </w:divBdr>
          <w:divsChild>
            <w:div w:id="1622566262">
              <w:marLeft w:val="0"/>
              <w:marRight w:val="0"/>
              <w:marTop w:val="0"/>
              <w:marBottom w:val="0"/>
              <w:divBdr>
                <w:top w:val="none" w:sz="0" w:space="0" w:color="auto"/>
                <w:left w:val="none" w:sz="0" w:space="0" w:color="auto"/>
                <w:bottom w:val="none" w:sz="0" w:space="0" w:color="auto"/>
                <w:right w:val="none" w:sz="0" w:space="0" w:color="auto"/>
              </w:divBdr>
              <w:divsChild>
                <w:div w:id="14260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7734">
      <w:bodyDiv w:val="1"/>
      <w:marLeft w:val="0"/>
      <w:marRight w:val="0"/>
      <w:marTop w:val="0"/>
      <w:marBottom w:val="0"/>
      <w:divBdr>
        <w:top w:val="none" w:sz="0" w:space="0" w:color="auto"/>
        <w:left w:val="none" w:sz="0" w:space="0" w:color="auto"/>
        <w:bottom w:val="none" w:sz="0" w:space="0" w:color="auto"/>
        <w:right w:val="none" w:sz="0" w:space="0" w:color="auto"/>
      </w:divBdr>
      <w:divsChild>
        <w:div w:id="275605878">
          <w:marLeft w:val="0"/>
          <w:marRight w:val="0"/>
          <w:marTop w:val="0"/>
          <w:marBottom w:val="0"/>
          <w:divBdr>
            <w:top w:val="none" w:sz="0" w:space="0" w:color="auto"/>
            <w:left w:val="none" w:sz="0" w:space="0" w:color="auto"/>
            <w:bottom w:val="none" w:sz="0" w:space="0" w:color="auto"/>
            <w:right w:val="none" w:sz="0" w:space="0" w:color="auto"/>
          </w:divBdr>
          <w:divsChild>
            <w:div w:id="48191494">
              <w:marLeft w:val="0"/>
              <w:marRight w:val="0"/>
              <w:marTop w:val="0"/>
              <w:marBottom w:val="0"/>
              <w:divBdr>
                <w:top w:val="none" w:sz="0" w:space="0" w:color="auto"/>
                <w:left w:val="none" w:sz="0" w:space="0" w:color="auto"/>
                <w:bottom w:val="none" w:sz="0" w:space="0" w:color="auto"/>
                <w:right w:val="none" w:sz="0" w:space="0" w:color="auto"/>
              </w:divBdr>
              <w:divsChild>
                <w:div w:id="11793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4056">
      <w:bodyDiv w:val="1"/>
      <w:marLeft w:val="0"/>
      <w:marRight w:val="0"/>
      <w:marTop w:val="0"/>
      <w:marBottom w:val="0"/>
      <w:divBdr>
        <w:top w:val="none" w:sz="0" w:space="0" w:color="auto"/>
        <w:left w:val="none" w:sz="0" w:space="0" w:color="auto"/>
        <w:bottom w:val="none" w:sz="0" w:space="0" w:color="auto"/>
        <w:right w:val="none" w:sz="0" w:space="0" w:color="auto"/>
      </w:divBdr>
      <w:divsChild>
        <w:div w:id="521742822">
          <w:marLeft w:val="0"/>
          <w:marRight w:val="0"/>
          <w:marTop w:val="0"/>
          <w:marBottom w:val="0"/>
          <w:divBdr>
            <w:top w:val="none" w:sz="0" w:space="0" w:color="auto"/>
            <w:left w:val="none" w:sz="0" w:space="0" w:color="auto"/>
            <w:bottom w:val="none" w:sz="0" w:space="0" w:color="auto"/>
            <w:right w:val="none" w:sz="0" w:space="0" w:color="auto"/>
          </w:divBdr>
          <w:divsChild>
            <w:div w:id="1693410482">
              <w:marLeft w:val="0"/>
              <w:marRight w:val="0"/>
              <w:marTop w:val="0"/>
              <w:marBottom w:val="0"/>
              <w:divBdr>
                <w:top w:val="none" w:sz="0" w:space="0" w:color="auto"/>
                <w:left w:val="none" w:sz="0" w:space="0" w:color="auto"/>
                <w:bottom w:val="none" w:sz="0" w:space="0" w:color="auto"/>
                <w:right w:val="none" w:sz="0" w:space="0" w:color="auto"/>
              </w:divBdr>
              <w:divsChild>
                <w:div w:id="354893164">
                  <w:marLeft w:val="0"/>
                  <w:marRight w:val="0"/>
                  <w:marTop w:val="0"/>
                  <w:marBottom w:val="0"/>
                  <w:divBdr>
                    <w:top w:val="none" w:sz="0" w:space="0" w:color="auto"/>
                    <w:left w:val="none" w:sz="0" w:space="0" w:color="auto"/>
                    <w:bottom w:val="none" w:sz="0" w:space="0" w:color="auto"/>
                    <w:right w:val="none" w:sz="0" w:space="0" w:color="auto"/>
                  </w:divBdr>
                </w:div>
              </w:divsChild>
            </w:div>
            <w:div w:id="904296477">
              <w:marLeft w:val="0"/>
              <w:marRight w:val="0"/>
              <w:marTop w:val="0"/>
              <w:marBottom w:val="0"/>
              <w:divBdr>
                <w:top w:val="none" w:sz="0" w:space="0" w:color="auto"/>
                <w:left w:val="none" w:sz="0" w:space="0" w:color="auto"/>
                <w:bottom w:val="none" w:sz="0" w:space="0" w:color="auto"/>
                <w:right w:val="none" w:sz="0" w:space="0" w:color="auto"/>
              </w:divBdr>
              <w:divsChild>
                <w:div w:id="714698626">
                  <w:marLeft w:val="0"/>
                  <w:marRight w:val="0"/>
                  <w:marTop w:val="0"/>
                  <w:marBottom w:val="0"/>
                  <w:divBdr>
                    <w:top w:val="none" w:sz="0" w:space="0" w:color="auto"/>
                    <w:left w:val="none" w:sz="0" w:space="0" w:color="auto"/>
                    <w:bottom w:val="none" w:sz="0" w:space="0" w:color="auto"/>
                    <w:right w:val="none" w:sz="0" w:space="0" w:color="auto"/>
                  </w:divBdr>
                </w:div>
                <w:div w:id="124977870">
                  <w:marLeft w:val="0"/>
                  <w:marRight w:val="0"/>
                  <w:marTop w:val="0"/>
                  <w:marBottom w:val="0"/>
                  <w:divBdr>
                    <w:top w:val="none" w:sz="0" w:space="0" w:color="auto"/>
                    <w:left w:val="none" w:sz="0" w:space="0" w:color="auto"/>
                    <w:bottom w:val="none" w:sz="0" w:space="0" w:color="auto"/>
                    <w:right w:val="none" w:sz="0" w:space="0" w:color="auto"/>
                  </w:divBdr>
                </w:div>
                <w:div w:id="334458278">
                  <w:marLeft w:val="0"/>
                  <w:marRight w:val="0"/>
                  <w:marTop w:val="0"/>
                  <w:marBottom w:val="0"/>
                  <w:divBdr>
                    <w:top w:val="none" w:sz="0" w:space="0" w:color="auto"/>
                    <w:left w:val="none" w:sz="0" w:space="0" w:color="auto"/>
                    <w:bottom w:val="none" w:sz="0" w:space="0" w:color="auto"/>
                    <w:right w:val="none" w:sz="0" w:space="0" w:color="auto"/>
                  </w:divBdr>
                </w:div>
                <w:div w:id="454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DABC-FE14-4EC7-B94A-555DF54A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41348</Words>
  <Characters>235687</Characters>
  <Application>Microsoft Office Word</Application>
  <DocSecurity>0</DocSecurity>
  <Lines>1964</Lines>
  <Paragraphs>552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Vanheer</dc:creator>
  <cp:keywords/>
  <dc:description/>
  <cp:lastModifiedBy>Leen Vanheer</cp:lastModifiedBy>
  <cp:revision>2</cp:revision>
  <dcterms:created xsi:type="dcterms:W3CDTF">2024-01-15T11:19:00Z</dcterms:created>
  <dcterms:modified xsi:type="dcterms:W3CDTF">2024-01-15T11:19:00Z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id="CFWcq7VU"/&gt;&lt;style id="http://www.zotero.org/styles/ieee" locale="en-GB"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