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1563" w14:textId="79F643F6" w:rsidR="00A97DEE" w:rsidRPr="00F709AA" w:rsidRDefault="00A97DEE" w:rsidP="004C5709">
      <w:r>
        <w:rPr>
          <w:b/>
          <w:u w:val="single"/>
        </w:rPr>
        <w:t>Supplement</w:t>
      </w:r>
      <w:r w:rsidR="00CB47E1">
        <w:rPr>
          <w:b/>
          <w:u w:val="single"/>
        </w:rPr>
        <w:t>ary Material</w:t>
      </w:r>
      <w:r>
        <w:rPr>
          <w:b/>
          <w:u w:val="single"/>
        </w:rPr>
        <w:t xml:space="preserve"> </w:t>
      </w:r>
    </w:p>
    <w:p w14:paraId="220AFC24" w14:textId="374E32DF" w:rsidR="004C5709" w:rsidRPr="006D38C8" w:rsidRDefault="004C5709" w:rsidP="004C5709">
      <w:pPr>
        <w:rPr>
          <w:lang w:val="en-US"/>
        </w:rPr>
      </w:pPr>
      <w:r>
        <w:rPr>
          <w:b/>
          <w:lang w:val="en-US"/>
        </w:rPr>
        <w:t>Table S1</w:t>
      </w:r>
      <w:r>
        <w:rPr>
          <w:lang w:val="en-US"/>
        </w:rPr>
        <w:t xml:space="preserve">: Median length of stay of </w:t>
      </w:r>
      <w:r w:rsidR="00BB5991">
        <w:rPr>
          <w:lang w:val="en-US"/>
        </w:rPr>
        <w:t>RSV-related hospitalization</w:t>
      </w:r>
      <w:r>
        <w:rPr>
          <w:lang w:val="en-US"/>
        </w:rPr>
        <w:t xml:space="preserve"> by age, stratified by diagnosis.</w:t>
      </w:r>
    </w:p>
    <w:tbl>
      <w:tblPr>
        <w:tblStyle w:val="TableGrid"/>
        <w:tblW w:w="8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6"/>
        <w:gridCol w:w="1552"/>
        <w:gridCol w:w="1519"/>
        <w:gridCol w:w="1540"/>
        <w:gridCol w:w="1701"/>
      </w:tblGrid>
      <w:tr w:rsidR="004C5709" w14:paraId="3834530F" w14:textId="77777777" w:rsidTr="003461C2">
        <w:trPr>
          <w:trHeight w:val="256"/>
        </w:trPr>
        <w:tc>
          <w:tcPr>
            <w:tcW w:w="2276" w:type="dxa"/>
            <w:vMerge w:val="restart"/>
          </w:tcPr>
          <w:p w14:paraId="1A77BC75" w14:textId="4030BDFA" w:rsidR="004C5709" w:rsidRPr="002D1428" w:rsidRDefault="004C5709" w:rsidP="003461C2">
            <w:pPr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Age</w:t>
            </w:r>
          </w:p>
        </w:tc>
        <w:tc>
          <w:tcPr>
            <w:tcW w:w="3071" w:type="dxa"/>
            <w:gridSpan w:val="2"/>
          </w:tcPr>
          <w:p w14:paraId="7E85A400" w14:textId="77777777" w:rsidR="004C5709" w:rsidRPr="002D1428" w:rsidRDefault="004C5709" w:rsidP="003461C2">
            <w:pPr>
              <w:jc w:val="center"/>
              <w:rPr>
                <w:b/>
                <w:color w:val="FF0000"/>
                <w:lang w:val="en-US"/>
              </w:rPr>
            </w:pPr>
            <w:r w:rsidRPr="002D1428">
              <w:rPr>
                <w:b/>
                <w:lang w:val="en-US"/>
              </w:rPr>
              <w:t>All diagnosis of RSV</w:t>
            </w:r>
          </w:p>
        </w:tc>
        <w:tc>
          <w:tcPr>
            <w:tcW w:w="3241" w:type="dxa"/>
            <w:gridSpan w:val="2"/>
          </w:tcPr>
          <w:p w14:paraId="67F1897C" w14:textId="77777777" w:rsidR="004C5709" w:rsidRPr="002D1428" w:rsidRDefault="004C5709" w:rsidP="003461C2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 xml:space="preserve">Most </w:t>
            </w:r>
            <w:r w:rsidRPr="002D1428">
              <w:rPr>
                <w:b/>
                <w:lang w:val="en-US"/>
              </w:rPr>
              <w:t>responsible diagnosis of RSV</w:t>
            </w:r>
          </w:p>
        </w:tc>
      </w:tr>
      <w:tr w:rsidR="004C5709" w14:paraId="6DBEA99C" w14:textId="77777777" w:rsidTr="003461C2">
        <w:trPr>
          <w:trHeight w:val="256"/>
        </w:trPr>
        <w:tc>
          <w:tcPr>
            <w:tcW w:w="2276" w:type="dxa"/>
            <w:vMerge/>
          </w:tcPr>
          <w:p w14:paraId="4A632756" w14:textId="77777777" w:rsidR="004C5709" w:rsidRPr="002D1428" w:rsidRDefault="004C5709" w:rsidP="003461C2">
            <w:pPr>
              <w:rPr>
                <w:b/>
                <w:lang w:val="en-US"/>
              </w:rPr>
            </w:pPr>
          </w:p>
        </w:tc>
        <w:tc>
          <w:tcPr>
            <w:tcW w:w="1552" w:type="dxa"/>
          </w:tcPr>
          <w:p w14:paraId="58E8F39E" w14:textId="49BEA469" w:rsidR="004C5709" w:rsidRPr="002D1428" w:rsidRDefault="004C5709" w:rsidP="003461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Median length of stay </w:t>
            </w:r>
            <w:r w:rsidRPr="002D1428">
              <w:rPr>
                <w:b/>
                <w:lang w:val="en-US"/>
              </w:rPr>
              <w:t>(days</w:t>
            </w:r>
            <w:r w:rsidR="00072121">
              <w:rPr>
                <w:b/>
                <w:lang w:val="en-US"/>
              </w:rPr>
              <w:t>, IQR</w:t>
            </w:r>
            <w:r w:rsidRPr="002D1428">
              <w:rPr>
                <w:b/>
                <w:lang w:val="en-US"/>
              </w:rPr>
              <w:t>)</w:t>
            </w:r>
          </w:p>
        </w:tc>
        <w:tc>
          <w:tcPr>
            <w:tcW w:w="1519" w:type="dxa"/>
          </w:tcPr>
          <w:p w14:paraId="7BD6EB62" w14:textId="5239B142" w:rsidR="004C5709" w:rsidRPr="002D1428" w:rsidRDefault="004C5709" w:rsidP="003461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Median length of stay in ICU </w:t>
            </w:r>
            <w:r w:rsidRPr="002D1428">
              <w:rPr>
                <w:b/>
                <w:lang w:val="en-US"/>
              </w:rPr>
              <w:t>(days</w:t>
            </w:r>
            <w:r w:rsidR="00F004CB">
              <w:rPr>
                <w:b/>
                <w:lang w:val="en-US"/>
              </w:rPr>
              <w:t>, IQR</w:t>
            </w:r>
            <w:r w:rsidRPr="002D1428">
              <w:rPr>
                <w:b/>
                <w:lang w:val="en-US"/>
              </w:rPr>
              <w:t>)</w:t>
            </w:r>
          </w:p>
        </w:tc>
        <w:tc>
          <w:tcPr>
            <w:tcW w:w="1540" w:type="dxa"/>
          </w:tcPr>
          <w:p w14:paraId="7F10F985" w14:textId="29611DBB" w:rsidR="004C5709" w:rsidRPr="002D1428" w:rsidRDefault="004C5709" w:rsidP="003461C2">
            <w:pPr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Median length of stay</w:t>
            </w:r>
            <w:r>
              <w:rPr>
                <w:b/>
                <w:lang w:val="en-US"/>
              </w:rPr>
              <w:t xml:space="preserve"> </w:t>
            </w:r>
            <w:r w:rsidRPr="002D1428">
              <w:rPr>
                <w:b/>
                <w:lang w:val="en-US"/>
              </w:rPr>
              <w:t>(days</w:t>
            </w:r>
            <w:r w:rsidR="00F004CB">
              <w:rPr>
                <w:b/>
                <w:lang w:val="en-US"/>
              </w:rPr>
              <w:t>, IQR</w:t>
            </w:r>
            <w:r w:rsidRPr="002D1428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14:paraId="49416B50" w14:textId="043C93C0" w:rsidR="004C5709" w:rsidRPr="002D1428" w:rsidRDefault="004C5709" w:rsidP="003461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Median length of stay in ICU </w:t>
            </w:r>
            <w:r w:rsidRPr="002D1428">
              <w:rPr>
                <w:b/>
                <w:lang w:val="en-US"/>
              </w:rPr>
              <w:t>(days</w:t>
            </w:r>
            <w:r w:rsidR="00655113">
              <w:rPr>
                <w:b/>
                <w:lang w:val="en-US"/>
              </w:rPr>
              <w:t>, IQR</w:t>
            </w:r>
            <w:r w:rsidRPr="002D1428">
              <w:rPr>
                <w:b/>
                <w:lang w:val="en-US"/>
              </w:rPr>
              <w:t>)</w:t>
            </w:r>
          </w:p>
        </w:tc>
      </w:tr>
      <w:tr w:rsidR="00C62841" w14:paraId="20381137" w14:textId="77777777" w:rsidTr="003461C2">
        <w:trPr>
          <w:trHeight w:val="256"/>
        </w:trPr>
        <w:tc>
          <w:tcPr>
            <w:tcW w:w="2276" w:type="dxa"/>
          </w:tcPr>
          <w:p w14:paraId="467DC5CD" w14:textId="47A55D95" w:rsidR="00C62841" w:rsidRDefault="00C62841" w:rsidP="00C62841">
            <w:pPr>
              <w:rPr>
                <w:lang w:val="en-US"/>
              </w:rPr>
            </w:pPr>
            <w:r w:rsidRPr="002D1428">
              <w:rPr>
                <w:lang w:val="en-US"/>
              </w:rPr>
              <w:t>&lt;1</w:t>
            </w:r>
            <w:r>
              <w:rPr>
                <w:lang w:val="en-US"/>
              </w:rPr>
              <w:t>2 months</w:t>
            </w:r>
          </w:p>
        </w:tc>
        <w:tc>
          <w:tcPr>
            <w:tcW w:w="1552" w:type="dxa"/>
            <w:vAlign w:val="bottom"/>
          </w:tcPr>
          <w:p w14:paraId="621A1453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(2.0-5.0)</w:t>
            </w:r>
          </w:p>
        </w:tc>
        <w:tc>
          <w:tcPr>
            <w:tcW w:w="1519" w:type="dxa"/>
            <w:vAlign w:val="bottom"/>
          </w:tcPr>
          <w:p w14:paraId="1D8A9F9A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 (2.0-6.0)</w:t>
            </w:r>
          </w:p>
        </w:tc>
        <w:tc>
          <w:tcPr>
            <w:tcW w:w="1540" w:type="dxa"/>
            <w:vAlign w:val="bottom"/>
          </w:tcPr>
          <w:p w14:paraId="6A199C8D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(2.0-4.0)</w:t>
            </w:r>
          </w:p>
        </w:tc>
        <w:tc>
          <w:tcPr>
            <w:tcW w:w="1701" w:type="dxa"/>
            <w:vAlign w:val="bottom"/>
          </w:tcPr>
          <w:p w14:paraId="7397C39B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(2.0-5.0)</w:t>
            </w:r>
          </w:p>
        </w:tc>
      </w:tr>
      <w:tr w:rsidR="00C62841" w14:paraId="26EFDA38" w14:textId="77777777" w:rsidTr="003461C2">
        <w:trPr>
          <w:trHeight w:val="256"/>
        </w:trPr>
        <w:tc>
          <w:tcPr>
            <w:tcW w:w="2276" w:type="dxa"/>
          </w:tcPr>
          <w:p w14:paraId="21F920DB" w14:textId="6879E186" w:rsidR="00C62841" w:rsidRPr="006E3507" w:rsidRDefault="00C62841" w:rsidP="00C62841">
            <w:pPr>
              <w:rPr>
                <w:lang w:val="en-US"/>
              </w:rPr>
            </w:pPr>
            <w:r w:rsidRPr="00A43FBD">
              <w:rPr>
                <w:lang w:val="en-US"/>
              </w:rPr>
              <w:t>1</w:t>
            </w:r>
            <w:r>
              <w:rPr>
                <w:lang w:val="en-US"/>
              </w:rPr>
              <w:t>2-23 months</w:t>
            </w:r>
          </w:p>
        </w:tc>
        <w:tc>
          <w:tcPr>
            <w:tcW w:w="1552" w:type="dxa"/>
            <w:vAlign w:val="bottom"/>
          </w:tcPr>
          <w:p w14:paraId="6D6E3C09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 (2.0-4.0)</w:t>
            </w:r>
          </w:p>
        </w:tc>
        <w:tc>
          <w:tcPr>
            <w:tcW w:w="1519" w:type="dxa"/>
            <w:vAlign w:val="bottom"/>
          </w:tcPr>
          <w:p w14:paraId="3902143D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(2.0-5.0)</w:t>
            </w:r>
          </w:p>
        </w:tc>
        <w:tc>
          <w:tcPr>
            <w:tcW w:w="1540" w:type="dxa"/>
            <w:vAlign w:val="bottom"/>
          </w:tcPr>
          <w:p w14:paraId="1FCF4273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 (2.0-4.0)</w:t>
            </w:r>
          </w:p>
        </w:tc>
        <w:tc>
          <w:tcPr>
            <w:tcW w:w="1701" w:type="dxa"/>
            <w:vAlign w:val="bottom"/>
          </w:tcPr>
          <w:p w14:paraId="6D350AE5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(2.0-5.0)</w:t>
            </w:r>
          </w:p>
        </w:tc>
      </w:tr>
      <w:tr w:rsidR="00C62841" w14:paraId="1BA6F796" w14:textId="77777777" w:rsidTr="003461C2">
        <w:trPr>
          <w:trHeight w:val="256"/>
        </w:trPr>
        <w:tc>
          <w:tcPr>
            <w:tcW w:w="2276" w:type="dxa"/>
          </w:tcPr>
          <w:p w14:paraId="5A9366E4" w14:textId="3DB80247" w:rsidR="00C62841" w:rsidRPr="006E3507" w:rsidRDefault="00C62841" w:rsidP="00C62841">
            <w:pPr>
              <w:rPr>
                <w:lang w:val="en-US"/>
              </w:rPr>
            </w:pPr>
            <w:r w:rsidRPr="00A43FBD">
              <w:rPr>
                <w:lang w:val="en-US"/>
              </w:rPr>
              <w:t>2-4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63DF1CC8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(2.0-4.0)</w:t>
            </w:r>
          </w:p>
        </w:tc>
        <w:tc>
          <w:tcPr>
            <w:tcW w:w="1519" w:type="dxa"/>
            <w:vAlign w:val="bottom"/>
          </w:tcPr>
          <w:p w14:paraId="01600A57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(2.0-6.0)</w:t>
            </w:r>
          </w:p>
        </w:tc>
        <w:tc>
          <w:tcPr>
            <w:tcW w:w="1540" w:type="dxa"/>
            <w:vAlign w:val="bottom"/>
          </w:tcPr>
          <w:p w14:paraId="5C794B60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(2.0-4.0)</w:t>
            </w:r>
          </w:p>
        </w:tc>
        <w:tc>
          <w:tcPr>
            <w:tcW w:w="1701" w:type="dxa"/>
            <w:vAlign w:val="bottom"/>
          </w:tcPr>
          <w:p w14:paraId="344D7C51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(2.0-6.0)</w:t>
            </w:r>
          </w:p>
        </w:tc>
      </w:tr>
      <w:tr w:rsidR="00C62841" w14:paraId="116FC588" w14:textId="77777777" w:rsidTr="003461C2">
        <w:trPr>
          <w:trHeight w:val="256"/>
        </w:trPr>
        <w:tc>
          <w:tcPr>
            <w:tcW w:w="2276" w:type="dxa"/>
          </w:tcPr>
          <w:p w14:paraId="6F74E5E5" w14:textId="3CFE0A36" w:rsidR="00C62841" w:rsidRDefault="00C62841" w:rsidP="00C62841">
            <w:pPr>
              <w:rPr>
                <w:lang w:val="en-US"/>
              </w:rPr>
            </w:pPr>
            <w:r w:rsidRPr="002D1428">
              <w:rPr>
                <w:lang w:val="en-US"/>
              </w:rPr>
              <w:t>5-17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72A46911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 (2.0-7.0)</w:t>
            </w:r>
          </w:p>
        </w:tc>
        <w:tc>
          <w:tcPr>
            <w:tcW w:w="1519" w:type="dxa"/>
            <w:vAlign w:val="bottom"/>
          </w:tcPr>
          <w:p w14:paraId="285F9A27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(1.0-8.0)</w:t>
            </w:r>
          </w:p>
        </w:tc>
        <w:tc>
          <w:tcPr>
            <w:tcW w:w="1540" w:type="dxa"/>
            <w:vAlign w:val="bottom"/>
          </w:tcPr>
          <w:p w14:paraId="76A99013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(2.0-6.0)</w:t>
            </w:r>
          </w:p>
        </w:tc>
        <w:tc>
          <w:tcPr>
            <w:tcW w:w="1701" w:type="dxa"/>
            <w:vAlign w:val="bottom"/>
          </w:tcPr>
          <w:p w14:paraId="620914CC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 (2.0-9.0)</w:t>
            </w:r>
          </w:p>
        </w:tc>
      </w:tr>
      <w:tr w:rsidR="00C62841" w14:paraId="2347D377" w14:textId="77777777" w:rsidTr="003461C2">
        <w:trPr>
          <w:trHeight w:val="256"/>
        </w:trPr>
        <w:tc>
          <w:tcPr>
            <w:tcW w:w="2276" w:type="dxa"/>
          </w:tcPr>
          <w:p w14:paraId="07F9A9B5" w14:textId="75CD705C" w:rsidR="00C62841" w:rsidRDefault="00C62841" w:rsidP="00C62841">
            <w:pPr>
              <w:rPr>
                <w:lang w:val="en-US"/>
              </w:rPr>
            </w:pPr>
            <w:r w:rsidRPr="002D1428">
              <w:rPr>
                <w:lang w:val="en-US"/>
              </w:rPr>
              <w:t>18-49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0FF03A2E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 (3.0-12.0)</w:t>
            </w:r>
          </w:p>
        </w:tc>
        <w:tc>
          <w:tcPr>
            <w:tcW w:w="1519" w:type="dxa"/>
            <w:vAlign w:val="bottom"/>
          </w:tcPr>
          <w:p w14:paraId="0DF4BDBF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 (2.0-9.0)</w:t>
            </w:r>
          </w:p>
        </w:tc>
        <w:tc>
          <w:tcPr>
            <w:tcW w:w="1540" w:type="dxa"/>
            <w:vAlign w:val="bottom"/>
          </w:tcPr>
          <w:p w14:paraId="0120035C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 (3.0-9.0)</w:t>
            </w:r>
          </w:p>
        </w:tc>
        <w:tc>
          <w:tcPr>
            <w:tcW w:w="1701" w:type="dxa"/>
            <w:vAlign w:val="bottom"/>
          </w:tcPr>
          <w:p w14:paraId="442D9206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 (2.0-9.0)</w:t>
            </w:r>
          </w:p>
        </w:tc>
      </w:tr>
      <w:tr w:rsidR="00C62841" w14:paraId="3BE762E2" w14:textId="77777777" w:rsidTr="003461C2">
        <w:trPr>
          <w:trHeight w:val="256"/>
        </w:trPr>
        <w:tc>
          <w:tcPr>
            <w:tcW w:w="2276" w:type="dxa"/>
          </w:tcPr>
          <w:p w14:paraId="15882EA9" w14:textId="27D53F52" w:rsidR="00C62841" w:rsidRDefault="00C62841" w:rsidP="00C62841">
            <w:pPr>
              <w:rPr>
                <w:lang w:val="en-US"/>
              </w:rPr>
            </w:pPr>
            <w:r w:rsidRPr="002D1428">
              <w:rPr>
                <w:lang w:val="en-US"/>
              </w:rPr>
              <w:t>50-64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2472C63D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 (3.0-13.0)</w:t>
            </w:r>
          </w:p>
        </w:tc>
        <w:tc>
          <w:tcPr>
            <w:tcW w:w="1519" w:type="dxa"/>
            <w:vAlign w:val="bottom"/>
          </w:tcPr>
          <w:p w14:paraId="622BD884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 (3.0-10.0)</w:t>
            </w:r>
          </w:p>
        </w:tc>
        <w:tc>
          <w:tcPr>
            <w:tcW w:w="1540" w:type="dxa"/>
            <w:vAlign w:val="bottom"/>
          </w:tcPr>
          <w:p w14:paraId="471E2F4C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 (2.0-8.0)</w:t>
            </w:r>
          </w:p>
        </w:tc>
        <w:tc>
          <w:tcPr>
            <w:tcW w:w="1701" w:type="dxa"/>
            <w:vAlign w:val="bottom"/>
          </w:tcPr>
          <w:p w14:paraId="6C094D4D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 (1.0-7.0)</w:t>
            </w:r>
          </w:p>
        </w:tc>
      </w:tr>
      <w:tr w:rsidR="00C62841" w14:paraId="6A74E511" w14:textId="77777777" w:rsidTr="003461C2">
        <w:trPr>
          <w:trHeight w:val="256"/>
        </w:trPr>
        <w:tc>
          <w:tcPr>
            <w:tcW w:w="2276" w:type="dxa"/>
          </w:tcPr>
          <w:p w14:paraId="36C93EC3" w14:textId="786882B6" w:rsidR="00C62841" w:rsidRDefault="0037294E" w:rsidP="00C6284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65 years</w:t>
            </w:r>
          </w:p>
        </w:tc>
        <w:tc>
          <w:tcPr>
            <w:tcW w:w="1552" w:type="dxa"/>
            <w:vAlign w:val="bottom"/>
          </w:tcPr>
          <w:p w14:paraId="61797D54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7.0 (4.0-13.0)</w:t>
            </w:r>
          </w:p>
        </w:tc>
        <w:tc>
          <w:tcPr>
            <w:tcW w:w="1519" w:type="dxa"/>
            <w:vAlign w:val="bottom"/>
          </w:tcPr>
          <w:p w14:paraId="0CC9EC17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4.0 (2.0-7.0)</w:t>
            </w:r>
          </w:p>
        </w:tc>
        <w:tc>
          <w:tcPr>
            <w:tcW w:w="1540" w:type="dxa"/>
            <w:vAlign w:val="bottom"/>
          </w:tcPr>
          <w:p w14:paraId="3972E966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6.0 (3.0-10.0)</w:t>
            </w:r>
          </w:p>
        </w:tc>
        <w:tc>
          <w:tcPr>
            <w:tcW w:w="1701" w:type="dxa"/>
            <w:vAlign w:val="bottom"/>
          </w:tcPr>
          <w:p w14:paraId="0870CCFE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4.0 (2.0-7.0)</w:t>
            </w:r>
          </w:p>
        </w:tc>
      </w:tr>
      <w:tr w:rsidR="00C62841" w14:paraId="56D096DA" w14:textId="77777777" w:rsidTr="003461C2">
        <w:trPr>
          <w:trHeight w:val="256"/>
        </w:trPr>
        <w:tc>
          <w:tcPr>
            <w:tcW w:w="2276" w:type="dxa"/>
          </w:tcPr>
          <w:p w14:paraId="2184B13E" w14:textId="53760860" w:rsidR="00C62841" w:rsidRDefault="00C62841" w:rsidP="00C62841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65-74 years</w:t>
            </w:r>
          </w:p>
        </w:tc>
        <w:tc>
          <w:tcPr>
            <w:tcW w:w="1552" w:type="dxa"/>
            <w:vAlign w:val="bottom"/>
          </w:tcPr>
          <w:p w14:paraId="7A9058DC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6.0 (4.0-13.0)</w:t>
            </w:r>
          </w:p>
        </w:tc>
        <w:tc>
          <w:tcPr>
            <w:tcW w:w="1519" w:type="dxa"/>
            <w:vAlign w:val="bottom"/>
          </w:tcPr>
          <w:p w14:paraId="0EADD8C0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5.0 (2.0-8.0)</w:t>
            </w:r>
          </w:p>
        </w:tc>
        <w:tc>
          <w:tcPr>
            <w:tcW w:w="1540" w:type="dxa"/>
            <w:vAlign w:val="bottom"/>
          </w:tcPr>
          <w:p w14:paraId="3E60F5B9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6.0 (3.0-9.0)</w:t>
            </w:r>
          </w:p>
        </w:tc>
        <w:tc>
          <w:tcPr>
            <w:tcW w:w="1701" w:type="dxa"/>
            <w:vAlign w:val="bottom"/>
          </w:tcPr>
          <w:p w14:paraId="28BF87FC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4.0 (2.0-7.0)</w:t>
            </w:r>
          </w:p>
        </w:tc>
      </w:tr>
      <w:tr w:rsidR="00C62841" w14:paraId="0D7E25B8" w14:textId="77777777" w:rsidTr="003461C2">
        <w:trPr>
          <w:trHeight w:val="256"/>
        </w:trPr>
        <w:tc>
          <w:tcPr>
            <w:tcW w:w="2276" w:type="dxa"/>
          </w:tcPr>
          <w:p w14:paraId="1B380DE7" w14:textId="23E242A3" w:rsidR="00C62841" w:rsidRDefault="00C62841" w:rsidP="00C62841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75-84 years</w:t>
            </w:r>
          </w:p>
        </w:tc>
        <w:tc>
          <w:tcPr>
            <w:tcW w:w="1552" w:type="dxa"/>
            <w:vAlign w:val="bottom"/>
          </w:tcPr>
          <w:p w14:paraId="507A0F30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7.0 (4.0-12.0)</w:t>
            </w:r>
          </w:p>
        </w:tc>
        <w:tc>
          <w:tcPr>
            <w:tcW w:w="1519" w:type="dxa"/>
            <w:vAlign w:val="bottom"/>
          </w:tcPr>
          <w:p w14:paraId="75A58E15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4.0 (2.0-7.0)</w:t>
            </w:r>
          </w:p>
        </w:tc>
        <w:tc>
          <w:tcPr>
            <w:tcW w:w="1540" w:type="dxa"/>
            <w:vAlign w:val="bottom"/>
          </w:tcPr>
          <w:p w14:paraId="6B48C02D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6.0 (3.0-10.0)</w:t>
            </w:r>
          </w:p>
        </w:tc>
        <w:tc>
          <w:tcPr>
            <w:tcW w:w="1701" w:type="dxa"/>
            <w:vAlign w:val="bottom"/>
          </w:tcPr>
          <w:p w14:paraId="610164A0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4.0 (2.0-7.0)</w:t>
            </w:r>
          </w:p>
        </w:tc>
      </w:tr>
      <w:tr w:rsidR="00C62841" w14:paraId="28821ABC" w14:textId="77777777" w:rsidTr="003461C2">
        <w:trPr>
          <w:trHeight w:val="256"/>
        </w:trPr>
        <w:tc>
          <w:tcPr>
            <w:tcW w:w="2276" w:type="dxa"/>
          </w:tcPr>
          <w:p w14:paraId="3B79C448" w14:textId="5C6B8976" w:rsidR="00C62841" w:rsidRDefault="0037294E" w:rsidP="0037294E">
            <w:pPr>
              <w:ind w:left="72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85 years</w:t>
            </w:r>
          </w:p>
        </w:tc>
        <w:tc>
          <w:tcPr>
            <w:tcW w:w="1552" w:type="dxa"/>
            <w:vAlign w:val="bottom"/>
          </w:tcPr>
          <w:p w14:paraId="496BE016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7.0 (4.0-13.0)</w:t>
            </w:r>
          </w:p>
        </w:tc>
        <w:tc>
          <w:tcPr>
            <w:tcW w:w="1519" w:type="dxa"/>
            <w:vAlign w:val="bottom"/>
          </w:tcPr>
          <w:p w14:paraId="4A809557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4.0 (2.0-7.0)</w:t>
            </w:r>
          </w:p>
        </w:tc>
        <w:tc>
          <w:tcPr>
            <w:tcW w:w="1540" w:type="dxa"/>
            <w:vAlign w:val="bottom"/>
          </w:tcPr>
          <w:p w14:paraId="41EE1348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6.0 (4.0-11.0)</w:t>
            </w:r>
          </w:p>
        </w:tc>
        <w:tc>
          <w:tcPr>
            <w:tcW w:w="1701" w:type="dxa"/>
            <w:vAlign w:val="bottom"/>
          </w:tcPr>
          <w:p w14:paraId="6566817A" w14:textId="77777777" w:rsidR="00C62841" w:rsidRPr="00911B3B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911B3B">
              <w:rPr>
                <w:rFonts w:ascii="Calibri" w:hAnsi="Calibri" w:cs="Calibri"/>
              </w:rPr>
              <w:t>3.0 (2.0-6.0)</w:t>
            </w:r>
          </w:p>
        </w:tc>
      </w:tr>
    </w:tbl>
    <w:p w14:paraId="224869FA" w14:textId="77777777" w:rsidR="004C5709" w:rsidRDefault="004C5709" w:rsidP="004C5709"/>
    <w:p w14:paraId="2F95FF88" w14:textId="77777777" w:rsidR="004C5709" w:rsidRDefault="004C5709" w:rsidP="004C5709"/>
    <w:p w14:paraId="3C7210E9" w14:textId="77777777" w:rsidR="004C5709" w:rsidRDefault="004C5709" w:rsidP="004C5709"/>
    <w:p w14:paraId="2B160B92" w14:textId="77777777" w:rsidR="004C5709" w:rsidRDefault="004C5709" w:rsidP="004C5709"/>
    <w:p w14:paraId="69A86E84" w14:textId="77777777" w:rsidR="004C5709" w:rsidRDefault="004C5709" w:rsidP="004C5709"/>
    <w:p w14:paraId="33D51991" w14:textId="77777777" w:rsidR="004C5709" w:rsidRDefault="004C5709" w:rsidP="004C5709"/>
    <w:p w14:paraId="442C0D1C" w14:textId="77777777" w:rsidR="004C5709" w:rsidRDefault="004C5709" w:rsidP="004C5709"/>
    <w:p w14:paraId="37529478" w14:textId="77777777" w:rsidR="004C5709" w:rsidRDefault="004C5709" w:rsidP="004C5709"/>
    <w:p w14:paraId="5B8A8EAF" w14:textId="77777777" w:rsidR="004C5709" w:rsidRDefault="004C5709" w:rsidP="004C5709"/>
    <w:p w14:paraId="65E1E996" w14:textId="77777777" w:rsidR="004C5709" w:rsidRDefault="004C5709" w:rsidP="004C5709"/>
    <w:p w14:paraId="56726507" w14:textId="77777777" w:rsidR="004C5709" w:rsidRDefault="004C5709" w:rsidP="004C5709"/>
    <w:p w14:paraId="3257721D" w14:textId="77777777" w:rsidR="004C5709" w:rsidRDefault="004C5709" w:rsidP="004C5709"/>
    <w:p w14:paraId="216AE29E" w14:textId="77777777" w:rsidR="004C5709" w:rsidRDefault="004C5709" w:rsidP="004C5709"/>
    <w:p w14:paraId="257B463C" w14:textId="77777777" w:rsidR="004C5709" w:rsidRDefault="004C5709" w:rsidP="004C5709"/>
    <w:p w14:paraId="554C0B60" w14:textId="77777777" w:rsidR="004C5709" w:rsidRDefault="004C5709" w:rsidP="004C5709"/>
    <w:p w14:paraId="483837E4" w14:textId="77777777" w:rsidR="004C5709" w:rsidRDefault="004C5709" w:rsidP="004C5709"/>
    <w:p w14:paraId="644B9C83" w14:textId="77777777" w:rsidR="00CA7FF6" w:rsidRDefault="00CA7FF6" w:rsidP="004C5709"/>
    <w:p w14:paraId="4F1660D4" w14:textId="77777777" w:rsidR="004C5709" w:rsidRDefault="004C5709" w:rsidP="004C5709">
      <w:pPr>
        <w:rPr>
          <w:lang w:val="en-US"/>
        </w:rPr>
      </w:pPr>
      <w:r>
        <w:rPr>
          <w:b/>
        </w:rPr>
        <w:lastRenderedPageBreak/>
        <w:t>Table S2</w:t>
      </w:r>
      <w:r>
        <w:t>: Median length of stay</w:t>
      </w:r>
      <w:r>
        <w:rPr>
          <w:lang w:val="en-US"/>
        </w:rPr>
        <w:t xml:space="preserve"> for patients aged 65+ years who died in hospital by diagnosis</w:t>
      </w:r>
    </w:p>
    <w:tbl>
      <w:tblPr>
        <w:tblStyle w:val="TableGrid"/>
        <w:tblW w:w="10634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1512"/>
        <w:gridCol w:w="1651"/>
        <w:gridCol w:w="1786"/>
        <w:gridCol w:w="1241"/>
        <w:gridCol w:w="1511"/>
        <w:gridCol w:w="1731"/>
        <w:gridCol w:w="1202"/>
      </w:tblGrid>
      <w:tr w:rsidR="004C5709" w14:paraId="69F77C16" w14:textId="77777777" w:rsidTr="003461C2">
        <w:trPr>
          <w:trHeight w:val="207"/>
        </w:trPr>
        <w:tc>
          <w:tcPr>
            <w:tcW w:w="1512" w:type="dxa"/>
            <w:vMerge w:val="restart"/>
          </w:tcPr>
          <w:p w14:paraId="288D8A05" w14:textId="20CBB29C" w:rsidR="004C5709" w:rsidRPr="002D1428" w:rsidRDefault="004C5709" w:rsidP="003461C2">
            <w:pPr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Age</w:t>
            </w:r>
            <w:r w:rsidR="00C209BC">
              <w:rPr>
                <w:b/>
                <w:lang w:val="en-US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58F4B5F6" w14:textId="77777777" w:rsidR="004C5709" w:rsidRPr="002D1428" w:rsidRDefault="004C5709" w:rsidP="003461C2">
            <w:pPr>
              <w:jc w:val="center"/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All diagnosis of RSV</w:t>
            </w:r>
            <w:r>
              <w:rPr>
                <w:b/>
                <w:lang w:val="en-US"/>
              </w:rPr>
              <w:t>, n=321</w:t>
            </w:r>
          </w:p>
        </w:tc>
        <w:tc>
          <w:tcPr>
            <w:tcW w:w="4444" w:type="dxa"/>
            <w:gridSpan w:val="3"/>
          </w:tcPr>
          <w:p w14:paraId="3EF57788" w14:textId="77777777" w:rsidR="004C5709" w:rsidRPr="002D1428" w:rsidRDefault="004C5709" w:rsidP="003461C2">
            <w:pPr>
              <w:jc w:val="center"/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Most responsible diagnosis of RSV</w:t>
            </w:r>
            <w:r>
              <w:rPr>
                <w:b/>
                <w:lang w:val="en-US"/>
              </w:rPr>
              <w:t>, n=81</w:t>
            </w:r>
          </w:p>
        </w:tc>
      </w:tr>
      <w:tr w:rsidR="004C5709" w:rsidRPr="004E6F07" w14:paraId="68709606" w14:textId="77777777" w:rsidTr="003461C2">
        <w:trPr>
          <w:trHeight w:val="207"/>
        </w:trPr>
        <w:tc>
          <w:tcPr>
            <w:tcW w:w="1512" w:type="dxa"/>
            <w:vMerge/>
          </w:tcPr>
          <w:p w14:paraId="56605678" w14:textId="77777777" w:rsidR="004C5709" w:rsidRPr="002D1428" w:rsidRDefault="004C5709" w:rsidP="003461C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1" w:type="dxa"/>
          </w:tcPr>
          <w:p w14:paraId="48E22ACF" w14:textId="4A88BC85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>Median length of stay (days</w:t>
            </w:r>
            <w:r w:rsidR="00655113">
              <w:rPr>
                <w:b/>
                <w:lang w:val="en-US"/>
              </w:rPr>
              <w:t>, IQR</w:t>
            </w:r>
            <w:r w:rsidRPr="004E6F07">
              <w:rPr>
                <w:b/>
                <w:lang w:val="en-US"/>
              </w:rPr>
              <w:t>)</w:t>
            </w:r>
          </w:p>
        </w:tc>
        <w:tc>
          <w:tcPr>
            <w:tcW w:w="1786" w:type="dxa"/>
          </w:tcPr>
          <w:p w14:paraId="279132A6" w14:textId="628CF4B9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>Median length of stay in ICU (days</w:t>
            </w:r>
            <w:r w:rsidR="00655113">
              <w:rPr>
                <w:b/>
                <w:lang w:val="en-US"/>
              </w:rPr>
              <w:t>, IQR</w:t>
            </w:r>
            <w:r w:rsidRPr="004E6F07">
              <w:rPr>
                <w:b/>
                <w:lang w:val="en-US"/>
              </w:rPr>
              <w:t>)</w:t>
            </w:r>
          </w:p>
        </w:tc>
        <w:tc>
          <w:tcPr>
            <w:tcW w:w="1241" w:type="dxa"/>
          </w:tcPr>
          <w:p w14:paraId="0850CFEB" w14:textId="77777777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 xml:space="preserve">% ICU admission, </w:t>
            </w:r>
          </w:p>
          <w:p w14:paraId="1F451409" w14:textId="77777777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i/>
                <w:lang w:val="en-US"/>
              </w:rPr>
              <w:t>n (%)</w:t>
            </w:r>
          </w:p>
        </w:tc>
        <w:tc>
          <w:tcPr>
            <w:tcW w:w="1511" w:type="dxa"/>
          </w:tcPr>
          <w:p w14:paraId="381E5072" w14:textId="0C4627F0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>Median length of stay (days</w:t>
            </w:r>
            <w:r w:rsidR="00655113">
              <w:rPr>
                <w:b/>
                <w:lang w:val="en-US"/>
              </w:rPr>
              <w:t>, IQR</w:t>
            </w:r>
            <w:r w:rsidRPr="004E6F07">
              <w:rPr>
                <w:b/>
                <w:lang w:val="en-US"/>
              </w:rPr>
              <w:t>)</w:t>
            </w:r>
          </w:p>
        </w:tc>
        <w:tc>
          <w:tcPr>
            <w:tcW w:w="1731" w:type="dxa"/>
          </w:tcPr>
          <w:p w14:paraId="7E010193" w14:textId="3DCB1846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>Median length of stay in ICU (days</w:t>
            </w:r>
            <w:r w:rsidR="00655113">
              <w:rPr>
                <w:b/>
                <w:lang w:val="en-US"/>
              </w:rPr>
              <w:t>, IQR</w:t>
            </w:r>
            <w:r w:rsidRPr="004E6F07">
              <w:rPr>
                <w:b/>
                <w:lang w:val="en-US"/>
              </w:rPr>
              <w:t>)</w:t>
            </w:r>
          </w:p>
        </w:tc>
        <w:tc>
          <w:tcPr>
            <w:tcW w:w="1202" w:type="dxa"/>
          </w:tcPr>
          <w:p w14:paraId="07A64E48" w14:textId="77777777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 xml:space="preserve">% ICU admission, </w:t>
            </w:r>
          </w:p>
          <w:p w14:paraId="1215C699" w14:textId="77777777" w:rsidR="004C5709" w:rsidRPr="004E6F07" w:rsidRDefault="004C5709" w:rsidP="003461C2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i/>
                <w:lang w:val="en-US"/>
              </w:rPr>
              <w:t>n (%)</w:t>
            </w:r>
          </w:p>
        </w:tc>
      </w:tr>
      <w:tr w:rsidR="004C5709" w:rsidRPr="004E6F07" w14:paraId="7C7FE00D" w14:textId="77777777" w:rsidTr="003461C2">
        <w:trPr>
          <w:trHeight w:val="207"/>
        </w:trPr>
        <w:tc>
          <w:tcPr>
            <w:tcW w:w="1512" w:type="dxa"/>
          </w:tcPr>
          <w:p w14:paraId="42385818" w14:textId="6C861B75" w:rsidR="004C5709" w:rsidRPr="004E6F07" w:rsidRDefault="004C5709" w:rsidP="003461C2">
            <w:pPr>
              <w:rPr>
                <w:lang w:val="en-US"/>
              </w:rPr>
            </w:pPr>
            <w:r w:rsidRPr="004E6F07">
              <w:rPr>
                <w:lang w:val="en-US"/>
              </w:rPr>
              <w:t>65-74</w:t>
            </w:r>
            <w:r w:rsidR="00364FF6">
              <w:rPr>
                <w:lang w:val="en-US"/>
              </w:rPr>
              <w:t xml:space="preserve"> years</w:t>
            </w:r>
          </w:p>
        </w:tc>
        <w:tc>
          <w:tcPr>
            <w:tcW w:w="1651" w:type="dxa"/>
            <w:vAlign w:val="bottom"/>
          </w:tcPr>
          <w:p w14:paraId="06986A7D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10.0 (4.5-19.0)</w:t>
            </w:r>
          </w:p>
        </w:tc>
        <w:tc>
          <w:tcPr>
            <w:tcW w:w="1786" w:type="dxa"/>
            <w:vAlign w:val="bottom"/>
          </w:tcPr>
          <w:p w14:paraId="2039E1C1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5.0 (2.0-8.0)</w:t>
            </w:r>
          </w:p>
        </w:tc>
        <w:tc>
          <w:tcPr>
            <w:tcW w:w="1241" w:type="dxa"/>
            <w:vAlign w:val="bottom"/>
          </w:tcPr>
          <w:p w14:paraId="67966042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FF0000"/>
              </w:rPr>
            </w:pPr>
            <w:r w:rsidRPr="004E6F07">
              <w:rPr>
                <w:rFonts w:ascii="Calibri" w:hAnsi="Calibri" w:cs="Calibri"/>
                <w:color w:val="000000"/>
              </w:rPr>
              <w:t>35 (58.3)</w:t>
            </w:r>
          </w:p>
        </w:tc>
        <w:tc>
          <w:tcPr>
            <w:tcW w:w="1511" w:type="dxa"/>
            <w:vAlign w:val="bottom"/>
          </w:tcPr>
          <w:p w14:paraId="0EF7B832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7.0 (4.0-8.0)</w:t>
            </w:r>
          </w:p>
        </w:tc>
        <w:tc>
          <w:tcPr>
            <w:tcW w:w="1731" w:type="dxa"/>
            <w:vAlign w:val="bottom"/>
          </w:tcPr>
          <w:p w14:paraId="5061FF13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2.0 (1.5-10.5)</w:t>
            </w:r>
          </w:p>
        </w:tc>
        <w:tc>
          <w:tcPr>
            <w:tcW w:w="1202" w:type="dxa"/>
            <w:vAlign w:val="bottom"/>
          </w:tcPr>
          <w:p w14:paraId="5A835C7C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FF0000"/>
              </w:rPr>
            </w:pPr>
            <w:r w:rsidRPr="004E6F07">
              <w:rPr>
                <w:rFonts w:ascii="Calibri" w:hAnsi="Calibri" w:cs="Calibri"/>
                <w:color w:val="000000"/>
              </w:rPr>
              <w:t>8 (61.5)</w:t>
            </w:r>
          </w:p>
        </w:tc>
      </w:tr>
      <w:tr w:rsidR="004C5709" w:rsidRPr="004E6F07" w14:paraId="4DE0CC6D" w14:textId="77777777" w:rsidTr="003461C2">
        <w:trPr>
          <w:trHeight w:val="207"/>
        </w:trPr>
        <w:tc>
          <w:tcPr>
            <w:tcW w:w="1512" w:type="dxa"/>
          </w:tcPr>
          <w:p w14:paraId="50C35F36" w14:textId="32C807A5" w:rsidR="004C5709" w:rsidRPr="004E6F07" w:rsidRDefault="004C5709" w:rsidP="003461C2">
            <w:pPr>
              <w:rPr>
                <w:lang w:val="en-US"/>
              </w:rPr>
            </w:pPr>
            <w:r w:rsidRPr="004E6F07">
              <w:rPr>
                <w:lang w:val="en-US"/>
              </w:rPr>
              <w:t>75-84</w:t>
            </w:r>
            <w:r w:rsidR="00364FF6">
              <w:rPr>
                <w:lang w:val="en-US"/>
              </w:rPr>
              <w:t xml:space="preserve"> years</w:t>
            </w:r>
          </w:p>
        </w:tc>
        <w:tc>
          <w:tcPr>
            <w:tcW w:w="1651" w:type="dxa"/>
            <w:vAlign w:val="bottom"/>
          </w:tcPr>
          <w:p w14:paraId="72288AA2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13.0 (6.0-28.0)</w:t>
            </w:r>
          </w:p>
        </w:tc>
        <w:tc>
          <w:tcPr>
            <w:tcW w:w="1786" w:type="dxa"/>
            <w:vAlign w:val="bottom"/>
          </w:tcPr>
          <w:p w14:paraId="185B57E6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5.0 (2.0-9.0)</w:t>
            </w:r>
          </w:p>
        </w:tc>
        <w:tc>
          <w:tcPr>
            <w:tcW w:w="1241" w:type="dxa"/>
            <w:vAlign w:val="bottom"/>
          </w:tcPr>
          <w:p w14:paraId="0347CD87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FF0000"/>
              </w:rPr>
            </w:pPr>
            <w:r w:rsidRPr="004E6F07">
              <w:rPr>
                <w:rFonts w:ascii="Calibri" w:hAnsi="Calibri" w:cs="Calibri"/>
                <w:color w:val="000000"/>
              </w:rPr>
              <w:t>51 (48.6)</w:t>
            </w:r>
          </w:p>
        </w:tc>
        <w:tc>
          <w:tcPr>
            <w:tcW w:w="1511" w:type="dxa"/>
            <w:vAlign w:val="bottom"/>
          </w:tcPr>
          <w:p w14:paraId="74A465A5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7.0 (4.0-17.0)</w:t>
            </w:r>
          </w:p>
        </w:tc>
        <w:tc>
          <w:tcPr>
            <w:tcW w:w="1731" w:type="dxa"/>
            <w:vAlign w:val="bottom"/>
          </w:tcPr>
          <w:p w14:paraId="61DC4E39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6.0 (4.0-9.0)</w:t>
            </w:r>
          </w:p>
        </w:tc>
        <w:tc>
          <w:tcPr>
            <w:tcW w:w="1202" w:type="dxa"/>
            <w:vAlign w:val="bottom"/>
          </w:tcPr>
          <w:p w14:paraId="5BB1C509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FF0000"/>
              </w:rPr>
            </w:pPr>
            <w:r w:rsidRPr="004E6F07">
              <w:rPr>
                <w:rFonts w:ascii="Calibri" w:hAnsi="Calibri" w:cs="Calibri"/>
                <w:color w:val="000000"/>
              </w:rPr>
              <w:t>9 (39.1)</w:t>
            </w:r>
          </w:p>
        </w:tc>
      </w:tr>
      <w:tr w:rsidR="004C5709" w:rsidRPr="004E6F07" w14:paraId="2FE15DAB" w14:textId="77777777" w:rsidTr="003461C2">
        <w:trPr>
          <w:trHeight w:val="207"/>
        </w:trPr>
        <w:tc>
          <w:tcPr>
            <w:tcW w:w="1512" w:type="dxa"/>
          </w:tcPr>
          <w:p w14:paraId="440F497D" w14:textId="24854BC3" w:rsidR="004C5709" w:rsidRPr="004E6F07" w:rsidRDefault="0037294E" w:rsidP="0037294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4C5709" w:rsidRPr="004E6F07">
              <w:rPr>
                <w:lang w:val="en-US"/>
              </w:rPr>
              <w:t>85</w:t>
            </w:r>
            <w:r w:rsidR="00364FF6">
              <w:rPr>
                <w:lang w:val="en-US"/>
              </w:rPr>
              <w:t xml:space="preserve"> years</w:t>
            </w:r>
          </w:p>
        </w:tc>
        <w:tc>
          <w:tcPr>
            <w:tcW w:w="1651" w:type="dxa"/>
            <w:vAlign w:val="bottom"/>
          </w:tcPr>
          <w:p w14:paraId="19831CB9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7.0 (3.5-16.5)</w:t>
            </w:r>
          </w:p>
        </w:tc>
        <w:tc>
          <w:tcPr>
            <w:tcW w:w="1786" w:type="dxa"/>
            <w:vAlign w:val="bottom"/>
          </w:tcPr>
          <w:p w14:paraId="55F1B6A7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4.0 (1.0-8.0)</w:t>
            </w:r>
          </w:p>
        </w:tc>
        <w:tc>
          <w:tcPr>
            <w:tcW w:w="1241" w:type="dxa"/>
            <w:vAlign w:val="bottom"/>
          </w:tcPr>
          <w:p w14:paraId="34F90F84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FF0000"/>
              </w:rPr>
            </w:pPr>
            <w:r w:rsidRPr="004E6F07">
              <w:rPr>
                <w:rFonts w:ascii="Calibri" w:hAnsi="Calibri" w:cs="Calibri"/>
                <w:color w:val="000000"/>
              </w:rPr>
              <w:t>37 (23.7)</w:t>
            </w:r>
          </w:p>
        </w:tc>
        <w:tc>
          <w:tcPr>
            <w:tcW w:w="1511" w:type="dxa"/>
            <w:vAlign w:val="bottom"/>
          </w:tcPr>
          <w:p w14:paraId="51D5158A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7.0 (4.0-13.0)</w:t>
            </w:r>
          </w:p>
        </w:tc>
        <w:tc>
          <w:tcPr>
            <w:tcW w:w="1731" w:type="dxa"/>
            <w:vAlign w:val="bottom"/>
          </w:tcPr>
          <w:p w14:paraId="76A8401F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2.5 (1.0-10.0)</w:t>
            </w:r>
          </w:p>
        </w:tc>
        <w:tc>
          <w:tcPr>
            <w:tcW w:w="1202" w:type="dxa"/>
            <w:vAlign w:val="bottom"/>
          </w:tcPr>
          <w:p w14:paraId="2FB0E22B" w14:textId="77777777" w:rsidR="004C5709" w:rsidRPr="004E6F07" w:rsidRDefault="004C5709" w:rsidP="00F87723">
            <w:pPr>
              <w:jc w:val="center"/>
              <w:rPr>
                <w:rFonts w:ascii="Calibri" w:hAnsi="Calibri" w:cs="Calibri"/>
                <w:color w:val="FF0000"/>
              </w:rPr>
            </w:pPr>
            <w:r w:rsidRPr="004E6F07">
              <w:rPr>
                <w:rFonts w:ascii="Calibri" w:hAnsi="Calibri" w:cs="Calibri"/>
                <w:color w:val="000000"/>
              </w:rPr>
              <w:t>6 (13.3)</w:t>
            </w:r>
          </w:p>
        </w:tc>
      </w:tr>
    </w:tbl>
    <w:p w14:paraId="73D33EFC" w14:textId="77777777" w:rsidR="004C5709" w:rsidRDefault="004C5709" w:rsidP="004C5709"/>
    <w:p w14:paraId="0A244FE6" w14:textId="77777777" w:rsidR="004C5709" w:rsidRDefault="004C5709" w:rsidP="004C5709"/>
    <w:p w14:paraId="27BD3E47" w14:textId="77777777" w:rsidR="004C5709" w:rsidRDefault="004C5709">
      <w:pPr>
        <w:rPr>
          <w:b/>
          <w:u w:val="single"/>
        </w:rPr>
      </w:pPr>
    </w:p>
    <w:p w14:paraId="7838F3BF" w14:textId="77777777" w:rsidR="004C5709" w:rsidRDefault="004C5709">
      <w:pPr>
        <w:rPr>
          <w:b/>
          <w:u w:val="single"/>
        </w:rPr>
      </w:pPr>
    </w:p>
    <w:p w14:paraId="6333A999" w14:textId="77777777" w:rsidR="004C5709" w:rsidRDefault="004C5709">
      <w:pPr>
        <w:rPr>
          <w:b/>
          <w:u w:val="single"/>
        </w:rPr>
      </w:pPr>
    </w:p>
    <w:p w14:paraId="695EEA56" w14:textId="77777777" w:rsidR="004C5709" w:rsidRDefault="004C5709">
      <w:pPr>
        <w:rPr>
          <w:b/>
          <w:u w:val="single"/>
        </w:rPr>
      </w:pPr>
    </w:p>
    <w:p w14:paraId="2F6AF8FE" w14:textId="77777777" w:rsidR="004C5709" w:rsidRDefault="004C5709">
      <w:pPr>
        <w:rPr>
          <w:b/>
          <w:u w:val="single"/>
        </w:rPr>
      </w:pPr>
    </w:p>
    <w:p w14:paraId="45E57547" w14:textId="77777777" w:rsidR="004C5709" w:rsidRDefault="004C5709">
      <w:pPr>
        <w:rPr>
          <w:b/>
          <w:u w:val="single"/>
        </w:rPr>
      </w:pPr>
    </w:p>
    <w:p w14:paraId="03BC9368" w14:textId="77777777" w:rsidR="004C5709" w:rsidRDefault="004C5709">
      <w:pPr>
        <w:rPr>
          <w:b/>
          <w:u w:val="single"/>
        </w:rPr>
      </w:pPr>
    </w:p>
    <w:p w14:paraId="7A59B633" w14:textId="77777777" w:rsidR="004C5709" w:rsidRDefault="004C5709">
      <w:pPr>
        <w:rPr>
          <w:b/>
          <w:u w:val="single"/>
        </w:rPr>
      </w:pPr>
    </w:p>
    <w:p w14:paraId="1652E2C1" w14:textId="77777777" w:rsidR="004C5709" w:rsidRDefault="004C5709">
      <w:pPr>
        <w:rPr>
          <w:b/>
          <w:u w:val="single"/>
        </w:rPr>
      </w:pPr>
    </w:p>
    <w:p w14:paraId="7ECC3060" w14:textId="77777777" w:rsidR="004C5709" w:rsidRDefault="004C5709">
      <w:pPr>
        <w:rPr>
          <w:b/>
          <w:u w:val="single"/>
        </w:rPr>
      </w:pPr>
    </w:p>
    <w:p w14:paraId="2114E7D9" w14:textId="77777777" w:rsidR="004C5709" w:rsidRDefault="004C5709">
      <w:pPr>
        <w:rPr>
          <w:b/>
          <w:u w:val="single"/>
        </w:rPr>
      </w:pPr>
    </w:p>
    <w:p w14:paraId="72F551EB" w14:textId="77777777" w:rsidR="004C5709" w:rsidRDefault="004C5709">
      <w:pPr>
        <w:rPr>
          <w:b/>
          <w:u w:val="single"/>
        </w:rPr>
      </w:pPr>
    </w:p>
    <w:p w14:paraId="712C394E" w14:textId="77777777" w:rsidR="004C5709" w:rsidRDefault="004C5709">
      <w:pPr>
        <w:rPr>
          <w:b/>
          <w:u w:val="single"/>
        </w:rPr>
      </w:pPr>
    </w:p>
    <w:p w14:paraId="21D1414E" w14:textId="77777777" w:rsidR="004C5709" w:rsidRDefault="004C5709">
      <w:pPr>
        <w:rPr>
          <w:b/>
          <w:u w:val="single"/>
        </w:rPr>
      </w:pPr>
    </w:p>
    <w:p w14:paraId="1C928B43" w14:textId="77777777" w:rsidR="004C5709" w:rsidRDefault="004C5709">
      <w:pPr>
        <w:rPr>
          <w:b/>
          <w:u w:val="single"/>
        </w:rPr>
      </w:pPr>
    </w:p>
    <w:p w14:paraId="27812BB8" w14:textId="77777777" w:rsidR="004C5709" w:rsidRDefault="004C5709">
      <w:pPr>
        <w:rPr>
          <w:b/>
          <w:u w:val="single"/>
        </w:rPr>
      </w:pPr>
    </w:p>
    <w:p w14:paraId="6DAF19C3" w14:textId="77777777" w:rsidR="004C5709" w:rsidRDefault="004C5709">
      <w:pPr>
        <w:rPr>
          <w:b/>
          <w:u w:val="single"/>
        </w:rPr>
      </w:pPr>
    </w:p>
    <w:p w14:paraId="481895C3" w14:textId="77777777" w:rsidR="004C5709" w:rsidRDefault="004C5709">
      <w:pPr>
        <w:rPr>
          <w:b/>
          <w:u w:val="single"/>
        </w:rPr>
      </w:pPr>
    </w:p>
    <w:p w14:paraId="636CDAE0" w14:textId="77777777" w:rsidR="004C5709" w:rsidRDefault="004C5709">
      <w:pPr>
        <w:rPr>
          <w:b/>
          <w:u w:val="single"/>
        </w:rPr>
      </w:pPr>
    </w:p>
    <w:p w14:paraId="0244F740" w14:textId="77777777" w:rsidR="00DF76D5" w:rsidRDefault="00DF76D5">
      <w:pPr>
        <w:rPr>
          <w:b/>
          <w:u w:val="single"/>
        </w:rPr>
      </w:pPr>
    </w:p>
    <w:p w14:paraId="3EB54D20" w14:textId="77777777" w:rsidR="00CA7FF6" w:rsidRPr="00CF3CFD" w:rsidRDefault="00CA7FF6">
      <w:pPr>
        <w:rPr>
          <w:b/>
          <w:u w:val="single"/>
        </w:rPr>
      </w:pPr>
    </w:p>
    <w:p w14:paraId="07697471" w14:textId="6247E64C" w:rsidR="0037553B" w:rsidRPr="006558D9" w:rsidRDefault="0037553B" w:rsidP="0037553B">
      <w:pPr>
        <w:rPr>
          <w:lang w:val="en-US"/>
        </w:rPr>
      </w:pPr>
      <w:r w:rsidRPr="00B33BD0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</w:t>
      </w:r>
      <w:r w:rsidR="004C5709">
        <w:rPr>
          <w:b/>
          <w:lang w:val="en-US"/>
        </w:rPr>
        <w:t>3</w:t>
      </w:r>
      <w:r w:rsidRPr="006558D9">
        <w:rPr>
          <w:lang w:val="en-US"/>
        </w:rPr>
        <w:t xml:space="preserve">: </w:t>
      </w:r>
      <w:r w:rsidR="00EA3A96">
        <w:rPr>
          <w:lang w:val="en-US"/>
        </w:rPr>
        <w:t>Characteristics of</w:t>
      </w:r>
      <w:r w:rsidR="00EA3A96" w:rsidRPr="006558D9">
        <w:rPr>
          <w:lang w:val="en-US"/>
        </w:rPr>
        <w:t xml:space="preserve"> patients</w:t>
      </w:r>
      <w:r w:rsidR="00EA3A96">
        <w:rPr>
          <w:lang w:val="en-US"/>
        </w:rPr>
        <w:t xml:space="preserve"> hospitalized with RSV as the most responsible diagnosis in Ontario </w:t>
      </w:r>
      <w:r>
        <w:rPr>
          <w:lang w:val="en-US"/>
        </w:rPr>
        <w:t>from September 1, 2016 to August 31,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5535"/>
      </w:tblGrid>
      <w:tr w:rsidR="0037553B" w14:paraId="70CC9A55" w14:textId="77777777" w:rsidTr="0037553B">
        <w:tc>
          <w:tcPr>
            <w:tcW w:w="3532" w:type="dxa"/>
          </w:tcPr>
          <w:p w14:paraId="73A4CA6C" w14:textId="0F366BCC" w:rsidR="0037553B" w:rsidRPr="003B6939" w:rsidRDefault="0037553B" w:rsidP="0037553B">
            <w:pPr>
              <w:rPr>
                <w:b/>
                <w:lang w:val="en-US"/>
              </w:rPr>
            </w:pPr>
            <w:r w:rsidRPr="003B6939">
              <w:rPr>
                <w:b/>
                <w:lang w:val="en-US"/>
              </w:rPr>
              <w:t>Characteristic</w:t>
            </w:r>
            <w:r>
              <w:rPr>
                <w:b/>
                <w:lang w:val="en-US"/>
              </w:rPr>
              <w:t>s</w:t>
            </w:r>
            <w:r w:rsidR="009E16AD">
              <w:rPr>
                <w:b/>
                <w:lang w:val="en-US"/>
              </w:rPr>
              <w:t>, n</w:t>
            </w:r>
            <w:r w:rsidR="00296220">
              <w:rPr>
                <w:b/>
                <w:lang w:val="en-US"/>
              </w:rPr>
              <w:t xml:space="preserve"> </w:t>
            </w:r>
            <w:r w:rsidR="009E16AD">
              <w:rPr>
                <w:b/>
                <w:lang w:val="en-US"/>
              </w:rPr>
              <w:t>(%)</w:t>
            </w:r>
          </w:p>
        </w:tc>
        <w:tc>
          <w:tcPr>
            <w:tcW w:w="5535" w:type="dxa"/>
          </w:tcPr>
          <w:p w14:paraId="13F673FE" w14:textId="418C73D5" w:rsidR="0037553B" w:rsidRPr="0057788B" w:rsidRDefault="009C65E9" w:rsidP="003755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Individuals admitted with RSV as most responsible diagnosis (</w:t>
            </w:r>
            <w:r w:rsidRPr="0057788B">
              <w:rPr>
                <w:b/>
                <w:lang w:val="en-US"/>
              </w:rPr>
              <w:t xml:space="preserve">N = </w:t>
            </w:r>
            <w:r>
              <w:rPr>
                <w:b/>
                <w:lang w:val="en-US"/>
              </w:rPr>
              <w:t>6,755)</w:t>
            </w:r>
          </w:p>
        </w:tc>
      </w:tr>
      <w:tr w:rsidR="0037553B" w14:paraId="60D8DB57" w14:textId="77777777" w:rsidTr="0037553B">
        <w:tc>
          <w:tcPr>
            <w:tcW w:w="3532" w:type="dxa"/>
          </w:tcPr>
          <w:p w14:paraId="74499E85" w14:textId="77777777" w:rsidR="0037553B" w:rsidRPr="00073A55" w:rsidRDefault="0037553B" w:rsidP="0037553B">
            <w:pPr>
              <w:rPr>
                <w:i/>
                <w:lang w:val="en-US"/>
              </w:rPr>
            </w:pPr>
            <w:r w:rsidRPr="00073A55">
              <w:rPr>
                <w:i/>
                <w:lang w:val="en-US"/>
              </w:rPr>
              <w:t>Demographic</w:t>
            </w:r>
          </w:p>
        </w:tc>
        <w:tc>
          <w:tcPr>
            <w:tcW w:w="5535" w:type="dxa"/>
          </w:tcPr>
          <w:p w14:paraId="47534708" w14:textId="77777777" w:rsidR="0037553B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14:paraId="07B2B424" w14:textId="77777777" w:rsidTr="0037553B">
        <w:tc>
          <w:tcPr>
            <w:tcW w:w="3532" w:type="dxa"/>
          </w:tcPr>
          <w:p w14:paraId="7A6385D9" w14:textId="6DBC4EC9" w:rsidR="0037553B" w:rsidRDefault="0037553B" w:rsidP="00072121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5535" w:type="dxa"/>
          </w:tcPr>
          <w:p w14:paraId="5712CF97" w14:textId="77777777" w:rsidR="0037553B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C62841" w14:paraId="31B6A197" w14:textId="77777777" w:rsidTr="0037553B">
        <w:tc>
          <w:tcPr>
            <w:tcW w:w="3532" w:type="dxa"/>
          </w:tcPr>
          <w:p w14:paraId="6DB58C36" w14:textId="71BE038E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&lt;1</w:t>
            </w:r>
            <w:r>
              <w:rPr>
                <w:lang w:val="en-US"/>
              </w:rPr>
              <w:t>2 months</w:t>
            </w:r>
          </w:p>
        </w:tc>
        <w:tc>
          <w:tcPr>
            <w:tcW w:w="5535" w:type="dxa"/>
          </w:tcPr>
          <w:p w14:paraId="68D0EA3A" w14:textId="72BFC2EF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3,760 (55.7)</w:t>
            </w:r>
          </w:p>
        </w:tc>
      </w:tr>
      <w:tr w:rsidR="00C62841" w14:paraId="0B257C1E" w14:textId="77777777" w:rsidTr="0037553B">
        <w:trPr>
          <w:trHeight w:val="79"/>
        </w:trPr>
        <w:tc>
          <w:tcPr>
            <w:tcW w:w="3532" w:type="dxa"/>
          </w:tcPr>
          <w:p w14:paraId="4661F49F" w14:textId="5DFB1ADF" w:rsidR="00C62841" w:rsidRPr="00126296" w:rsidRDefault="00C62841" w:rsidP="00C62841">
            <w:pPr>
              <w:ind w:left="720"/>
              <w:rPr>
                <w:lang w:val="en-US"/>
              </w:rPr>
            </w:pPr>
            <w:r w:rsidRPr="00A43FBD">
              <w:rPr>
                <w:lang w:val="en-US"/>
              </w:rPr>
              <w:t>1</w:t>
            </w:r>
            <w:r>
              <w:rPr>
                <w:lang w:val="en-US"/>
              </w:rPr>
              <w:t>2-23 months</w:t>
            </w:r>
          </w:p>
        </w:tc>
        <w:tc>
          <w:tcPr>
            <w:tcW w:w="5535" w:type="dxa"/>
          </w:tcPr>
          <w:p w14:paraId="36F25EA4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 (13.0)</w:t>
            </w:r>
          </w:p>
        </w:tc>
      </w:tr>
      <w:tr w:rsidR="00C62841" w14:paraId="6C9045A1" w14:textId="77777777" w:rsidTr="0037553B">
        <w:trPr>
          <w:trHeight w:val="98"/>
        </w:trPr>
        <w:tc>
          <w:tcPr>
            <w:tcW w:w="3532" w:type="dxa"/>
          </w:tcPr>
          <w:p w14:paraId="381749C4" w14:textId="707840CC" w:rsidR="00C62841" w:rsidRPr="00126296" w:rsidRDefault="00C62841" w:rsidP="00C62841">
            <w:pPr>
              <w:ind w:left="720"/>
              <w:rPr>
                <w:lang w:val="en-US"/>
              </w:rPr>
            </w:pPr>
            <w:r w:rsidRPr="00A43FBD">
              <w:rPr>
                <w:lang w:val="en-US"/>
              </w:rPr>
              <w:t>2-4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5535" w:type="dxa"/>
          </w:tcPr>
          <w:p w14:paraId="7075A6E3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 (8.5)</w:t>
            </w:r>
          </w:p>
        </w:tc>
      </w:tr>
      <w:tr w:rsidR="00C62841" w14:paraId="0CF03780" w14:textId="77777777" w:rsidTr="0037553B">
        <w:tc>
          <w:tcPr>
            <w:tcW w:w="3532" w:type="dxa"/>
          </w:tcPr>
          <w:p w14:paraId="75CC125E" w14:textId="45DBC90D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5-17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5535" w:type="dxa"/>
          </w:tcPr>
          <w:p w14:paraId="30E99B1B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(1.2)</w:t>
            </w:r>
          </w:p>
        </w:tc>
      </w:tr>
      <w:tr w:rsidR="00C62841" w14:paraId="6A25DA9F" w14:textId="77777777" w:rsidTr="0037553B">
        <w:tc>
          <w:tcPr>
            <w:tcW w:w="3532" w:type="dxa"/>
          </w:tcPr>
          <w:p w14:paraId="768DD10F" w14:textId="347B8199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18-49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5535" w:type="dxa"/>
          </w:tcPr>
          <w:p w14:paraId="399A290E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(1.4)</w:t>
            </w:r>
          </w:p>
        </w:tc>
      </w:tr>
      <w:tr w:rsidR="00C62841" w14:paraId="04ADE288" w14:textId="77777777" w:rsidTr="0037553B">
        <w:tc>
          <w:tcPr>
            <w:tcW w:w="3532" w:type="dxa"/>
          </w:tcPr>
          <w:p w14:paraId="4940EC1D" w14:textId="69966C7F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50-64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5535" w:type="dxa"/>
          </w:tcPr>
          <w:p w14:paraId="5AAEF305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(2.9)</w:t>
            </w:r>
          </w:p>
        </w:tc>
      </w:tr>
      <w:tr w:rsidR="00C62841" w14:paraId="2201B3F4" w14:textId="77777777" w:rsidTr="0037553B">
        <w:tc>
          <w:tcPr>
            <w:tcW w:w="3532" w:type="dxa"/>
          </w:tcPr>
          <w:p w14:paraId="1DD83B79" w14:textId="28B82DCA" w:rsidR="00C62841" w:rsidRDefault="0037294E" w:rsidP="0037294E">
            <w:pPr>
              <w:ind w:left="72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65 years</w:t>
            </w:r>
          </w:p>
        </w:tc>
        <w:tc>
          <w:tcPr>
            <w:tcW w:w="5535" w:type="dxa"/>
          </w:tcPr>
          <w:p w14:paraId="0B6E500D" w14:textId="41A63CA4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1,161 (17.2)</w:t>
            </w:r>
          </w:p>
        </w:tc>
      </w:tr>
      <w:tr w:rsidR="00C62841" w14:paraId="03A53C84" w14:textId="77777777" w:rsidTr="0037553B">
        <w:tc>
          <w:tcPr>
            <w:tcW w:w="3532" w:type="dxa"/>
          </w:tcPr>
          <w:p w14:paraId="36615814" w14:textId="0342C32F" w:rsidR="00C62841" w:rsidRDefault="00C62841" w:rsidP="00C62841">
            <w:pPr>
              <w:ind w:left="1440"/>
              <w:rPr>
                <w:lang w:val="en-US"/>
              </w:rPr>
            </w:pPr>
            <w:r>
              <w:rPr>
                <w:lang w:val="en-US"/>
              </w:rPr>
              <w:t>65-74 years</w:t>
            </w:r>
          </w:p>
        </w:tc>
        <w:tc>
          <w:tcPr>
            <w:tcW w:w="5535" w:type="dxa"/>
          </w:tcPr>
          <w:p w14:paraId="4F7CD932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(3.8)</w:t>
            </w:r>
          </w:p>
        </w:tc>
      </w:tr>
      <w:tr w:rsidR="00C62841" w14:paraId="4217BE98" w14:textId="77777777" w:rsidTr="0037553B">
        <w:tc>
          <w:tcPr>
            <w:tcW w:w="3532" w:type="dxa"/>
          </w:tcPr>
          <w:p w14:paraId="750F5643" w14:textId="35099DBA" w:rsidR="00C62841" w:rsidRDefault="00C62841" w:rsidP="00C62841">
            <w:pPr>
              <w:ind w:left="1440"/>
              <w:rPr>
                <w:lang w:val="en-US"/>
              </w:rPr>
            </w:pPr>
            <w:r>
              <w:rPr>
                <w:lang w:val="en-US"/>
              </w:rPr>
              <w:t>75-84 years</w:t>
            </w:r>
          </w:p>
        </w:tc>
        <w:tc>
          <w:tcPr>
            <w:tcW w:w="5535" w:type="dxa"/>
          </w:tcPr>
          <w:p w14:paraId="686D3F06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(5.5)</w:t>
            </w:r>
          </w:p>
        </w:tc>
      </w:tr>
      <w:tr w:rsidR="00C62841" w14:paraId="6ED19D50" w14:textId="77777777" w:rsidTr="0037553B">
        <w:tc>
          <w:tcPr>
            <w:tcW w:w="3532" w:type="dxa"/>
          </w:tcPr>
          <w:p w14:paraId="23F798E6" w14:textId="3CC16FD5" w:rsidR="00C62841" w:rsidRDefault="0037294E" w:rsidP="0037294E">
            <w:pPr>
              <w:ind w:left="144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85 years</w:t>
            </w:r>
          </w:p>
        </w:tc>
        <w:tc>
          <w:tcPr>
            <w:tcW w:w="5535" w:type="dxa"/>
          </w:tcPr>
          <w:p w14:paraId="6CB17490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 (7.9)</w:t>
            </w:r>
          </w:p>
        </w:tc>
      </w:tr>
      <w:tr w:rsidR="0037553B" w14:paraId="70061C84" w14:textId="77777777" w:rsidTr="0037553B">
        <w:tc>
          <w:tcPr>
            <w:tcW w:w="3532" w:type="dxa"/>
          </w:tcPr>
          <w:p w14:paraId="7A8D0091" w14:textId="77777777" w:rsidR="0037553B" w:rsidRDefault="0037553B" w:rsidP="0037553B">
            <w:pPr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5535" w:type="dxa"/>
          </w:tcPr>
          <w:p w14:paraId="0E5BBA48" w14:textId="77777777" w:rsidR="0037553B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14:paraId="7453BC61" w14:textId="77777777" w:rsidTr="0037553B">
        <w:tc>
          <w:tcPr>
            <w:tcW w:w="3532" w:type="dxa"/>
          </w:tcPr>
          <w:p w14:paraId="3580F548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5535" w:type="dxa"/>
          </w:tcPr>
          <w:p w14:paraId="2F4E926A" w14:textId="2171361F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238 (47.9)</w:t>
            </w:r>
          </w:p>
        </w:tc>
      </w:tr>
      <w:tr w:rsidR="0037553B" w14:paraId="7F7DD83D" w14:textId="77777777" w:rsidTr="0037553B">
        <w:tc>
          <w:tcPr>
            <w:tcW w:w="3532" w:type="dxa"/>
          </w:tcPr>
          <w:p w14:paraId="4B6EC734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5535" w:type="dxa"/>
          </w:tcPr>
          <w:p w14:paraId="73DCFA5E" w14:textId="0F36153D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517 (52.1)</w:t>
            </w:r>
          </w:p>
        </w:tc>
      </w:tr>
      <w:tr w:rsidR="0037553B" w14:paraId="264299A3" w14:textId="77777777" w:rsidTr="0037553B">
        <w:tc>
          <w:tcPr>
            <w:tcW w:w="3532" w:type="dxa"/>
          </w:tcPr>
          <w:p w14:paraId="19DD922D" w14:textId="77777777" w:rsidR="0037553B" w:rsidRPr="002534E7" w:rsidRDefault="0037553B" w:rsidP="0037553B">
            <w:pPr>
              <w:rPr>
                <w:lang w:val="en-US"/>
              </w:rPr>
            </w:pPr>
            <w:r w:rsidRPr="002534E7">
              <w:rPr>
                <w:lang w:val="en-US"/>
              </w:rPr>
              <w:t xml:space="preserve">Season </w:t>
            </w:r>
          </w:p>
        </w:tc>
        <w:tc>
          <w:tcPr>
            <w:tcW w:w="5535" w:type="dxa"/>
          </w:tcPr>
          <w:p w14:paraId="643D7F1E" w14:textId="77777777" w:rsidR="0037553B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14:paraId="02DD4F33" w14:textId="77777777" w:rsidTr="0037553B">
        <w:tc>
          <w:tcPr>
            <w:tcW w:w="3532" w:type="dxa"/>
          </w:tcPr>
          <w:p w14:paraId="640CBFBB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2016-17</w:t>
            </w:r>
          </w:p>
        </w:tc>
        <w:tc>
          <w:tcPr>
            <w:tcW w:w="5535" w:type="dxa"/>
          </w:tcPr>
          <w:p w14:paraId="582447A4" w14:textId="28D96DB3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119 (31.4)</w:t>
            </w:r>
          </w:p>
        </w:tc>
      </w:tr>
      <w:tr w:rsidR="0037553B" w14:paraId="27634256" w14:textId="77777777" w:rsidTr="0037553B">
        <w:tc>
          <w:tcPr>
            <w:tcW w:w="3532" w:type="dxa"/>
          </w:tcPr>
          <w:p w14:paraId="7F340B39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2017-18</w:t>
            </w:r>
          </w:p>
        </w:tc>
        <w:tc>
          <w:tcPr>
            <w:tcW w:w="5535" w:type="dxa"/>
          </w:tcPr>
          <w:p w14:paraId="0A9F96A7" w14:textId="385229C5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061 (30.5)</w:t>
            </w:r>
          </w:p>
        </w:tc>
      </w:tr>
      <w:tr w:rsidR="0037553B" w14:paraId="6203D7E6" w14:textId="77777777" w:rsidTr="0037553B">
        <w:tc>
          <w:tcPr>
            <w:tcW w:w="3532" w:type="dxa"/>
          </w:tcPr>
          <w:p w14:paraId="25F4A387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2018-19</w:t>
            </w:r>
          </w:p>
        </w:tc>
        <w:tc>
          <w:tcPr>
            <w:tcW w:w="5535" w:type="dxa"/>
          </w:tcPr>
          <w:p w14:paraId="3532340E" w14:textId="431937D1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575 (38.1)</w:t>
            </w:r>
          </w:p>
        </w:tc>
      </w:tr>
      <w:tr w:rsidR="0037553B" w14:paraId="2C60A8DE" w14:textId="77777777" w:rsidTr="0037553B">
        <w:tc>
          <w:tcPr>
            <w:tcW w:w="3532" w:type="dxa"/>
          </w:tcPr>
          <w:p w14:paraId="487E7217" w14:textId="77777777" w:rsidR="0037553B" w:rsidRDefault="0037553B" w:rsidP="0037553B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5535" w:type="dxa"/>
          </w:tcPr>
          <w:p w14:paraId="35EBA689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553B" w14:paraId="22025766" w14:textId="77777777" w:rsidTr="0037553B">
        <w:tc>
          <w:tcPr>
            <w:tcW w:w="3532" w:type="dxa"/>
          </w:tcPr>
          <w:p w14:paraId="133B10FC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5535" w:type="dxa"/>
          </w:tcPr>
          <w:p w14:paraId="5C076032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(0.5)</w:t>
            </w:r>
          </w:p>
        </w:tc>
      </w:tr>
      <w:tr w:rsidR="0037553B" w14:paraId="56B36094" w14:textId="77777777" w:rsidTr="0037553B">
        <w:tc>
          <w:tcPr>
            <w:tcW w:w="3532" w:type="dxa"/>
          </w:tcPr>
          <w:p w14:paraId="4EDFB9D9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5535" w:type="dxa"/>
          </w:tcPr>
          <w:p w14:paraId="77E992D8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(1.5)</w:t>
            </w:r>
          </w:p>
        </w:tc>
      </w:tr>
      <w:tr w:rsidR="0037553B" w14:paraId="114D3AF4" w14:textId="77777777" w:rsidTr="0037553B">
        <w:tc>
          <w:tcPr>
            <w:tcW w:w="3532" w:type="dxa"/>
          </w:tcPr>
          <w:p w14:paraId="3A8CEE33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5535" w:type="dxa"/>
          </w:tcPr>
          <w:p w14:paraId="4B9AEB99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 (8.4)</w:t>
            </w:r>
          </w:p>
        </w:tc>
      </w:tr>
      <w:tr w:rsidR="0037553B" w14:paraId="35653345" w14:textId="77777777" w:rsidTr="0037553B">
        <w:tc>
          <w:tcPr>
            <w:tcW w:w="3532" w:type="dxa"/>
          </w:tcPr>
          <w:p w14:paraId="5ADB6B78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December</w:t>
            </w:r>
          </w:p>
        </w:tc>
        <w:tc>
          <w:tcPr>
            <w:tcW w:w="5535" w:type="dxa"/>
          </w:tcPr>
          <w:p w14:paraId="2EB6C9B7" w14:textId="397F312E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842 (27.3)</w:t>
            </w:r>
          </w:p>
        </w:tc>
      </w:tr>
      <w:tr w:rsidR="0037553B" w14:paraId="4DE5331D" w14:textId="77777777" w:rsidTr="0037553B">
        <w:tc>
          <w:tcPr>
            <w:tcW w:w="3532" w:type="dxa"/>
          </w:tcPr>
          <w:p w14:paraId="066CA3FA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5535" w:type="dxa"/>
          </w:tcPr>
          <w:p w14:paraId="10DB735B" w14:textId="5F8E8CE6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971 (29.2)</w:t>
            </w:r>
          </w:p>
        </w:tc>
      </w:tr>
      <w:tr w:rsidR="0037553B" w14:paraId="547F11BF" w14:textId="77777777" w:rsidTr="0037553B">
        <w:tc>
          <w:tcPr>
            <w:tcW w:w="3532" w:type="dxa"/>
          </w:tcPr>
          <w:p w14:paraId="6CE6BD31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5535" w:type="dxa"/>
          </w:tcPr>
          <w:p w14:paraId="6AF502F3" w14:textId="7AC02F90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B5E1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209 (17.9)</w:t>
            </w:r>
          </w:p>
        </w:tc>
      </w:tr>
      <w:tr w:rsidR="0037553B" w14:paraId="5C4A2133" w14:textId="77777777" w:rsidTr="0037553B">
        <w:tc>
          <w:tcPr>
            <w:tcW w:w="3532" w:type="dxa"/>
          </w:tcPr>
          <w:p w14:paraId="29D8B4C3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5535" w:type="dxa"/>
          </w:tcPr>
          <w:p w14:paraId="799B77A6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(9.2)</w:t>
            </w:r>
          </w:p>
        </w:tc>
      </w:tr>
      <w:tr w:rsidR="0037553B" w14:paraId="36318E71" w14:textId="77777777" w:rsidTr="0037553B">
        <w:tc>
          <w:tcPr>
            <w:tcW w:w="3532" w:type="dxa"/>
          </w:tcPr>
          <w:p w14:paraId="22E89226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5535" w:type="dxa"/>
          </w:tcPr>
          <w:p w14:paraId="4F3B6F81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(4.3)</w:t>
            </w:r>
          </w:p>
        </w:tc>
      </w:tr>
      <w:tr w:rsidR="0037553B" w14:paraId="1A82A697" w14:textId="77777777" w:rsidTr="0037553B">
        <w:tc>
          <w:tcPr>
            <w:tcW w:w="3532" w:type="dxa"/>
          </w:tcPr>
          <w:p w14:paraId="26325214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5535" w:type="dxa"/>
          </w:tcPr>
          <w:p w14:paraId="7383989D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(1.2)</w:t>
            </w:r>
          </w:p>
        </w:tc>
      </w:tr>
      <w:tr w:rsidR="0037553B" w14:paraId="1AE360DE" w14:textId="77777777" w:rsidTr="0037553B">
        <w:tc>
          <w:tcPr>
            <w:tcW w:w="3532" w:type="dxa"/>
          </w:tcPr>
          <w:p w14:paraId="213DA388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June</w:t>
            </w:r>
          </w:p>
        </w:tc>
        <w:tc>
          <w:tcPr>
            <w:tcW w:w="5535" w:type="dxa"/>
          </w:tcPr>
          <w:p w14:paraId="54B7667B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(0.3)</w:t>
            </w:r>
          </w:p>
        </w:tc>
      </w:tr>
      <w:tr w:rsidR="0037553B" w14:paraId="57CBD833" w14:textId="77777777" w:rsidTr="0037553B">
        <w:tc>
          <w:tcPr>
            <w:tcW w:w="3532" w:type="dxa"/>
          </w:tcPr>
          <w:p w14:paraId="2007D282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5535" w:type="dxa"/>
          </w:tcPr>
          <w:p w14:paraId="67237EFF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(0.2)</w:t>
            </w:r>
          </w:p>
        </w:tc>
      </w:tr>
      <w:tr w:rsidR="0037553B" w14:paraId="1720F0A6" w14:textId="77777777" w:rsidTr="0037553B">
        <w:tc>
          <w:tcPr>
            <w:tcW w:w="3532" w:type="dxa"/>
          </w:tcPr>
          <w:p w14:paraId="4231F505" w14:textId="77777777" w:rsidR="0037553B" w:rsidRDefault="0037553B" w:rsidP="0037553B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August</w:t>
            </w:r>
          </w:p>
        </w:tc>
        <w:tc>
          <w:tcPr>
            <w:tcW w:w="5535" w:type="dxa"/>
          </w:tcPr>
          <w:p w14:paraId="11918827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(0.2)</w:t>
            </w:r>
          </w:p>
        </w:tc>
      </w:tr>
      <w:tr w:rsidR="0037553B" w14:paraId="113D5DB7" w14:textId="77777777" w:rsidTr="0037553B">
        <w:tc>
          <w:tcPr>
            <w:tcW w:w="3532" w:type="dxa"/>
          </w:tcPr>
          <w:p w14:paraId="65BCD7C9" w14:textId="77777777" w:rsidR="0037553B" w:rsidRPr="00F16C53" w:rsidRDefault="0037553B" w:rsidP="0037553B">
            <w:pPr>
              <w:rPr>
                <w:lang w:val="en-US"/>
              </w:rPr>
            </w:pPr>
            <w:r w:rsidRPr="00845483">
              <w:rPr>
                <w:i/>
                <w:lang w:val="en-US"/>
              </w:rPr>
              <w:t>Sociodemographic</w:t>
            </w:r>
          </w:p>
        </w:tc>
        <w:tc>
          <w:tcPr>
            <w:tcW w:w="5535" w:type="dxa"/>
          </w:tcPr>
          <w:p w14:paraId="18AF1ECD" w14:textId="77777777" w:rsidR="0037553B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F2766E" w14:paraId="0F6E0CCB" w14:textId="77777777" w:rsidTr="0037553B">
        <w:tc>
          <w:tcPr>
            <w:tcW w:w="3532" w:type="dxa"/>
          </w:tcPr>
          <w:p w14:paraId="78841076" w14:textId="6CB00B94" w:rsidR="00F2766E" w:rsidRPr="00845483" w:rsidRDefault="00F2766E" w:rsidP="00F2766E">
            <w:pPr>
              <w:rPr>
                <w:i/>
                <w:lang w:val="en-US"/>
              </w:rPr>
            </w:pPr>
            <w:r>
              <w:rPr>
                <w:lang w:val="en-US"/>
              </w:rPr>
              <w:t>Racialized and newcomer populations quintile (ON-Marg)</w:t>
            </w:r>
          </w:p>
        </w:tc>
        <w:tc>
          <w:tcPr>
            <w:tcW w:w="5535" w:type="dxa"/>
          </w:tcPr>
          <w:p w14:paraId="7D786956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45BD8EC4" w14:textId="77777777" w:rsidTr="0037553B">
        <w:tc>
          <w:tcPr>
            <w:tcW w:w="3532" w:type="dxa"/>
          </w:tcPr>
          <w:p w14:paraId="51CECFE2" w14:textId="38B928EC" w:rsidR="00F2766E" w:rsidRP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5535" w:type="dxa"/>
          </w:tcPr>
          <w:p w14:paraId="0609EC5E" w14:textId="3263BED3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991 (14.7)</w:t>
            </w:r>
          </w:p>
        </w:tc>
      </w:tr>
      <w:tr w:rsidR="00F2766E" w14:paraId="5EF859CC" w14:textId="77777777" w:rsidTr="0037553B">
        <w:tc>
          <w:tcPr>
            <w:tcW w:w="3532" w:type="dxa"/>
          </w:tcPr>
          <w:p w14:paraId="61F75452" w14:textId="379C7D5E" w:rsidR="00F2766E" w:rsidRP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</w:tcPr>
          <w:p w14:paraId="686AA993" w14:textId="09825B64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1,153 (17.1)</w:t>
            </w:r>
          </w:p>
        </w:tc>
      </w:tr>
      <w:tr w:rsidR="00F2766E" w14:paraId="578A2899" w14:textId="77777777" w:rsidTr="0037553B">
        <w:tc>
          <w:tcPr>
            <w:tcW w:w="3532" w:type="dxa"/>
          </w:tcPr>
          <w:p w14:paraId="00AE6DAD" w14:textId="68F8AF71" w:rsidR="00F2766E" w:rsidRP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</w:tcPr>
          <w:p w14:paraId="3EB24191" w14:textId="276F7105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1,240 (18.4)</w:t>
            </w:r>
          </w:p>
        </w:tc>
      </w:tr>
      <w:tr w:rsidR="00F2766E" w14:paraId="398F27F5" w14:textId="77777777" w:rsidTr="0037553B">
        <w:tc>
          <w:tcPr>
            <w:tcW w:w="3532" w:type="dxa"/>
          </w:tcPr>
          <w:p w14:paraId="0E2F98FF" w14:textId="794FA707" w:rsidR="00F2766E" w:rsidRP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</w:tcPr>
          <w:p w14:paraId="530D1FF0" w14:textId="7FC7AC0E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1,471 (21.8)</w:t>
            </w:r>
          </w:p>
        </w:tc>
      </w:tr>
      <w:tr w:rsidR="00F2766E" w14:paraId="06AFC5B2" w14:textId="77777777" w:rsidTr="0037553B">
        <w:tc>
          <w:tcPr>
            <w:tcW w:w="3532" w:type="dxa"/>
          </w:tcPr>
          <w:p w14:paraId="19F0459A" w14:textId="2A20804F" w:rsidR="00F2766E" w:rsidRP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5535" w:type="dxa"/>
          </w:tcPr>
          <w:p w14:paraId="31AAF618" w14:textId="3BE72DD7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1,752 (25.9)</w:t>
            </w:r>
          </w:p>
        </w:tc>
      </w:tr>
      <w:tr w:rsidR="00F2766E" w14:paraId="6CCA0EF8" w14:textId="77777777" w:rsidTr="0037553B">
        <w:tc>
          <w:tcPr>
            <w:tcW w:w="3532" w:type="dxa"/>
          </w:tcPr>
          <w:p w14:paraId="171FC59C" w14:textId="2ED67476" w:rsidR="00F2766E" w:rsidRP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38ECBAE1" w14:textId="743EA729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148 (2.2)</w:t>
            </w:r>
          </w:p>
        </w:tc>
      </w:tr>
      <w:tr w:rsidR="00F2766E" w14:paraId="7FD731CC" w14:textId="77777777" w:rsidTr="0037553B">
        <w:tc>
          <w:tcPr>
            <w:tcW w:w="3532" w:type="dxa"/>
          </w:tcPr>
          <w:p w14:paraId="039539BA" w14:textId="7D0750AA" w:rsidR="00F2766E" w:rsidRPr="00845483" w:rsidRDefault="00F2766E" w:rsidP="00F2766E">
            <w:pPr>
              <w:rPr>
                <w:i/>
                <w:lang w:val="en-US"/>
              </w:rPr>
            </w:pPr>
            <w:r>
              <w:rPr>
                <w:lang w:val="en-US"/>
              </w:rPr>
              <w:lastRenderedPageBreak/>
              <w:t xml:space="preserve">Material resources quintile (ON-Marg) </w:t>
            </w:r>
          </w:p>
        </w:tc>
        <w:tc>
          <w:tcPr>
            <w:tcW w:w="5535" w:type="dxa"/>
          </w:tcPr>
          <w:p w14:paraId="0ED4413B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438C2325" w14:textId="77777777" w:rsidTr="0037553B">
        <w:tc>
          <w:tcPr>
            <w:tcW w:w="3532" w:type="dxa"/>
          </w:tcPr>
          <w:p w14:paraId="73A55E3E" w14:textId="1CAE88B0" w:rsidR="00F2766E" w:rsidRPr="00845483" w:rsidRDefault="00F2766E" w:rsidP="00F2766E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5535" w:type="dxa"/>
          </w:tcPr>
          <w:p w14:paraId="2A1D5D2C" w14:textId="6EBE9663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1,343 (19.9)</w:t>
            </w:r>
          </w:p>
        </w:tc>
      </w:tr>
      <w:tr w:rsidR="00F2766E" w14:paraId="42B7B192" w14:textId="77777777" w:rsidTr="0037553B">
        <w:tc>
          <w:tcPr>
            <w:tcW w:w="3532" w:type="dxa"/>
          </w:tcPr>
          <w:p w14:paraId="1944A6E1" w14:textId="209C34A0" w:rsidR="00F2766E" w:rsidRPr="00845483" w:rsidRDefault="00F2766E" w:rsidP="00F2766E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</w:tcPr>
          <w:p w14:paraId="79C2D6CF" w14:textId="239B9DE4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1,223 (18.1)</w:t>
            </w:r>
          </w:p>
        </w:tc>
      </w:tr>
      <w:tr w:rsidR="00F2766E" w14:paraId="5163F324" w14:textId="77777777" w:rsidTr="0037553B">
        <w:tc>
          <w:tcPr>
            <w:tcW w:w="3532" w:type="dxa"/>
          </w:tcPr>
          <w:p w14:paraId="7EF51D77" w14:textId="2404FD69" w:rsidR="00F2766E" w:rsidRPr="00845483" w:rsidRDefault="00F2766E" w:rsidP="00F2766E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</w:tcPr>
          <w:p w14:paraId="1C786268" w14:textId="6E7A66DB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1,174 (17.4)</w:t>
            </w:r>
          </w:p>
        </w:tc>
      </w:tr>
      <w:tr w:rsidR="00F2766E" w14:paraId="5F88CBE8" w14:textId="77777777" w:rsidTr="0037553B">
        <w:tc>
          <w:tcPr>
            <w:tcW w:w="3532" w:type="dxa"/>
          </w:tcPr>
          <w:p w14:paraId="42FFD66A" w14:textId="68C8C4DC" w:rsidR="00F2766E" w:rsidRPr="00845483" w:rsidRDefault="00F2766E" w:rsidP="00F2766E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</w:tcPr>
          <w:p w14:paraId="6BD18283" w14:textId="79351BF0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1,290 (19.1)</w:t>
            </w:r>
          </w:p>
        </w:tc>
      </w:tr>
      <w:tr w:rsidR="00F2766E" w14:paraId="0B415F3A" w14:textId="77777777" w:rsidTr="0037553B">
        <w:tc>
          <w:tcPr>
            <w:tcW w:w="3532" w:type="dxa"/>
          </w:tcPr>
          <w:p w14:paraId="678E2073" w14:textId="057DB53C" w:rsidR="00F2766E" w:rsidRPr="00845483" w:rsidRDefault="00F2766E" w:rsidP="00F2766E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5535" w:type="dxa"/>
          </w:tcPr>
          <w:p w14:paraId="527FC8A6" w14:textId="429E79C4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1,577 (23.4)</w:t>
            </w:r>
          </w:p>
        </w:tc>
      </w:tr>
      <w:tr w:rsidR="00F2766E" w14:paraId="7AE13BBA" w14:textId="77777777" w:rsidTr="0037553B">
        <w:tc>
          <w:tcPr>
            <w:tcW w:w="3532" w:type="dxa"/>
          </w:tcPr>
          <w:p w14:paraId="6D6FDD0A" w14:textId="54B22C2B" w:rsidR="00F2766E" w:rsidRPr="00845483" w:rsidRDefault="00F2766E" w:rsidP="00F2766E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777FBF77" w14:textId="525550E6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148 (2.2)</w:t>
            </w:r>
          </w:p>
        </w:tc>
      </w:tr>
      <w:tr w:rsidR="00F2766E" w14:paraId="31DF6229" w14:textId="77777777" w:rsidTr="0037553B">
        <w:tc>
          <w:tcPr>
            <w:tcW w:w="3532" w:type="dxa"/>
          </w:tcPr>
          <w:p w14:paraId="5E1A9E6C" w14:textId="6BECBBC7" w:rsidR="00F2766E" w:rsidRDefault="00F2766E" w:rsidP="00F2766E">
            <w:pPr>
              <w:rPr>
                <w:lang w:val="en-US"/>
              </w:rPr>
            </w:pPr>
            <w:r>
              <w:rPr>
                <w:lang w:val="en-US"/>
              </w:rPr>
              <w:t>Households and dwellings quintile (ON-Marg)</w:t>
            </w:r>
          </w:p>
        </w:tc>
        <w:tc>
          <w:tcPr>
            <w:tcW w:w="5535" w:type="dxa"/>
          </w:tcPr>
          <w:p w14:paraId="3E3C7EF5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716DFC6F" w14:textId="77777777" w:rsidTr="0037553B">
        <w:tc>
          <w:tcPr>
            <w:tcW w:w="3532" w:type="dxa"/>
          </w:tcPr>
          <w:p w14:paraId="61C57A9C" w14:textId="73ECBA00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5535" w:type="dxa"/>
          </w:tcPr>
          <w:p w14:paraId="6FFDA9F5" w14:textId="5BA883D1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1,240 (18.4)</w:t>
            </w:r>
          </w:p>
        </w:tc>
      </w:tr>
      <w:tr w:rsidR="00F2766E" w14:paraId="46F0A46C" w14:textId="77777777" w:rsidTr="0037553B">
        <w:tc>
          <w:tcPr>
            <w:tcW w:w="3532" w:type="dxa"/>
          </w:tcPr>
          <w:p w14:paraId="237A25D6" w14:textId="6AD5BF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</w:tcPr>
          <w:p w14:paraId="200A51CB" w14:textId="251F3091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1,266 (18.7)</w:t>
            </w:r>
          </w:p>
        </w:tc>
      </w:tr>
      <w:tr w:rsidR="00F2766E" w14:paraId="0EB0B236" w14:textId="77777777" w:rsidTr="0037553B">
        <w:tc>
          <w:tcPr>
            <w:tcW w:w="3532" w:type="dxa"/>
          </w:tcPr>
          <w:p w14:paraId="18E0AE9C" w14:textId="3896F9BA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</w:tcPr>
          <w:p w14:paraId="7E97554F" w14:textId="12F72040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1,212 (17.9)</w:t>
            </w:r>
          </w:p>
        </w:tc>
      </w:tr>
      <w:tr w:rsidR="00F2766E" w14:paraId="0A50E599" w14:textId="77777777" w:rsidTr="0037553B">
        <w:tc>
          <w:tcPr>
            <w:tcW w:w="3532" w:type="dxa"/>
          </w:tcPr>
          <w:p w14:paraId="2BB1747F" w14:textId="2D9CFC43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</w:tcPr>
          <w:p w14:paraId="51CEEC6D" w14:textId="7A8654FA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1,299 (19.2)</w:t>
            </w:r>
          </w:p>
        </w:tc>
      </w:tr>
      <w:tr w:rsidR="00F2766E" w14:paraId="0DC0E4FA" w14:textId="77777777" w:rsidTr="0037553B">
        <w:tc>
          <w:tcPr>
            <w:tcW w:w="3532" w:type="dxa"/>
          </w:tcPr>
          <w:p w14:paraId="5C84C372" w14:textId="0E76F555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5535" w:type="dxa"/>
          </w:tcPr>
          <w:p w14:paraId="6C4AD456" w14:textId="04AE70C2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1,590 (23.5)</w:t>
            </w:r>
          </w:p>
        </w:tc>
      </w:tr>
      <w:tr w:rsidR="00F2766E" w14:paraId="5A6F4DEA" w14:textId="77777777" w:rsidTr="0037553B">
        <w:tc>
          <w:tcPr>
            <w:tcW w:w="3532" w:type="dxa"/>
          </w:tcPr>
          <w:p w14:paraId="3C1CF681" w14:textId="332882C4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3E2988BB" w14:textId="342D6D33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(2.2)</w:t>
            </w:r>
          </w:p>
        </w:tc>
      </w:tr>
      <w:tr w:rsidR="00F2766E" w14:paraId="0910032C" w14:textId="77777777" w:rsidTr="0037553B">
        <w:tc>
          <w:tcPr>
            <w:tcW w:w="3532" w:type="dxa"/>
          </w:tcPr>
          <w:p w14:paraId="7B0CFDFE" w14:textId="77D77114" w:rsidR="00F2766E" w:rsidRDefault="00F2766E" w:rsidP="00F2766E">
            <w:pPr>
              <w:rPr>
                <w:lang w:val="en-US"/>
              </w:rPr>
            </w:pPr>
            <w:r>
              <w:rPr>
                <w:lang w:val="en-US"/>
              </w:rPr>
              <w:t>Age and labour quintile (ON-Marg)</w:t>
            </w:r>
          </w:p>
        </w:tc>
        <w:tc>
          <w:tcPr>
            <w:tcW w:w="5535" w:type="dxa"/>
          </w:tcPr>
          <w:p w14:paraId="3C79005F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6CD1C773" w14:textId="77777777" w:rsidTr="0037553B">
        <w:tc>
          <w:tcPr>
            <w:tcW w:w="3532" w:type="dxa"/>
          </w:tcPr>
          <w:p w14:paraId="46566D79" w14:textId="447733B0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5535" w:type="dxa"/>
          </w:tcPr>
          <w:p w14:paraId="7CB2A786" w14:textId="18C2939E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1,790 (26.5)</w:t>
            </w:r>
          </w:p>
        </w:tc>
      </w:tr>
      <w:tr w:rsidR="00F2766E" w14:paraId="60930F5D" w14:textId="77777777" w:rsidTr="0037553B">
        <w:tc>
          <w:tcPr>
            <w:tcW w:w="3532" w:type="dxa"/>
          </w:tcPr>
          <w:p w14:paraId="46DD65B6" w14:textId="21DD8EF4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</w:tcPr>
          <w:p w14:paraId="3693D65A" w14:textId="6B1DD16D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1,329 (19.7)</w:t>
            </w:r>
          </w:p>
        </w:tc>
      </w:tr>
      <w:tr w:rsidR="00F2766E" w14:paraId="16710C4A" w14:textId="77777777" w:rsidTr="0037553B">
        <w:tc>
          <w:tcPr>
            <w:tcW w:w="3532" w:type="dxa"/>
          </w:tcPr>
          <w:p w14:paraId="04C1465E" w14:textId="575EFB50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</w:tcPr>
          <w:p w14:paraId="05B546FD" w14:textId="207984FD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1,166 (17.3)</w:t>
            </w:r>
          </w:p>
        </w:tc>
      </w:tr>
      <w:tr w:rsidR="00F2766E" w14:paraId="45748EF8" w14:textId="77777777" w:rsidTr="0037553B">
        <w:tc>
          <w:tcPr>
            <w:tcW w:w="3532" w:type="dxa"/>
          </w:tcPr>
          <w:p w14:paraId="09F12517" w14:textId="35582A38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</w:tcPr>
          <w:p w14:paraId="03288B4C" w14:textId="66D5ECC8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1,089 (16.1)</w:t>
            </w:r>
          </w:p>
        </w:tc>
      </w:tr>
      <w:tr w:rsidR="00F2766E" w14:paraId="4CF80F10" w14:textId="77777777" w:rsidTr="0037553B">
        <w:tc>
          <w:tcPr>
            <w:tcW w:w="3532" w:type="dxa"/>
          </w:tcPr>
          <w:p w14:paraId="239D87F4" w14:textId="17D29B61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5535" w:type="dxa"/>
          </w:tcPr>
          <w:p w14:paraId="6D756D89" w14:textId="54D6BC1E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1,233 (18.3)</w:t>
            </w:r>
          </w:p>
        </w:tc>
      </w:tr>
      <w:tr w:rsidR="00F2766E" w14:paraId="75C48800" w14:textId="77777777" w:rsidTr="0037553B">
        <w:tc>
          <w:tcPr>
            <w:tcW w:w="3532" w:type="dxa"/>
          </w:tcPr>
          <w:p w14:paraId="6366C109" w14:textId="6DA96FCB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78086982" w14:textId="6D3EC8BF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(2.2)</w:t>
            </w:r>
          </w:p>
        </w:tc>
      </w:tr>
      <w:tr w:rsidR="00F2766E" w14:paraId="584C6B03" w14:textId="77777777" w:rsidTr="0037553B">
        <w:tc>
          <w:tcPr>
            <w:tcW w:w="3532" w:type="dxa"/>
          </w:tcPr>
          <w:p w14:paraId="4FD1F1E0" w14:textId="77777777" w:rsidR="00F2766E" w:rsidRDefault="00F2766E" w:rsidP="00F2766E">
            <w:pPr>
              <w:rPr>
                <w:lang w:val="en-US"/>
              </w:rPr>
            </w:pPr>
            <w:r w:rsidRPr="00845483">
              <w:rPr>
                <w:i/>
                <w:lang w:val="en-US"/>
              </w:rPr>
              <w:t>Housing</w:t>
            </w:r>
          </w:p>
        </w:tc>
        <w:tc>
          <w:tcPr>
            <w:tcW w:w="5535" w:type="dxa"/>
          </w:tcPr>
          <w:p w14:paraId="4438F644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5CBF3501" w14:textId="77777777" w:rsidTr="0037553B">
        <w:tc>
          <w:tcPr>
            <w:tcW w:w="3532" w:type="dxa"/>
          </w:tcPr>
          <w:p w14:paraId="06B249E7" w14:textId="77777777" w:rsidR="00F2766E" w:rsidRDefault="00F2766E" w:rsidP="00F2766E">
            <w:pPr>
              <w:rPr>
                <w:lang w:val="en-US"/>
              </w:rPr>
            </w:pPr>
            <w:r>
              <w:rPr>
                <w:lang w:val="en-US"/>
              </w:rPr>
              <w:t>Multi-generational families quintile</w:t>
            </w:r>
          </w:p>
        </w:tc>
        <w:tc>
          <w:tcPr>
            <w:tcW w:w="5535" w:type="dxa"/>
          </w:tcPr>
          <w:p w14:paraId="00C9E768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53D5BF21" w14:textId="77777777" w:rsidTr="0037553B">
        <w:tc>
          <w:tcPr>
            <w:tcW w:w="3532" w:type="dxa"/>
          </w:tcPr>
          <w:p w14:paraId="2E61585C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5535" w:type="dxa"/>
          </w:tcPr>
          <w:p w14:paraId="67877D10" w14:textId="6E21AABE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1,366 (20.2)</w:t>
            </w:r>
          </w:p>
        </w:tc>
      </w:tr>
      <w:tr w:rsidR="00F2766E" w14:paraId="182EFBB2" w14:textId="77777777" w:rsidTr="0037553B">
        <w:tc>
          <w:tcPr>
            <w:tcW w:w="3532" w:type="dxa"/>
          </w:tcPr>
          <w:p w14:paraId="4A12398B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</w:tcPr>
          <w:p w14:paraId="38365A32" w14:textId="1CA028A5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1,041 (15.4)</w:t>
            </w:r>
          </w:p>
        </w:tc>
      </w:tr>
      <w:tr w:rsidR="00F2766E" w14:paraId="63CC5EE4" w14:textId="77777777" w:rsidTr="0037553B">
        <w:tc>
          <w:tcPr>
            <w:tcW w:w="3532" w:type="dxa"/>
          </w:tcPr>
          <w:p w14:paraId="5D7A92BC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</w:tcPr>
          <w:p w14:paraId="425C238B" w14:textId="474411E4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1,387 (20.5)</w:t>
            </w:r>
          </w:p>
        </w:tc>
      </w:tr>
      <w:tr w:rsidR="00F2766E" w14:paraId="6A9574D7" w14:textId="77777777" w:rsidTr="0037553B">
        <w:tc>
          <w:tcPr>
            <w:tcW w:w="3532" w:type="dxa"/>
          </w:tcPr>
          <w:p w14:paraId="3261310A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</w:tcPr>
          <w:p w14:paraId="55A308CD" w14:textId="196F2A6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1,449 (21.5)</w:t>
            </w:r>
          </w:p>
        </w:tc>
      </w:tr>
      <w:tr w:rsidR="00F2766E" w14:paraId="51D4405D" w14:textId="77777777" w:rsidTr="0037553B">
        <w:tc>
          <w:tcPr>
            <w:tcW w:w="3532" w:type="dxa"/>
          </w:tcPr>
          <w:p w14:paraId="02B04A2E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5535" w:type="dxa"/>
          </w:tcPr>
          <w:p w14:paraId="401A73AB" w14:textId="58BA6B56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1,406 (20.8)</w:t>
            </w:r>
          </w:p>
        </w:tc>
      </w:tr>
      <w:tr w:rsidR="00F2766E" w14:paraId="78E32B37" w14:textId="77777777" w:rsidTr="0037553B">
        <w:tc>
          <w:tcPr>
            <w:tcW w:w="3532" w:type="dxa"/>
          </w:tcPr>
          <w:p w14:paraId="56B60713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203A5532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(1.6)</w:t>
            </w:r>
          </w:p>
        </w:tc>
      </w:tr>
      <w:tr w:rsidR="00F2766E" w14:paraId="60253B0D" w14:textId="77777777" w:rsidTr="0037553B">
        <w:tc>
          <w:tcPr>
            <w:tcW w:w="3532" w:type="dxa"/>
          </w:tcPr>
          <w:p w14:paraId="3DFDC4D5" w14:textId="012C1035" w:rsidR="00F2766E" w:rsidRDefault="00F2766E" w:rsidP="00F2766E">
            <w:pPr>
              <w:rPr>
                <w:lang w:val="en-US"/>
              </w:rPr>
            </w:pPr>
            <w:r>
              <w:rPr>
                <w:lang w:val="en-US"/>
              </w:rPr>
              <w:t>Unsuitable housing quartile</w:t>
            </w:r>
            <w:r w:rsidR="001A2928" w:rsidRPr="001A2928">
              <w:rPr>
                <w:vertAlign w:val="superscript"/>
                <w:lang w:val="en-US"/>
              </w:rPr>
              <w:t>a</w:t>
            </w:r>
          </w:p>
        </w:tc>
        <w:tc>
          <w:tcPr>
            <w:tcW w:w="5535" w:type="dxa"/>
          </w:tcPr>
          <w:p w14:paraId="4B74EFED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1830FBAA" w14:textId="77777777" w:rsidTr="0037553B">
        <w:tc>
          <w:tcPr>
            <w:tcW w:w="3532" w:type="dxa"/>
          </w:tcPr>
          <w:p w14:paraId="0F574767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5535" w:type="dxa"/>
            <w:vAlign w:val="center"/>
          </w:tcPr>
          <w:p w14:paraId="225B008E" w14:textId="02B4ABBF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1,959 (29.0)</w:t>
            </w:r>
          </w:p>
        </w:tc>
      </w:tr>
      <w:tr w:rsidR="00F2766E" w14:paraId="5BD92489" w14:textId="77777777" w:rsidTr="0037553B">
        <w:tc>
          <w:tcPr>
            <w:tcW w:w="3532" w:type="dxa"/>
          </w:tcPr>
          <w:p w14:paraId="2A336574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  <w:vAlign w:val="center"/>
          </w:tcPr>
          <w:p w14:paraId="10C7CB91" w14:textId="682D6845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1,087 (16.1)</w:t>
            </w:r>
          </w:p>
        </w:tc>
      </w:tr>
      <w:tr w:rsidR="00F2766E" w14:paraId="5C8E8E0B" w14:textId="77777777" w:rsidTr="0037553B">
        <w:tc>
          <w:tcPr>
            <w:tcW w:w="3532" w:type="dxa"/>
          </w:tcPr>
          <w:p w14:paraId="345B71B7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  <w:vAlign w:val="center"/>
          </w:tcPr>
          <w:p w14:paraId="33263A12" w14:textId="31060D84" w:rsidR="00F2766E" w:rsidRDefault="00F2766E" w:rsidP="00F2766E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1,675 (24.8)</w:t>
            </w:r>
          </w:p>
        </w:tc>
      </w:tr>
      <w:tr w:rsidR="00F2766E" w14:paraId="57A8CF4A" w14:textId="77777777" w:rsidTr="0037553B">
        <w:tc>
          <w:tcPr>
            <w:tcW w:w="3532" w:type="dxa"/>
          </w:tcPr>
          <w:p w14:paraId="63EC1D1A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Q4 (largest)</w:t>
            </w:r>
          </w:p>
        </w:tc>
        <w:tc>
          <w:tcPr>
            <w:tcW w:w="5535" w:type="dxa"/>
            <w:vAlign w:val="center"/>
          </w:tcPr>
          <w:p w14:paraId="742557DE" w14:textId="50414164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1,928 (28.5)</w:t>
            </w:r>
          </w:p>
        </w:tc>
      </w:tr>
      <w:tr w:rsidR="00F2766E" w14:paraId="37B581D5" w14:textId="77777777" w:rsidTr="0037553B">
        <w:tc>
          <w:tcPr>
            <w:tcW w:w="3532" w:type="dxa"/>
          </w:tcPr>
          <w:p w14:paraId="02253C9A" w14:textId="77777777" w:rsidR="00F2766E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  <w:vAlign w:val="center"/>
          </w:tcPr>
          <w:p w14:paraId="699296F1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(1.6)</w:t>
            </w:r>
          </w:p>
        </w:tc>
      </w:tr>
      <w:tr w:rsidR="00F2766E" w14:paraId="03C7A4A6" w14:textId="77777777" w:rsidTr="0037553B">
        <w:tc>
          <w:tcPr>
            <w:tcW w:w="3532" w:type="dxa"/>
          </w:tcPr>
          <w:p w14:paraId="49429089" w14:textId="77777777" w:rsidR="00F2766E" w:rsidRPr="002D2E8D" w:rsidRDefault="00F2766E" w:rsidP="00F2766E">
            <w:pPr>
              <w:rPr>
                <w:lang w:val="en-US"/>
              </w:rPr>
            </w:pPr>
            <w:r w:rsidRPr="002D2E8D">
              <w:rPr>
                <w:lang w:val="en-US"/>
              </w:rPr>
              <w:t>Average dwelling sizes quintile</w:t>
            </w:r>
          </w:p>
        </w:tc>
        <w:tc>
          <w:tcPr>
            <w:tcW w:w="5535" w:type="dxa"/>
          </w:tcPr>
          <w:p w14:paraId="19AFAE8A" w14:textId="77777777" w:rsidR="00F2766E" w:rsidRDefault="00F2766E" w:rsidP="00F2766E">
            <w:pPr>
              <w:jc w:val="center"/>
              <w:rPr>
                <w:lang w:val="en-US"/>
              </w:rPr>
            </w:pPr>
          </w:p>
        </w:tc>
      </w:tr>
      <w:tr w:rsidR="00F2766E" w14:paraId="5AF794ED" w14:textId="77777777" w:rsidTr="0037553B">
        <w:tc>
          <w:tcPr>
            <w:tcW w:w="3532" w:type="dxa"/>
          </w:tcPr>
          <w:p w14:paraId="1D0436D8" w14:textId="77777777" w:rsidR="00F2766E" w:rsidRPr="002D2E8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5535" w:type="dxa"/>
          </w:tcPr>
          <w:p w14:paraId="45B8BB55" w14:textId="72767B42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1,191 (17.6)</w:t>
            </w:r>
          </w:p>
        </w:tc>
      </w:tr>
      <w:tr w:rsidR="00F2766E" w14:paraId="71A6315A" w14:textId="77777777" w:rsidTr="0037553B">
        <w:tc>
          <w:tcPr>
            <w:tcW w:w="3532" w:type="dxa"/>
          </w:tcPr>
          <w:p w14:paraId="67193B43" w14:textId="77777777" w:rsidR="00F2766E" w:rsidRPr="002D2E8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</w:tcPr>
          <w:p w14:paraId="4E035A26" w14:textId="46637C53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1,234 (18.3)</w:t>
            </w:r>
          </w:p>
        </w:tc>
      </w:tr>
      <w:tr w:rsidR="00F2766E" w14:paraId="5CB6B64F" w14:textId="77777777" w:rsidTr="0037553B">
        <w:tc>
          <w:tcPr>
            <w:tcW w:w="3532" w:type="dxa"/>
          </w:tcPr>
          <w:p w14:paraId="0FC049D3" w14:textId="77777777" w:rsidR="00F2766E" w:rsidRPr="002D2E8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</w:tcPr>
          <w:p w14:paraId="5EDCEE81" w14:textId="71A564F9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1,476 (21.9)</w:t>
            </w:r>
          </w:p>
        </w:tc>
      </w:tr>
      <w:tr w:rsidR="00F2766E" w14:paraId="0DD4B2C5" w14:textId="77777777" w:rsidTr="0037553B">
        <w:tc>
          <w:tcPr>
            <w:tcW w:w="3532" w:type="dxa"/>
          </w:tcPr>
          <w:p w14:paraId="687CE0AB" w14:textId="77777777" w:rsidR="00F2766E" w:rsidRPr="002D2E8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</w:tcPr>
          <w:p w14:paraId="19C3F683" w14:textId="711FA914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1,123 (16.6)</w:t>
            </w:r>
          </w:p>
        </w:tc>
      </w:tr>
      <w:tr w:rsidR="00F2766E" w14:paraId="1D0BC220" w14:textId="77777777" w:rsidTr="0037553B">
        <w:tc>
          <w:tcPr>
            <w:tcW w:w="3532" w:type="dxa"/>
          </w:tcPr>
          <w:p w14:paraId="33DAE55E" w14:textId="77777777" w:rsidR="00F2766E" w:rsidRPr="002D2E8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5535" w:type="dxa"/>
          </w:tcPr>
          <w:p w14:paraId="6F9E0AA8" w14:textId="66A65195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1,626 (24.1)</w:t>
            </w:r>
          </w:p>
        </w:tc>
      </w:tr>
      <w:tr w:rsidR="00F2766E" w14:paraId="7E985449" w14:textId="77777777" w:rsidTr="0037553B">
        <w:tc>
          <w:tcPr>
            <w:tcW w:w="3532" w:type="dxa"/>
          </w:tcPr>
          <w:p w14:paraId="6722F919" w14:textId="77777777" w:rsidR="00F2766E" w:rsidRPr="002D2E8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43BB2C1E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9C3">
              <w:rPr>
                <w:rFonts w:ascii="Calibri" w:hAnsi="Calibri" w:cs="Calibri"/>
                <w:color w:val="000000"/>
              </w:rPr>
              <w:t>105 (1.6)</w:t>
            </w:r>
          </w:p>
        </w:tc>
      </w:tr>
      <w:tr w:rsidR="00F2766E" w14:paraId="7157AA12" w14:textId="77777777" w:rsidTr="0037553B">
        <w:tc>
          <w:tcPr>
            <w:tcW w:w="3532" w:type="dxa"/>
          </w:tcPr>
          <w:p w14:paraId="34E6691C" w14:textId="77777777" w:rsidR="00F2766E" w:rsidRPr="000E7D6D" w:rsidRDefault="00F2766E" w:rsidP="00F2766E">
            <w:pPr>
              <w:rPr>
                <w:lang w:val="en-US"/>
              </w:rPr>
            </w:pPr>
            <w:r>
              <w:rPr>
                <w:lang w:val="en-US"/>
              </w:rPr>
              <w:t>Household with persons under 5 years old quintile</w:t>
            </w:r>
          </w:p>
        </w:tc>
        <w:tc>
          <w:tcPr>
            <w:tcW w:w="5535" w:type="dxa"/>
          </w:tcPr>
          <w:p w14:paraId="065B22EE" w14:textId="77777777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766E" w14:paraId="0D443DA6" w14:textId="77777777" w:rsidTr="0037553B">
        <w:tc>
          <w:tcPr>
            <w:tcW w:w="3532" w:type="dxa"/>
          </w:tcPr>
          <w:p w14:paraId="4B247BC9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lastRenderedPageBreak/>
              <w:t>Q1 (fewest)</w:t>
            </w:r>
          </w:p>
        </w:tc>
        <w:tc>
          <w:tcPr>
            <w:tcW w:w="5535" w:type="dxa"/>
            <w:vAlign w:val="center"/>
          </w:tcPr>
          <w:p w14:paraId="51ADA29D" w14:textId="77777777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 (14.5)</w:t>
            </w:r>
          </w:p>
        </w:tc>
      </w:tr>
      <w:tr w:rsidR="00F2766E" w14:paraId="6728F97A" w14:textId="77777777" w:rsidTr="0037553B">
        <w:tc>
          <w:tcPr>
            <w:tcW w:w="3532" w:type="dxa"/>
          </w:tcPr>
          <w:p w14:paraId="0DFDD044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5535" w:type="dxa"/>
            <w:vAlign w:val="center"/>
          </w:tcPr>
          <w:p w14:paraId="5D2B74B4" w14:textId="1594C1EF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1,064 (15.8)</w:t>
            </w:r>
          </w:p>
        </w:tc>
      </w:tr>
      <w:tr w:rsidR="00F2766E" w14:paraId="47B28DD6" w14:textId="77777777" w:rsidTr="0037553B">
        <w:tc>
          <w:tcPr>
            <w:tcW w:w="3532" w:type="dxa"/>
          </w:tcPr>
          <w:p w14:paraId="29F7A03A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5535" w:type="dxa"/>
            <w:vAlign w:val="center"/>
          </w:tcPr>
          <w:p w14:paraId="1BCAA1EC" w14:textId="06E0AA85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1,168 (17.3)</w:t>
            </w:r>
          </w:p>
        </w:tc>
      </w:tr>
      <w:tr w:rsidR="00F2766E" w14:paraId="69C8A1A4" w14:textId="77777777" w:rsidTr="0037553B">
        <w:tc>
          <w:tcPr>
            <w:tcW w:w="3532" w:type="dxa"/>
          </w:tcPr>
          <w:p w14:paraId="27F81FF0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5535" w:type="dxa"/>
            <w:vAlign w:val="center"/>
          </w:tcPr>
          <w:p w14:paraId="74EE01D1" w14:textId="73FA68BC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1,360 (20.1)</w:t>
            </w:r>
          </w:p>
        </w:tc>
      </w:tr>
      <w:tr w:rsidR="00F2766E" w14:paraId="30BB74A3" w14:textId="77777777" w:rsidTr="0037553B">
        <w:tc>
          <w:tcPr>
            <w:tcW w:w="3532" w:type="dxa"/>
          </w:tcPr>
          <w:p w14:paraId="50EDEE03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5535" w:type="dxa"/>
            <w:vAlign w:val="center"/>
          </w:tcPr>
          <w:p w14:paraId="52D0D656" w14:textId="6890EBE1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2,078 (30.8)</w:t>
            </w:r>
          </w:p>
        </w:tc>
      </w:tr>
      <w:tr w:rsidR="00F2766E" w14:paraId="14AB1993" w14:textId="77777777" w:rsidTr="0037553B">
        <w:tc>
          <w:tcPr>
            <w:tcW w:w="3532" w:type="dxa"/>
          </w:tcPr>
          <w:p w14:paraId="2276716D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  <w:vAlign w:val="center"/>
          </w:tcPr>
          <w:p w14:paraId="34EA1EC4" w14:textId="77777777" w:rsidR="00F2766E" w:rsidRPr="009349C3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(1.6)</w:t>
            </w:r>
          </w:p>
        </w:tc>
      </w:tr>
      <w:tr w:rsidR="00F2766E" w14:paraId="17139005" w14:textId="77777777" w:rsidTr="0037553B">
        <w:tc>
          <w:tcPr>
            <w:tcW w:w="3532" w:type="dxa"/>
          </w:tcPr>
          <w:p w14:paraId="0300E41D" w14:textId="77777777" w:rsidR="00F2766E" w:rsidRPr="000E7D6D" w:rsidRDefault="00F2766E" w:rsidP="00F2766E">
            <w:pPr>
              <w:rPr>
                <w:lang w:val="en-US"/>
              </w:rPr>
            </w:pPr>
            <w:r>
              <w:rPr>
                <w:lang w:val="en-US"/>
              </w:rPr>
              <w:t>Rurality</w:t>
            </w:r>
          </w:p>
        </w:tc>
        <w:tc>
          <w:tcPr>
            <w:tcW w:w="5535" w:type="dxa"/>
            <w:vAlign w:val="center"/>
          </w:tcPr>
          <w:p w14:paraId="543BD97E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766E" w14:paraId="43FF317A" w14:textId="77777777" w:rsidTr="0037553B">
        <w:tc>
          <w:tcPr>
            <w:tcW w:w="3532" w:type="dxa"/>
          </w:tcPr>
          <w:p w14:paraId="6488C0BE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Rural </w:t>
            </w:r>
          </w:p>
        </w:tc>
        <w:tc>
          <w:tcPr>
            <w:tcW w:w="5535" w:type="dxa"/>
          </w:tcPr>
          <w:p w14:paraId="6D572A50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9C3">
              <w:rPr>
                <w:rFonts w:ascii="Calibri" w:hAnsi="Calibri" w:cs="Calibri"/>
                <w:color w:val="000000"/>
              </w:rPr>
              <w:t>962 (14.2)</w:t>
            </w:r>
          </w:p>
        </w:tc>
      </w:tr>
      <w:tr w:rsidR="00F2766E" w14:paraId="780F5C82" w14:textId="77777777" w:rsidTr="0037553B">
        <w:tc>
          <w:tcPr>
            <w:tcW w:w="3532" w:type="dxa"/>
          </w:tcPr>
          <w:p w14:paraId="3019FD3F" w14:textId="052A34FB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Urban</w:t>
            </w:r>
          </w:p>
        </w:tc>
        <w:tc>
          <w:tcPr>
            <w:tcW w:w="5535" w:type="dxa"/>
          </w:tcPr>
          <w:p w14:paraId="70153140" w14:textId="1AB6130C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9C3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9349C3">
              <w:rPr>
                <w:rFonts w:ascii="Calibri" w:hAnsi="Calibri" w:cs="Calibri"/>
                <w:color w:val="000000"/>
              </w:rPr>
              <w:t>790 (85.7)</w:t>
            </w:r>
          </w:p>
        </w:tc>
      </w:tr>
      <w:tr w:rsidR="00F2766E" w14:paraId="0140E624" w14:textId="77777777" w:rsidTr="0037553B">
        <w:tc>
          <w:tcPr>
            <w:tcW w:w="3532" w:type="dxa"/>
          </w:tcPr>
          <w:p w14:paraId="005CD59A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5535" w:type="dxa"/>
          </w:tcPr>
          <w:p w14:paraId="047B177E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9C3">
              <w:rPr>
                <w:rFonts w:ascii="Calibri" w:hAnsi="Calibri" w:cs="Calibri"/>
                <w:color w:val="000000"/>
              </w:rPr>
              <w:t>3 (0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Pr="009349C3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2766E" w14:paraId="7FC7E424" w14:textId="77777777" w:rsidTr="0037553B">
        <w:tc>
          <w:tcPr>
            <w:tcW w:w="3532" w:type="dxa"/>
          </w:tcPr>
          <w:p w14:paraId="31C998C1" w14:textId="77777777" w:rsidR="00F2766E" w:rsidRPr="000E7D6D" w:rsidRDefault="00F2766E" w:rsidP="00F2766E">
            <w:pPr>
              <w:rPr>
                <w:lang w:val="en-US"/>
              </w:rPr>
            </w:pPr>
            <w:r w:rsidRPr="006D514E">
              <w:rPr>
                <w:lang w:val="en-US"/>
              </w:rPr>
              <w:t>Public Health Regio</w:t>
            </w:r>
            <w:r>
              <w:rPr>
                <w:lang w:val="en-US"/>
              </w:rPr>
              <w:t>n</w:t>
            </w:r>
          </w:p>
        </w:tc>
        <w:tc>
          <w:tcPr>
            <w:tcW w:w="5535" w:type="dxa"/>
          </w:tcPr>
          <w:p w14:paraId="1DF5F515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766E" w14:paraId="39AC914D" w14:textId="77777777" w:rsidTr="0037553B">
        <w:tc>
          <w:tcPr>
            <w:tcW w:w="3532" w:type="dxa"/>
          </w:tcPr>
          <w:p w14:paraId="32883E27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Central East</w:t>
            </w:r>
          </w:p>
        </w:tc>
        <w:tc>
          <w:tcPr>
            <w:tcW w:w="5535" w:type="dxa"/>
          </w:tcPr>
          <w:p w14:paraId="2FC5286C" w14:textId="560573F2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1,863 (27.6)</w:t>
            </w:r>
          </w:p>
        </w:tc>
      </w:tr>
      <w:tr w:rsidR="00F2766E" w14:paraId="4870D994" w14:textId="77777777" w:rsidTr="0037553B">
        <w:tc>
          <w:tcPr>
            <w:tcW w:w="3532" w:type="dxa"/>
          </w:tcPr>
          <w:p w14:paraId="2C4EF730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Central West</w:t>
            </w:r>
          </w:p>
        </w:tc>
        <w:tc>
          <w:tcPr>
            <w:tcW w:w="5535" w:type="dxa"/>
          </w:tcPr>
          <w:p w14:paraId="6C6DB976" w14:textId="2A3DFAC9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1,779 (26.3)</w:t>
            </w:r>
          </w:p>
        </w:tc>
      </w:tr>
      <w:tr w:rsidR="00F2766E" w14:paraId="65F04D74" w14:textId="77777777" w:rsidTr="0037553B">
        <w:tc>
          <w:tcPr>
            <w:tcW w:w="3532" w:type="dxa"/>
          </w:tcPr>
          <w:p w14:paraId="2C57EA65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East </w:t>
            </w:r>
          </w:p>
        </w:tc>
        <w:tc>
          <w:tcPr>
            <w:tcW w:w="5535" w:type="dxa"/>
          </w:tcPr>
          <w:p w14:paraId="43C7E02F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(13.0)</w:t>
            </w:r>
          </w:p>
        </w:tc>
      </w:tr>
      <w:tr w:rsidR="00F2766E" w14:paraId="468F1B49" w14:textId="77777777" w:rsidTr="0037553B">
        <w:tc>
          <w:tcPr>
            <w:tcW w:w="3532" w:type="dxa"/>
          </w:tcPr>
          <w:p w14:paraId="4ED847F0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North East</w:t>
            </w:r>
          </w:p>
        </w:tc>
        <w:tc>
          <w:tcPr>
            <w:tcW w:w="5535" w:type="dxa"/>
          </w:tcPr>
          <w:p w14:paraId="5A4C9222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(3.0)</w:t>
            </w:r>
          </w:p>
        </w:tc>
      </w:tr>
      <w:tr w:rsidR="00F2766E" w14:paraId="6D1774B4" w14:textId="77777777" w:rsidTr="0037553B">
        <w:tc>
          <w:tcPr>
            <w:tcW w:w="3532" w:type="dxa"/>
          </w:tcPr>
          <w:p w14:paraId="7B169FCD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North West</w:t>
            </w:r>
          </w:p>
        </w:tc>
        <w:tc>
          <w:tcPr>
            <w:tcW w:w="5535" w:type="dxa"/>
          </w:tcPr>
          <w:p w14:paraId="2DFD64F9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(1.9)</w:t>
            </w:r>
          </w:p>
        </w:tc>
      </w:tr>
      <w:tr w:rsidR="00F2766E" w14:paraId="54CFB8DF" w14:textId="77777777" w:rsidTr="0037553B">
        <w:tc>
          <w:tcPr>
            <w:tcW w:w="3532" w:type="dxa"/>
          </w:tcPr>
          <w:p w14:paraId="37E50BD6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South West</w:t>
            </w:r>
          </w:p>
        </w:tc>
        <w:tc>
          <w:tcPr>
            <w:tcW w:w="5535" w:type="dxa"/>
          </w:tcPr>
          <w:p w14:paraId="6903E0B0" w14:textId="77777777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 (11.7)</w:t>
            </w:r>
          </w:p>
        </w:tc>
      </w:tr>
      <w:tr w:rsidR="00F2766E" w14:paraId="1A19B8A3" w14:textId="77777777" w:rsidTr="0037553B">
        <w:tc>
          <w:tcPr>
            <w:tcW w:w="3532" w:type="dxa"/>
          </w:tcPr>
          <w:p w14:paraId="3FF4234B" w14:textId="77777777" w:rsidR="00F2766E" w:rsidRPr="000E7D6D" w:rsidRDefault="00F2766E" w:rsidP="00F2766E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Toronto</w:t>
            </w:r>
          </w:p>
        </w:tc>
        <w:tc>
          <w:tcPr>
            <w:tcW w:w="5535" w:type="dxa"/>
          </w:tcPr>
          <w:p w14:paraId="13FADDC0" w14:textId="26CAABC4" w:rsidR="00F2766E" w:rsidRDefault="00F2766E" w:rsidP="00F27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1,107 (16.4)</w:t>
            </w:r>
          </w:p>
        </w:tc>
      </w:tr>
    </w:tbl>
    <w:p w14:paraId="1AF53A3E" w14:textId="53163670" w:rsidR="00D27699" w:rsidRDefault="001A2928" w:rsidP="00D27699">
      <w:pPr>
        <w:rPr>
          <w:lang w:val="en-US"/>
        </w:rPr>
      </w:pPr>
      <w:r>
        <w:rPr>
          <w:i/>
          <w:vertAlign w:val="superscript"/>
          <w:lang w:val="en-US"/>
        </w:rPr>
        <w:t>a</w:t>
      </w:r>
      <w:r w:rsidR="0037553B">
        <w:rPr>
          <w:i/>
          <w:vertAlign w:val="superscript"/>
          <w:lang w:val="en-US"/>
        </w:rPr>
        <w:t xml:space="preserve"> </w:t>
      </w:r>
      <w:r w:rsidR="00173B1A" w:rsidRPr="0084540D">
        <w:rPr>
          <w:lang w:val="en-US"/>
        </w:rPr>
        <w:t xml:space="preserve">Unsuitable housing refers to </w:t>
      </w:r>
      <w:r w:rsidR="00173B1A">
        <w:rPr>
          <w:lang w:val="en-US"/>
        </w:rPr>
        <w:t xml:space="preserve">having </w:t>
      </w:r>
      <w:r w:rsidR="00325458">
        <w:rPr>
          <w:lang w:val="en-US"/>
        </w:rPr>
        <w:t>fewer</w:t>
      </w:r>
      <w:r w:rsidR="00CF21FA" w:rsidRPr="00CF21FA">
        <w:rPr>
          <w:lang w:val="en-US"/>
        </w:rPr>
        <w:t xml:space="preserve"> bedrooms for the size and composition of the household</w:t>
      </w:r>
      <w:r w:rsidR="00173B1A" w:rsidRPr="0084540D">
        <w:rPr>
          <w:lang w:val="en-US"/>
        </w:rPr>
        <w:t>, according to the National Occupancy Standard</w:t>
      </w:r>
      <w:r w:rsidR="0037553B" w:rsidRPr="0084540D">
        <w:rPr>
          <w:lang w:val="en-US"/>
        </w:rPr>
        <w:t>. Unsuitable housing is divided into quartiles due to disproportionate distribution of cases when in quintiles</w:t>
      </w:r>
      <w:r w:rsidR="00D27699">
        <w:rPr>
          <w:lang w:val="en-US"/>
        </w:rPr>
        <w:t>.</w:t>
      </w:r>
    </w:p>
    <w:p w14:paraId="78614682" w14:textId="77777777" w:rsidR="00D27699" w:rsidRDefault="00D27699" w:rsidP="00D27699">
      <w:pPr>
        <w:rPr>
          <w:lang w:val="en-US"/>
        </w:rPr>
      </w:pPr>
    </w:p>
    <w:p w14:paraId="7CFF33FE" w14:textId="77777777" w:rsidR="004C5709" w:rsidRDefault="004C5709" w:rsidP="00D27699">
      <w:pPr>
        <w:rPr>
          <w:lang w:val="en-US"/>
        </w:rPr>
      </w:pPr>
    </w:p>
    <w:p w14:paraId="2D119E0C" w14:textId="77777777" w:rsidR="004C5709" w:rsidRDefault="004C5709" w:rsidP="00D27699">
      <w:pPr>
        <w:rPr>
          <w:lang w:val="en-US"/>
        </w:rPr>
      </w:pPr>
    </w:p>
    <w:p w14:paraId="62CDAEF7" w14:textId="77777777" w:rsidR="004C5709" w:rsidRDefault="004C5709" w:rsidP="00D27699">
      <w:pPr>
        <w:rPr>
          <w:lang w:val="en-US"/>
        </w:rPr>
      </w:pPr>
    </w:p>
    <w:p w14:paraId="23BF25AB" w14:textId="77777777" w:rsidR="004C5709" w:rsidRDefault="004C5709" w:rsidP="00D27699">
      <w:pPr>
        <w:rPr>
          <w:lang w:val="en-US"/>
        </w:rPr>
      </w:pPr>
    </w:p>
    <w:p w14:paraId="74B83CE1" w14:textId="77777777" w:rsidR="004C5709" w:rsidRDefault="004C5709" w:rsidP="00D27699">
      <w:pPr>
        <w:rPr>
          <w:lang w:val="en-US"/>
        </w:rPr>
      </w:pPr>
    </w:p>
    <w:p w14:paraId="53DCAD9D" w14:textId="77777777" w:rsidR="004C5709" w:rsidRDefault="004C5709" w:rsidP="00D27699">
      <w:pPr>
        <w:rPr>
          <w:lang w:val="en-US"/>
        </w:rPr>
      </w:pPr>
    </w:p>
    <w:p w14:paraId="33A2438F" w14:textId="77777777" w:rsidR="004C5709" w:rsidRDefault="004C5709" w:rsidP="00D27699">
      <w:pPr>
        <w:rPr>
          <w:lang w:val="en-US"/>
        </w:rPr>
      </w:pPr>
    </w:p>
    <w:p w14:paraId="5D6E7AED" w14:textId="77777777" w:rsidR="004C5709" w:rsidRDefault="004C5709" w:rsidP="00D27699">
      <w:pPr>
        <w:rPr>
          <w:lang w:val="en-US"/>
        </w:rPr>
      </w:pPr>
    </w:p>
    <w:p w14:paraId="2000A694" w14:textId="77777777" w:rsidR="004C5709" w:rsidRDefault="004C5709" w:rsidP="00D27699">
      <w:pPr>
        <w:rPr>
          <w:lang w:val="en-US"/>
        </w:rPr>
      </w:pPr>
    </w:p>
    <w:p w14:paraId="1D70FE92" w14:textId="77777777" w:rsidR="004C5709" w:rsidRDefault="004C5709" w:rsidP="00D27699">
      <w:pPr>
        <w:rPr>
          <w:lang w:val="en-US"/>
        </w:rPr>
      </w:pPr>
    </w:p>
    <w:p w14:paraId="2755640E" w14:textId="77777777" w:rsidR="004C5709" w:rsidRDefault="004C5709" w:rsidP="00D27699">
      <w:pPr>
        <w:rPr>
          <w:lang w:val="en-US"/>
        </w:rPr>
      </w:pPr>
    </w:p>
    <w:p w14:paraId="2B567E3A" w14:textId="77777777" w:rsidR="004C5709" w:rsidRDefault="004C5709" w:rsidP="00D27699">
      <w:pPr>
        <w:rPr>
          <w:lang w:val="en-US"/>
        </w:rPr>
      </w:pPr>
    </w:p>
    <w:p w14:paraId="05CD2A95" w14:textId="77777777" w:rsidR="004C5709" w:rsidRDefault="004C5709" w:rsidP="00D27699">
      <w:pPr>
        <w:rPr>
          <w:lang w:val="en-US"/>
        </w:rPr>
      </w:pPr>
    </w:p>
    <w:p w14:paraId="06B788B5" w14:textId="77777777" w:rsidR="004C5709" w:rsidRDefault="004C5709" w:rsidP="00D27699">
      <w:pPr>
        <w:rPr>
          <w:lang w:val="en-US"/>
        </w:rPr>
      </w:pPr>
    </w:p>
    <w:p w14:paraId="20113CC8" w14:textId="4B8F1375" w:rsidR="0037553B" w:rsidRDefault="0037553B" w:rsidP="0037553B">
      <w:pPr>
        <w:rPr>
          <w:lang w:val="en-US"/>
        </w:rPr>
      </w:pPr>
      <w:r w:rsidRPr="007436E6">
        <w:rPr>
          <w:b/>
          <w:lang w:val="en-US"/>
        </w:rPr>
        <w:lastRenderedPageBreak/>
        <w:t>Table S</w:t>
      </w:r>
      <w:r w:rsidR="004C5709">
        <w:rPr>
          <w:b/>
          <w:lang w:val="en-US"/>
        </w:rPr>
        <w:t>4</w:t>
      </w:r>
      <w:r w:rsidRPr="007436E6">
        <w:rPr>
          <w:b/>
          <w:lang w:val="en-US"/>
        </w:rPr>
        <w:t>A</w:t>
      </w:r>
      <w:r w:rsidRPr="007436E6">
        <w:rPr>
          <w:lang w:val="en-US"/>
        </w:rPr>
        <w:t xml:space="preserve">: Crude annualized </w:t>
      </w:r>
      <w:r w:rsidR="00BB5991">
        <w:rPr>
          <w:lang w:val="en-US"/>
        </w:rPr>
        <w:t>RSV-related hospitalization</w:t>
      </w:r>
      <w:r w:rsidRPr="007436E6">
        <w:rPr>
          <w:lang w:val="en-US"/>
        </w:rPr>
        <w:t xml:space="preserve"> rates per 100,000 in Ontario by demographic characteristics with RSV as most responsible diagnostic</w:t>
      </w:r>
      <w:r w:rsidR="00296220">
        <w:rPr>
          <w:lang w:val="en-US"/>
        </w:rPr>
        <w:t xml:space="preserve"> from September 1, 2016 to August 31, 2019</w:t>
      </w:r>
      <w:r w:rsidRPr="007436E6">
        <w:rPr>
          <w:lang w:val="en-US"/>
        </w:rPr>
        <w:t>.</w:t>
      </w:r>
      <w:r w:rsidRPr="004E6F07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867"/>
        <w:gridCol w:w="1867"/>
        <w:gridCol w:w="2736"/>
      </w:tblGrid>
      <w:tr w:rsidR="0037553B" w:rsidRPr="004E6F07" w14:paraId="71D8D4A6" w14:textId="77777777" w:rsidTr="0037553B">
        <w:tc>
          <w:tcPr>
            <w:tcW w:w="2880" w:type="dxa"/>
          </w:tcPr>
          <w:p w14:paraId="505586D1" w14:textId="77777777" w:rsidR="0037553B" w:rsidRPr="00D14508" w:rsidRDefault="0037553B" w:rsidP="0037553B">
            <w:pPr>
              <w:rPr>
                <w:i/>
                <w:lang w:val="en-US"/>
              </w:rPr>
            </w:pPr>
            <w:r w:rsidRPr="004E6F07">
              <w:rPr>
                <w:b/>
                <w:lang w:val="en-US"/>
              </w:rPr>
              <w:t>Characteristic</w:t>
            </w:r>
          </w:p>
        </w:tc>
        <w:tc>
          <w:tcPr>
            <w:tcW w:w="1867" w:type="dxa"/>
          </w:tcPr>
          <w:p w14:paraId="7C21E8AC" w14:textId="4FC7DF05" w:rsidR="0037553B" w:rsidRPr="004E6F07" w:rsidRDefault="00BB5991" w:rsidP="00DF6B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RSV-related hospitalization</w:t>
            </w:r>
            <w:r w:rsidR="0037553B" w:rsidRPr="001C2636">
              <w:rPr>
                <w:b/>
                <w:lang w:val="en-US"/>
              </w:rPr>
              <w:t>s, 2016-2019</w:t>
            </w:r>
            <w:r w:rsidR="001C2636" w:rsidRPr="001C2636">
              <w:rPr>
                <w:b/>
                <w:lang w:val="en-US"/>
              </w:rPr>
              <w:t>, n (%)</w:t>
            </w:r>
          </w:p>
        </w:tc>
        <w:tc>
          <w:tcPr>
            <w:tcW w:w="1867" w:type="dxa"/>
          </w:tcPr>
          <w:p w14:paraId="122D5D4F" w14:textId="716161DC" w:rsidR="00DF6B66" w:rsidRDefault="009E16AD" w:rsidP="00DF6B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Ontario population,</w:t>
            </w:r>
          </w:p>
          <w:p w14:paraId="3BE80C24" w14:textId="7600A7AC" w:rsidR="0037553B" w:rsidRPr="004E6F07" w:rsidRDefault="009E16AD" w:rsidP="00DF6B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2736" w:type="dxa"/>
          </w:tcPr>
          <w:p w14:paraId="50268C15" w14:textId="59998946" w:rsidR="0037553B" w:rsidRPr="00DF6B66" w:rsidRDefault="0037553B" w:rsidP="00DF6B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Annualized </w:t>
            </w:r>
            <w:r w:rsidR="00BB5991">
              <w:rPr>
                <w:b/>
                <w:lang w:val="en-US"/>
              </w:rPr>
              <w:t>RSV-related hospitalization</w:t>
            </w:r>
            <w:r w:rsidR="009C65E9">
              <w:rPr>
                <w:b/>
                <w:lang w:val="en-US"/>
              </w:rPr>
              <w:t xml:space="preserve"> rate</w:t>
            </w:r>
            <w:r>
              <w:rPr>
                <w:b/>
                <w:lang w:val="en-US"/>
              </w:rPr>
              <w:t xml:space="preserve"> per 100,000</w:t>
            </w:r>
            <w:r w:rsidR="001A2928">
              <w:rPr>
                <w:vertAlign w:val="superscript"/>
                <w:lang w:val="en-US"/>
              </w:rPr>
              <w:t>a</w:t>
            </w:r>
            <w:r w:rsidR="00DF6B66">
              <w:rPr>
                <w:lang w:val="en-US"/>
              </w:rPr>
              <w:t xml:space="preserve"> </w:t>
            </w:r>
            <w:r w:rsidR="00DF6B66" w:rsidRPr="00DF6B66">
              <w:rPr>
                <w:b/>
                <w:bCs/>
                <w:lang w:val="en-US"/>
              </w:rPr>
              <w:t>(95% CI)</w:t>
            </w:r>
          </w:p>
        </w:tc>
      </w:tr>
      <w:tr w:rsidR="0037553B" w14:paraId="6ECDCAD0" w14:textId="77777777" w:rsidTr="0037553B">
        <w:tc>
          <w:tcPr>
            <w:tcW w:w="2880" w:type="dxa"/>
          </w:tcPr>
          <w:p w14:paraId="2662C809" w14:textId="77777777" w:rsidR="0037553B" w:rsidRDefault="0037553B" w:rsidP="0037553B">
            <w:pPr>
              <w:rPr>
                <w:lang w:val="en-US"/>
              </w:rPr>
            </w:pPr>
            <w:r>
              <w:rPr>
                <w:i/>
                <w:lang w:val="en-US"/>
              </w:rPr>
              <w:t>Demographic</w:t>
            </w:r>
          </w:p>
        </w:tc>
        <w:tc>
          <w:tcPr>
            <w:tcW w:w="1867" w:type="dxa"/>
          </w:tcPr>
          <w:p w14:paraId="36A0D21E" w14:textId="77777777" w:rsidR="0037553B" w:rsidRDefault="0037553B" w:rsidP="0037553B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52A9A25D" w14:textId="77777777" w:rsidR="0037553B" w:rsidRDefault="0037553B" w:rsidP="0037553B">
            <w:pPr>
              <w:rPr>
                <w:lang w:val="en-US"/>
              </w:rPr>
            </w:pPr>
          </w:p>
        </w:tc>
        <w:tc>
          <w:tcPr>
            <w:tcW w:w="2736" w:type="dxa"/>
          </w:tcPr>
          <w:p w14:paraId="50C69EFA" w14:textId="77777777" w:rsidR="0037553B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14:paraId="2A90C980" w14:textId="77777777" w:rsidTr="0037553B">
        <w:tc>
          <w:tcPr>
            <w:tcW w:w="2880" w:type="dxa"/>
          </w:tcPr>
          <w:p w14:paraId="67EA8047" w14:textId="36C48026" w:rsidR="0037553B" w:rsidRDefault="0037553B" w:rsidP="0037553B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867" w:type="dxa"/>
          </w:tcPr>
          <w:p w14:paraId="2A48013B" w14:textId="77777777" w:rsidR="0037553B" w:rsidRDefault="0037553B" w:rsidP="0037553B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2763FB51" w14:textId="77777777" w:rsidR="0037553B" w:rsidRDefault="0037553B" w:rsidP="0037553B">
            <w:pPr>
              <w:rPr>
                <w:lang w:val="en-US"/>
              </w:rPr>
            </w:pPr>
          </w:p>
        </w:tc>
        <w:tc>
          <w:tcPr>
            <w:tcW w:w="2736" w:type="dxa"/>
          </w:tcPr>
          <w:p w14:paraId="41AD25D2" w14:textId="77777777" w:rsidR="0037553B" w:rsidRDefault="0037553B" w:rsidP="0037553B">
            <w:pPr>
              <w:rPr>
                <w:lang w:val="en-US"/>
              </w:rPr>
            </w:pPr>
          </w:p>
        </w:tc>
      </w:tr>
      <w:tr w:rsidR="00C62841" w14:paraId="2011ED7A" w14:textId="77777777" w:rsidTr="009B239D">
        <w:tc>
          <w:tcPr>
            <w:tcW w:w="2880" w:type="dxa"/>
          </w:tcPr>
          <w:p w14:paraId="0F8EEFAC" w14:textId="7DB30A06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&lt;1</w:t>
            </w:r>
            <w:r>
              <w:rPr>
                <w:lang w:val="en-US"/>
              </w:rPr>
              <w:t>2 months</w:t>
            </w:r>
          </w:p>
        </w:tc>
        <w:tc>
          <w:tcPr>
            <w:tcW w:w="1867" w:type="dxa"/>
          </w:tcPr>
          <w:p w14:paraId="798D477D" w14:textId="2BBD3B50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3,760 (55.7)</w:t>
            </w:r>
          </w:p>
        </w:tc>
        <w:tc>
          <w:tcPr>
            <w:tcW w:w="1867" w:type="dxa"/>
            <w:vAlign w:val="center"/>
          </w:tcPr>
          <w:p w14:paraId="3BFC747B" w14:textId="11CFB5B1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135,080</w:t>
            </w:r>
          </w:p>
        </w:tc>
        <w:tc>
          <w:tcPr>
            <w:tcW w:w="2736" w:type="dxa"/>
            <w:vAlign w:val="bottom"/>
          </w:tcPr>
          <w:p w14:paraId="5F0D6614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927.8 (898.2, 957.5)</w:t>
            </w:r>
          </w:p>
        </w:tc>
      </w:tr>
      <w:tr w:rsidR="00C62841" w14:paraId="0981C7D5" w14:textId="77777777" w:rsidTr="009B239D">
        <w:tc>
          <w:tcPr>
            <w:tcW w:w="2880" w:type="dxa"/>
          </w:tcPr>
          <w:p w14:paraId="6AD01D7C" w14:textId="53134270" w:rsidR="00C62841" w:rsidRPr="006E3507" w:rsidRDefault="00C62841" w:rsidP="00C62841">
            <w:pPr>
              <w:ind w:left="720"/>
              <w:rPr>
                <w:lang w:val="en-US"/>
              </w:rPr>
            </w:pPr>
            <w:r w:rsidRPr="00A43FBD">
              <w:rPr>
                <w:lang w:val="en-US"/>
              </w:rPr>
              <w:t>1</w:t>
            </w:r>
            <w:r>
              <w:rPr>
                <w:lang w:val="en-US"/>
              </w:rPr>
              <w:t>2-23 months</w:t>
            </w:r>
          </w:p>
        </w:tc>
        <w:tc>
          <w:tcPr>
            <w:tcW w:w="1867" w:type="dxa"/>
          </w:tcPr>
          <w:p w14:paraId="4D0818C7" w14:textId="307B0A5D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 (13.0)</w:t>
            </w:r>
          </w:p>
        </w:tc>
        <w:tc>
          <w:tcPr>
            <w:tcW w:w="1867" w:type="dxa"/>
            <w:vAlign w:val="center"/>
          </w:tcPr>
          <w:p w14:paraId="4AAB7883" w14:textId="687A0125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135,875</w:t>
            </w:r>
          </w:p>
        </w:tc>
        <w:tc>
          <w:tcPr>
            <w:tcW w:w="2736" w:type="dxa"/>
            <w:vAlign w:val="bottom"/>
          </w:tcPr>
          <w:p w14:paraId="2F3B1AD9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215.9 (201.6, 230.1)</w:t>
            </w:r>
          </w:p>
        </w:tc>
      </w:tr>
      <w:tr w:rsidR="00C62841" w14:paraId="218D9D5B" w14:textId="77777777" w:rsidTr="009B239D">
        <w:tc>
          <w:tcPr>
            <w:tcW w:w="2880" w:type="dxa"/>
          </w:tcPr>
          <w:p w14:paraId="52DBF76A" w14:textId="0AD81812" w:rsidR="00C62841" w:rsidRPr="006E3507" w:rsidRDefault="00C62841" w:rsidP="00C62841">
            <w:pPr>
              <w:ind w:left="720"/>
              <w:rPr>
                <w:lang w:val="en-US"/>
              </w:rPr>
            </w:pPr>
            <w:r w:rsidRPr="00A43FBD">
              <w:rPr>
                <w:lang w:val="en-US"/>
              </w:rPr>
              <w:t>2-4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867" w:type="dxa"/>
          </w:tcPr>
          <w:p w14:paraId="5BAF90D2" w14:textId="48E3DF9E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 (8.5)</w:t>
            </w:r>
          </w:p>
        </w:tc>
        <w:tc>
          <w:tcPr>
            <w:tcW w:w="1867" w:type="dxa"/>
            <w:vAlign w:val="center"/>
          </w:tcPr>
          <w:p w14:paraId="7953B708" w14:textId="2B8ACAF9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426,510</w:t>
            </w:r>
          </w:p>
        </w:tc>
        <w:tc>
          <w:tcPr>
            <w:tcW w:w="2736" w:type="dxa"/>
            <w:vAlign w:val="bottom"/>
          </w:tcPr>
          <w:p w14:paraId="1BA19995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45.0  (41.3, 48.7)</w:t>
            </w:r>
          </w:p>
        </w:tc>
      </w:tr>
      <w:tr w:rsidR="00C62841" w14:paraId="0CD06192" w14:textId="77777777" w:rsidTr="009B239D">
        <w:tc>
          <w:tcPr>
            <w:tcW w:w="2880" w:type="dxa"/>
          </w:tcPr>
          <w:p w14:paraId="50DA76B0" w14:textId="30C45340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5-17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867" w:type="dxa"/>
          </w:tcPr>
          <w:p w14:paraId="6808147A" w14:textId="3C95C4F3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(1.2)</w:t>
            </w:r>
          </w:p>
        </w:tc>
        <w:tc>
          <w:tcPr>
            <w:tcW w:w="1867" w:type="dxa"/>
            <w:vAlign w:val="center"/>
          </w:tcPr>
          <w:p w14:paraId="190684A8" w14:textId="4AD63AB9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1,985,175</w:t>
            </w:r>
          </w:p>
        </w:tc>
        <w:tc>
          <w:tcPr>
            <w:tcW w:w="2736" w:type="dxa"/>
            <w:vAlign w:val="bottom"/>
          </w:tcPr>
          <w:p w14:paraId="2A1BEFEF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(1.1, 1.7)</w:t>
            </w:r>
          </w:p>
        </w:tc>
      </w:tr>
      <w:tr w:rsidR="00C62841" w14:paraId="5C692179" w14:textId="77777777" w:rsidTr="009B239D">
        <w:tc>
          <w:tcPr>
            <w:tcW w:w="2880" w:type="dxa"/>
          </w:tcPr>
          <w:p w14:paraId="313BC4EE" w14:textId="70695084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18-49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867" w:type="dxa"/>
          </w:tcPr>
          <w:p w14:paraId="5CFE9C5A" w14:textId="2D1A5466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(1.4)</w:t>
            </w:r>
          </w:p>
        </w:tc>
        <w:tc>
          <w:tcPr>
            <w:tcW w:w="1867" w:type="dxa"/>
            <w:vAlign w:val="center"/>
          </w:tcPr>
          <w:p w14:paraId="2EC103E2" w14:textId="2EA97A49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5,618,050</w:t>
            </w:r>
          </w:p>
        </w:tc>
        <w:tc>
          <w:tcPr>
            <w:tcW w:w="2736" w:type="dxa"/>
            <w:vAlign w:val="bottom"/>
          </w:tcPr>
          <w:p w14:paraId="3DBED11D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 (0.5, 0.7)</w:t>
            </w:r>
          </w:p>
        </w:tc>
      </w:tr>
      <w:tr w:rsidR="00C62841" w14:paraId="3C27D256" w14:textId="77777777" w:rsidTr="009B239D">
        <w:tc>
          <w:tcPr>
            <w:tcW w:w="2880" w:type="dxa"/>
          </w:tcPr>
          <w:p w14:paraId="4835F3ED" w14:textId="0323EE0C" w:rsidR="00C62841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50-64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1867" w:type="dxa"/>
          </w:tcPr>
          <w:p w14:paraId="58DBA430" w14:textId="22B6E3D2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(2.9)</w:t>
            </w:r>
          </w:p>
        </w:tc>
        <w:tc>
          <w:tcPr>
            <w:tcW w:w="1867" w:type="dxa"/>
            <w:vAlign w:val="center"/>
          </w:tcPr>
          <w:p w14:paraId="7D369E26" w14:textId="6D60B064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2,892,625</w:t>
            </w:r>
          </w:p>
        </w:tc>
        <w:tc>
          <w:tcPr>
            <w:tcW w:w="2736" w:type="dxa"/>
            <w:vAlign w:val="bottom"/>
          </w:tcPr>
          <w:p w14:paraId="335E1A68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 (2.0, 2.6)</w:t>
            </w:r>
          </w:p>
        </w:tc>
      </w:tr>
      <w:tr w:rsidR="00C62841" w14:paraId="5F8D485D" w14:textId="77777777" w:rsidTr="009B239D">
        <w:tc>
          <w:tcPr>
            <w:tcW w:w="2880" w:type="dxa"/>
          </w:tcPr>
          <w:p w14:paraId="5EBCFCD1" w14:textId="63EC02DD" w:rsidR="00C62841" w:rsidRDefault="0037294E" w:rsidP="0037294E">
            <w:pPr>
              <w:ind w:left="72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65 years</w:t>
            </w:r>
          </w:p>
        </w:tc>
        <w:tc>
          <w:tcPr>
            <w:tcW w:w="1867" w:type="dxa"/>
          </w:tcPr>
          <w:p w14:paraId="133BB405" w14:textId="2E92F62F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1,161 (17.2)</w:t>
            </w:r>
          </w:p>
        </w:tc>
        <w:tc>
          <w:tcPr>
            <w:tcW w:w="1867" w:type="dxa"/>
            <w:vAlign w:val="center"/>
          </w:tcPr>
          <w:p w14:paraId="7475F257" w14:textId="315BD441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2,249,625</w:t>
            </w:r>
          </w:p>
        </w:tc>
        <w:tc>
          <w:tcPr>
            <w:tcW w:w="2736" w:type="dxa"/>
            <w:vAlign w:val="bottom"/>
          </w:tcPr>
          <w:p w14:paraId="6BDEDB3B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 (16.2, 18.2)</w:t>
            </w:r>
          </w:p>
        </w:tc>
      </w:tr>
      <w:tr w:rsidR="00C62841" w14:paraId="15AFCEF3" w14:textId="77777777" w:rsidTr="009B239D">
        <w:tc>
          <w:tcPr>
            <w:tcW w:w="2880" w:type="dxa"/>
          </w:tcPr>
          <w:p w14:paraId="4A1E0135" w14:textId="519A7105" w:rsidR="00C62841" w:rsidRDefault="00C62841" w:rsidP="00C62841">
            <w:pPr>
              <w:ind w:left="1440"/>
              <w:rPr>
                <w:lang w:val="en-US"/>
              </w:rPr>
            </w:pPr>
            <w:r>
              <w:rPr>
                <w:lang w:val="en-US"/>
              </w:rPr>
              <w:t>65-74 years</w:t>
            </w:r>
          </w:p>
        </w:tc>
        <w:tc>
          <w:tcPr>
            <w:tcW w:w="1867" w:type="dxa"/>
          </w:tcPr>
          <w:p w14:paraId="7C213DE5" w14:textId="7F1DA9DE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(3.8)</w:t>
            </w:r>
          </w:p>
        </w:tc>
        <w:tc>
          <w:tcPr>
            <w:tcW w:w="1867" w:type="dxa"/>
            <w:vAlign w:val="center"/>
          </w:tcPr>
          <w:p w14:paraId="22506CC2" w14:textId="04FE86F4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1,265,375</w:t>
            </w:r>
          </w:p>
        </w:tc>
        <w:tc>
          <w:tcPr>
            <w:tcW w:w="2736" w:type="dxa"/>
            <w:vAlign w:val="bottom"/>
          </w:tcPr>
          <w:p w14:paraId="02691DFB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 (5.9, 7.5)</w:t>
            </w:r>
          </w:p>
        </w:tc>
      </w:tr>
      <w:tr w:rsidR="00C62841" w14:paraId="72436116" w14:textId="77777777" w:rsidTr="009B239D">
        <w:tc>
          <w:tcPr>
            <w:tcW w:w="2880" w:type="dxa"/>
          </w:tcPr>
          <w:p w14:paraId="14A2EC91" w14:textId="5CD7F18B" w:rsidR="00C62841" w:rsidRDefault="00C62841" w:rsidP="00C62841">
            <w:pPr>
              <w:ind w:left="1440"/>
              <w:rPr>
                <w:lang w:val="en-US"/>
              </w:rPr>
            </w:pPr>
            <w:r>
              <w:rPr>
                <w:lang w:val="en-US"/>
              </w:rPr>
              <w:t>75-84 years</w:t>
            </w:r>
          </w:p>
        </w:tc>
        <w:tc>
          <w:tcPr>
            <w:tcW w:w="1867" w:type="dxa"/>
          </w:tcPr>
          <w:p w14:paraId="495A2834" w14:textId="23D26591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(5.5)</w:t>
            </w:r>
          </w:p>
        </w:tc>
        <w:tc>
          <w:tcPr>
            <w:tcW w:w="1867" w:type="dxa"/>
            <w:vAlign w:val="center"/>
          </w:tcPr>
          <w:p w14:paraId="22C52F34" w14:textId="338C0274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683,330</w:t>
            </w:r>
          </w:p>
        </w:tc>
        <w:tc>
          <w:tcPr>
            <w:tcW w:w="2736" w:type="dxa"/>
            <w:vAlign w:val="bottom"/>
          </w:tcPr>
          <w:p w14:paraId="01B0AF58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 (16.3, 20.0)</w:t>
            </w:r>
          </w:p>
        </w:tc>
      </w:tr>
      <w:tr w:rsidR="00C62841" w14:paraId="7EF40674" w14:textId="77777777" w:rsidTr="009B239D">
        <w:tc>
          <w:tcPr>
            <w:tcW w:w="2880" w:type="dxa"/>
          </w:tcPr>
          <w:p w14:paraId="1DF089F3" w14:textId="7036B2DF" w:rsidR="00C62841" w:rsidRDefault="0037294E" w:rsidP="0037294E">
            <w:pPr>
              <w:ind w:left="144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85 years</w:t>
            </w:r>
          </w:p>
        </w:tc>
        <w:tc>
          <w:tcPr>
            <w:tcW w:w="1867" w:type="dxa"/>
          </w:tcPr>
          <w:p w14:paraId="2FE8EA8C" w14:textId="63B08112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 (7.9)</w:t>
            </w:r>
          </w:p>
        </w:tc>
        <w:tc>
          <w:tcPr>
            <w:tcW w:w="1867" w:type="dxa"/>
            <w:vAlign w:val="center"/>
          </w:tcPr>
          <w:p w14:paraId="157ACA57" w14:textId="1D46DE61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300,920</w:t>
            </w:r>
          </w:p>
        </w:tc>
        <w:tc>
          <w:tcPr>
            <w:tcW w:w="2736" w:type="dxa"/>
            <w:vAlign w:val="bottom"/>
          </w:tcPr>
          <w:p w14:paraId="22B1180A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59.2 (54.1, 64.2)</w:t>
            </w:r>
          </w:p>
        </w:tc>
      </w:tr>
      <w:tr w:rsidR="00DF5F19" w14:paraId="1A3D4CE0" w14:textId="77777777" w:rsidTr="009B239D">
        <w:tc>
          <w:tcPr>
            <w:tcW w:w="2880" w:type="dxa"/>
          </w:tcPr>
          <w:p w14:paraId="72A893A3" w14:textId="77777777" w:rsidR="00DF5F19" w:rsidRDefault="00DF5F19" w:rsidP="00DF5F19">
            <w:pPr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867" w:type="dxa"/>
          </w:tcPr>
          <w:p w14:paraId="4834CC06" w14:textId="77777777" w:rsidR="00DF5F19" w:rsidRDefault="00DF5F19" w:rsidP="00DF5F19">
            <w:pPr>
              <w:rPr>
                <w:lang w:val="en-US"/>
              </w:rPr>
            </w:pPr>
          </w:p>
        </w:tc>
        <w:tc>
          <w:tcPr>
            <w:tcW w:w="1867" w:type="dxa"/>
            <w:vAlign w:val="bottom"/>
          </w:tcPr>
          <w:p w14:paraId="2C83ED1B" w14:textId="77777777" w:rsidR="00DF5F19" w:rsidRDefault="00DF5F19" w:rsidP="00DF5F19">
            <w:pPr>
              <w:rPr>
                <w:lang w:val="en-US"/>
              </w:rPr>
            </w:pPr>
          </w:p>
        </w:tc>
        <w:tc>
          <w:tcPr>
            <w:tcW w:w="2736" w:type="dxa"/>
          </w:tcPr>
          <w:p w14:paraId="5C2BE000" w14:textId="77777777" w:rsidR="00DF5F19" w:rsidRDefault="00DF5F19" w:rsidP="00DF5F19">
            <w:pPr>
              <w:rPr>
                <w:lang w:val="en-US"/>
              </w:rPr>
            </w:pPr>
          </w:p>
        </w:tc>
      </w:tr>
      <w:tr w:rsidR="00DF5F19" w14:paraId="5B1CC748" w14:textId="77777777" w:rsidTr="009B239D">
        <w:tc>
          <w:tcPr>
            <w:tcW w:w="2880" w:type="dxa"/>
          </w:tcPr>
          <w:p w14:paraId="3CBADDEE" w14:textId="77777777" w:rsidR="00DF5F19" w:rsidRDefault="00DF5F19" w:rsidP="00DF5F19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1867" w:type="dxa"/>
          </w:tcPr>
          <w:p w14:paraId="67E0C1E9" w14:textId="1394D1D1" w:rsidR="00DF5F19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3,238 (47.9)</w:t>
            </w:r>
          </w:p>
        </w:tc>
        <w:tc>
          <w:tcPr>
            <w:tcW w:w="1867" w:type="dxa"/>
            <w:vAlign w:val="bottom"/>
          </w:tcPr>
          <w:p w14:paraId="347BE84E" w14:textId="72C6B263" w:rsidR="00DF5F19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6,888,235</w:t>
            </w:r>
          </w:p>
        </w:tc>
        <w:tc>
          <w:tcPr>
            <w:tcW w:w="2736" w:type="dxa"/>
            <w:vAlign w:val="bottom"/>
          </w:tcPr>
          <w:p w14:paraId="108BB7F4" w14:textId="77777777" w:rsidR="00DF5F19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 (15.1, 16.2)</w:t>
            </w:r>
          </w:p>
        </w:tc>
      </w:tr>
      <w:tr w:rsidR="00DF5F19" w14:paraId="07CE3C5D" w14:textId="77777777" w:rsidTr="009B239D">
        <w:tc>
          <w:tcPr>
            <w:tcW w:w="2880" w:type="dxa"/>
          </w:tcPr>
          <w:p w14:paraId="7A160578" w14:textId="77777777" w:rsidR="00DF5F19" w:rsidRDefault="00DF5F19" w:rsidP="00DF5F19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1867" w:type="dxa"/>
          </w:tcPr>
          <w:p w14:paraId="39DCD783" w14:textId="31983899" w:rsidR="00DF5F19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3,517 (52.1)</w:t>
            </w:r>
          </w:p>
        </w:tc>
        <w:tc>
          <w:tcPr>
            <w:tcW w:w="1867" w:type="dxa"/>
            <w:vAlign w:val="bottom"/>
          </w:tcPr>
          <w:p w14:paraId="68448D6F" w14:textId="31321C75" w:rsidR="00DF5F19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6,554,705</w:t>
            </w:r>
          </w:p>
        </w:tc>
        <w:tc>
          <w:tcPr>
            <w:tcW w:w="2736" w:type="dxa"/>
            <w:vAlign w:val="bottom"/>
          </w:tcPr>
          <w:p w14:paraId="28F2DB27" w14:textId="77777777" w:rsidR="00DF5F19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 (17.3, 18.5)</w:t>
            </w:r>
          </w:p>
        </w:tc>
      </w:tr>
      <w:tr w:rsidR="00DF5F19" w:rsidRPr="004E6F07" w14:paraId="37A367A9" w14:textId="77777777" w:rsidTr="0037553B">
        <w:tc>
          <w:tcPr>
            <w:tcW w:w="2880" w:type="dxa"/>
          </w:tcPr>
          <w:p w14:paraId="0DEE836C" w14:textId="57F4992E" w:rsidR="00DF5F19" w:rsidRPr="004E6F07" w:rsidRDefault="00DF5F19" w:rsidP="00DF5F19">
            <w:pPr>
              <w:rPr>
                <w:lang w:val="en-US"/>
              </w:rPr>
            </w:pPr>
            <w:r>
              <w:rPr>
                <w:lang w:val="en-US"/>
              </w:rPr>
              <w:t>Season</w:t>
            </w:r>
            <w:r w:rsidR="001A2928">
              <w:rPr>
                <w:rFonts w:ascii="Calibri" w:hAnsi="Calibri" w:cs="Calibri"/>
                <w:color w:val="000000"/>
                <w:vertAlign w:val="superscript"/>
              </w:rPr>
              <w:t>b</w:t>
            </w:r>
          </w:p>
        </w:tc>
        <w:tc>
          <w:tcPr>
            <w:tcW w:w="1867" w:type="dxa"/>
          </w:tcPr>
          <w:p w14:paraId="12346C3A" w14:textId="77777777" w:rsidR="00DF5F19" w:rsidRPr="004E6F07" w:rsidRDefault="00DF5F19" w:rsidP="00DF5F19">
            <w:pPr>
              <w:jc w:val="center"/>
              <w:rPr>
                <w:lang w:val="en-US"/>
              </w:rPr>
            </w:pPr>
          </w:p>
        </w:tc>
        <w:tc>
          <w:tcPr>
            <w:tcW w:w="1867" w:type="dxa"/>
          </w:tcPr>
          <w:p w14:paraId="0028A412" w14:textId="77777777" w:rsidR="00DF5F19" w:rsidRPr="004E6F07" w:rsidRDefault="00DF5F19" w:rsidP="00DF5F19">
            <w:pPr>
              <w:jc w:val="center"/>
              <w:rPr>
                <w:lang w:val="en-US"/>
              </w:rPr>
            </w:pPr>
          </w:p>
        </w:tc>
        <w:tc>
          <w:tcPr>
            <w:tcW w:w="2736" w:type="dxa"/>
          </w:tcPr>
          <w:p w14:paraId="322B0674" w14:textId="77777777" w:rsidR="00DF5F19" w:rsidRPr="004E6F07" w:rsidRDefault="00DF5F19" w:rsidP="00DF5F19">
            <w:pPr>
              <w:jc w:val="center"/>
              <w:rPr>
                <w:lang w:val="en-US"/>
              </w:rPr>
            </w:pPr>
          </w:p>
        </w:tc>
      </w:tr>
      <w:tr w:rsidR="00DF5F19" w:rsidRPr="004E6F07" w14:paraId="5952D31F" w14:textId="77777777" w:rsidTr="009B239D">
        <w:tc>
          <w:tcPr>
            <w:tcW w:w="2880" w:type="dxa"/>
          </w:tcPr>
          <w:p w14:paraId="12CC8641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2016-17</w:t>
            </w:r>
          </w:p>
        </w:tc>
        <w:tc>
          <w:tcPr>
            <w:tcW w:w="1867" w:type="dxa"/>
          </w:tcPr>
          <w:p w14:paraId="4B472682" w14:textId="5E5D3C9B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2,119 (31.4)</w:t>
            </w:r>
          </w:p>
        </w:tc>
        <w:tc>
          <w:tcPr>
            <w:tcW w:w="1867" w:type="dxa"/>
            <w:vAlign w:val="bottom"/>
          </w:tcPr>
          <w:p w14:paraId="039D1A3A" w14:textId="6721E690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3D03E41C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 (15.1, 16.4)</w:t>
            </w:r>
          </w:p>
        </w:tc>
      </w:tr>
      <w:tr w:rsidR="00DF5F19" w:rsidRPr="004E6F07" w14:paraId="4BEC97E0" w14:textId="77777777" w:rsidTr="009B239D">
        <w:tc>
          <w:tcPr>
            <w:tcW w:w="2880" w:type="dxa"/>
          </w:tcPr>
          <w:p w14:paraId="597A3B01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2017-18</w:t>
            </w:r>
          </w:p>
        </w:tc>
        <w:tc>
          <w:tcPr>
            <w:tcW w:w="1867" w:type="dxa"/>
          </w:tcPr>
          <w:p w14:paraId="41368109" w14:textId="058E61FC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2,061 (30.5)</w:t>
            </w:r>
          </w:p>
        </w:tc>
        <w:tc>
          <w:tcPr>
            <w:tcW w:w="1867" w:type="dxa"/>
            <w:vAlign w:val="bottom"/>
          </w:tcPr>
          <w:p w14:paraId="630110C8" w14:textId="00B43D56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3AEDB2AE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 (14.7, 16.0)</w:t>
            </w:r>
          </w:p>
        </w:tc>
      </w:tr>
      <w:tr w:rsidR="00DF5F19" w:rsidRPr="004E6F07" w14:paraId="7A8C3802" w14:textId="77777777" w:rsidTr="009B239D">
        <w:tc>
          <w:tcPr>
            <w:tcW w:w="2880" w:type="dxa"/>
          </w:tcPr>
          <w:p w14:paraId="4E8B3DF9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2018-19</w:t>
            </w:r>
          </w:p>
        </w:tc>
        <w:tc>
          <w:tcPr>
            <w:tcW w:w="1867" w:type="dxa"/>
          </w:tcPr>
          <w:p w14:paraId="4ED54BE1" w14:textId="546870DC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2,575 (38.1)</w:t>
            </w:r>
          </w:p>
        </w:tc>
        <w:tc>
          <w:tcPr>
            <w:tcW w:w="1867" w:type="dxa"/>
            <w:vAlign w:val="bottom"/>
          </w:tcPr>
          <w:p w14:paraId="67CCC915" w14:textId="61A0C360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364B1C5F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 (18.4, 19.9)</w:t>
            </w:r>
          </w:p>
        </w:tc>
      </w:tr>
      <w:tr w:rsidR="00DF5F19" w:rsidRPr="004E6F07" w14:paraId="2C44B313" w14:textId="77777777" w:rsidTr="0037553B">
        <w:tc>
          <w:tcPr>
            <w:tcW w:w="2880" w:type="dxa"/>
          </w:tcPr>
          <w:p w14:paraId="704D9A36" w14:textId="77777777" w:rsidR="00DF5F19" w:rsidRPr="004E6F07" w:rsidRDefault="00DF5F19" w:rsidP="00DF5F19">
            <w:pPr>
              <w:rPr>
                <w:lang w:val="en-US"/>
              </w:rPr>
            </w:pPr>
            <w:r w:rsidRPr="004E6F07">
              <w:rPr>
                <w:lang w:val="en-US"/>
              </w:rPr>
              <w:t>Month</w:t>
            </w:r>
          </w:p>
        </w:tc>
        <w:tc>
          <w:tcPr>
            <w:tcW w:w="1867" w:type="dxa"/>
          </w:tcPr>
          <w:p w14:paraId="6C2202A0" w14:textId="77777777" w:rsidR="00DF5F19" w:rsidRPr="004E6F07" w:rsidRDefault="00DF5F19" w:rsidP="00DF5F19">
            <w:pPr>
              <w:jc w:val="center"/>
              <w:rPr>
                <w:lang w:val="en-US"/>
              </w:rPr>
            </w:pPr>
          </w:p>
        </w:tc>
        <w:tc>
          <w:tcPr>
            <w:tcW w:w="1867" w:type="dxa"/>
          </w:tcPr>
          <w:p w14:paraId="6FCB9B73" w14:textId="77777777" w:rsidR="00DF5F19" w:rsidRPr="004E6F07" w:rsidRDefault="00DF5F19" w:rsidP="00DF5F19">
            <w:pPr>
              <w:jc w:val="center"/>
              <w:rPr>
                <w:lang w:val="en-US"/>
              </w:rPr>
            </w:pPr>
          </w:p>
        </w:tc>
        <w:tc>
          <w:tcPr>
            <w:tcW w:w="2736" w:type="dxa"/>
            <w:vAlign w:val="bottom"/>
          </w:tcPr>
          <w:p w14:paraId="71177732" w14:textId="77777777" w:rsidR="00DF5F19" w:rsidRPr="004E6F07" w:rsidRDefault="00DF5F19" w:rsidP="00DF5F19">
            <w:pPr>
              <w:jc w:val="center"/>
              <w:rPr>
                <w:lang w:val="en-US"/>
              </w:rPr>
            </w:pPr>
          </w:p>
        </w:tc>
      </w:tr>
      <w:tr w:rsidR="00DF5F19" w:rsidRPr="004E6F07" w14:paraId="72137C41" w14:textId="77777777" w:rsidTr="009B239D">
        <w:tc>
          <w:tcPr>
            <w:tcW w:w="2880" w:type="dxa"/>
          </w:tcPr>
          <w:p w14:paraId="6296A7C2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September</w:t>
            </w:r>
          </w:p>
        </w:tc>
        <w:tc>
          <w:tcPr>
            <w:tcW w:w="1867" w:type="dxa"/>
          </w:tcPr>
          <w:p w14:paraId="48AE9EBC" w14:textId="37B310F4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(0.5)</w:t>
            </w:r>
          </w:p>
        </w:tc>
        <w:tc>
          <w:tcPr>
            <w:tcW w:w="1867" w:type="dxa"/>
            <w:vAlign w:val="bottom"/>
          </w:tcPr>
          <w:p w14:paraId="6E0C634B" w14:textId="52CD7D9E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6C4A1BA5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 (0.1, 0.1)</w:t>
            </w:r>
          </w:p>
        </w:tc>
      </w:tr>
      <w:tr w:rsidR="00DF5F19" w:rsidRPr="004E6F07" w14:paraId="41CDB5D0" w14:textId="77777777" w:rsidTr="009B239D">
        <w:tc>
          <w:tcPr>
            <w:tcW w:w="2880" w:type="dxa"/>
          </w:tcPr>
          <w:p w14:paraId="7092B86E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October</w:t>
            </w:r>
          </w:p>
        </w:tc>
        <w:tc>
          <w:tcPr>
            <w:tcW w:w="1867" w:type="dxa"/>
          </w:tcPr>
          <w:p w14:paraId="47BA46AD" w14:textId="2F3C3D9C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(1.5)</w:t>
            </w:r>
          </w:p>
        </w:tc>
        <w:tc>
          <w:tcPr>
            <w:tcW w:w="1867" w:type="dxa"/>
            <w:vAlign w:val="bottom"/>
          </w:tcPr>
          <w:p w14:paraId="50363848" w14:textId="5F1F04AB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4B1A0F67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 (0.2, 0.3)</w:t>
            </w:r>
          </w:p>
        </w:tc>
      </w:tr>
      <w:tr w:rsidR="00DF5F19" w:rsidRPr="004E6F07" w14:paraId="43953C27" w14:textId="77777777" w:rsidTr="009B239D">
        <w:tc>
          <w:tcPr>
            <w:tcW w:w="2880" w:type="dxa"/>
          </w:tcPr>
          <w:p w14:paraId="0BC4CCC6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November</w:t>
            </w:r>
          </w:p>
        </w:tc>
        <w:tc>
          <w:tcPr>
            <w:tcW w:w="1867" w:type="dxa"/>
          </w:tcPr>
          <w:p w14:paraId="17F0841A" w14:textId="6669163B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 (8.4)</w:t>
            </w:r>
          </w:p>
        </w:tc>
        <w:tc>
          <w:tcPr>
            <w:tcW w:w="1867" w:type="dxa"/>
            <w:vAlign w:val="bottom"/>
          </w:tcPr>
          <w:p w14:paraId="01088775" w14:textId="3F8F669E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3F4134D9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 (1.3, 1.5)</w:t>
            </w:r>
          </w:p>
        </w:tc>
      </w:tr>
      <w:tr w:rsidR="00DF5F19" w:rsidRPr="004E6F07" w14:paraId="63C8F8D5" w14:textId="77777777" w:rsidTr="009B239D">
        <w:tc>
          <w:tcPr>
            <w:tcW w:w="2880" w:type="dxa"/>
          </w:tcPr>
          <w:p w14:paraId="4F3188DF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December</w:t>
            </w:r>
          </w:p>
        </w:tc>
        <w:tc>
          <w:tcPr>
            <w:tcW w:w="1867" w:type="dxa"/>
          </w:tcPr>
          <w:p w14:paraId="3A5CB1A6" w14:textId="14F00039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1,842 (27.3)</w:t>
            </w:r>
          </w:p>
        </w:tc>
        <w:tc>
          <w:tcPr>
            <w:tcW w:w="1867" w:type="dxa"/>
            <w:vAlign w:val="bottom"/>
          </w:tcPr>
          <w:p w14:paraId="1117F098" w14:textId="422D83A3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5E75AF0A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 (4.4, 4.8)</w:t>
            </w:r>
          </w:p>
        </w:tc>
      </w:tr>
      <w:tr w:rsidR="00DF5F19" w:rsidRPr="004E6F07" w14:paraId="692EDC96" w14:textId="77777777" w:rsidTr="009B239D">
        <w:tc>
          <w:tcPr>
            <w:tcW w:w="2880" w:type="dxa"/>
          </w:tcPr>
          <w:p w14:paraId="2FFEFA4B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January</w:t>
            </w:r>
          </w:p>
        </w:tc>
        <w:tc>
          <w:tcPr>
            <w:tcW w:w="1867" w:type="dxa"/>
          </w:tcPr>
          <w:p w14:paraId="63D4CCD6" w14:textId="38896D18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1,971 (29.2)</w:t>
            </w:r>
          </w:p>
        </w:tc>
        <w:tc>
          <w:tcPr>
            <w:tcW w:w="1867" w:type="dxa"/>
            <w:vAlign w:val="bottom"/>
          </w:tcPr>
          <w:p w14:paraId="75C3136B" w14:textId="4A6EA99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57CCDC5E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 (4.7, 5.1)</w:t>
            </w:r>
          </w:p>
        </w:tc>
      </w:tr>
      <w:tr w:rsidR="00DF5F19" w:rsidRPr="004E6F07" w14:paraId="2D73817B" w14:textId="77777777" w:rsidTr="009B239D">
        <w:tc>
          <w:tcPr>
            <w:tcW w:w="2880" w:type="dxa"/>
          </w:tcPr>
          <w:p w14:paraId="45D1498C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February</w:t>
            </w:r>
          </w:p>
        </w:tc>
        <w:tc>
          <w:tcPr>
            <w:tcW w:w="1867" w:type="dxa"/>
          </w:tcPr>
          <w:p w14:paraId="08FF5EA6" w14:textId="0B001A4D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1,209 (17.9)</w:t>
            </w:r>
          </w:p>
        </w:tc>
        <w:tc>
          <w:tcPr>
            <w:tcW w:w="1867" w:type="dxa"/>
            <w:vAlign w:val="bottom"/>
          </w:tcPr>
          <w:p w14:paraId="47DEB12A" w14:textId="73955AF1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453F6E33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  (2.8, 3.2)</w:t>
            </w:r>
          </w:p>
        </w:tc>
      </w:tr>
      <w:tr w:rsidR="00DF5F19" w:rsidRPr="004E6F07" w14:paraId="2E7F74CE" w14:textId="77777777" w:rsidTr="009B239D">
        <w:tc>
          <w:tcPr>
            <w:tcW w:w="2880" w:type="dxa"/>
          </w:tcPr>
          <w:p w14:paraId="433B1530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March</w:t>
            </w:r>
          </w:p>
        </w:tc>
        <w:tc>
          <w:tcPr>
            <w:tcW w:w="1867" w:type="dxa"/>
          </w:tcPr>
          <w:p w14:paraId="4CA8B38B" w14:textId="281E2201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(9.2)</w:t>
            </w:r>
          </w:p>
        </w:tc>
        <w:tc>
          <w:tcPr>
            <w:tcW w:w="1867" w:type="dxa"/>
            <w:vAlign w:val="bottom"/>
          </w:tcPr>
          <w:p w14:paraId="7EFCC4EB" w14:textId="6BC0A200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421B5B04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 (1.4, 1.7)</w:t>
            </w:r>
          </w:p>
        </w:tc>
      </w:tr>
      <w:tr w:rsidR="00DF5F19" w:rsidRPr="004E6F07" w14:paraId="3F299D5B" w14:textId="77777777" w:rsidTr="009B239D">
        <w:tc>
          <w:tcPr>
            <w:tcW w:w="2880" w:type="dxa"/>
          </w:tcPr>
          <w:p w14:paraId="6AB0E032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April</w:t>
            </w:r>
          </w:p>
        </w:tc>
        <w:tc>
          <w:tcPr>
            <w:tcW w:w="1867" w:type="dxa"/>
          </w:tcPr>
          <w:p w14:paraId="1E95C472" w14:textId="7568BE69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(4.3)</w:t>
            </w:r>
          </w:p>
        </w:tc>
        <w:tc>
          <w:tcPr>
            <w:tcW w:w="1867" w:type="dxa"/>
            <w:vAlign w:val="bottom"/>
          </w:tcPr>
          <w:p w14:paraId="729DFA90" w14:textId="0C986F5D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31A26C83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 (0.6, 0.8)</w:t>
            </w:r>
          </w:p>
        </w:tc>
      </w:tr>
      <w:tr w:rsidR="00DF5F19" w:rsidRPr="004E6F07" w14:paraId="29709A67" w14:textId="77777777" w:rsidTr="009B239D">
        <w:tc>
          <w:tcPr>
            <w:tcW w:w="2880" w:type="dxa"/>
          </w:tcPr>
          <w:p w14:paraId="3A8675A4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May</w:t>
            </w:r>
          </w:p>
        </w:tc>
        <w:tc>
          <w:tcPr>
            <w:tcW w:w="1867" w:type="dxa"/>
          </w:tcPr>
          <w:p w14:paraId="535BD64A" w14:textId="7C6EB3AA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(1.2)</w:t>
            </w:r>
          </w:p>
        </w:tc>
        <w:tc>
          <w:tcPr>
            <w:tcW w:w="1867" w:type="dxa"/>
            <w:vAlign w:val="bottom"/>
          </w:tcPr>
          <w:p w14:paraId="0538BA31" w14:textId="25F46163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6C4B8D17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 (0.2, 0.2)</w:t>
            </w:r>
          </w:p>
        </w:tc>
      </w:tr>
      <w:tr w:rsidR="00DF5F19" w:rsidRPr="004E6F07" w14:paraId="2CA1A18E" w14:textId="77777777" w:rsidTr="009B239D">
        <w:tc>
          <w:tcPr>
            <w:tcW w:w="2880" w:type="dxa"/>
          </w:tcPr>
          <w:p w14:paraId="5FE01C63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June</w:t>
            </w:r>
          </w:p>
        </w:tc>
        <w:tc>
          <w:tcPr>
            <w:tcW w:w="1867" w:type="dxa"/>
          </w:tcPr>
          <w:p w14:paraId="33ADD9EF" w14:textId="26EE5DCE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(0.3)</w:t>
            </w:r>
          </w:p>
        </w:tc>
        <w:tc>
          <w:tcPr>
            <w:tcW w:w="1867" w:type="dxa"/>
            <w:vAlign w:val="bottom"/>
          </w:tcPr>
          <w:p w14:paraId="2F8E62BE" w14:textId="2295875A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046EE05A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 (0.0, 0.1)</w:t>
            </w:r>
          </w:p>
        </w:tc>
      </w:tr>
      <w:tr w:rsidR="00DF5F19" w:rsidRPr="004E6F07" w14:paraId="1B636009" w14:textId="77777777" w:rsidTr="009B239D">
        <w:tc>
          <w:tcPr>
            <w:tcW w:w="2880" w:type="dxa"/>
          </w:tcPr>
          <w:p w14:paraId="4FBF9BA7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July</w:t>
            </w:r>
          </w:p>
        </w:tc>
        <w:tc>
          <w:tcPr>
            <w:tcW w:w="1867" w:type="dxa"/>
          </w:tcPr>
          <w:p w14:paraId="04C3320F" w14:textId="633A5D46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(0.2)</w:t>
            </w:r>
          </w:p>
        </w:tc>
        <w:tc>
          <w:tcPr>
            <w:tcW w:w="1867" w:type="dxa"/>
            <w:vAlign w:val="bottom"/>
          </w:tcPr>
          <w:p w14:paraId="4F641B80" w14:textId="20C23F5E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4E7FE43A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 (0.0, 0.1)</w:t>
            </w:r>
          </w:p>
        </w:tc>
      </w:tr>
      <w:tr w:rsidR="00DF5F19" w:rsidRPr="004E6F07" w14:paraId="1B69DA50" w14:textId="77777777" w:rsidTr="009B239D">
        <w:tc>
          <w:tcPr>
            <w:tcW w:w="2880" w:type="dxa"/>
          </w:tcPr>
          <w:p w14:paraId="4E680060" w14:textId="77777777" w:rsidR="00DF5F19" w:rsidRPr="004E6F07" w:rsidRDefault="00DF5F19" w:rsidP="00DF5F19">
            <w:pPr>
              <w:ind w:left="720"/>
              <w:rPr>
                <w:lang w:val="en-US"/>
              </w:rPr>
            </w:pPr>
            <w:r w:rsidRPr="004E6F07">
              <w:rPr>
                <w:lang w:val="en-US"/>
              </w:rPr>
              <w:t>August</w:t>
            </w:r>
          </w:p>
        </w:tc>
        <w:tc>
          <w:tcPr>
            <w:tcW w:w="1867" w:type="dxa"/>
          </w:tcPr>
          <w:p w14:paraId="06E34B2E" w14:textId="4C1D270E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(0.2)</w:t>
            </w:r>
          </w:p>
        </w:tc>
        <w:tc>
          <w:tcPr>
            <w:tcW w:w="1867" w:type="dxa"/>
            <w:vAlign w:val="bottom"/>
          </w:tcPr>
          <w:p w14:paraId="58C7D131" w14:textId="12098D4A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736" w:type="dxa"/>
            <w:vAlign w:val="bottom"/>
          </w:tcPr>
          <w:p w14:paraId="04B12876" w14:textId="77777777" w:rsidR="00DF5F19" w:rsidRPr="004E6F07" w:rsidRDefault="00DF5F19" w:rsidP="00DF5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  (0.0, 0.0)</w:t>
            </w:r>
          </w:p>
        </w:tc>
      </w:tr>
    </w:tbl>
    <w:p w14:paraId="46E8DF51" w14:textId="77777777" w:rsidR="0037553B" w:rsidRPr="00CA43C3" w:rsidRDefault="0037553B" w:rsidP="0037553B">
      <w:pPr>
        <w:rPr>
          <w:i/>
          <w:sz w:val="20"/>
          <w:szCs w:val="20"/>
        </w:rPr>
      </w:pPr>
      <w:r w:rsidRPr="00CA43C3">
        <w:rPr>
          <w:i/>
          <w:sz w:val="20"/>
          <w:szCs w:val="20"/>
        </w:rPr>
        <w:t>*Missing rates were not included in table.</w:t>
      </w:r>
    </w:p>
    <w:p w14:paraId="6ECBFF5D" w14:textId="2ED2E83C" w:rsidR="0037553B" w:rsidRPr="00CA43C3" w:rsidRDefault="001A2928" w:rsidP="0037553B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a</w:t>
      </w:r>
      <w:r w:rsidR="0037553B" w:rsidRPr="00CA43C3">
        <w:rPr>
          <w:sz w:val="20"/>
          <w:szCs w:val="20"/>
          <w:vertAlign w:val="superscript"/>
          <w:lang w:val="en-US"/>
        </w:rPr>
        <w:t xml:space="preserve"> </w:t>
      </w:r>
      <w:r w:rsidR="0037553B" w:rsidRPr="00CA43C3">
        <w:rPr>
          <w:sz w:val="20"/>
          <w:szCs w:val="20"/>
          <w:lang w:val="en-US"/>
        </w:rPr>
        <w:t>Annualized rate is calculated using the cumulative number of RSV</w:t>
      </w:r>
      <w:r w:rsidR="008A590E" w:rsidRPr="00CA43C3">
        <w:rPr>
          <w:sz w:val="20"/>
          <w:szCs w:val="20"/>
          <w:lang w:val="en-US"/>
        </w:rPr>
        <w:t>-related</w:t>
      </w:r>
      <w:r w:rsidR="0037553B" w:rsidRPr="00CA43C3">
        <w:rPr>
          <w:sz w:val="20"/>
          <w:szCs w:val="20"/>
          <w:lang w:val="en-US"/>
        </w:rPr>
        <w:t xml:space="preserve"> hospitalizations from September 1, 2016 to August 31, 2019 as the numerator and the 2016 Ontario Census multiplied by 3 as the denominator. </w:t>
      </w:r>
    </w:p>
    <w:p w14:paraId="31090B13" w14:textId="3F5D5337" w:rsidR="00CA43C3" w:rsidRDefault="001A2928" w:rsidP="00CA43C3">
      <w:pPr>
        <w:spacing w:line="240" w:lineRule="auto"/>
        <w:rPr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vertAlign w:val="superscript"/>
        </w:rPr>
        <w:t>b</w:t>
      </w:r>
      <w:r w:rsidR="0037553B" w:rsidRPr="00CA43C3"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 </w:t>
      </w:r>
      <w:r w:rsidR="0037553B" w:rsidRPr="00CA43C3">
        <w:rPr>
          <w:rFonts w:ascii="Calibri" w:hAnsi="Calibri" w:cs="Calibri"/>
          <w:color w:val="000000"/>
          <w:sz w:val="20"/>
          <w:szCs w:val="20"/>
        </w:rPr>
        <w:t xml:space="preserve">Rate for season is calculated </w:t>
      </w:r>
      <w:r w:rsidR="0037553B" w:rsidRPr="00CA43C3">
        <w:rPr>
          <w:sz w:val="20"/>
          <w:szCs w:val="20"/>
          <w:lang w:val="en-US"/>
        </w:rPr>
        <w:t>using the cumulative number of RSV</w:t>
      </w:r>
      <w:r w:rsidR="008A590E" w:rsidRPr="00CA43C3">
        <w:rPr>
          <w:sz w:val="20"/>
          <w:szCs w:val="20"/>
          <w:lang w:val="en-US"/>
        </w:rPr>
        <w:t>-related</w:t>
      </w:r>
      <w:r w:rsidR="0037553B" w:rsidRPr="00CA43C3">
        <w:rPr>
          <w:sz w:val="20"/>
          <w:szCs w:val="20"/>
          <w:lang w:val="en-US"/>
        </w:rPr>
        <w:t xml:space="preserve"> hospitalizations from September 1, 2016 to August 31, 2019 as the numerator and the 2016 Ontario Census as the denominator. </w:t>
      </w:r>
    </w:p>
    <w:p w14:paraId="20DC5A3D" w14:textId="1962C2C3" w:rsidR="0037553B" w:rsidRPr="00CA43C3" w:rsidRDefault="0037553B" w:rsidP="00CA43C3">
      <w:pPr>
        <w:spacing w:line="240" w:lineRule="auto"/>
        <w:rPr>
          <w:sz w:val="20"/>
          <w:szCs w:val="20"/>
          <w:lang w:val="en-US"/>
        </w:rPr>
      </w:pPr>
      <w:r w:rsidRPr="00A47134">
        <w:rPr>
          <w:b/>
          <w:lang w:val="en-US"/>
        </w:rPr>
        <w:lastRenderedPageBreak/>
        <w:t>Table S</w:t>
      </w:r>
      <w:r w:rsidR="004C5709">
        <w:rPr>
          <w:b/>
          <w:lang w:val="en-US"/>
        </w:rPr>
        <w:t>4</w:t>
      </w:r>
      <w:r w:rsidRPr="00A47134">
        <w:rPr>
          <w:b/>
          <w:lang w:val="en-US"/>
        </w:rPr>
        <w:t>B</w:t>
      </w:r>
      <w:r w:rsidRPr="00A47134">
        <w:rPr>
          <w:lang w:val="en-US"/>
        </w:rPr>
        <w:t xml:space="preserve">: </w:t>
      </w:r>
      <w:r w:rsidR="00470B30">
        <w:rPr>
          <w:lang w:val="en-US"/>
        </w:rPr>
        <w:t>Ag</w:t>
      </w:r>
      <w:r w:rsidRPr="00A47134">
        <w:rPr>
          <w:lang w:val="en-US"/>
        </w:rPr>
        <w:t xml:space="preserve">e-standardized annualized </w:t>
      </w:r>
      <w:r w:rsidR="00BB5991">
        <w:rPr>
          <w:lang w:val="en-US"/>
        </w:rPr>
        <w:t>RSV-related hospitalization</w:t>
      </w:r>
      <w:r w:rsidRPr="00A47134">
        <w:rPr>
          <w:lang w:val="en-US"/>
        </w:rPr>
        <w:t xml:space="preserve"> rates per 100,000 in Ontario by sociodemographic and housing characteristics with RSV as most responsible diagnostic</w:t>
      </w:r>
      <w:r w:rsidR="00296220">
        <w:rPr>
          <w:lang w:val="en-US"/>
        </w:rPr>
        <w:t xml:space="preserve"> from September 1, 2016 to August 31, 2019</w:t>
      </w:r>
      <w:r w:rsidRPr="00A47134">
        <w:rPr>
          <w:lang w:val="en-US"/>
        </w:rPr>
        <w:t>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680"/>
        <w:gridCol w:w="1713"/>
        <w:gridCol w:w="1404"/>
        <w:gridCol w:w="2000"/>
        <w:gridCol w:w="1701"/>
      </w:tblGrid>
      <w:tr w:rsidR="00AE3C3F" w:rsidDel="00897A7B" w14:paraId="1144721F" w14:textId="77777777" w:rsidTr="00916552">
        <w:tc>
          <w:tcPr>
            <w:tcW w:w="2680" w:type="dxa"/>
          </w:tcPr>
          <w:p w14:paraId="407E9D91" w14:textId="77777777" w:rsidR="00AE3C3F" w:rsidRPr="00D14508" w:rsidRDefault="00AE3C3F" w:rsidP="0037553B">
            <w:pPr>
              <w:rPr>
                <w:i/>
                <w:lang w:val="en-US"/>
              </w:rPr>
            </w:pPr>
            <w:r w:rsidRPr="004E6F07">
              <w:rPr>
                <w:b/>
                <w:lang w:val="en-US"/>
              </w:rPr>
              <w:t>Characteristic</w:t>
            </w:r>
          </w:p>
        </w:tc>
        <w:tc>
          <w:tcPr>
            <w:tcW w:w="1713" w:type="dxa"/>
          </w:tcPr>
          <w:p w14:paraId="53AF5488" w14:textId="44FA783F" w:rsidR="00DF3D0C" w:rsidRPr="00DF3D0C" w:rsidRDefault="00BB5991" w:rsidP="003755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RSV-related hospitalization</w:t>
            </w:r>
            <w:r w:rsidR="00AE3C3F" w:rsidRPr="00DF3D0C">
              <w:rPr>
                <w:b/>
                <w:lang w:val="en-US"/>
              </w:rPr>
              <w:t>s, 2016-2019</w:t>
            </w:r>
            <w:r w:rsidR="00DF3D0C" w:rsidRPr="00DF3D0C">
              <w:rPr>
                <w:b/>
                <w:lang w:val="en-US"/>
              </w:rPr>
              <w:t xml:space="preserve">, </w:t>
            </w:r>
          </w:p>
          <w:p w14:paraId="546FA17C" w14:textId="1DA16513" w:rsidR="00AE3C3F" w:rsidRPr="00E532AD" w:rsidRDefault="00DF3D0C" w:rsidP="0037553B">
            <w:pPr>
              <w:jc w:val="center"/>
              <w:rPr>
                <w:b/>
                <w:highlight w:val="yellow"/>
                <w:lang w:val="en-US"/>
              </w:rPr>
            </w:pPr>
            <w:r w:rsidRPr="00DF3D0C">
              <w:rPr>
                <w:b/>
                <w:lang w:val="en-US"/>
              </w:rPr>
              <w:t>n (%)</w:t>
            </w:r>
          </w:p>
        </w:tc>
        <w:tc>
          <w:tcPr>
            <w:tcW w:w="1404" w:type="dxa"/>
          </w:tcPr>
          <w:p w14:paraId="5992FBC5" w14:textId="0C24399A" w:rsidR="00AE3C3F" w:rsidRDefault="00AE3C3F" w:rsidP="003755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Ontario population, 2016</w:t>
            </w:r>
          </w:p>
        </w:tc>
        <w:tc>
          <w:tcPr>
            <w:tcW w:w="2000" w:type="dxa"/>
          </w:tcPr>
          <w:p w14:paraId="620309EC" w14:textId="0F39290A" w:rsidR="00AE3C3F" w:rsidRPr="004E6F07" w:rsidRDefault="009C65E9" w:rsidP="003755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Age-standardized annualized </w:t>
            </w:r>
            <w:r w:rsidR="00BB5991">
              <w:rPr>
                <w:b/>
                <w:lang w:val="en-US"/>
              </w:rPr>
              <w:t>RSV-related hospitalization</w:t>
            </w:r>
            <w:r>
              <w:rPr>
                <w:b/>
                <w:lang w:val="en-US"/>
              </w:rPr>
              <w:t xml:space="preserve"> rate per 100,000</w:t>
            </w:r>
            <w:r w:rsidR="0014191D">
              <w:rPr>
                <w:vertAlign w:val="superscript"/>
                <w:lang w:val="en-US"/>
              </w:rPr>
              <w:t>a</w:t>
            </w:r>
            <w:r w:rsidR="00AE3C3F">
              <w:rPr>
                <w:lang w:val="en-US"/>
              </w:rPr>
              <w:t xml:space="preserve"> </w:t>
            </w:r>
            <w:r w:rsidR="00AE3C3F" w:rsidRPr="00DF6B66">
              <w:rPr>
                <w:b/>
                <w:bCs/>
                <w:lang w:val="en-US"/>
              </w:rPr>
              <w:t>(95% CI)</w:t>
            </w:r>
          </w:p>
        </w:tc>
        <w:tc>
          <w:tcPr>
            <w:tcW w:w="1701" w:type="dxa"/>
          </w:tcPr>
          <w:p w14:paraId="7F34BB68" w14:textId="77777777" w:rsidR="00AE3C3F" w:rsidRDefault="00AE3C3F" w:rsidP="003755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Rate ratio</w:t>
            </w:r>
          </w:p>
          <w:p w14:paraId="29A09A19" w14:textId="4E0A60E9" w:rsidR="00AE3C3F" w:rsidRDefault="00AE3C3F" w:rsidP="0037553B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F6B66">
              <w:rPr>
                <w:b/>
                <w:bCs/>
                <w:lang w:val="en-US"/>
              </w:rPr>
              <w:t>(95% CI)</w:t>
            </w:r>
          </w:p>
        </w:tc>
      </w:tr>
      <w:tr w:rsidR="00297796" w:rsidDel="00897A7B" w14:paraId="2029D15F" w14:textId="77777777" w:rsidTr="009B239D">
        <w:tc>
          <w:tcPr>
            <w:tcW w:w="2680" w:type="dxa"/>
          </w:tcPr>
          <w:p w14:paraId="09DADC37" w14:textId="77777777" w:rsidR="00297796" w:rsidRPr="008764EB" w:rsidRDefault="00297796" w:rsidP="00297796">
            <w:pPr>
              <w:rPr>
                <w:i/>
                <w:lang w:val="en-US"/>
              </w:rPr>
            </w:pPr>
            <w:r w:rsidRPr="008764EB">
              <w:rPr>
                <w:i/>
                <w:lang w:val="en-US"/>
              </w:rPr>
              <w:t xml:space="preserve">Overall </w:t>
            </w:r>
          </w:p>
        </w:tc>
        <w:tc>
          <w:tcPr>
            <w:tcW w:w="1713" w:type="dxa"/>
          </w:tcPr>
          <w:p w14:paraId="2C3EF25D" w14:textId="34CADE07" w:rsidR="00297796" w:rsidRPr="008764EB" w:rsidDel="00897A7B" w:rsidRDefault="00297796" w:rsidP="00297796">
            <w:pPr>
              <w:jc w:val="center"/>
              <w:rPr>
                <w:lang w:val="en-US"/>
              </w:rPr>
            </w:pPr>
            <w:r w:rsidRPr="008764EB">
              <w:rPr>
                <w:lang w:val="en-US"/>
              </w:rPr>
              <w:t>6</w:t>
            </w:r>
            <w:r>
              <w:rPr>
                <w:lang w:val="en-US"/>
              </w:rPr>
              <w:t>,</w:t>
            </w:r>
            <w:r w:rsidRPr="008764EB">
              <w:rPr>
                <w:lang w:val="en-US"/>
              </w:rPr>
              <w:t>755</w:t>
            </w:r>
          </w:p>
        </w:tc>
        <w:tc>
          <w:tcPr>
            <w:tcW w:w="1404" w:type="dxa"/>
            <w:vAlign w:val="bottom"/>
          </w:tcPr>
          <w:p w14:paraId="05E49F19" w14:textId="44455C43" w:rsidR="00297796" w:rsidRPr="008764EB" w:rsidDel="00897A7B" w:rsidRDefault="00297796" w:rsidP="00297796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13,448,155</w:t>
            </w:r>
          </w:p>
        </w:tc>
        <w:tc>
          <w:tcPr>
            <w:tcW w:w="2000" w:type="dxa"/>
          </w:tcPr>
          <w:p w14:paraId="6C055F74" w14:textId="77777777" w:rsidR="00297796" w:rsidRPr="008764EB" w:rsidDel="00897A7B" w:rsidRDefault="00297796" w:rsidP="00297796">
            <w:pPr>
              <w:jc w:val="center"/>
              <w:rPr>
                <w:lang w:val="en-US"/>
              </w:rPr>
            </w:pPr>
            <w:r w:rsidRPr="008764EB">
              <w:rPr>
                <w:lang w:val="en-US"/>
              </w:rPr>
              <w:t>17.2 (16.6, 17.9)</w:t>
            </w:r>
          </w:p>
        </w:tc>
        <w:tc>
          <w:tcPr>
            <w:tcW w:w="1701" w:type="dxa"/>
          </w:tcPr>
          <w:p w14:paraId="252BE62B" w14:textId="77777777" w:rsidR="00297796" w:rsidRPr="008764EB" w:rsidDel="00897A7B" w:rsidRDefault="00297796" w:rsidP="00297796">
            <w:pPr>
              <w:jc w:val="center"/>
              <w:rPr>
                <w:lang w:val="en-US"/>
              </w:rPr>
            </w:pPr>
            <w:r w:rsidRPr="008764EB">
              <w:rPr>
                <w:rFonts w:ascii="Calibri" w:hAnsi="Calibri" w:cs="Calibri"/>
              </w:rPr>
              <w:t>-</w:t>
            </w:r>
          </w:p>
        </w:tc>
      </w:tr>
      <w:tr w:rsidR="00DF3D0C" w:rsidDel="00897A7B" w14:paraId="592D66E5" w14:textId="77777777" w:rsidTr="009B239D">
        <w:tc>
          <w:tcPr>
            <w:tcW w:w="2680" w:type="dxa"/>
          </w:tcPr>
          <w:p w14:paraId="7B23C577" w14:textId="6CC0D861" w:rsidR="00DF3D0C" w:rsidRPr="00DF3D0C" w:rsidRDefault="00DF3D0C" w:rsidP="00297796">
            <w:pPr>
              <w:rPr>
                <w:iCs/>
                <w:lang w:val="en-US"/>
              </w:rPr>
            </w:pPr>
            <w:r w:rsidRPr="00845483">
              <w:rPr>
                <w:i/>
                <w:lang w:val="en-US"/>
              </w:rPr>
              <w:t>Sociodemographic</w:t>
            </w:r>
          </w:p>
        </w:tc>
        <w:tc>
          <w:tcPr>
            <w:tcW w:w="1713" w:type="dxa"/>
          </w:tcPr>
          <w:p w14:paraId="265B6E3A" w14:textId="77777777" w:rsidR="00DF3D0C" w:rsidRPr="008764EB" w:rsidRDefault="00DF3D0C" w:rsidP="00297796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  <w:vAlign w:val="bottom"/>
          </w:tcPr>
          <w:p w14:paraId="1CA074A0" w14:textId="77777777" w:rsidR="00DF3D0C" w:rsidRDefault="00DF3D0C" w:rsidP="0029779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</w:tcPr>
          <w:p w14:paraId="52A6D186" w14:textId="77777777" w:rsidR="00DF3D0C" w:rsidRPr="008764EB" w:rsidRDefault="00DF3D0C" w:rsidP="0029779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64C0F2BF" w14:textId="77777777" w:rsidR="00DF3D0C" w:rsidRPr="008764EB" w:rsidRDefault="00DF3D0C" w:rsidP="00297796">
            <w:pPr>
              <w:jc w:val="center"/>
              <w:rPr>
                <w:rFonts w:ascii="Calibri" w:hAnsi="Calibri" w:cs="Calibri"/>
              </w:rPr>
            </w:pPr>
          </w:p>
        </w:tc>
      </w:tr>
      <w:tr w:rsidR="00112D24" w:rsidDel="00897A7B" w14:paraId="6B42333D" w14:textId="77777777" w:rsidTr="009B239D">
        <w:tc>
          <w:tcPr>
            <w:tcW w:w="2680" w:type="dxa"/>
          </w:tcPr>
          <w:p w14:paraId="379C5B9E" w14:textId="1C8BE031" w:rsidR="00112D24" w:rsidRPr="00845483" w:rsidRDefault="00112D24" w:rsidP="00112D24">
            <w:pPr>
              <w:rPr>
                <w:i/>
                <w:lang w:val="en-US"/>
              </w:rPr>
            </w:pPr>
            <w:r>
              <w:rPr>
                <w:lang w:val="en-US"/>
              </w:rPr>
              <w:t>Racialized and newcomer populations quintile (ON-Marg)</w:t>
            </w:r>
          </w:p>
        </w:tc>
        <w:tc>
          <w:tcPr>
            <w:tcW w:w="1713" w:type="dxa"/>
            <w:vAlign w:val="bottom"/>
          </w:tcPr>
          <w:p w14:paraId="04738216" w14:textId="77777777" w:rsidR="00112D24" w:rsidRPr="008764EB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5E52369E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</w:tcPr>
          <w:p w14:paraId="1306472F" w14:textId="77777777" w:rsidR="00112D24" w:rsidRPr="008764EB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72E58C3F" w14:textId="77777777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</w:p>
        </w:tc>
      </w:tr>
      <w:tr w:rsidR="00112D24" w:rsidDel="00897A7B" w14:paraId="033B3074" w14:textId="77777777" w:rsidTr="009B239D">
        <w:tc>
          <w:tcPr>
            <w:tcW w:w="2680" w:type="dxa"/>
          </w:tcPr>
          <w:p w14:paraId="62D58206" w14:textId="3D247E4F" w:rsidR="00112D24" w:rsidRP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1713" w:type="dxa"/>
            <w:vAlign w:val="bottom"/>
          </w:tcPr>
          <w:p w14:paraId="33EA1A3D" w14:textId="3C0E739E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991 (14.7)</w:t>
            </w:r>
          </w:p>
        </w:tc>
        <w:tc>
          <w:tcPr>
            <w:tcW w:w="1404" w:type="dxa"/>
            <w:vAlign w:val="bottom"/>
          </w:tcPr>
          <w:p w14:paraId="36FD6BE1" w14:textId="117642D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9B76D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074</w:t>
            </w:r>
            <w:r w:rsidRPr="009B76D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090</w:t>
            </w:r>
          </w:p>
        </w:tc>
        <w:tc>
          <w:tcPr>
            <w:tcW w:w="2000" w:type="dxa"/>
            <w:vAlign w:val="bottom"/>
          </w:tcPr>
          <w:p w14:paraId="332068C9" w14:textId="00EF5F7E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19.5 (17.8, 21.2)</w:t>
            </w:r>
          </w:p>
        </w:tc>
        <w:tc>
          <w:tcPr>
            <w:tcW w:w="1701" w:type="dxa"/>
            <w:vAlign w:val="bottom"/>
          </w:tcPr>
          <w:p w14:paraId="7D60BCE2" w14:textId="7A2F2462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:rsidDel="00897A7B" w14:paraId="2ED23805" w14:textId="77777777" w:rsidTr="009B239D">
        <w:tc>
          <w:tcPr>
            <w:tcW w:w="2680" w:type="dxa"/>
          </w:tcPr>
          <w:p w14:paraId="527A5F54" w14:textId="7D93CBF8" w:rsidR="00112D24" w:rsidRP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3BA7FDEC" w14:textId="2A04E4F4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1,153 (17.1)</w:t>
            </w:r>
          </w:p>
        </w:tc>
        <w:tc>
          <w:tcPr>
            <w:tcW w:w="1404" w:type="dxa"/>
            <w:vAlign w:val="bottom"/>
          </w:tcPr>
          <w:p w14:paraId="36C5097F" w14:textId="18D021D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</w:rPr>
              <w:t>209</w:t>
            </w:r>
            <w:r>
              <w:rPr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2000" w:type="dxa"/>
            <w:vAlign w:val="bottom"/>
          </w:tcPr>
          <w:p w14:paraId="400A20E8" w14:textId="03AFB7C3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19.1 (17.5, 20.7)</w:t>
            </w:r>
          </w:p>
        </w:tc>
        <w:tc>
          <w:tcPr>
            <w:tcW w:w="1701" w:type="dxa"/>
            <w:vAlign w:val="bottom"/>
          </w:tcPr>
          <w:p w14:paraId="5F9D40F7" w14:textId="07296838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1.0 (1.0, 1.0)</w:t>
            </w:r>
          </w:p>
        </w:tc>
      </w:tr>
      <w:tr w:rsidR="00112D24" w:rsidDel="00897A7B" w14:paraId="6031EF83" w14:textId="77777777" w:rsidTr="009B239D">
        <w:tc>
          <w:tcPr>
            <w:tcW w:w="2680" w:type="dxa"/>
          </w:tcPr>
          <w:p w14:paraId="303A5C73" w14:textId="5A8FDE8B" w:rsidR="00112D24" w:rsidRP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49F97F25" w14:textId="5C596F28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1,240 (18.4)</w:t>
            </w:r>
          </w:p>
        </w:tc>
        <w:tc>
          <w:tcPr>
            <w:tcW w:w="1404" w:type="dxa"/>
            <w:vAlign w:val="bottom"/>
          </w:tcPr>
          <w:p w14:paraId="038F8058" w14:textId="6E0A4A9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</w:rPr>
              <w:t>392</w:t>
            </w:r>
            <w:r>
              <w:rPr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2000" w:type="dxa"/>
            <w:vAlign w:val="bottom"/>
          </w:tcPr>
          <w:p w14:paraId="333B518A" w14:textId="1BDD5742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18.1 (16.6, 19.5)</w:t>
            </w:r>
          </w:p>
        </w:tc>
        <w:tc>
          <w:tcPr>
            <w:tcW w:w="1701" w:type="dxa"/>
            <w:vAlign w:val="bottom"/>
          </w:tcPr>
          <w:p w14:paraId="05B3DD00" w14:textId="156939F3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0.9 (0.9, 0.9)</w:t>
            </w:r>
          </w:p>
        </w:tc>
      </w:tr>
      <w:tr w:rsidR="00112D24" w:rsidDel="00897A7B" w14:paraId="6D5371CB" w14:textId="77777777" w:rsidTr="009B239D">
        <w:tc>
          <w:tcPr>
            <w:tcW w:w="2680" w:type="dxa"/>
          </w:tcPr>
          <w:p w14:paraId="4A1B4768" w14:textId="00E0D0E2" w:rsidR="00112D24" w:rsidRP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138F481C" w14:textId="4BBA2B05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1,471 (21.8)</w:t>
            </w:r>
          </w:p>
        </w:tc>
        <w:tc>
          <w:tcPr>
            <w:tcW w:w="1404" w:type="dxa"/>
            <w:vAlign w:val="bottom"/>
          </w:tcPr>
          <w:p w14:paraId="7ACE2027" w14:textId="40112C2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2,827,935</w:t>
            </w:r>
          </w:p>
        </w:tc>
        <w:tc>
          <w:tcPr>
            <w:tcW w:w="2000" w:type="dxa"/>
            <w:vAlign w:val="bottom"/>
          </w:tcPr>
          <w:p w14:paraId="50B46B08" w14:textId="6DD757C3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18.0 (16.5, 19.4)</w:t>
            </w:r>
          </w:p>
        </w:tc>
        <w:tc>
          <w:tcPr>
            <w:tcW w:w="1701" w:type="dxa"/>
            <w:vAlign w:val="bottom"/>
          </w:tcPr>
          <w:p w14:paraId="347AFD48" w14:textId="794EC940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0.9 (0.9, 0.9)</w:t>
            </w:r>
          </w:p>
        </w:tc>
      </w:tr>
      <w:tr w:rsidR="00112D24" w:rsidDel="00897A7B" w14:paraId="55245447" w14:textId="77777777" w:rsidTr="009B239D">
        <w:tc>
          <w:tcPr>
            <w:tcW w:w="2680" w:type="dxa"/>
          </w:tcPr>
          <w:p w14:paraId="6C41D9B6" w14:textId="5E8B8E5D" w:rsidR="00112D24" w:rsidRP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1713" w:type="dxa"/>
            <w:vAlign w:val="bottom"/>
          </w:tcPr>
          <w:p w14:paraId="354A1D0B" w14:textId="2AE17834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1,752 (25.9)</w:t>
            </w:r>
          </w:p>
        </w:tc>
        <w:tc>
          <w:tcPr>
            <w:tcW w:w="1404" w:type="dxa"/>
            <w:vAlign w:val="bottom"/>
          </w:tcPr>
          <w:p w14:paraId="774907A2" w14:textId="26CD2461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2,074,090</w:t>
            </w:r>
          </w:p>
        </w:tc>
        <w:tc>
          <w:tcPr>
            <w:tcW w:w="2000" w:type="dxa"/>
            <w:vAlign w:val="bottom"/>
          </w:tcPr>
          <w:p w14:paraId="47B6CD7C" w14:textId="26F96DA3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14.7 (13.6, 15.8)</w:t>
            </w:r>
          </w:p>
        </w:tc>
        <w:tc>
          <w:tcPr>
            <w:tcW w:w="1701" w:type="dxa"/>
            <w:vAlign w:val="bottom"/>
          </w:tcPr>
          <w:p w14:paraId="4AF5DCCC" w14:textId="49EFDC3B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0.8 (0.8, 0.7)</w:t>
            </w:r>
          </w:p>
        </w:tc>
      </w:tr>
      <w:tr w:rsidR="00112D24" w:rsidDel="00897A7B" w14:paraId="2F885809" w14:textId="77777777" w:rsidTr="009B239D">
        <w:tc>
          <w:tcPr>
            <w:tcW w:w="2680" w:type="dxa"/>
          </w:tcPr>
          <w:p w14:paraId="7763E82D" w14:textId="1D1AE810" w:rsidR="00112D24" w:rsidRPr="008764EB" w:rsidRDefault="00112D24" w:rsidP="00112D24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Material resources quintile (ON-Marg) </w:t>
            </w:r>
          </w:p>
        </w:tc>
        <w:tc>
          <w:tcPr>
            <w:tcW w:w="1713" w:type="dxa"/>
          </w:tcPr>
          <w:p w14:paraId="4ECEEE33" w14:textId="77777777" w:rsidR="00112D24" w:rsidRPr="008764EB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7394EB13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</w:tcPr>
          <w:p w14:paraId="330B1BDC" w14:textId="77777777" w:rsidR="00112D24" w:rsidRPr="008764EB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C388663" w14:textId="77777777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</w:p>
        </w:tc>
      </w:tr>
      <w:tr w:rsidR="00112D24" w:rsidDel="00897A7B" w14:paraId="043139DC" w14:textId="77777777" w:rsidTr="009B239D">
        <w:tc>
          <w:tcPr>
            <w:tcW w:w="2680" w:type="dxa"/>
          </w:tcPr>
          <w:p w14:paraId="755BFE0B" w14:textId="2C457CA3" w:rsidR="00112D24" w:rsidRPr="008764EB" w:rsidRDefault="00112D24" w:rsidP="00112D24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1713" w:type="dxa"/>
            <w:vAlign w:val="bottom"/>
          </w:tcPr>
          <w:p w14:paraId="652DDEDC" w14:textId="6BC73F9E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1,343 (19.9)</w:t>
            </w:r>
          </w:p>
        </w:tc>
        <w:tc>
          <w:tcPr>
            <w:tcW w:w="1404" w:type="dxa"/>
            <w:vAlign w:val="bottom"/>
          </w:tcPr>
          <w:p w14:paraId="2BCB894C" w14:textId="13BC8C12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3,027,125</w:t>
            </w:r>
          </w:p>
        </w:tc>
        <w:tc>
          <w:tcPr>
            <w:tcW w:w="2000" w:type="dxa"/>
            <w:vAlign w:val="bottom"/>
          </w:tcPr>
          <w:p w14:paraId="3A5EE740" w14:textId="43564C0E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15.2 (14.0, 16.5)</w:t>
            </w:r>
          </w:p>
        </w:tc>
        <w:tc>
          <w:tcPr>
            <w:tcW w:w="1701" w:type="dxa"/>
            <w:vAlign w:val="bottom"/>
          </w:tcPr>
          <w:p w14:paraId="65DA5664" w14:textId="60B09F4C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:rsidDel="00897A7B" w14:paraId="453FF68A" w14:textId="77777777" w:rsidTr="009B239D">
        <w:tc>
          <w:tcPr>
            <w:tcW w:w="2680" w:type="dxa"/>
          </w:tcPr>
          <w:p w14:paraId="469F3214" w14:textId="72DBFF79" w:rsidR="00112D24" w:rsidRPr="008764EB" w:rsidRDefault="00112D24" w:rsidP="00112D24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64511217" w14:textId="21970706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1,223 (18.1)</w:t>
            </w:r>
          </w:p>
        </w:tc>
        <w:tc>
          <w:tcPr>
            <w:tcW w:w="1404" w:type="dxa"/>
            <w:vAlign w:val="bottom"/>
          </w:tcPr>
          <w:p w14:paraId="152FDA9E" w14:textId="6C1F6DA9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2,832,470</w:t>
            </w:r>
          </w:p>
        </w:tc>
        <w:tc>
          <w:tcPr>
            <w:tcW w:w="2000" w:type="dxa"/>
            <w:vAlign w:val="bottom"/>
          </w:tcPr>
          <w:p w14:paraId="67E2A634" w14:textId="0CBEE329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15.0 (13.8, 16.3)</w:t>
            </w:r>
          </w:p>
        </w:tc>
        <w:tc>
          <w:tcPr>
            <w:tcW w:w="1701" w:type="dxa"/>
            <w:vAlign w:val="bottom"/>
          </w:tcPr>
          <w:p w14:paraId="7D0F0BAD" w14:textId="121D4BA1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1.0 (1.0, 1.0)</w:t>
            </w:r>
          </w:p>
        </w:tc>
      </w:tr>
      <w:tr w:rsidR="00112D24" w:rsidDel="00897A7B" w14:paraId="5084E74C" w14:textId="77777777" w:rsidTr="009B239D">
        <w:tc>
          <w:tcPr>
            <w:tcW w:w="2680" w:type="dxa"/>
          </w:tcPr>
          <w:p w14:paraId="46B9A35D" w14:textId="08EB07A7" w:rsidR="00112D24" w:rsidRPr="008764EB" w:rsidRDefault="00112D24" w:rsidP="00112D24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5ABCEFC4" w14:textId="0FCACD55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1,174 (17.4)</w:t>
            </w:r>
          </w:p>
        </w:tc>
        <w:tc>
          <w:tcPr>
            <w:tcW w:w="1404" w:type="dxa"/>
            <w:vAlign w:val="bottom"/>
          </w:tcPr>
          <w:p w14:paraId="1D4708E6" w14:textId="51275651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2,546,320</w:t>
            </w:r>
          </w:p>
        </w:tc>
        <w:tc>
          <w:tcPr>
            <w:tcW w:w="2000" w:type="dxa"/>
            <w:vAlign w:val="bottom"/>
          </w:tcPr>
          <w:p w14:paraId="492D1919" w14:textId="6D2743CE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16.5 (15.1, 17.8)</w:t>
            </w:r>
          </w:p>
        </w:tc>
        <w:tc>
          <w:tcPr>
            <w:tcW w:w="1701" w:type="dxa"/>
            <w:vAlign w:val="bottom"/>
          </w:tcPr>
          <w:p w14:paraId="6228C11A" w14:textId="166122A2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1.1 (1.1, 1.1)</w:t>
            </w:r>
          </w:p>
        </w:tc>
      </w:tr>
      <w:tr w:rsidR="00112D24" w:rsidDel="00897A7B" w14:paraId="5D5BE0C3" w14:textId="77777777" w:rsidTr="009B239D">
        <w:tc>
          <w:tcPr>
            <w:tcW w:w="2680" w:type="dxa"/>
          </w:tcPr>
          <w:p w14:paraId="16AE4344" w14:textId="277A70CD" w:rsidR="00112D24" w:rsidRPr="008764EB" w:rsidRDefault="00112D24" w:rsidP="00112D24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365743CC" w14:textId="4C38BD7B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1,290 (19.1)</w:t>
            </w:r>
          </w:p>
        </w:tc>
        <w:tc>
          <w:tcPr>
            <w:tcW w:w="1404" w:type="dxa"/>
            <w:vAlign w:val="bottom"/>
          </w:tcPr>
          <w:p w14:paraId="4CD0B683" w14:textId="6453F54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2,432,020</w:t>
            </w:r>
          </w:p>
        </w:tc>
        <w:tc>
          <w:tcPr>
            <w:tcW w:w="2000" w:type="dxa"/>
            <w:vAlign w:val="bottom"/>
          </w:tcPr>
          <w:p w14:paraId="7DF68B6A" w14:textId="03F58E4C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18.8 (17.3, 20.3)</w:t>
            </w:r>
          </w:p>
        </w:tc>
        <w:tc>
          <w:tcPr>
            <w:tcW w:w="1701" w:type="dxa"/>
            <w:vAlign w:val="bottom"/>
          </w:tcPr>
          <w:p w14:paraId="764F5AD0" w14:textId="7E60A37E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:rsidDel="00897A7B" w14:paraId="6AE58D76" w14:textId="77777777" w:rsidTr="009B239D">
        <w:tc>
          <w:tcPr>
            <w:tcW w:w="2680" w:type="dxa"/>
          </w:tcPr>
          <w:p w14:paraId="429EE316" w14:textId="5C6D0737" w:rsidR="00112D24" w:rsidRPr="008764EB" w:rsidRDefault="00112D24" w:rsidP="00112D24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1713" w:type="dxa"/>
            <w:vAlign w:val="bottom"/>
          </w:tcPr>
          <w:p w14:paraId="647A99C2" w14:textId="59DEAC5E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1,577 (23.4)</w:t>
            </w:r>
          </w:p>
        </w:tc>
        <w:tc>
          <w:tcPr>
            <w:tcW w:w="1404" w:type="dxa"/>
            <w:vAlign w:val="bottom"/>
          </w:tcPr>
          <w:p w14:paraId="4E698E5A" w14:textId="604972D1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2,540,425</w:t>
            </w:r>
          </w:p>
        </w:tc>
        <w:tc>
          <w:tcPr>
            <w:tcW w:w="2000" w:type="dxa"/>
            <w:vAlign w:val="bottom"/>
          </w:tcPr>
          <w:p w14:paraId="4286FB98" w14:textId="7CC69C35" w:rsidR="00112D24" w:rsidRPr="008764EB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19.8 (18.3, 21.3)</w:t>
            </w:r>
          </w:p>
        </w:tc>
        <w:tc>
          <w:tcPr>
            <w:tcW w:w="1701" w:type="dxa"/>
            <w:vAlign w:val="bottom"/>
          </w:tcPr>
          <w:p w14:paraId="4F6EDB72" w14:textId="6A6386C0" w:rsidR="00112D24" w:rsidRPr="008764EB" w:rsidRDefault="00112D24" w:rsidP="00112D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1.3 (1.3, 1.3)</w:t>
            </w:r>
          </w:p>
        </w:tc>
      </w:tr>
      <w:tr w:rsidR="00112D24" w14:paraId="668EB6A3" w14:textId="77777777" w:rsidTr="009B239D">
        <w:tc>
          <w:tcPr>
            <w:tcW w:w="2680" w:type="dxa"/>
          </w:tcPr>
          <w:p w14:paraId="68A78193" w14:textId="0F0AB887" w:rsidR="00112D24" w:rsidRDefault="00112D24" w:rsidP="00112D24">
            <w:pPr>
              <w:rPr>
                <w:lang w:val="en-US"/>
              </w:rPr>
            </w:pPr>
            <w:r>
              <w:rPr>
                <w:lang w:val="en-US"/>
              </w:rPr>
              <w:t>Households and dwellings quintile (ON-Marg)</w:t>
            </w:r>
          </w:p>
        </w:tc>
        <w:tc>
          <w:tcPr>
            <w:tcW w:w="1713" w:type="dxa"/>
            <w:vAlign w:val="bottom"/>
          </w:tcPr>
          <w:p w14:paraId="7D22C309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39A119EB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74AF2F87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FBF3CDC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363B4E07" w14:textId="77777777" w:rsidTr="009B239D">
        <w:tc>
          <w:tcPr>
            <w:tcW w:w="2680" w:type="dxa"/>
          </w:tcPr>
          <w:p w14:paraId="0C0168A7" w14:textId="2955C732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1713" w:type="dxa"/>
            <w:vAlign w:val="bottom"/>
          </w:tcPr>
          <w:p w14:paraId="2D18958D" w14:textId="371E6A30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1,240 (18.4)</w:t>
            </w:r>
          </w:p>
        </w:tc>
        <w:tc>
          <w:tcPr>
            <w:tcW w:w="1404" w:type="dxa"/>
            <w:vAlign w:val="center"/>
          </w:tcPr>
          <w:p w14:paraId="232E159F" w14:textId="34725551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2,968,800</w:t>
            </w:r>
          </w:p>
        </w:tc>
        <w:tc>
          <w:tcPr>
            <w:tcW w:w="2000" w:type="dxa"/>
            <w:vAlign w:val="bottom"/>
          </w:tcPr>
          <w:p w14:paraId="3408D2D7" w14:textId="213FD60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 (12.9, 15.3)</w:t>
            </w:r>
          </w:p>
        </w:tc>
        <w:tc>
          <w:tcPr>
            <w:tcW w:w="1701" w:type="dxa"/>
            <w:vAlign w:val="bottom"/>
          </w:tcPr>
          <w:p w14:paraId="518D5679" w14:textId="2902769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502A4061" w14:textId="77777777" w:rsidTr="009B239D">
        <w:tc>
          <w:tcPr>
            <w:tcW w:w="2680" w:type="dxa"/>
          </w:tcPr>
          <w:p w14:paraId="1C2D35DE" w14:textId="5E8CC44A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0D783887" w14:textId="3C7AEA9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1,266 (18.7)</w:t>
            </w:r>
          </w:p>
        </w:tc>
        <w:tc>
          <w:tcPr>
            <w:tcW w:w="1404" w:type="dxa"/>
            <w:vAlign w:val="center"/>
          </w:tcPr>
          <w:p w14:paraId="581D5355" w14:textId="6949959F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2,534,625</w:t>
            </w:r>
          </w:p>
        </w:tc>
        <w:tc>
          <w:tcPr>
            <w:tcW w:w="2000" w:type="dxa"/>
            <w:vAlign w:val="bottom"/>
          </w:tcPr>
          <w:p w14:paraId="0124D79B" w14:textId="46FDEA40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 (15.8, 18.6)</w:t>
            </w:r>
          </w:p>
        </w:tc>
        <w:tc>
          <w:tcPr>
            <w:tcW w:w="1701" w:type="dxa"/>
            <w:vAlign w:val="bottom"/>
          </w:tcPr>
          <w:p w14:paraId="7D7016DE" w14:textId="16106BE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14:paraId="39C3CB4C" w14:textId="77777777" w:rsidTr="009B239D">
        <w:tc>
          <w:tcPr>
            <w:tcW w:w="2680" w:type="dxa"/>
          </w:tcPr>
          <w:p w14:paraId="7FF4A6AC" w14:textId="0F081772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67AB01BA" w14:textId="0551DC13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1,212 (17.9)</w:t>
            </w:r>
          </w:p>
        </w:tc>
        <w:tc>
          <w:tcPr>
            <w:tcW w:w="1404" w:type="dxa"/>
            <w:vAlign w:val="center"/>
          </w:tcPr>
          <w:p w14:paraId="266E367B" w14:textId="51C05F9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2,392,230</w:t>
            </w:r>
          </w:p>
        </w:tc>
        <w:tc>
          <w:tcPr>
            <w:tcW w:w="2000" w:type="dxa"/>
            <w:vAlign w:val="bottom"/>
          </w:tcPr>
          <w:p w14:paraId="6BDFB384" w14:textId="5C1FC20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 (15.9, 18.7)</w:t>
            </w:r>
          </w:p>
        </w:tc>
        <w:tc>
          <w:tcPr>
            <w:tcW w:w="1701" w:type="dxa"/>
            <w:vAlign w:val="bottom"/>
          </w:tcPr>
          <w:p w14:paraId="7FF6CA82" w14:textId="49644E4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14:paraId="402665F9" w14:textId="77777777" w:rsidTr="009B239D">
        <w:tc>
          <w:tcPr>
            <w:tcW w:w="2680" w:type="dxa"/>
          </w:tcPr>
          <w:p w14:paraId="275AF602" w14:textId="281BE6AA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679C6492" w14:textId="7E88BAE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1,299 (19.2)</w:t>
            </w:r>
          </w:p>
        </w:tc>
        <w:tc>
          <w:tcPr>
            <w:tcW w:w="1404" w:type="dxa"/>
            <w:vAlign w:val="center"/>
          </w:tcPr>
          <w:p w14:paraId="75CB1791" w14:textId="58A7614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2,405,570</w:t>
            </w:r>
          </w:p>
        </w:tc>
        <w:tc>
          <w:tcPr>
            <w:tcW w:w="2000" w:type="dxa"/>
            <w:vAlign w:val="bottom"/>
          </w:tcPr>
          <w:p w14:paraId="33065400" w14:textId="284C814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 (16.7, 19.6)</w:t>
            </w:r>
          </w:p>
        </w:tc>
        <w:tc>
          <w:tcPr>
            <w:tcW w:w="1701" w:type="dxa"/>
            <w:vAlign w:val="bottom"/>
          </w:tcPr>
          <w:p w14:paraId="14D16543" w14:textId="1A07F3AF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(1.3, 1.3)</w:t>
            </w:r>
          </w:p>
        </w:tc>
      </w:tr>
      <w:tr w:rsidR="00112D24" w14:paraId="00010B36" w14:textId="77777777" w:rsidTr="009B239D">
        <w:tc>
          <w:tcPr>
            <w:tcW w:w="2680" w:type="dxa"/>
          </w:tcPr>
          <w:p w14:paraId="1C22E8DC" w14:textId="3E1C3C38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1713" w:type="dxa"/>
            <w:vAlign w:val="bottom"/>
          </w:tcPr>
          <w:p w14:paraId="024C0CE1" w14:textId="3DF6F100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1,590 (23.5)</w:t>
            </w:r>
          </w:p>
        </w:tc>
        <w:tc>
          <w:tcPr>
            <w:tcW w:w="1404" w:type="dxa"/>
            <w:vAlign w:val="center"/>
          </w:tcPr>
          <w:p w14:paraId="3A96B5C2" w14:textId="77151A29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3,077,135</w:t>
            </w:r>
          </w:p>
        </w:tc>
        <w:tc>
          <w:tcPr>
            <w:tcW w:w="2000" w:type="dxa"/>
            <w:vAlign w:val="bottom"/>
          </w:tcPr>
          <w:p w14:paraId="7E3D4888" w14:textId="7F998DF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 (16.9, 19.6)</w:t>
            </w:r>
          </w:p>
        </w:tc>
        <w:tc>
          <w:tcPr>
            <w:tcW w:w="1701" w:type="dxa"/>
            <w:vAlign w:val="bottom"/>
          </w:tcPr>
          <w:p w14:paraId="101490BB" w14:textId="40E7BB9B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(1.3, 1.3)</w:t>
            </w:r>
          </w:p>
        </w:tc>
      </w:tr>
      <w:tr w:rsidR="00112D24" w14:paraId="05213371" w14:textId="77777777" w:rsidTr="009B239D">
        <w:tc>
          <w:tcPr>
            <w:tcW w:w="2680" w:type="dxa"/>
          </w:tcPr>
          <w:p w14:paraId="4317CFB6" w14:textId="72C25C7D" w:rsidR="00112D24" w:rsidRDefault="00112D24" w:rsidP="00112D24">
            <w:pPr>
              <w:rPr>
                <w:lang w:val="en-US"/>
              </w:rPr>
            </w:pPr>
            <w:r>
              <w:rPr>
                <w:lang w:val="en-US"/>
              </w:rPr>
              <w:t>Age and labour quintile (ON-Marg)</w:t>
            </w:r>
          </w:p>
        </w:tc>
        <w:tc>
          <w:tcPr>
            <w:tcW w:w="1713" w:type="dxa"/>
            <w:vAlign w:val="bottom"/>
          </w:tcPr>
          <w:p w14:paraId="038862B2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223F0562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2A1192BE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F373CB7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5CBF9C80" w14:textId="77777777" w:rsidTr="009B239D">
        <w:tc>
          <w:tcPr>
            <w:tcW w:w="2680" w:type="dxa"/>
          </w:tcPr>
          <w:p w14:paraId="65BF2C5F" w14:textId="67300C93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1713" w:type="dxa"/>
            <w:vAlign w:val="bottom"/>
          </w:tcPr>
          <w:p w14:paraId="72162CCC" w14:textId="1877C5C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1,790 (26.5)</w:t>
            </w:r>
          </w:p>
        </w:tc>
        <w:tc>
          <w:tcPr>
            <w:tcW w:w="1404" w:type="dxa"/>
            <w:vAlign w:val="bottom"/>
          </w:tcPr>
          <w:p w14:paraId="57C18AB7" w14:textId="606BFF1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3,656,515</w:t>
            </w:r>
          </w:p>
        </w:tc>
        <w:tc>
          <w:tcPr>
            <w:tcW w:w="2000" w:type="dxa"/>
            <w:vAlign w:val="bottom"/>
          </w:tcPr>
          <w:p w14:paraId="335D5ECE" w14:textId="02B6B1A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 (14.0, 16.3)</w:t>
            </w:r>
          </w:p>
        </w:tc>
        <w:tc>
          <w:tcPr>
            <w:tcW w:w="1701" w:type="dxa"/>
            <w:vAlign w:val="bottom"/>
          </w:tcPr>
          <w:p w14:paraId="200AE353" w14:textId="3F8779CF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04676ED8" w14:textId="77777777" w:rsidTr="009B239D">
        <w:tc>
          <w:tcPr>
            <w:tcW w:w="2680" w:type="dxa"/>
          </w:tcPr>
          <w:p w14:paraId="3DE3C0ED" w14:textId="293B9BC6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656D298C" w14:textId="4BE785A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1,329 (19.7)</w:t>
            </w:r>
          </w:p>
        </w:tc>
        <w:tc>
          <w:tcPr>
            <w:tcW w:w="1404" w:type="dxa"/>
            <w:vAlign w:val="bottom"/>
          </w:tcPr>
          <w:p w14:paraId="27DFDDD1" w14:textId="5F2848AE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2,745,855</w:t>
            </w:r>
          </w:p>
        </w:tc>
        <w:tc>
          <w:tcPr>
            <w:tcW w:w="2000" w:type="dxa"/>
            <w:vAlign w:val="bottom"/>
          </w:tcPr>
          <w:p w14:paraId="7CB6E0B7" w14:textId="6E318279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 (15.3, 18.0)</w:t>
            </w:r>
          </w:p>
        </w:tc>
        <w:tc>
          <w:tcPr>
            <w:tcW w:w="1701" w:type="dxa"/>
            <w:vAlign w:val="bottom"/>
          </w:tcPr>
          <w:p w14:paraId="0ED7B5D5" w14:textId="243063AE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(1.1, 1.1)</w:t>
            </w:r>
          </w:p>
        </w:tc>
      </w:tr>
      <w:tr w:rsidR="00112D24" w14:paraId="41C477BC" w14:textId="77777777" w:rsidTr="009B239D">
        <w:tc>
          <w:tcPr>
            <w:tcW w:w="2680" w:type="dxa"/>
          </w:tcPr>
          <w:p w14:paraId="0F140C5E" w14:textId="39E3D88A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0F2B38F5" w14:textId="4459330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1,166 (17.3)</w:t>
            </w:r>
          </w:p>
        </w:tc>
        <w:tc>
          <w:tcPr>
            <w:tcW w:w="1404" w:type="dxa"/>
            <w:vAlign w:val="bottom"/>
          </w:tcPr>
          <w:p w14:paraId="0834DB6F" w14:textId="0AF75F9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2,356,490</w:t>
            </w:r>
          </w:p>
        </w:tc>
        <w:tc>
          <w:tcPr>
            <w:tcW w:w="2000" w:type="dxa"/>
            <w:vAlign w:val="bottom"/>
          </w:tcPr>
          <w:p w14:paraId="2D32CC0A" w14:textId="5CC501D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17.8 (16.3, 19.4)</w:t>
            </w:r>
          </w:p>
        </w:tc>
        <w:tc>
          <w:tcPr>
            <w:tcW w:w="1701" w:type="dxa"/>
            <w:vAlign w:val="bottom"/>
          </w:tcPr>
          <w:p w14:paraId="10CA73AD" w14:textId="26101AE2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14:paraId="62650627" w14:textId="77777777" w:rsidTr="009B239D">
        <w:tc>
          <w:tcPr>
            <w:tcW w:w="2680" w:type="dxa"/>
          </w:tcPr>
          <w:p w14:paraId="29323081" w14:textId="107B55AA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057B8A1A" w14:textId="0E32CEB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1,089 (16.1)</w:t>
            </w:r>
          </w:p>
        </w:tc>
        <w:tc>
          <w:tcPr>
            <w:tcW w:w="1404" w:type="dxa"/>
            <w:vAlign w:val="bottom"/>
          </w:tcPr>
          <w:p w14:paraId="6F6DB4A0" w14:textId="4211867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2,242,400</w:t>
            </w:r>
          </w:p>
        </w:tc>
        <w:tc>
          <w:tcPr>
            <w:tcW w:w="2000" w:type="dxa"/>
            <w:vAlign w:val="bottom"/>
          </w:tcPr>
          <w:p w14:paraId="38F5CD81" w14:textId="441D321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 (16.4, 19.5)</w:t>
            </w:r>
          </w:p>
        </w:tc>
        <w:tc>
          <w:tcPr>
            <w:tcW w:w="1701" w:type="dxa"/>
            <w:vAlign w:val="bottom"/>
          </w:tcPr>
          <w:p w14:paraId="48D9B0EB" w14:textId="2B16BEC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14:paraId="32A385C3" w14:textId="77777777" w:rsidTr="009B239D">
        <w:tc>
          <w:tcPr>
            <w:tcW w:w="2680" w:type="dxa"/>
          </w:tcPr>
          <w:p w14:paraId="58A9FDC1" w14:textId="48937BA5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lastRenderedPageBreak/>
              <w:t>Q5 (most marginalized)</w:t>
            </w:r>
          </w:p>
        </w:tc>
        <w:tc>
          <w:tcPr>
            <w:tcW w:w="1713" w:type="dxa"/>
            <w:vAlign w:val="bottom"/>
          </w:tcPr>
          <w:p w14:paraId="0C78AB0F" w14:textId="2ECD7DD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1,233 (18.3)</w:t>
            </w:r>
          </w:p>
        </w:tc>
        <w:tc>
          <w:tcPr>
            <w:tcW w:w="1404" w:type="dxa"/>
            <w:vAlign w:val="bottom"/>
          </w:tcPr>
          <w:p w14:paraId="0C471F0A" w14:textId="030173A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2,377,250</w:t>
            </w:r>
          </w:p>
        </w:tc>
        <w:tc>
          <w:tcPr>
            <w:tcW w:w="2000" w:type="dxa"/>
            <w:vAlign w:val="bottom"/>
          </w:tcPr>
          <w:p w14:paraId="54D2FBD2" w14:textId="46ECB97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 (18.7, 22.1)</w:t>
            </w:r>
          </w:p>
        </w:tc>
        <w:tc>
          <w:tcPr>
            <w:tcW w:w="1701" w:type="dxa"/>
            <w:vAlign w:val="bottom"/>
          </w:tcPr>
          <w:p w14:paraId="3D1390B7" w14:textId="1CAA9E4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(1.3, 1.4)</w:t>
            </w:r>
          </w:p>
        </w:tc>
      </w:tr>
      <w:tr w:rsidR="00112D24" w14:paraId="01336066" w14:textId="77777777" w:rsidTr="009B239D">
        <w:tc>
          <w:tcPr>
            <w:tcW w:w="2680" w:type="dxa"/>
          </w:tcPr>
          <w:p w14:paraId="292695AE" w14:textId="77777777" w:rsidR="00112D24" w:rsidRPr="00845483" w:rsidRDefault="00112D24" w:rsidP="00112D24">
            <w:pPr>
              <w:rPr>
                <w:i/>
                <w:lang w:val="en-US"/>
              </w:rPr>
            </w:pPr>
            <w:r w:rsidRPr="00845483">
              <w:rPr>
                <w:i/>
                <w:lang w:val="en-US"/>
              </w:rPr>
              <w:t>Housing</w:t>
            </w:r>
          </w:p>
        </w:tc>
        <w:tc>
          <w:tcPr>
            <w:tcW w:w="1713" w:type="dxa"/>
            <w:vAlign w:val="bottom"/>
          </w:tcPr>
          <w:p w14:paraId="4849068F" w14:textId="77777777" w:rsidR="00112D24" w:rsidRDefault="00112D24" w:rsidP="00112D24">
            <w:pPr>
              <w:rPr>
                <w:lang w:val="en-US"/>
              </w:rPr>
            </w:pPr>
          </w:p>
        </w:tc>
        <w:tc>
          <w:tcPr>
            <w:tcW w:w="1404" w:type="dxa"/>
          </w:tcPr>
          <w:p w14:paraId="348D6754" w14:textId="77777777" w:rsidR="00112D24" w:rsidRDefault="00112D24" w:rsidP="00112D24">
            <w:pPr>
              <w:rPr>
                <w:lang w:val="en-US"/>
              </w:rPr>
            </w:pPr>
          </w:p>
        </w:tc>
        <w:tc>
          <w:tcPr>
            <w:tcW w:w="2000" w:type="dxa"/>
          </w:tcPr>
          <w:p w14:paraId="397C5594" w14:textId="77777777" w:rsidR="00112D24" w:rsidRDefault="00112D24" w:rsidP="00112D24">
            <w:pPr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1EBE169" w14:textId="77777777" w:rsidR="00112D24" w:rsidRDefault="00112D24" w:rsidP="00112D24">
            <w:pPr>
              <w:rPr>
                <w:lang w:val="en-US"/>
              </w:rPr>
            </w:pPr>
          </w:p>
        </w:tc>
      </w:tr>
      <w:tr w:rsidR="00112D24" w14:paraId="582F17D1" w14:textId="77777777" w:rsidTr="009B239D">
        <w:tc>
          <w:tcPr>
            <w:tcW w:w="2680" w:type="dxa"/>
          </w:tcPr>
          <w:p w14:paraId="2B05E839" w14:textId="77777777" w:rsidR="00112D24" w:rsidRDefault="00112D24" w:rsidP="00112D24">
            <w:pPr>
              <w:rPr>
                <w:lang w:val="en-US"/>
              </w:rPr>
            </w:pPr>
            <w:r>
              <w:rPr>
                <w:lang w:val="en-US"/>
              </w:rPr>
              <w:t>Multi-generational families quintile</w:t>
            </w:r>
          </w:p>
        </w:tc>
        <w:tc>
          <w:tcPr>
            <w:tcW w:w="1713" w:type="dxa"/>
            <w:vAlign w:val="bottom"/>
          </w:tcPr>
          <w:p w14:paraId="1CAA8AE8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559FAE19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5A13CD78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4BE6B81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5E4DE9A9" w14:textId="77777777" w:rsidTr="009B239D">
        <w:tc>
          <w:tcPr>
            <w:tcW w:w="2680" w:type="dxa"/>
          </w:tcPr>
          <w:p w14:paraId="21B1929B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1713" w:type="dxa"/>
            <w:vAlign w:val="bottom"/>
          </w:tcPr>
          <w:p w14:paraId="34520A71" w14:textId="09EE780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1,366 (20.2)</w:t>
            </w:r>
          </w:p>
        </w:tc>
        <w:tc>
          <w:tcPr>
            <w:tcW w:w="1404" w:type="dxa"/>
            <w:vAlign w:val="center"/>
          </w:tcPr>
          <w:p w14:paraId="4A676B7D" w14:textId="7689E4A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2,749,085</w:t>
            </w:r>
          </w:p>
        </w:tc>
        <w:tc>
          <w:tcPr>
            <w:tcW w:w="2000" w:type="dxa"/>
            <w:vAlign w:val="bottom"/>
          </w:tcPr>
          <w:p w14:paraId="41411D04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 (14.0, 16.3)</w:t>
            </w:r>
          </w:p>
        </w:tc>
        <w:tc>
          <w:tcPr>
            <w:tcW w:w="1701" w:type="dxa"/>
            <w:vAlign w:val="bottom"/>
          </w:tcPr>
          <w:p w14:paraId="7A02F3B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2DC11161" w14:textId="77777777" w:rsidTr="009B239D">
        <w:tc>
          <w:tcPr>
            <w:tcW w:w="2680" w:type="dxa"/>
          </w:tcPr>
          <w:p w14:paraId="6E09DB39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0B2C09F4" w14:textId="612352A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1,041 (15.4)</w:t>
            </w:r>
          </w:p>
        </w:tc>
        <w:tc>
          <w:tcPr>
            <w:tcW w:w="1404" w:type="dxa"/>
            <w:vAlign w:val="center"/>
          </w:tcPr>
          <w:p w14:paraId="33868D04" w14:textId="28131B0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2,094,330</w:t>
            </w:r>
          </w:p>
        </w:tc>
        <w:tc>
          <w:tcPr>
            <w:tcW w:w="2000" w:type="dxa"/>
            <w:vAlign w:val="bottom"/>
          </w:tcPr>
          <w:p w14:paraId="6760DDBE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 (15.3, 18.0)</w:t>
            </w:r>
          </w:p>
        </w:tc>
        <w:tc>
          <w:tcPr>
            <w:tcW w:w="1701" w:type="dxa"/>
            <w:vAlign w:val="bottom"/>
          </w:tcPr>
          <w:p w14:paraId="0A27A3BC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 (1.1, 1.1)</w:t>
            </w:r>
          </w:p>
        </w:tc>
      </w:tr>
      <w:tr w:rsidR="00112D24" w14:paraId="2D658330" w14:textId="77777777" w:rsidTr="009B239D">
        <w:tc>
          <w:tcPr>
            <w:tcW w:w="2680" w:type="dxa"/>
          </w:tcPr>
          <w:p w14:paraId="62C484E9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282BD435" w14:textId="1FF1B1A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1,387 (20.5)</w:t>
            </w:r>
          </w:p>
        </w:tc>
        <w:tc>
          <w:tcPr>
            <w:tcW w:w="1404" w:type="dxa"/>
            <w:vAlign w:val="center"/>
          </w:tcPr>
          <w:p w14:paraId="3478CEDF" w14:textId="5774E399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2,732,730</w:t>
            </w:r>
          </w:p>
        </w:tc>
        <w:tc>
          <w:tcPr>
            <w:tcW w:w="2000" w:type="dxa"/>
            <w:vAlign w:val="bottom"/>
          </w:tcPr>
          <w:p w14:paraId="69A8A10B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17.8 (16.3, 19.4)</w:t>
            </w:r>
          </w:p>
        </w:tc>
        <w:tc>
          <w:tcPr>
            <w:tcW w:w="1701" w:type="dxa"/>
            <w:vAlign w:val="bottom"/>
          </w:tcPr>
          <w:p w14:paraId="05371677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14:paraId="777835BC" w14:textId="77777777" w:rsidTr="009B239D">
        <w:tc>
          <w:tcPr>
            <w:tcW w:w="2680" w:type="dxa"/>
          </w:tcPr>
          <w:p w14:paraId="2A668581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3A1C8120" w14:textId="45A8EDF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1,449 (21.5)</w:t>
            </w:r>
          </w:p>
        </w:tc>
        <w:tc>
          <w:tcPr>
            <w:tcW w:w="1404" w:type="dxa"/>
            <w:vAlign w:val="center"/>
          </w:tcPr>
          <w:p w14:paraId="72928B9A" w14:textId="1ABE6C5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2,840,820</w:t>
            </w:r>
          </w:p>
        </w:tc>
        <w:tc>
          <w:tcPr>
            <w:tcW w:w="2000" w:type="dxa"/>
            <w:vAlign w:val="bottom"/>
          </w:tcPr>
          <w:p w14:paraId="2C864DF8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 (16.4, 19.5)</w:t>
            </w:r>
          </w:p>
        </w:tc>
        <w:tc>
          <w:tcPr>
            <w:tcW w:w="1701" w:type="dxa"/>
            <w:vAlign w:val="bottom"/>
          </w:tcPr>
          <w:p w14:paraId="3769F8B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(1.2, 1.2)</w:t>
            </w:r>
          </w:p>
        </w:tc>
      </w:tr>
      <w:tr w:rsidR="00112D24" w14:paraId="09477CF7" w14:textId="77777777" w:rsidTr="009B239D">
        <w:tc>
          <w:tcPr>
            <w:tcW w:w="2680" w:type="dxa"/>
          </w:tcPr>
          <w:p w14:paraId="59B26DA6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1713" w:type="dxa"/>
            <w:vAlign w:val="bottom"/>
          </w:tcPr>
          <w:p w14:paraId="2D2558FD" w14:textId="1E02583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1,406 (20.8)</w:t>
            </w:r>
          </w:p>
        </w:tc>
        <w:tc>
          <w:tcPr>
            <w:tcW w:w="1404" w:type="dxa"/>
            <w:vAlign w:val="center"/>
          </w:tcPr>
          <w:p w14:paraId="0CD3BA07" w14:textId="14B5B6A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3,021,505</w:t>
            </w:r>
          </w:p>
        </w:tc>
        <w:tc>
          <w:tcPr>
            <w:tcW w:w="2000" w:type="dxa"/>
            <w:vAlign w:val="bottom"/>
          </w:tcPr>
          <w:p w14:paraId="259C3324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20.4 (18.7, 22.1)</w:t>
            </w:r>
          </w:p>
        </w:tc>
        <w:tc>
          <w:tcPr>
            <w:tcW w:w="1701" w:type="dxa"/>
            <w:vAlign w:val="bottom"/>
          </w:tcPr>
          <w:p w14:paraId="7462B1A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 (1.3, 1.4)</w:t>
            </w:r>
          </w:p>
        </w:tc>
      </w:tr>
      <w:tr w:rsidR="00112D24" w14:paraId="0C2C7803" w14:textId="77777777" w:rsidTr="009B239D">
        <w:tc>
          <w:tcPr>
            <w:tcW w:w="2680" w:type="dxa"/>
          </w:tcPr>
          <w:p w14:paraId="1691C2E9" w14:textId="4C363636" w:rsidR="00112D24" w:rsidRPr="008D64FF" w:rsidRDefault="00112D24" w:rsidP="00112D24">
            <w:pPr>
              <w:rPr>
                <w:lang w:val="en-US"/>
              </w:rPr>
            </w:pPr>
            <w:r w:rsidRPr="008D64FF">
              <w:rPr>
                <w:lang w:val="en-US"/>
              </w:rPr>
              <w:t>Unsuitable housing qu</w:t>
            </w:r>
            <w:r>
              <w:rPr>
                <w:lang w:val="en-US"/>
              </w:rPr>
              <w:t>ar</w:t>
            </w:r>
            <w:r w:rsidRPr="008D64FF">
              <w:rPr>
                <w:lang w:val="en-US"/>
              </w:rPr>
              <w:t>tile</w:t>
            </w:r>
            <w:r w:rsidR="0014191D" w:rsidRPr="0014191D">
              <w:rPr>
                <w:vertAlign w:val="superscript"/>
                <w:lang w:val="en-US"/>
              </w:rPr>
              <w:t>b</w:t>
            </w:r>
          </w:p>
        </w:tc>
        <w:tc>
          <w:tcPr>
            <w:tcW w:w="1713" w:type="dxa"/>
            <w:vAlign w:val="bottom"/>
          </w:tcPr>
          <w:p w14:paraId="70EF1A71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1FD64AED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117E825D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D5BF756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2F17B527" w14:textId="77777777" w:rsidTr="009B239D">
        <w:tc>
          <w:tcPr>
            <w:tcW w:w="2680" w:type="dxa"/>
          </w:tcPr>
          <w:p w14:paraId="2104AF6F" w14:textId="77777777" w:rsidR="00112D24" w:rsidRPr="008D64FF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1713" w:type="dxa"/>
            <w:vAlign w:val="bottom"/>
          </w:tcPr>
          <w:p w14:paraId="4BCAEC79" w14:textId="0190F0B2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1,959 (29.0)</w:t>
            </w:r>
          </w:p>
        </w:tc>
        <w:tc>
          <w:tcPr>
            <w:tcW w:w="1404" w:type="dxa"/>
            <w:vAlign w:val="center"/>
          </w:tcPr>
          <w:p w14:paraId="42DEABCF" w14:textId="5963AF2C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4,103,625</w:t>
            </w:r>
          </w:p>
        </w:tc>
        <w:tc>
          <w:tcPr>
            <w:tcW w:w="2000" w:type="dxa"/>
            <w:vAlign w:val="bottom"/>
          </w:tcPr>
          <w:p w14:paraId="75964989" w14:textId="77777777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17.7 (16.6, 18.8)</w:t>
            </w:r>
          </w:p>
        </w:tc>
        <w:tc>
          <w:tcPr>
            <w:tcW w:w="1701" w:type="dxa"/>
            <w:vAlign w:val="bottom"/>
          </w:tcPr>
          <w:p w14:paraId="21901238" w14:textId="77777777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329C87CB" w14:textId="77777777" w:rsidTr="009B239D">
        <w:tc>
          <w:tcPr>
            <w:tcW w:w="2680" w:type="dxa"/>
          </w:tcPr>
          <w:p w14:paraId="3B8D6598" w14:textId="77777777" w:rsidR="00112D24" w:rsidRPr="008D64FF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3A7F5C8C" w14:textId="1C5D4999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1,087 (16.1)</w:t>
            </w:r>
          </w:p>
        </w:tc>
        <w:tc>
          <w:tcPr>
            <w:tcW w:w="1404" w:type="dxa"/>
            <w:vAlign w:val="bottom"/>
          </w:tcPr>
          <w:p w14:paraId="430E4904" w14:textId="2C6E64D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2,188,520</w:t>
            </w:r>
          </w:p>
        </w:tc>
        <w:tc>
          <w:tcPr>
            <w:tcW w:w="2000" w:type="dxa"/>
            <w:vAlign w:val="bottom"/>
          </w:tcPr>
          <w:p w14:paraId="16DE6A49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 (14.8, 17.7)</w:t>
            </w:r>
          </w:p>
        </w:tc>
        <w:tc>
          <w:tcPr>
            <w:tcW w:w="1701" w:type="dxa"/>
            <w:vAlign w:val="bottom"/>
          </w:tcPr>
          <w:p w14:paraId="6DA01D9A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 (0.9, 0.9)</w:t>
            </w:r>
          </w:p>
        </w:tc>
      </w:tr>
      <w:tr w:rsidR="00112D24" w14:paraId="674A18F3" w14:textId="77777777" w:rsidTr="009B239D">
        <w:tc>
          <w:tcPr>
            <w:tcW w:w="2680" w:type="dxa"/>
          </w:tcPr>
          <w:p w14:paraId="3A12517C" w14:textId="77777777" w:rsidR="00112D24" w:rsidRPr="008D64FF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6BCCDA9C" w14:textId="5FC883FD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1,675 (24.8)</w:t>
            </w:r>
          </w:p>
        </w:tc>
        <w:tc>
          <w:tcPr>
            <w:tcW w:w="1404" w:type="dxa"/>
            <w:vAlign w:val="bottom"/>
          </w:tcPr>
          <w:p w14:paraId="2CEB8756" w14:textId="2BFDEAE9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3,258,440</w:t>
            </w:r>
          </w:p>
        </w:tc>
        <w:tc>
          <w:tcPr>
            <w:tcW w:w="2000" w:type="dxa"/>
            <w:vAlign w:val="bottom"/>
          </w:tcPr>
          <w:p w14:paraId="25016B76" w14:textId="77777777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17.7 (16.4, 19.0)</w:t>
            </w:r>
          </w:p>
        </w:tc>
        <w:tc>
          <w:tcPr>
            <w:tcW w:w="1701" w:type="dxa"/>
            <w:vAlign w:val="bottom"/>
          </w:tcPr>
          <w:p w14:paraId="428444A4" w14:textId="77777777" w:rsidR="00112D24" w:rsidRDefault="00112D24" w:rsidP="00112D24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1.0 (1.0, 1.0)</w:t>
            </w:r>
          </w:p>
        </w:tc>
      </w:tr>
      <w:tr w:rsidR="00112D24" w14:paraId="285A984F" w14:textId="77777777" w:rsidTr="009B239D">
        <w:tc>
          <w:tcPr>
            <w:tcW w:w="2680" w:type="dxa"/>
          </w:tcPr>
          <w:p w14:paraId="20AC0629" w14:textId="77777777" w:rsidR="00112D24" w:rsidRPr="008D64FF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Q4 (largest)</w:t>
            </w:r>
          </w:p>
        </w:tc>
        <w:tc>
          <w:tcPr>
            <w:tcW w:w="1713" w:type="dxa"/>
            <w:vAlign w:val="bottom"/>
          </w:tcPr>
          <w:p w14:paraId="02750B3F" w14:textId="0380BD9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1,928 (28.5)</w:t>
            </w:r>
          </w:p>
        </w:tc>
        <w:tc>
          <w:tcPr>
            <w:tcW w:w="1404" w:type="dxa"/>
            <w:vAlign w:val="bottom"/>
          </w:tcPr>
          <w:p w14:paraId="5F3D13C7" w14:textId="28B054B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3,887,885</w:t>
            </w:r>
          </w:p>
        </w:tc>
        <w:tc>
          <w:tcPr>
            <w:tcW w:w="2000" w:type="dxa"/>
            <w:vAlign w:val="bottom"/>
          </w:tcPr>
          <w:p w14:paraId="5A1E07A3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 (15.4, 17.7)</w:t>
            </w:r>
          </w:p>
        </w:tc>
        <w:tc>
          <w:tcPr>
            <w:tcW w:w="1701" w:type="dxa"/>
            <w:vAlign w:val="bottom"/>
          </w:tcPr>
          <w:p w14:paraId="4D17E28A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 (0.9, 0.9)</w:t>
            </w:r>
          </w:p>
        </w:tc>
      </w:tr>
      <w:tr w:rsidR="00112D24" w14:paraId="0881FE89" w14:textId="77777777" w:rsidTr="009B239D">
        <w:tc>
          <w:tcPr>
            <w:tcW w:w="2680" w:type="dxa"/>
          </w:tcPr>
          <w:p w14:paraId="3691CFD0" w14:textId="77777777" w:rsidR="00112D24" w:rsidRPr="002D2E8D" w:rsidRDefault="00112D24" w:rsidP="00112D24">
            <w:pPr>
              <w:rPr>
                <w:lang w:val="en-US"/>
              </w:rPr>
            </w:pPr>
            <w:r w:rsidRPr="0084540D">
              <w:rPr>
                <w:lang w:val="en-US"/>
              </w:rPr>
              <w:t>Average dwelling sizes quintile</w:t>
            </w:r>
          </w:p>
        </w:tc>
        <w:tc>
          <w:tcPr>
            <w:tcW w:w="1713" w:type="dxa"/>
            <w:vAlign w:val="bottom"/>
          </w:tcPr>
          <w:p w14:paraId="12DE327C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7143834E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1CED0DBF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D351561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1A825DE4" w14:textId="77777777" w:rsidTr="009B239D">
        <w:tc>
          <w:tcPr>
            <w:tcW w:w="2680" w:type="dxa"/>
          </w:tcPr>
          <w:p w14:paraId="7E0E8E81" w14:textId="77777777" w:rsidR="00112D24" w:rsidRPr="002D2E8D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1713" w:type="dxa"/>
            <w:vAlign w:val="bottom"/>
          </w:tcPr>
          <w:p w14:paraId="0F7DE8AC" w14:textId="7BCF361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1,191 (17.6)</w:t>
            </w:r>
          </w:p>
        </w:tc>
        <w:tc>
          <w:tcPr>
            <w:tcW w:w="1404" w:type="dxa"/>
            <w:vAlign w:val="center"/>
          </w:tcPr>
          <w:p w14:paraId="6C53C10F" w14:textId="4542FC0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2,477,800</w:t>
            </w:r>
          </w:p>
        </w:tc>
        <w:tc>
          <w:tcPr>
            <w:tcW w:w="2000" w:type="dxa"/>
            <w:vAlign w:val="bottom"/>
          </w:tcPr>
          <w:p w14:paraId="13077E7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19.3 (17.7, 20.9)</w:t>
            </w:r>
          </w:p>
        </w:tc>
        <w:tc>
          <w:tcPr>
            <w:tcW w:w="1701" w:type="dxa"/>
            <w:vAlign w:val="bottom"/>
          </w:tcPr>
          <w:p w14:paraId="218C32B7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74AEFF58" w14:textId="77777777" w:rsidTr="009B239D">
        <w:tc>
          <w:tcPr>
            <w:tcW w:w="2680" w:type="dxa"/>
          </w:tcPr>
          <w:p w14:paraId="1658AB47" w14:textId="77777777" w:rsidR="00112D24" w:rsidRPr="002D2E8D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62AF8627" w14:textId="530E71F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1,234 (18.3)</w:t>
            </w:r>
          </w:p>
        </w:tc>
        <w:tc>
          <w:tcPr>
            <w:tcW w:w="1404" w:type="dxa"/>
            <w:vAlign w:val="center"/>
          </w:tcPr>
          <w:p w14:paraId="02BA6B53" w14:textId="5113C5C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2,353,065</w:t>
            </w:r>
          </w:p>
        </w:tc>
        <w:tc>
          <w:tcPr>
            <w:tcW w:w="2000" w:type="dxa"/>
            <w:vAlign w:val="bottom"/>
          </w:tcPr>
          <w:p w14:paraId="4A11DDF0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18.4 (16.9, 19.9)</w:t>
            </w:r>
          </w:p>
        </w:tc>
        <w:tc>
          <w:tcPr>
            <w:tcW w:w="1701" w:type="dxa"/>
            <w:vAlign w:val="bottom"/>
          </w:tcPr>
          <w:p w14:paraId="2A7C1143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(1.0, 1.0)</w:t>
            </w:r>
          </w:p>
        </w:tc>
      </w:tr>
      <w:tr w:rsidR="00112D24" w14:paraId="25A7DBDA" w14:textId="77777777" w:rsidTr="009B239D">
        <w:tc>
          <w:tcPr>
            <w:tcW w:w="2680" w:type="dxa"/>
          </w:tcPr>
          <w:p w14:paraId="7886C229" w14:textId="77777777" w:rsidR="00112D24" w:rsidRPr="002D2E8D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64D38E03" w14:textId="2D79962F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1,476 (21.9)</w:t>
            </w:r>
          </w:p>
        </w:tc>
        <w:tc>
          <w:tcPr>
            <w:tcW w:w="1404" w:type="dxa"/>
            <w:vAlign w:val="center"/>
          </w:tcPr>
          <w:p w14:paraId="22FBF151" w14:textId="2E9DB99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2,776,080</w:t>
            </w:r>
          </w:p>
        </w:tc>
        <w:tc>
          <w:tcPr>
            <w:tcW w:w="2000" w:type="dxa"/>
            <w:vAlign w:val="bottom"/>
          </w:tcPr>
          <w:p w14:paraId="6E84DAB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 (16.6, 19.4)</w:t>
            </w:r>
          </w:p>
        </w:tc>
        <w:tc>
          <w:tcPr>
            <w:tcW w:w="1701" w:type="dxa"/>
            <w:vAlign w:val="bottom"/>
          </w:tcPr>
          <w:p w14:paraId="79C8C12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 (0.9, 0.9)</w:t>
            </w:r>
          </w:p>
        </w:tc>
      </w:tr>
      <w:tr w:rsidR="00112D24" w14:paraId="404C06B1" w14:textId="77777777" w:rsidTr="009B239D">
        <w:tc>
          <w:tcPr>
            <w:tcW w:w="2680" w:type="dxa"/>
          </w:tcPr>
          <w:p w14:paraId="33AA0174" w14:textId="77777777" w:rsidR="00112D24" w:rsidRPr="002D2E8D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1C068F04" w14:textId="441263B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1,123 (16.6)</w:t>
            </w:r>
          </w:p>
        </w:tc>
        <w:tc>
          <w:tcPr>
            <w:tcW w:w="1404" w:type="dxa"/>
            <w:vAlign w:val="center"/>
          </w:tcPr>
          <w:p w14:paraId="42A9580E" w14:textId="3BB1DF39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2,263,490</w:t>
            </w:r>
          </w:p>
        </w:tc>
        <w:tc>
          <w:tcPr>
            <w:tcW w:w="2000" w:type="dxa"/>
            <w:vAlign w:val="bottom"/>
          </w:tcPr>
          <w:p w14:paraId="2E0DA589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 (15.1, 18.0)</w:t>
            </w:r>
          </w:p>
        </w:tc>
        <w:tc>
          <w:tcPr>
            <w:tcW w:w="1701" w:type="dxa"/>
            <w:vAlign w:val="bottom"/>
          </w:tcPr>
          <w:p w14:paraId="5C944C9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 (0.9, 0.9)</w:t>
            </w:r>
          </w:p>
        </w:tc>
      </w:tr>
      <w:tr w:rsidR="00112D24" w14:paraId="4C3A88B5" w14:textId="77777777" w:rsidTr="009B239D">
        <w:tc>
          <w:tcPr>
            <w:tcW w:w="2680" w:type="dxa"/>
          </w:tcPr>
          <w:p w14:paraId="3FA97E1B" w14:textId="77777777" w:rsidR="00112D24" w:rsidRPr="002D2E8D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1713" w:type="dxa"/>
            <w:vAlign w:val="bottom"/>
          </w:tcPr>
          <w:p w14:paraId="6457A86C" w14:textId="74DC5CEF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1,626 (24.1)</w:t>
            </w:r>
          </w:p>
        </w:tc>
        <w:tc>
          <w:tcPr>
            <w:tcW w:w="1404" w:type="dxa"/>
            <w:vAlign w:val="center"/>
          </w:tcPr>
          <w:p w14:paraId="11E5368A" w14:textId="3015B70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3,569,875</w:t>
            </w:r>
          </w:p>
        </w:tc>
        <w:tc>
          <w:tcPr>
            <w:tcW w:w="2000" w:type="dxa"/>
            <w:vAlign w:val="bottom"/>
          </w:tcPr>
          <w:p w14:paraId="7DFDCD1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14.7 (13.5, 15.8)</w:t>
            </w:r>
          </w:p>
        </w:tc>
        <w:tc>
          <w:tcPr>
            <w:tcW w:w="1701" w:type="dxa"/>
            <w:vAlign w:val="bottom"/>
          </w:tcPr>
          <w:p w14:paraId="0CB30E5C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 (0.8, 0.8)</w:t>
            </w:r>
          </w:p>
        </w:tc>
      </w:tr>
      <w:tr w:rsidR="00112D24" w14:paraId="20AC7E4E" w14:textId="77777777" w:rsidTr="009B239D">
        <w:tc>
          <w:tcPr>
            <w:tcW w:w="2680" w:type="dxa"/>
          </w:tcPr>
          <w:p w14:paraId="7C9B64D0" w14:textId="77777777" w:rsidR="00112D24" w:rsidRDefault="00112D24" w:rsidP="00112D24">
            <w:pPr>
              <w:rPr>
                <w:lang w:val="en-US"/>
              </w:rPr>
            </w:pPr>
            <w:r w:rsidRPr="0084540D">
              <w:rPr>
                <w:lang w:val="en-US"/>
              </w:rPr>
              <w:t>Household with persons under 5 years old quintile</w:t>
            </w:r>
          </w:p>
        </w:tc>
        <w:tc>
          <w:tcPr>
            <w:tcW w:w="1713" w:type="dxa"/>
            <w:vAlign w:val="bottom"/>
          </w:tcPr>
          <w:p w14:paraId="70777054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311D2E98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29C09A6C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CF0E5CB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44FCC4CA" w14:textId="77777777" w:rsidTr="009B239D">
        <w:tc>
          <w:tcPr>
            <w:tcW w:w="2680" w:type="dxa"/>
          </w:tcPr>
          <w:p w14:paraId="14763CD9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1713" w:type="dxa"/>
            <w:vAlign w:val="bottom"/>
          </w:tcPr>
          <w:p w14:paraId="17090163" w14:textId="4C0B71F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 (14.5)</w:t>
            </w:r>
          </w:p>
        </w:tc>
        <w:tc>
          <w:tcPr>
            <w:tcW w:w="1404" w:type="dxa"/>
            <w:vAlign w:val="center"/>
          </w:tcPr>
          <w:p w14:paraId="4F87016A" w14:textId="3DAAE22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40D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365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2000" w:type="dxa"/>
            <w:vAlign w:val="bottom"/>
          </w:tcPr>
          <w:p w14:paraId="1534D13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 (19.9, 23.9)</w:t>
            </w:r>
          </w:p>
        </w:tc>
        <w:tc>
          <w:tcPr>
            <w:tcW w:w="1701" w:type="dxa"/>
            <w:vAlign w:val="bottom"/>
          </w:tcPr>
          <w:p w14:paraId="264BCCCE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6AD3CEF9" w14:textId="77777777" w:rsidTr="009B239D">
        <w:tc>
          <w:tcPr>
            <w:tcW w:w="2680" w:type="dxa"/>
          </w:tcPr>
          <w:p w14:paraId="30165DF0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1713" w:type="dxa"/>
            <w:vAlign w:val="bottom"/>
          </w:tcPr>
          <w:p w14:paraId="651E90E2" w14:textId="5D05EBB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1,064 (15.8)</w:t>
            </w:r>
          </w:p>
        </w:tc>
        <w:tc>
          <w:tcPr>
            <w:tcW w:w="1404" w:type="dxa"/>
            <w:vAlign w:val="center"/>
          </w:tcPr>
          <w:p w14:paraId="60A91FFE" w14:textId="5F50AD3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40D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439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000" w:type="dxa"/>
            <w:vAlign w:val="bottom"/>
          </w:tcPr>
          <w:p w14:paraId="6D827CF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 (16.7, 19.9)</w:t>
            </w:r>
          </w:p>
        </w:tc>
        <w:tc>
          <w:tcPr>
            <w:tcW w:w="1701" w:type="dxa"/>
            <w:vAlign w:val="bottom"/>
          </w:tcPr>
          <w:p w14:paraId="42023C65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 (0.8, 0.8)</w:t>
            </w:r>
          </w:p>
        </w:tc>
      </w:tr>
      <w:tr w:rsidR="00112D24" w14:paraId="3B75B006" w14:textId="77777777" w:rsidTr="009B239D">
        <w:tc>
          <w:tcPr>
            <w:tcW w:w="2680" w:type="dxa"/>
          </w:tcPr>
          <w:p w14:paraId="5AB80FF4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1713" w:type="dxa"/>
            <w:vAlign w:val="bottom"/>
          </w:tcPr>
          <w:p w14:paraId="6248FA40" w14:textId="2FE7109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1,168 (17.3)</w:t>
            </w:r>
          </w:p>
        </w:tc>
        <w:tc>
          <w:tcPr>
            <w:tcW w:w="1404" w:type="dxa"/>
            <w:vAlign w:val="center"/>
          </w:tcPr>
          <w:p w14:paraId="24B557B2" w14:textId="30FC939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40D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494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2000" w:type="dxa"/>
            <w:vAlign w:val="bottom"/>
          </w:tcPr>
          <w:p w14:paraId="717AF4D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 (15.9, 18.8)</w:t>
            </w:r>
          </w:p>
        </w:tc>
        <w:tc>
          <w:tcPr>
            <w:tcW w:w="1701" w:type="dxa"/>
            <w:vAlign w:val="bottom"/>
          </w:tcPr>
          <w:p w14:paraId="1510AAD0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 (0.8, 0.8)</w:t>
            </w:r>
          </w:p>
        </w:tc>
      </w:tr>
      <w:tr w:rsidR="00112D24" w14:paraId="4A8791D9" w14:textId="77777777" w:rsidTr="009B239D">
        <w:tc>
          <w:tcPr>
            <w:tcW w:w="2680" w:type="dxa"/>
          </w:tcPr>
          <w:p w14:paraId="2CEEB471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1713" w:type="dxa"/>
            <w:vAlign w:val="bottom"/>
          </w:tcPr>
          <w:p w14:paraId="5C8D19DB" w14:textId="6C547FB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1,360 (20.1)</w:t>
            </w:r>
          </w:p>
        </w:tc>
        <w:tc>
          <w:tcPr>
            <w:tcW w:w="1404" w:type="dxa"/>
            <w:vAlign w:val="center"/>
          </w:tcPr>
          <w:p w14:paraId="2C25D95A" w14:textId="4C5835F0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40D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675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000" w:type="dxa"/>
            <w:vAlign w:val="bottom"/>
          </w:tcPr>
          <w:p w14:paraId="5A35A88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 (15.3, 18.0)</w:t>
            </w:r>
          </w:p>
        </w:tc>
        <w:tc>
          <w:tcPr>
            <w:tcW w:w="1701" w:type="dxa"/>
            <w:vAlign w:val="bottom"/>
          </w:tcPr>
          <w:p w14:paraId="5790011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 (0.8, 0.8)</w:t>
            </w:r>
          </w:p>
        </w:tc>
      </w:tr>
      <w:tr w:rsidR="00112D24" w14:paraId="0C9F2AF3" w14:textId="77777777" w:rsidTr="009B239D">
        <w:tc>
          <w:tcPr>
            <w:tcW w:w="2680" w:type="dxa"/>
          </w:tcPr>
          <w:p w14:paraId="4DF30347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1713" w:type="dxa"/>
            <w:vAlign w:val="bottom"/>
          </w:tcPr>
          <w:p w14:paraId="7ED1A5A3" w14:textId="21C0DCF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2,078 (30.8)</w:t>
            </w:r>
          </w:p>
        </w:tc>
        <w:tc>
          <w:tcPr>
            <w:tcW w:w="1404" w:type="dxa"/>
            <w:vAlign w:val="center"/>
          </w:tcPr>
          <w:p w14:paraId="4BCC5F2B" w14:textId="552FB3D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84540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465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84540D"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2000" w:type="dxa"/>
            <w:vAlign w:val="bottom"/>
          </w:tcPr>
          <w:p w14:paraId="1297B0AA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 (14.2, 16.3)</w:t>
            </w:r>
          </w:p>
        </w:tc>
        <w:tc>
          <w:tcPr>
            <w:tcW w:w="1701" w:type="dxa"/>
            <w:vAlign w:val="bottom"/>
          </w:tcPr>
          <w:p w14:paraId="6061379B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 (0.7, 0.7)</w:t>
            </w:r>
          </w:p>
        </w:tc>
      </w:tr>
      <w:tr w:rsidR="00112D24" w14:paraId="6960BFFE" w14:textId="77777777" w:rsidTr="009B239D">
        <w:tc>
          <w:tcPr>
            <w:tcW w:w="2680" w:type="dxa"/>
          </w:tcPr>
          <w:p w14:paraId="513F667F" w14:textId="77777777" w:rsidR="00112D24" w:rsidRDefault="00112D24" w:rsidP="00112D24">
            <w:pPr>
              <w:rPr>
                <w:lang w:val="en-US"/>
              </w:rPr>
            </w:pPr>
            <w:r>
              <w:rPr>
                <w:lang w:val="en-US"/>
              </w:rPr>
              <w:t>Rurality</w:t>
            </w:r>
          </w:p>
        </w:tc>
        <w:tc>
          <w:tcPr>
            <w:tcW w:w="1713" w:type="dxa"/>
            <w:vAlign w:val="bottom"/>
          </w:tcPr>
          <w:p w14:paraId="084BF526" w14:textId="0D187621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65087291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39C3D979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297ADC43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6D2ED58C" w14:textId="77777777" w:rsidTr="009B239D">
        <w:tc>
          <w:tcPr>
            <w:tcW w:w="2680" w:type="dxa"/>
          </w:tcPr>
          <w:p w14:paraId="3FB26251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Rural </w:t>
            </w:r>
          </w:p>
        </w:tc>
        <w:tc>
          <w:tcPr>
            <w:tcW w:w="1713" w:type="dxa"/>
            <w:vAlign w:val="bottom"/>
          </w:tcPr>
          <w:p w14:paraId="39729E9C" w14:textId="0B42E2F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 (14.2)</w:t>
            </w:r>
          </w:p>
        </w:tc>
        <w:tc>
          <w:tcPr>
            <w:tcW w:w="1404" w:type="dxa"/>
            <w:vAlign w:val="center"/>
          </w:tcPr>
          <w:p w14:paraId="7D3B90B3" w14:textId="66B5DB7C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5A381D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5A381D">
              <w:rPr>
                <w:rFonts w:ascii="Calibri" w:hAnsi="Calibri" w:cs="Calibri"/>
                <w:color w:val="000000"/>
              </w:rPr>
              <w:t>848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5A381D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000" w:type="dxa"/>
            <w:vAlign w:val="bottom"/>
          </w:tcPr>
          <w:p w14:paraId="1BDA03E0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 (16.7, 19.9)</w:t>
            </w:r>
          </w:p>
        </w:tc>
        <w:tc>
          <w:tcPr>
            <w:tcW w:w="1701" w:type="dxa"/>
            <w:vAlign w:val="bottom"/>
          </w:tcPr>
          <w:p w14:paraId="15D37B53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 (reference)</w:t>
            </w:r>
          </w:p>
        </w:tc>
      </w:tr>
      <w:tr w:rsidR="00112D24" w14:paraId="1310BE86" w14:textId="77777777" w:rsidTr="009B239D">
        <w:tc>
          <w:tcPr>
            <w:tcW w:w="2680" w:type="dxa"/>
          </w:tcPr>
          <w:p w14:paraId="38C3571E" w14:textId="77BFBE75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Urban</w:t>
            </w:r>
          </w:p>
        </w:tc>
        <w:tc>
          <w:tcPr>
            <w:tcW w:w="1713" w:type="dxa"/>
            <w:vAlign w:val="bottom"/>
          </w:tcPr>
          <w:p w14:paraId="38F1EC18" w14:textId="5771D3E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5,790 (85.7)</w:t>
            </w:r>
          </w:p>
        </w:tc>
        <w:tc>
          <w:tcPr>
            <w:tcW w:w="1404" w:type="dxa"/>
            <w:vAlign w:val="center"/>
          </w:tcPr>
          <w:p w14:paraId="33FB3886" w14:textId="718A43E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5A381D"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5A381D">
              <w:rPr>
                <w:rFonts w:ascii="Calibri" w:hAnsi="Calibri" w:cs="Calibri"/>
                <w:color w:val="000000"/>
              </w:rPr>
              <w:t>600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5A381D">
              <w:rPr>
                <w:rFonts w:ascii="Calibri" w:hAnsi="Calibri" w:cs="Calibri"/>
                <w:color w:val="000000"/>
              </w:rPr>
              <w:t>050</w:t>
            </w:r>
          </w:p>
        </w:tc>
        <w:tc>
          <w:tcPr>
            <w:tcW w:w="2000" w:type="dxa"/>
            <w:vAlign w:val="bottom"/>
          </w:tcPr>
          <w:p w14:paraId="69B1B19B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 (16.5, 17.8)</w:t>
            </w:r>
          </w:p>
        </w:tc>
        <w:tc>
          <w:tcPr>
            <w:tcW w:w="1701" w:type="dxa"/>
            <w:vAlign w:val="bottom"/>
          </w:tcPr>
          <w:p w14:paraId="60F7875C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 (0.9, 1.0)</w:t>
            </w:r>
          </w:p>
        </w:tc>
      </w:tr>
      <w:tr w:rsidR="00112D24" w14:paraId="102B0A6C" w14:textId="77777777" w:rsidTr="009B239D">
        <w:tc>
          <w:tcPr>
            <w:tcW w:w="2680" w:type="dxa"/>
          </w:tcPr>
          <w:p w14:paraId="0469D5F4" w14:textId="77777777" w:rsidR="00112D24" w:rsidRPr="00E71AFD" w:rsidRDefault="00112D24" w:rsidP="00112D24">
            <w:pPr>
              <w:rPr>
                <w:color w:val="FF0000"/>
                <w:lang w:val="en-US"/>
              </w:rPr>
            </w:pPr>
            <w:r w:rsidRPr="006D514E">
              <w:rPr>
                <w:lang w:val="en-US"/>
              </w:rPr>
              <w:t>Public Health Regio</w:t>
            </w:r>
            <w:r>
              <w:rPr>
                <w:lang w:val="en-US"/>
              </w:rPr>
              <w:t>n</w:t>
            </w:r>
          </w:p>
        </w:tc>
        <w:tc>
          <w:tcPr>
            <w:tcW w:w="1713" w:type="dxa"/>
            <w:vAlign w:val="bottom"/>
          </w:tcPr>
          <w:p w14:paraId="6B4198C0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</w:tcPr>
          <w:p w14:paraId="4E8DF6E9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2000" w:type="dxa"/>
          </w:tcPr>
          <w:p w14:paraId="1702139A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45B6C832" w14:textId="77777777" w:rsidR="00112D24" w:rsidRDefault="00112D24" w:rsidP="00112D24">
            <w:pPr>
              <w:jc w:val="center"/>
              <w:rPr>
                <w:lang w:val="en-US"/>
              </w:rPr>
            </w:pPr>
          </w:p>
        </w:tc>
      </w:tr>
      <w:tr w:rsidR="00112D24" w14:paraId="5D7A60CC" w14:textId="77777777" w:rsidTr="009B239D">
        <w:tc>
          <w:tcPr>
            <w:tcW w:w="2680" w:type="dxa"/>
          </w:tcPr>
          <w:p w14:paraId="5E3B860F" w14:textId="77777777" w:rsidR="00112D24" w:rsidRPr="006D514E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Central East</w:t>
            </w:r>
          </w:p>
        </w:tc>
        <w:tc>
          <w:tcPr>
            <w:tcW w:w="1713" w:type="dxa"/>
            <w:vAlign w:val="bottom"/>
          </w:tcPr>
          <w:p w14:paraId="2C92C976" w14:textId="183CDFA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1,863 (27.6)</w:t>
            </w:r>
          </w:p>
        </w:tc>
        <w:tc>
          <w:tcPr>
            <w:tcW w:w="1404" w:type="dxa"/>
            <w:vAlign w:val="center"/>
          </w:tcPr>
          <w:p w14:paraId="16478FCF" w14:textId="41A105F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3,985,675</w:t>
            </w:r>
          </w:p>
        </w:tc>
        <w:tc>
          <w:tcPr>
            <w:tcW w:w="2000" w:type="dxa"/>
            <w:vAlign w:val="bottom"/>
          </w:tcPr>
          <w:p w14:paraId="7A6005EC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 (15.1, 17.2)</w:t>
            </w:r>
          </w:p>
        </w:tc>
        <w:tc>
          <w:tcPr>
            <w:tcW w:w="1701" w:type="dxa"/>
          </w:tcPr>
          <w:p w14:paraId="50D02DD0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12D24" w14:paraId="5C915265" w14:textId="77777777" w:rsidTr="009B239D">
        <w:tc>
          <w:tcPr>
            <w:tcW w:w="2680" w:type="dxa"/>
          </w:tcPr>
          <w:p w14:paraId="3AE062F4" w14:textId="77777777" w:rsidR="00112D24" w:rsidRPr="006D514E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Central West</w:t>
            </w:r>
          </w:p>
        </w:tc>
        <w:tc>
          <w:tcPr>
            <w:tcW w:w="1713" w:type="dxa"/>
            <w:vAlign w:val="bottom"/>
          </w:tcPr>
          <w:p w14:paraId="4D40F33F" w14:textId="6BC83AFD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1,779 (26.3)</w:t>
            </w:r>
          </w:p>
        </w:tc>
        <w:tc>
          <w:tcPr>
            <w:tcW w:w="1404" w:type="dxa"/>
            <w:vAlign w:val="center"/>
          </w:tcPr>
          <w:p w14:paraId="4FC0921A" w14:textId="161AD133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2,602,740</w:t>
            </w:r>
          </w:p>
        </w:tc>
        <w:tc>
          <w:tcPr>
            <w:tcW w:w="2000" w:type="dxa"/>
            <w:vAlign w:val="bottom"/>
          </w:tcPr>
          <w:p w14:paraId="22C35B5E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22.9 (21.3, 24.4)</w:t>
            </w:r>
          </w:p>
        </w:tc>
        <w:tc>
          <w:tcPr>
            <w:tcW w:w="1701" w:type="dxa"/>
          </w:tcPr>
          <w:p w14:paraId="3B94F53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0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12D24" w14:paraId="07ACE7D3" w14:textId="77777777" w:rsidTr="009B239D">
        <w:tc>
          <w:tcPr>
            <w:tcW w:w="2680" w:type="dxa"/>
          </w:tcPr>
          <w:p w14:paraId="4E12C4BB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East </w:t>
            </w:r>
          </w:p>
        </w:tc>
        <w:tc>
          <w:tcPr>
            <w:tcW w:w="1713" w:type="dxa"/>
            <w:vAlign w:val="bottom"/>
          </w:tcPr>
          <w:p w14:paraId="4112242F" w14:textId="42E3C6D6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 (13.0)</w:t>
            </w:r>
          </w:p>
        </w:tc>
        <w:tc>
          <w:tcPr>
            <w:tcW w:w="1404" w:type="dxa"/>
            <w:vAlign w:val="center"/>
          </w:tcPr>
          <w:p w14:paraId="7002E847" w14:textId="100F442E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1,762,675</w:t>
            </w:r>
          </w:p>
        </w:tc>
        <w:tc>
          <w:tcPr>
            <w:tcW w:w="2000" w:type="dxa"/>
            <w:vAlign w:val="bottom"/>
          </w:tcPr>
          <w:p w14:paraId="2174EAE0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 (15.8, 19.2)</w:t>
            </w:r>
          </w:p>
        </w:tc>
        <w:tc>
          <w:tcPr>
            <w:tcW w:w="1701" w:type="dxa"/>
          </w:tcPr>
          <w:p w14:paraId="1D635B29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0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12D24" w14:paraId="7F6386BC" w14:textId="77777777" w:rsidTr="009B239D">
        <w:tc>
          <w:tcPr>
            <w:tcW w:w="2680" w:type="dxa"/>
          </w:tcPr>
          <w:p w14:paraId="0F463869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North East</w:t>
            </w:r>
          </w:p>
        </w:tc>
        <w:tc>
          <w:tcPr>
            <w:tcW w:w="1713" w:type="dxa"/>
            <w:vAlign w:val="bottom"/>
          </w:tcPr>
          <w:p w14:paraId="13EED4D0" w14:textId="0CE7FFFA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(3.0)</w:t>
            </w:r>
          </w:p>
        </w:tc>
        <w:tc>
          <w:tcPr>
            <w:tcW w:w="1404" w:type="dxa"/>
            <w:vAlign w:val="center"/>
          </w:tcPr>
          <w:p w14:paraId="4C66D9AC" w14:textId="7917A66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550,490</w:t>
            </w:r>
          </w:p>
        </w:tc>
        <w:tc>
          <w:tcPr>
            <w:tcW w:w="2000" w:type="dxa"/>
            <w:vAlign w:val="bottom"/>
          </w:tcPr>
          <w:p w14:paraId="064F7D65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13.4 (10.9, 15.9)</w:t>
            </w:r>
          </w:p>
        </w:tc>
        <w:tc>
          <w:tcPr>
            <w:tcW w:w="1701" w:type="dxa"/>
          </w:tcPr>
          <w:p w14:paraId="328A5173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0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12D24" w14:paraId="0832CFCA" w14:textId="77777777" w:rsidTr="009B239D">
        <w:tc>
          <w:tcPr>
            <w:tcW w:w="2680" w:type="dxa"/>
          </w:tcPr>
          <w:p w14:paraId="2834D1F6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North West</w:t>
            </w:r>
          </w:p>
        </w:tc>
        <w:tc>
          <w:tcPr>
            <w:tcW w:w="1713" w:type="dxa"/>
            <w:vAlign w:val="bottom"/>
          </w:tcPr>
          <w:p w14:paraId="0D6780FE" w14:textId="1A9B5B6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(1.9)</w:t>
            </w:r>
          </w:p>
        </w:tc>
        <w:tc>
          <w:tcPr>
            <w:tcW w:w="1404" w:type="dxa"/>
            <w:vAlign w:val="center"/>
          </w:tcPr>
          <w:p w14:paraId="56CC53B5" w14:textId="12C70F45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226,980</w:t>
            </w:r>
          </w:p>
        </w:tc>
        <w:tc>
          <w:tcPr>
            <w:tcW w:w="2000" w:type="dxa"/>
            <w:vAlign w:val="bottom"/>
          </w:tcPr>
          <w:p w14:paraId="57109956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 (14.2, 23.3)</w:t>
            </w:r>
          </w:p>
        </w:tc>
        <w:tc>
          <w:tcPr>
            <w:tcW w:w="1701" w:type="dxa"/>
          </w:tcPr>
          <w:p w14:paraId="32D749B1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0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12D24" w14:paraId="005F9DC8" w14:textId="77777777" w:rsidTr="009B239D">
        <w:tc>
          <w:tcPr>
            <w:tcW w:w="2680" w:type="dxa"/>
          </w:tcPr>
          <w:p w14:paraId="205A2C9C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South West</w:t>
            </w:r>
          </w:p>
        </w:tc>
        <w:tc>
          <w:tcPr>
            <w:tcW w:w="1713" w:type="dxa"/>
            <w:vAlign w:val="bottom"/>
          </w:tcPr>
          <w:p w14:paraId="3E6E274D" w14:textId="1E5D5BB1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 (11.7)</w:t>
            </w:r>
          </w:p>
        </w:tc>
        <w:tc>
          <w:tcPr>
            <w:tcW w:w="1404" w:type="dxa"/>
            <w:vAlign w:val="center"/>
          </w:tcPr>
          <w:p w14:paraId="22E68B84" w14:textId="43ECA893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1,581,065</w:t>
            </w:r>
          </w:p>
        </w:tc>
        <w:tc>
          <w:tcPr>
            <w:tcW w:w="2000" w:type="dxa"/>
            <w:vAlign w:val="bottom"/>
          </w:tcPr>
          <w:p w14:paraId="1D600B00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 (15.2, 18.5)</w:t>
            </w:r>
          </w:p>
        </w:tc>
        <w:tc>
          <w:tcPr>
            <w:tcW w:w="1701" w:type="dxa"/>
          </w:tcPr>
          <w:p w14:paraId="0892BCBF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0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12D24" w14:paraId="397DE70D" w14:textId="77777777" w:rsidTr="009B239D">
        <w:tc>
          <w:tcPr>
            <w:tcW w:w="2680" w:type="dxa"/>
          </w:tcPr>
          <w:p w14:paraId="6F34A7D4" w14:textId="77777777" w:rsidR="00112D24" w:rsidRDefault="00112D24" w:rsidP="00112D24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Toronto</w:t>
            </w:r>
          </w:p>
        </w:tc>
        <w:tc>
          <w:tcPr>
            <w:tcW w:w="1713" w:type="dxa"/>
            <w:vAlign w:val="bottom"/>
          </w:tcPr>
          <w:p w14:paraId="521771FB" w14:textId="74AEFCB4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1,107 (16.4)</w:t>
            </w:r>
          </w:p>
        </w:tc>
        <w:tc>
          <w:tcPr>
            <w:tcW w:w="1404" w:type="dxa"/>
            <w:vAlign w:val="center"/>
          </w:tcPr>
          <w:p w14:paraId="687C8179" w14:textId="06312188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2,730,685</w:t>
            </w:r>
          </w:p>
        </w:tc>
        <w:tc>
          <w:tcPr>
            <w:tcW w:w="2000" w:type="dxa"/>
            <w:vAlign w:val="bottom"/>
          </w:tcPr>
          <w:p w14:paraId="4630934D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 (12.7, 15.4)</w:t>
            </w:r>
          </w:p>
        </w:tc>
        <w:tc>
          <w:tcPr>
            <w:tcW w:w="1701" w:type="dxa"/>
          </w:tcPr>
          <w:p w14:paraId="508FD8D3" w14:textId="77777777" w:rsidR="00112D24" w:rsidRDefault="00112D24" w:rsidP="00112D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05E"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14:paraId="2E15B3BE" w14:textId="77777777" w:rsidR="0037553B" w:rsidRPr="00CA43C3" w:rsidRDefault="0037553B" w:rsidP="0037553B">
      <w:pPr>
        <w:rPr>
          <w:i/>
          <w:sz w:val="20"/>
          <w:szCs w:val="20"/>
        </w:rPr>
      </w:pPr>
      <w:r w:rsidRPr="00CA43C3">
        <w:rPr>
          <w:i/>
          <w:sz w:val="20"/>
          <w:szCs w:val="20"/>
        </w:rPr>
        <w:t>*Missing rates were not included in table.</w:t>
      </w:r>
    </w:p>
    <w:p w14:paraId="119D4795" w14:textId="325EBF27" w:rsidR="0037553B" w:rsidRPr="00CA43C3" w:rsidRDefault="0014191D" w:rsidP="0037553B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a</w:t>
      </w:r>
      <w:r w:rsidR="0037553B" w:rsidRPr="00CA43C3">
        <w:rPr>
          <w:sz w:val="20"/>
          <w:szCs w:val="20"/>
          <w:vertAlign w:val="superscript"/>
          <w:lang w:val="en-US"/>
        </w:rPr>
        <w:t xml:space="preserve"> </w:t>
      </w:r>
      <w:r w:rsidR="0037553B" w:rsidRPr="00CA43C3">
        <w:rPr>
          <w:sz w:val="20"/>
          <w:szCs w:val="20"/>
          <w:lang w:val="en-US"/>
        </w:rPr>
        <w:t>Annualized rate is calculated using the cumulative number of RSV</w:t>
      </w:r>
      <w:r w:rsidR="008A590E" w:rsidRPr="00CA43C3">
        <w:rPr>
          <w:sz w:val="20"/>
          <w:szCs w:val="20"/>
          <w:lang w:val="en-US"/>
        </w:rPr>
        <w:t>-related</w:t>
      </w:r>
      <w:r w:rsidR="0037553B" w:rsidRPr="00CA43C3">
        <w:rPr>
          <w:sz w:val="20"/>
          <w:szCs w:val="20"/>
          <w:lang w:val="en-US"/>
        </w:rPr>
        <w:t xml:space="preserve"> hospitalizations from September 1, 2016 to August 31, 2019 as the numerator and the 2016 Ontario Census multiplied by 3 as the denominator. </w:t>
      </w:r>
    </w:p>
    <w:p w14:paraId="59CFE483" w14:textId="3734E4B4" w:rsidR="0037553B" w:rsidRPr="00CA43C3" w:rsidRDefault="0014191D" w:rsidP="0037553B">
      <w:pPr>
        <w:rPr>
          <w:sz w:val="20"/>
          <w:szCs w:val="20"/>
          <w:lang w:val="en-US"/>
        </w:rPr>
      </w:pPr>
      <w:r w:rsidRPr="0014191D">
        <w:rPr>
          <w:iCs/>
          <w:sz w:val="20"/>
          <w:szCs w:val="20"/>
          <w:vertAlign w:val="superscript"/>
          <w:lang w:val="en-US"/>
        </w:rPr>
        <w:lastRenderedPageBreak/>
        <w:t>b</w:t>
      </w:r>
      <w:r w:rsidR="001F1A60" w:rsidRPr="00CA43C3">
        <w:rPr>
          <w:i/>
          <w:sz w:val="20"/>
          <w:szCs w:val="20"/>
          <w:vertAlign w:val="superscript"/>
          <w:lang w:val="en-US"/>
        </w:rPr>
        <w:t xml:space="preserve"> </w:t>
      </w:r>
      <w:r w:rsidR="00173B1A" w:rsidRPr="00CA43C3">
        <w:rPr>
          <w:sz w:val="20"/>
          <w:szCs w:val="20"/>
          <w:lang w:val="en-US"/>
        </w:rPr>
        <w:t xml:space="preserve">Unsuitable housing refers to having </w:t>
      </w:r>
      <w:r w:rsidR="00325458" w:rsidRPr="00CA43C3">
        <w:rPr>
          <w:sz w:val="20"/>
          <w:szCs w:val="20"/>
          <w:lang w:val="en-US"/>
        </w:rPr>
        <w:t>fewer</w:t>
      </w:r>
      <w:r w:rsidR="00CF21FA" w:rsidRPr="00CA43C3">
        <w:rPr>
          <w:sz w:val="20"/>
          <w:szCs w:val="20"/>
          <w:lang w:val="en-US"/>
        </w:rPr>
        <w:t xml:space="preserve"> bedrooms for the size and composition of the household</w:t>
      </w:r>
      <w:r w:rsidR="00173B1A" w:rsidRPr="00CA43C3">
        <w:rPr>
          <w:sz w:val="20"/>
          <w:szCs w:val="20"/>
          <w:lang w:val="en-US"/>
        </w:rPr>
        <w:t>, according to the National Occupancy Standard</w:t>
      </w:r>
      <w:r w:rsidR="0037553B" w:rsidRPr="00CA43C3">
        <w:rPr>
          <w:sz w:val="20"/>
          <w:szCs w:val="20"/>
          <w:lang w:val="en-US"/>
        </w:rPr>
        <w:t>. Unsuitable housing is divided into quartiles due to disproportionate distribution of cases when in quintiles.</w:t>
      </w:r>
    </w:p>
    <w:p w14:paraId="177E5713" w14:textId="77777777" w:rsidR="0037553B" w:rsidRDefault="0037553B" w:rsidP="0037553B">
      <w:pPr>
        <w:spacing w:line="240" w:lineRule="auto"/>
        <w:rPr>
          <w:i/>
        </w:rPr>
      </w:pPr>
    </w:p>
    <w:p w14:paraId="2382B806" w14:textId="77777777" w:rsidR="001C5166" w:rsidRDefault="001C5166" w:rsidP="0037553B">
      <w:pPr>
        <w:spacing w:line="240" w:lineRule="auto"/>
        <w:rPr>
          <w:i/>
        </w:rPr>
      </w:pPr>
    </w:p>
    <w:p w14:paraId="23409DEC" w14:textId="77777777" w:rsidR="001C5166" w:rsidRDefault="001C5166" w:rsidP="0037553B">
      <w:pPr>
        <w:spacing w:line="240" w:lineRule="auto"/>
        <w:rPr>
          <w:i/>
        </w:rPr>
      </w:pPr>
    </w:p>
    <w:p w14:paraId="283B9BAA" w14:textId="77777777" w:rsidR="001C5166" w:rsidRDefault="001C5166" w:rsidP="0037553B">
      <w:pPr>
        <w:spacing w:line="240" w:lineRule="auto"/>
        <w:rPr>
          <w:i/>
        </w:rPr>
      </w:pPr>
    </w:p>
    <w:p w14:paraId="60A71DEA" w14:textId="77777777" w:rsidR="001C5166" w:rsidRDefault="001C5166" w:rsidP="0037553B">
      <w:pPr>
        <w:spacing w:line="240" w:lineRule="auto"/>
        <w:rPr>
          <w:i/>
        </w:rPr>
      </w:pPr>
    </w:p>
    <w:p w14:paraId="03D3F539" w14:textId="77777777" w:rsidR="001C5166" w:rsidRDefault="001C5166" w:rsidP="0037553B">
      <w:pPr>
        <w:spacing w:line="240" w:lineRule="auto"/>
        <w:rPr>
          <w:i/>
        </w:rPr>
      </w:pPr>
    </w:p>
    <w:p w14:paraId="6300AC16" w14:textId="77777777" w:rsidR="001C5166" w:rsidRDefault="001C5166" w:rsidP="0037553B">
      <w:pPr>
        <w:spacing w:line="240" w:lineRule="auto"/>
        <w:rPr>
          <w:i/>
        </w:rPr>
      </w:pPr>
    </w:p>
    <w:p w14:paraId="67DC8E14" w14:textId="77777777" w:rsidR="001C5166" w:rsidRDefault="001C5166" w:rsidP="0037553B">
      <w:pPr>
        <w:spacing w:line="240" w:lineRule="auto"/>
        <w:rPr>
          <w:i/>
        </w:rPr>
      </w:pPr>
    </w:p>
    <w:p w14:paraId="1FB651B4" w14:textId="77777777" w:rsidR="001C5166" w:rsidRDefault="001C5166" w:rsidP="0037553B">
      <w:pPr>
        <w:spacing w:line="240" w:lineRule="auto"/>
        <w:rPr>
          <w:i/>
        </w:rPr>
      </w:pPr>
    </w:p>
    <w:p w14:paraId="2007D09B" w14:textId="77777777" w:rsidR="004C5709" w:rsidRDefault="004C5709" w:rsidP="0037553B">
      <w:pPr>
        <w:spacing w:line="240" w:lineRule="auto"/>
        <w:rPr>
          <w:i/>
        </w:rPr>
      </w:pPr>
    </w:p>
    <w:p w14:paraId="6B73A783" w14:textId="77777777" w:rsidR="004C5709" w:rsidRDefault="004C5709" w:rsidP="0037553B">
      <w:pPr>
        <w:spacing w:line="240" w:lineRule="auto"/>
        <w:rPr>
          <w:i/>
        </w:rPr>
      </w:pPr>
    </w:p>
    <w:p w14:paraId="230B4747" w14:textId="77777777" w:rsidR="004C5709" w:rsidRDefault="004C5709" w:rsidP="0037553B">
      <w:pPr>
        <w:spacing w:line="240" w:lineRule="auto"/>
        <w:rPr>
          <w:i/>
        </w:rPr>
      </w:pPr>
    </w:p>
    <w:p w14:paraId="3AE3D5AD" w14:textId="77777777" w:rsidR="004C5709" w:rsidRDefault="004C5709" w:rsidP="0037553B">
      <w:pPr>
        <w:spacing w:line="240" w:lineRule="auto"/>
        <w:rPr>
          <w:i/>
        </w:rPr>
      </w:pPr>
    </w:p>
    <w:p w14:paraId="16908A6F" w14:textId="77777777" w:rsidR="004C5709" w:rsidRDefault="004C5709" w:rsidP="0037553B">
      <w:pPr>
        <w:spacing w:line="240" w:lineRule="auto"/>
        <w:rPr>
          <w:i/>
        </w:rPr>
      </w:pPr>
    </w:p>
    <w:p w14:paraId="3387BCDE" w14:textId="77777777" w:rsidR="004C5709" w:rsidRDefault="004C5709" w:rsidP="0037553B">
      <w:pPr>
        <w:spacing w:line="240" w:lineRule="auto"/>
        <w:rPr>
          <w:i/>
        </w:rPr>
      </w:pPr>
    </w:p>
    <w:p w14:paraId="4359C795" w14:textId="77777777" w:rsidR="004C5709" w:rsidRDefault="004C5709" w:rsidP="0037553B">
      <w:pPr>
        <w:spacing w:line="240" w:lineRule="auto"/>
        <w:rPr>
          <w:i/>
        </w:rPr>
      </w:pPr>
    </w:p>
    <w:p w14:paraId="50AB23CD" w14:textId="77777777" w:rsidR="004C5709" w:rsidRDefault="004C5709" w:rsidP="0037553B">
      <w:pPr>
        <w:spacing w:line="240" w:lineRule="auto"/>
        <w:rPr>
          <w:i/>
        </w:rPr>
      </w:pPr>
    </w:p>
    <w:p w14:paraId="3F947F4D" w14:textId="77777777" w:rsidR="004C5709" w:rsidRDefault="004C5709" w:rsidP="0037553B">
      <w:pPr>
        <w:spacing w:line="240" w:lineRule="auto"/>
        <w:rPr>
          <w:i/>
        </w:rPr>
      </w:pPr>
    </w:p>
    <w:p w14:paraId="602BAA33" w14:textId="77777777" w:rsidR="004C5709" w:rsidRDefault="004C5709" w:rsidP="0037553B">
      <w:pPr>
        <w:spacing w:line="240" w:lineRule="auto"/>
        <w:rPr>
          <w:i/>
        </w:rPr>
      </w:pPr>
    </w:p>
    <w:p w14:paraId="11C8DF4A" w14:textId="77777777" w:rsidR="004C5709" w:rsidRDefault="004C5709" w:rsidP="0037553B">
      <w:pPr>
        <w:spacing w:line="240" w:lineRule="auto"/>
        <w:rPr>
          <w:i/>
        </w:rPr>
      </w:pPr>
    </w:p>
    <w:p w14:paraId="1E7F9AD2" w14:textId="77777777" w:rsidR="004C5709" w:rsidRDefault="004C5709" w:rsidP="0037553B">
      <w:pPr>
        <w:spacing w:line="240" w:lineRule="auto"/>
        <w:rPr>
          <w:i/>
        </w:rPr>
      </w:pPr>
    </w:p>
    <w:p w14:paraId="18C6D3DB" w14:textId="77777777" w:rsidR="004C5709" w:rsidRDefault="004C5709" w:rsidP="0037553B">
      <w:pPr>
        <w:spacing w:line="240" w:lineRule="auto"/>
        <w:rPr>
          <w:i/>
        </w:rPr>
      </w:pPr>
    </w:p>
    <w:p w14:paraId="698E0C0A" w14:textId="77777777" w:rsidR="004C5709" w:rsidRDefault="004C5709" w:rsidP="0037553B">
      <w:pPr>
        <w:spacing w:line="240" w:lineRule="auto"/>
        <w:rPr>
          <w:i/>
        </w:rPr>
      </w:pPr>
    </w:p>
    <w:p w14:paraId="47A349F4" w14:textId="77777777" w:rsidR="004C5709" w:rsidRDefault="004C5709" w:rsidP="0037553B">
      <w:pPr>
        <w:spacing w:line="240" w:lineRule="auto"/>
        <w:rPr>
          <w:i/>
        </w:rPr>
      </w:pPr>
    </w:p>
    <w:p w14:paraId="1241B1E1" w14:textId="77777777" w:rsidR="004C5709" w:rsidRDefault="004C5709" w:rsidP="0037553B">
      <w:pPr>
        <w:spacing w:line="240" w:lineRule="auto"/>
        <w:rPr>
          <w:i/>
        </w:rPr>
      </w:pPr>
    </w:p>
    <w:p w14:paraId="45091126" w14:textId="77777777" w:rsidR="004C5709" w:rsidRDefault="004C5709" w:rsidP="0037553B">
      <w:pPr>
        <w:spacing w:line="240" w:lineRule="auto"/>
        <w:rPr>
          <w:i/>
        </w:rPr>
      </w:pPr>
    </w:p>
    <w:p w14:paraId="64DF3371" w14:textId="77777777" w:rsidR="0037553B" w:rsidRDefault="0037553B" w:rsidP="0037553B">
      <w:pPr>
        <w:rPr>
          <w:lang w:val="en-US"/>
        </w:rPr>
      </w:pPr>
    </w:p>
    <w:p w14:paraId="61C55116" w14:textId="2B2A16ED" w:rsidR="0037553B" w:rsidRDefault="0037553B" w:rsidP="0037553B">
      <w:pPr>
        <w:rPr>
          <w:lang w:val="en-US"/>
        </w:rPr>
      </w:pPr>
      <w:r w:rsidRPr="001E0E90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</w:t>
      </w:r>
      <w:r w:rsidR="008F20CC">
        <w:rPr>
          <w:b/>
          <w:lang w:val="en-US"/>
        </w:rPr>
        <w:t>5</w:t>
      </w:r>
      <w:r>
        <w:rPr>
          <w:lang w:val="en-US"/>
        </w:rPr>
        <w:t xml:space="preserve">: </w:t>
      </w:r>
      <w:r w:rsidR="00197A0D">
        <w:rPr>
          <w:lang w:val="en-US"/>
        </w:rPr>
        <w:t>In-hospital outcomes following RSV</w:t>
      </w:r>
      <w:r w:rsidR="006F1CDC">
        <w:rPr>
          <w:lang w:val="en-US"/>
        </w:rPr>
        <w:t>-related</w:t>
      </w:r>
      <w:r w:rsidR="00197A0D">
        <w:rPr>
          <w:lang w:val="en-US"/>
        </w:rPr>
        <w:t xml:space="preserve"> hospitalization with RSV as most responsible diagnostic from September 1, 2016 to August 31, 2019</w:t>
      </w:r>
      <w:r>
        <w:rPr>
          <w:lang w:val="en-US"/>
        </w:rPr>
        <w:t>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37553B" w14:paraId="6BC117FB" w14:textId="77777777" w:rsidTr="00CD2C07">
        <w:trPr>
          <w:trHeight w:val="965"/>
        </w:trPr>
        <w:tc>
          <w:tcPr>
            <w:tcW w:w="2977" w:type="dxa"/>
          </w:tcPr>
          <w:p w14:paraId="69C4AD6E" w14:textId="7E1C80FC" w:rsidR="0037553B" w:rsidRPr="0057788B" w:rsidRDefault="0037553B" w:rsidP="002962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Characteristics</w:t>
            </w:r>
            <w:r w:rsidR="00296220">
              <w:rPr>
                <w:b/>
                <w:lang w:val="en-US"/>
              </w:rPr>
              <w:t>, n (%)</w:t>
            </w:r>
          </w:p>
        </w:tc>
        <w:tc>
          <w:tcPr>
            <w:tcW w:w="3119" w:type="dxa"/>
          </w:tcPr>
          <w:p w14:paraId="2322EE4D" w14:textId="75590E6D" w:rsidR="0037553B" w:rsidRPr="0057788B" w:rsidRDefault="0037553B" w:rsidP="00296220">
            <w:pPr>
              <w:jc w:val="center"/>
              <w:rPr>
                <w:b/>
                <w:lang w:val="en-US"/>
              </w:rPr>
            </w:pPr>
            <w:r w:rsidRPr="0057788B">
              <w:rPr>
                <w:b/>
                <w:lang w:val="en-US"/>
              </w:rPr>
              <w:t>ICU admissions</w:t>
            </w:r>
          </w:p>
        </w:tc>
        <w:tc>
          <w:tcPr>
            <w:tcW w:w="3260" w:type="dxa"/>
          </w:tcPr>
          <w:p w14:paraId="0E1CB9BF" w14:textId="432C09B9" w:rsidR="00296220" w:rsidRPr="0057788B" w:rsidRDefault="0037553B" w:rsidP="00296220">
            <w:pPr>
              <w:jc w:val="center"/>
              <w:rPr>
                <w:b/>
                <w:lang w:val="en-US"/>
              </w:rPr>
            </w:pPr>
            <w:r w:rsidRPr="0057788B">
              <w:rPr>
                <w:b/>
                <w:lang w:val="en-US"/>
              </w:rPr>
              <w:t>Death in hospital</w:t>
            </w:r>
          </w:p>
          <w:p w14:paraId="7F0E8995" w14:textId="0843006F" w:rsidR="0037553B" w:rsidRPr="0057788B" w:rsidRDefault="0037553B" w:rsidP="0037553B">
            <w:pPr>
              <w:jc w:val="center"/>
              <w:rPr>
                <w:b/>
                <w:lang w:val="en-US"/>
              </w:rPr>
            </w:pPr>
          </w:p>
        </w:tc>
      </w:tr>
      <w:tr w:rsidR="0037553B" w14:paraId="118EC58C" w14:textId="77777777" w:rsidTr="00CD2C07">
        <w:trPr>
          <w:trHeight w:val="256"/>
        </w:trPr>
        <w:tc>
          <w:tcPr>
            <w:tcW w:w="2977" w:type="dxa"/>
          </w:tcPr>
          <w:p w14:paraId="69C1E5F4" w14:textId="3BCCCFE9" w:rsidR="0037553B" w:rsidRPr="002D1428" w:rsidRDefault="00296220" w:rsidP="0037553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N, % of those admitted</w:t>
            </w:r>
          </w:p>
        </w:tc>
        <w:tc>
          <w:tcPr>
            <w:tcW w:w="3119" w:type="dxa"/>
          </w:tcPr>
          <w:p w14:paraId="4E9F9F86" w14:textId="77777777" w:rsidR="0037553B" w:rsidRPr="002D1428" w:rsidRDefault="0037553B" w:rsidP="0037553B">
            <w:pPr>
              <w:jc w:val="center"/>
              <w:rPr>
                <w:lang w:val="en-US"/>
              </w:rPr>
            </w:pPr>
            <w:r w:rsidRPr="002D1428">
              <w:rPr>
                <w:lang w:val="en-US"/>
              </w:rPr>
              <w:t>766 (11.3)</w:t>
            </w:r>
          </w:p>
        </w:tc>
        <w:tc>
          <w:tcPr>
            <w:tcW w:w="3260" w:type="dxa"/>
          </w:tcPr>
          <w:p w14:paraId="5CB7C85F" w14:textId="77777777" w:rsidR="0037553B" w:rsidRPr="002D1428" w:rsidRDefault="0037553B" w:rsidP="0037553B">
            <w:pPr>
              <w:jc w:val="center"/>
              <w:rPr>
                <w:lang w:val="en-US"/>
              </w:rPr>
            </w:pPr>
            <w:r w:rsidRPr="002D1428">
              <w:rPr>
                <w:lang w:val="en-US"/>
              </w:rPr>
              <w:t>97 (1.4)</w:t>
            </w:r>
          </w:p>
        </w:tc>
      </w:tr>
      <w:tr w:rsidR="0037553B" w14:paraId="4904AF99" w14:textId="77777777" w:rsidTr="00CD2C07">
        <w:trPr>
          <w:trHeight w:val="256"/>
        </w:trPr>
        <w:tc>
          <w:tcPr>
            <w:tcW w:w="2977" w:type="dxa"/>
          </w:tcPr>
          <w:p w14:paraId="2D3D47F4" w14:textId="77777777" w:rsidR="0037553B" w:rsidRPr="002D1428" w:rsidRDefault="0037553B" w:rsidP="0037553B">
            <w:pPr>
              <w:rPr>
                <w:lang w:val="en-US"/>
              </w:rPr>
            </w:pPr>
            <w:r w:rsidRPr="002D1428">
              <w:rPr>
                <w:i/>
                <w:lang w:val="en-US"/>
              </w:rPr>
              <w:t>Demographic</w:t>
            </w:r>
          </w:p>
        </w:tc>
        <w:tc>
          <w:tcPr>
            <w:tcW w:w="3119" w:type="dxa"/>
          </w:tcPr>
          <w:p w14:paraId="22FE290B" w14:textId="77777777" w:rsidR="0037553B" w:rsidRPr="002D1428" w:rsidRDefault="0037553B" w:rsidP="0037553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B7956D4" w14:textId="77777777" w:rsidR="0037553B" w:rsidRPr="002D1428" w:rsidRDefault="0037553B" w:rsidP="0037553B">
            <w:pPr>
              <w:rPr>
                <w:lang w:val="en-US"/>
              </w:rPr>
            </w:pPr>
          </w:p>
        </w:tc>
      </w:tr>
      <w:tr w:rsidR="0037553B" w14:paraId="1F8C979F" w14:textId="77777777" w:rsidTr="00CD2C07">
        <w:trPr>
          <w:trHeight w:val="256"/>
        </w:trPr>
        <w:tc>
          <w:tcPr>
            <w:tcW w:w="2977" w:type="dxa"/>
          </w:tcPr>
          <w:p w14:paraId="53D15D58" w14:textId="3A1FF5EA" w:rsidR="0037553B" w:rsidRPr="002D1428" w:rsidRDefault="0037553B" w:rsidP="0037553B">
            <w:pPr>
              <w:rPr>
                <w:lang w:val="en-US"/>
              </w:rPr>
            </w:pPr>
            <w:r w:rsidRPr="002D1428">
              <w:rPr>
                <w:lang w:val="en-US"/>
              </w:rPr>
              <w:t>Age</w:t>
            </w:r>
          </w:p>
        </w:tc>
        <w:tc>
          <w:tcPr>
            <w:tcW w:w="3119" w:type="dxa"/>
          </w:tcPr>
          <w:p w14:paraId="21F6CDDD" w14:textId="77777777" w:rsidR="0037553B" w:rsidRPr="002D1428" w:rsidRDefault="0037553B" w:rsidP="0037553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4446969" w14:textId="77777777" w:rsidR="0037553B" w:rsidRPr="002D1428" w:rsidRDefault="0037553B" w:rsidP="0037553B">
            <w:pPr>
              <w:rPr>
                <w:lang w:val="en-US"/>
              </w:rPr>
            </w:pPr>
          </w:p>
        </w:tc>
      </w:tr>
      <w:tr w:rsidR="00C62841" w14:paraId="466A2423" w14:textId="77777777" w:rsidTr="00CD2C07">
        <w:trPr>
          <w:trHeight w:val="256"/>
        </w:trPr>
        <w:tc>
          <w:tcPr>
            <w:tcW w:w="2977" w:type="dxa"/>
          </w:tcPr>
          <w:p w14:paraId="6FA16442" w14:textId="0C20B26A" w:rsidR="00C62841" w:rsidRPr="002D1428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&lt;1</w:t>
            </w:r>
            <w:r>
              <w:rPr>
                <w:lang w:val="en-US"/>
              </w:rPr>
              <w:t>2 months</w:t>
            </w:r>
          </w:p>
        </w:tc>
        <w:tc>
          <w:tcPr>
            <w:tcW w:w="3119" w:type="dxa"/>
            <w:vAlign w:val="bottom"/>
          </w:tcPr>
          <w:p w14:paraId="1D902C58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 w:rsidRPr="002D1428">
              <w:rPr>
                <w:rFonts w:ascii="Calibri" w:hAnsi="Calibri" w:cs="Calibri"/>
                <w:color w:val="000000"/>
              </w:rPr>
              <w:t>454 (12.1)</w:t>
            </w:r>
          </w:p>
        </w:tc>
        <w:tc>
          <w:tcPr>
            <w:tcW w:w="3260" w:type="dxa"/>
            <w:vAlign w:val="bottom"/>
          </w:tcPr>
          <w:p w14:paraId="3F01E2E4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 w:rsidRPr="002D1428"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62841" w14:paraId="66114EFB" w14:textId="77777777" w:rsidTr="00CD2C07">
        <w:trPr>
          <w:trHeight w:val="256"/>
        </w:trPr>
        <w:tc>
          <w:tcPr>
            <w:tcW w:w="2977" w:type="dxa"/>
          </w:tcPr>
          <w:p w14:paraId="70F92E59" w14:textId="27B4B025" w:rsidR="00C62841" w:rsidRPr="002D1428" w:rsidRDefault="00C62841" w:rsidP="00C62841">
            <w:pPr>
              <w:ind w:left="720"/>
              <w:rPr>
                <w:lang w:val="en-US"/>
              </w:rPr>
            </w:pPr>
            <w:r w:rsidRPr="00A43FBD">
              <w:rPr>
                <w:lang w:val="en-US"/>
              </w:rPr>
              <w:t>1</w:t>
            </w:r>
            <w:r>
              <w:rPr>
                <w:lang w:val="en-US"/>
              </w:rPr>
              <w:t>2-23 months</w:t>
            </w:r>
          </w:p>
        </w:tc>
        <w:tc>
          <w:tcPr>
            <w:tcW w:w="3119" w:type="dxa"/>
            <w:vAlign w:val="bottom"/>
          </w:tcPr>
          <w:p w14:paraId="22741228" w14:textId="77777777" w:rsidR="00C62841" w:rsidRPr="00403074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403074">
              <w:rPr>
                <w:rFonts w:ascii="Calibri" w:hAnsi="Calibri" w:cs="Calibri"/>
              </w:rPr>
              <w:t>69 (7.8)</w:t>
            </w:r>
          </w:p>
        </w:tc>
        <w:tc>
          <w:tcPr>
            <w:tcW w:w="3260" w:type="dxa"/>
            <w:vAlign w:val="bottom"/>
          </w:tcPr>
          <w:p w14:paraId="59E94BE4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62841" w14:paraId="22656306" w14:textId="77777777" w:rsidTr="00CD2C07">
        <w:trPr>
          <w:trHeight w:val="256"/>
        </w:trPr>
        <w:tc>
          <w:tcPr>
            <w:tcW w:w="2977" w:type="dxa"/>
          </w:tcPr>
          <w:p w14:paraId="410FD544" w14:textId="0DC66603" w:rsidR="00C62841" w:rsidRPr="002D1428" w:rsidRDefault="00C62841" w:rsidP="00C62841">
            <w:pPr>
              <w:ind w:left="720"/>
              <w:rPr>
                <w:lang w:val="en-US"/>
              </w:rPr>
            </w:pPr>
            <w:r w:rsidRPr="00A43FBD">
              <w:rPr>
                <w:lang w:val="en-US"/>
              </w:rPr>
              <w:t>2-4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3119" w:type="dxa"/>
            <w:vAlign w:val="bottom"/>
          </w:tcPr>
          <w:p w14:paraId="177562A1" w14:textId="77777777" w:rsidR="00C62841" w:rsidRPr="00403074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403074">
              <w:rPr>
                <w:rFonts w:ascii="Calibri" w:hAnsi="Calibri" w:cs="Calibri"/>
              </w:rPr>
              <w:t>47 (8.2)</w:t>
            </w:r>
          </w:p>
        </w:tc>
        <w:tc>
          <w:tcPr>
            <w:tcW w:w="3260" w:type="dxa"/>
            <w:vAlign w:val="bottom"/>
          </w:tcPr>
          <w:p w14:paraId="0D557490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(0.2)</w:t>
            </w:r>
          </w:p>
        </w:tc>
      </w:tr>
      <w:tr w:rsidR="00C62841" w14:paraId="4A3D2670" w14:textId="77777777" w:rsidTr="00CD2C07">
        <w:trPr>
          <w:trHeight w:val="256"/>
        </w:trPr>
        <w:tc>
          <w:tcPr>
            <w:tcW w:w="2977" w:type="dxa"/>
          </w:tcPr>
          <w:p w14:paraId="2694A530" w14:textId="4A2AE79C" w:rsidR="00C62841" w:rsidRPr="002D1428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5-17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3119" w:type="dxa"/>
            <w:vAlign w:val="bottom"/>
          </w:tcPr>
          <w:p w14:paraId="2F91EB45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 w:rsidRPr="002D1428">
              <w:rPr>
                <w:rFonts w:ascii="Calibri" w:hAnsi="Calibri" w:cs="Calibri"/>
                <w:color w:val="000000"/>
              </w:rPr>
              <w:t>19 (22.9)</w:t>
            </w:r>
          </w:p>
        </w:tc>
        <w:tc>
          <w:tcPr>
            <w:tcW w:w="3260" w:type="dxa"/>
            <w:vAlign w:val="bottom"/>
          </w:tcPr>
          <w:p w14:paraId="0BFB7ED3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 w:rsidRPr="002D1428"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62841" w14:paraId="6F8AF81D" w14:textId="77777777" w:rsidTr="00CD2C07">
        <w:trPr>
          <w:trHeight w:val="256"/>
        </w:trPr>
        <w:tc>
          <w:tcPr>
            <w:tcW w:w="2977" w:type="dxa"/>
          </w:tcPr>
          <w:p w14:paraId="26F882F6" w14:textId="19FD3A4E" w:rsidR="00C62841" w:rsidRPr="002D1428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18-49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3119" w:type="dxa"/>
            <w:vAlign w:val="bottom"/>
          </w:tcPr>
          <w:p w14:paraId="26C4DCE7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 w:rsidRPr="002D1428">
              <w:rPr>
                <w:rFonts w:ascii="Calibri" w:hAnsi="Calibri" w:cs="Calibri"/>
                <w:color w:val="000000"/>
              </w:rPr>
              <w:t>19 (19.6)</w:t>
            </w:r>
          </w:p>
        </w:tc>
        <w:tc>
          <w:tcPr>
            <w:tcW w:w="3260" w:type="dxa"/>
            <w:vAlign w:val="bottom"/>
          </w:tcPr>
          <w:p w14:paraId="695B52F9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 w:rsidRPr="002D1428">
              <w:rPr>
                <w:rFonts w:ascii="Calibri" w:hAnsi="Calibri" w:cs="Calibri"/>
                <w:color w:val="000000"/>
              </w:rPr>
              <w:t>4 (4.1)</w:t>
            </w:r>
          </w:p>
        </w:tc>
      </w:tr>
      <w:tr w:rsidR="00C62841" w14:paraId="28E1A675" w14:textId="77777777" w:rsidTr="00CD2C07">
        <w:trPr>
          <w:trHeight w:val="256"/>
        </w:trPr>
        <w:tc>
          <w:tcPr>
            <w:tcW w:w="2977" w:type="dxa"/>
          </w:tcPr>
          <w:p w14:paraId="415D72B0" w14:textId="37804EA5" w:rsidR="00C62841" w:rsidRPr="002D1428" w:rsidRDefault="00C62841" w:rsidP="00C62841">
            <w:pPr>
              <w:ind w:left="720"/>
              <w:rPr>
                <w:lang w:val="en-US"/>
              </w:rPr>
            </w:pPr>
            <w:r w:rsidRPr="002D1428">
              <w:rPr>
                <w:lang w:val="en-US"/>
              </w:rPr>
              <w:t>50-64</w:t>
            </w:r>
            <w:r>
              <w:rPr>
                <w:lang w:val="en-US"/>
              </w:rPr>
              <w:t xml:space="preserve"> years</w:t>
            </w:r>
          </w:p>
        </w:tc>
        <w:tc>
          <w:tcPr>
            <w:tcW w:w="3119" w:type="dxa"/>
            <w:vAlign w:val="bottom"/>
          </w:tcPr>
          <w:p w14:paraId="3905910C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 w:rsidRPr="002D1428">
              <w:rPr>
                <w:rFonts w:ascii="Calibri" w:hAnsi="Calibri" w:cs="Calibri"/>
                <w:color w:val="000000"/>
              </w:rPr>
              <w:t>34 (17.2)</w:t>
            </w:r>
          </w:p>
        </w:tc>
        <w:tc>
          <w:tcPr>
            <w:tcW w:w="3260" w:type="dxa"/>
            <w:vAlign w:val="bottom"/>
          </w:tcPr>
          <w:p w14:paraId="259A3B4C" w14:textId="77777777" w:rsidR="00C62841" w:rsidRPr="002D1428" w:rsidRDefault="00C62841" w:rsidP="00C62841">
            <w:pPr>
              <w:jc w:val="center"/>
              <w:rPr>
                <w:rFonts w:ascii="Calibri" w:hAnsi="Calibri" w:cs="Calibri"/>
              </w:rPr>
            </w:pPr>
            <w:r w:rsidRPr="002D1428">
              <w:rPr>
                <w:rFonts w:ascii="Calibri" w:hAnsi="Calibri" w:cs="Calibri"/>
                <w:color w:val="000000"/>
              </w:rPr>
              <w:t>11 (5.6)</w:t>
            </w:r>
          </w:p>
        </w:tc>
      </w:tr>
      <w:tr w:rsidR="00C62841" w14:paraId="4A93F003" w14:textId="77777777" w:rsidTr="00CD2C07">
        <w:trPr>
          <w:trHeight w:val="256"/>
        </w:trPr>
        <w:tc>
          <w:tcPr>
            <w:tcW w:w="2977" w:type="dxa"/>
          </w:tcPr>
          <w:p w14:paraId="73BB93CB" w14:textId="7D790600" w:rsidR="00C62841" w:rsidRDefault="00102260" w:rsidP="00102260">
            <w:pPr>
              <w:ind w:left="72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65 years</w:t>
            </w:r>
          </w:p>
        </w:tc>
        <w:tc>
          <w:tcPr>
            <w:tcW w:w="3119" w:type="dxa"/>
            <w:vAlign w:val="bottom"/>
          </w:tcPr>
          <w:p w14:paraId="7E21C2E9" w14:textId="77777777" w:rsidR="00C62841" w:rsidRPr="00534A1D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124 (10.7)</w:t>
            </w:r>
          </w:p>
        </w:tc>
        <w:tc>
          <w:tcPr>
            <w:tcW w:w="3260" w:type="dxa"/>
            <w:vAlign w:val="bottom"/>
          </w:tcPr>
          <w:p w14:paraId="703F61B2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(7.0)</w:t>
            </w:r>
          </w:p>
        </w:tc>
      </w:tr>
      <w:tr w:rsidR="00C62841" w14:paraId="23BFDB67" w14:textId="77777777" w:rsidTr="00CD2C07">
        <w:trPr>
          <w:trHeight w:val="256"/>
        </w:trPr>
        <w:tc>
          <w:tcPr>
            <w:tcW w:w="2977" w:type="dxa"/>
          </w:tcPr>
          <w:p w14:paraId="286B70CB" w14:textId="0177F424" w:rsidR="00C62841" w:rsidRDefault="00C62841" w:rsidP="00C62841">
            <w:pPr>
              <w:ind w:left="1440"/>
              <w:rPr>
                <w:lang w:val="en-US"/>
              </w:rPr>
            </w:pPr>
            <w:r>
              <w:rPr>
                <w:lang w:val="en-US"/>
              </w:rPr>
              <w:t>65-74 years</w:t>
            </w:r>
          </w:p>
        </w:tc>
        <w:tc>
          <w:tcPr>
            <w:tcW w:w="3119" w:type="dxa"/>
            <w:vAlign w:val="bottom"/>
          </w:tcPr>
          <w:p w14:paraId="3CD2DD16" w14:textId="77777777" w:rsidR="00C62841" w:rsidRPr="00534A1D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43 (16.9)</w:t>
            </w:r>
          </w:p>
        </w:tc>
        <w:tc>
          <w:tcPr>
            <w:tcW w:w="3260" w:type="dxa"/>
            <w:vAlign w:val="bottom"/>
          </w:tcPr>
          <w:p w14:paraId="00785775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(5.1)</w:t>
            </w:r>
          </w:p>
        </w:tc>
      </w:tr>
      <w:tr w:rsidR="00C62841" w14:paraId="0A9BEFA5" w14:textId="77777777" w:rsidTr="00CD2C07">
        <w:trPr>
          <w:trHeight w:val="256"/>
        </w:trPr>
        <w:tc>
          <w:tcPr>
            <w:tcW w:w="2977" w:type="dxa"/>
          </w:tcPr>
          <w:p w14:paraId="1250C53B" w14:textId="63779B2B" w:rsidR="00C62841" w:rsidRDefault="00C62841" w:rsidP="00C62841">
            <w:pPr>
              <w:ind w:left="1440"/>
              <w:rPr>
                <w:lang w:val="en-US"/>
              </w:rPr>
            </w:pPr>
            <w:r>
              <w:rPr>
                <w:lang w:val="en-US"/>
              </w:rPr>
              <w:t>75-84 years</w:t>
            </w:r>
          </w:p>
        </w:tc>
        <w:tc>
          <w:tcPr>
            <w:tcW w:w="3119" w:type="dxa"/>
            <w:vAlign w:val="bottom"/>
          </w:tcPr>
          <w:p w14:paraId="3FAB1A00" w14:textId="77777777" w:rsidR="00C62841" w:rsidRPr="00534A1D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42 (11.3)</w:t>
            </w:r>
          </w:p>
        </w:tc>
        <w:tc>
          <w:tcPr>
            <w:tcW w:w="3260" w:type="dxa"/>
            <w:vAlign w:val="bottom"/>
          </w:tcPr>
          <w:p w14:paraId="22113E9E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(6.2)</w:t>
            </w:r>
          </w:p>
        </w:tc>
      </w:tr>
      <w:tr w:rsidR="00C62841" w14:paraId="570259BF" w14:textId="77777777" w:rsidTr="00CD2C07">
        <w:trPr>
          <w:trHeight w:val="256"/>
        </w:trPr>
        <w:tc>
          <w:tcPr>
            <w:tcW w:w="2977" w:type="dxa"/>
          </w:tcPr>
          <w:p w14:paraId="1B4541EB" w14:textId="26E82AE8" w:rsidR="00C62841" w:rsidRDefault="00102260" w:rsidP="00102260">
            <w:pPr>
              <w:ind w:left="144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C62841">
              <w:rPr>
                <w:lang w:val="en-US"/>
              </w:rPr>
              <w:t>85 years</w:t>
            </w:r>
          </w:p>
        </w:tc>
        <w:tc>
          <w:tcPr>
            <w:tcW w:w="3119" w:type="dxa"/>
            <w:vAlign w:val="bottom"/>
          </w:tcPr>
          <w:p w14:paraId="4AFE97F5" w14:textId="77777777" w:rsidR="00C62841" w:rsidRPr="00534A1D" w:rsidRDefault="00C62841" w:rsidP="00C62841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39 (7.3)</w:t>
            </w:r>
          </w:p>
        </w:tc>
        <w:tc>
          <w:tcPr>
            <w:tcW w:w="3260" w:type="dxa"/>
            <w:vAlign w:val="bottom"/>
          </w:tcPr>
          <w:p w14:paraId="241865B3" w14:textId="77777777" w:rsidR="00C62841" w:rsidRDefault="00C62841" w:rsidP="00C628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 (8.4)</w:t>
            </w:r>
          </w:p>
        </w:tc>
      </w:tr>
      <w:tr w:rsidR="0037553B" w:rsidRPr="00A509FC" w14:paraId="2B38FDA6" w14:textId="77777777" w:rsidTr="00CD2C07">
        <w:trPr>
          <w:trHeight w:val="256"/>
        </w:trPr>
        <w:tc>
          <w:tcPr>
            <w:tcW w:w="2977" w:type="dxa"/>
          </w:tcPr>
          <w:p w14:paraId="1039C670" w14:textId="77777777" w:rsidR="0037553B" w:rsidRPr="00A509FC" w:rsidRDefault="0037553B" w:rsidP="0037553B">
            <w:pPr>
              <w:rPr>
                <w:lang w:val="en-US"/>
              </w:rPr>
            </w:pPr>
            <w:r w:rsidRPr="00A509FC">
              <w:rPr>
                <w:lang w:val="en-US"/>
              </w:rPr>
              <w:t>Sex</w:t>
            </w:r>
          </w:p>
        </w:tc>
        <w:tc>
          <w:tcPr>
            <w:tcW w:w="3119" w:type="dxa"/>
          </w:tcPr>
          <w:p w14:paraId="137E6632" w14:textId="77777777" w:rsidR="0037553B" w:rsidRPr="00534A1D" w:rsidRDefault="0037553B" w:rsidP="0037553B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260" w:type="dxa"/>
          </w:tcPr>
          <w:p w14:paraId="732345C8" w14:textId="77777777" w:rsidR="0037553B" w:rsidRPr="00A509FC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:rsidRPr="00A509FC" w14:paraId="6DF3BE29" w14:textId="77777777" w:rsidTr="00CD2C07">
        <w:trPr>
          <w:trHeight w:val="256"/>
        </w:trPr>
        <w:tc>
          <w:tcPr>
            <w:tcW w:w="2977" w:type="dxa"/>
          </w:tcPr>
          <w:p w14:paraId="446783AD" w14:textId="77777777" w:rsidR="0037553B" w:rsidRPr="00A509FC" w:rsidRDefault="0037553B" w:rsidP="0037553B">
            <w:pPr>
              <w:ind w:left="720"/>
              <w:rPr>
                <w:lang w:val="en-US"/>
              </w:rPr>
            </w:pPr>
            <w:r w:rsidRPr="00A509FC">
              <w:rPr>
                <w:lang w:val="en-US"/>
              </w:rPr>
              <w:t>Female</w:t>
            </w:r>
          </w:p>
        </w:tc>
        <w:tc>
          <w:tcPr>
            <w:tcW w:w="3119" w:type="dxa"/>
            <w:vAlign w:val="bottom"/>
          </w:tcPr>
          <w:p w14:paraId="52334A6E" w14:textId="77777777" w:rsidR="0037553B" w:rsidRPr="00534A1D" w:rsidRDefault="0037553B" w:rsidP="0037553B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369 (11.4)</w:t>
            </w:r>
          </w:p>
        </w:tc>
        <w:tc>
          <w:tcPr>
            <w:tcW w:w="3260" w:type="dxa"/>
            <w:vAlign w:val="bottom"/>
          </w:tcPr>
          <w:p w14:paraId="14BB3BD9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 (1.5)</w:t>
            </w:r>
          </w:p>
        </w:tc>
      </w:tr>
      <w:tr w:rsidR="0037553B" w:rsidRPr="00A509FC" w14:paraId="39D7B0A1" w14:textId="77777777" w:rsidTr="00CD2C07">
        <w:trPr>
          <w:trHeight w:val="256"/>
        </w:trPr>
        <w:tc>
          <w:tcPr>
            <w:tcW w:w="2977" w:type="dxa"/>
          </w:tcPr>
          <w:p w14:paraId="3AD30BED" w14:textId="77777777" w:rsidR="0037553B" w:rsidRPr="00A509FC" w:rsidRDefault="0037553B" w:rsidP="0037553B">
            <w:pPr>
              <w:ind w:left="720"/>
              <w:rPr>
                <w:lang w:val="en-US"/>
              </w:rPr>
            </w:pPr>
            <w:r w:rsidRPr="00A509FC">
              <w:rPr>
                <w:lang w:val="en-US"/>
              </w:rPr>
              <w:t>Male</w:t>
            </w:r>
          </w:p>
        </w:tc>
        <w:tc>
          <w:tcPr>
            <w:tcW w:w="3119" w:type="dxa"/>
            <w:vAlign w:val="bottom"/>
          </w:tcPr>
          <w:p w14:paraId="4D7D65A1" w14:textId="77777777" w:rsidR="0037553B" w:rsidRPr="00534A1D" w:rsidRDefault="0037553B" w:rsidP="0037553B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397 (11.3)</w:t>
            </w:r>
          </w:p>
        </w:tc>
        <w:tc>
          <w:tcPr>
            <w:tcW w:w="3260" w:type="dxa"/>
            <w:vAlign w:val="bottom"/>
          </w:tcPr>
          <w:p w14:paraId="5EB0A5DB" w14:textId="77777777" w:rsidR="0037553B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(1.4)</w:t>
            </w:r>
          </w:p>
        </w:tc>
      </w:tr>
      <w:tr w:rsidR="0037553B" w14:paraId="66AB2DBF" w14:textId="77777777" w:rsidTr="00CD2C07">
        <w:trPr>
          <w:trHeight w:val="256"/>
        </w:trPr>
        <w:tc>
          <w:tcPr>
            <w:tcW w:w="2977" w:type="dxa"/>
          </w:tcPr>
          <w:p w14:paraId="229FE3D0" w14:textId="77777777" w:rsidR="0037553B" w:rsidRDefault="0037553B" w:rsidP="0037553B">
            <w:pPr>
              <w:rPr>
                <w:lang w:val="en-US"/>
              </w:rPr>
            </w:pPr>
            <w:r w:rsidRPr="005649FF">
              <w:rPr>
                <w:i/>
                <w:lang w:val="en-US"/>
              </w:rPr>
              <w:t>Sociodemographic</w:t>
            </w:r>
          </w:p>
        </w:tc>
        <w:tc>
          <w:tcPr>
            <w:tcW w:w="3119" w:type="dxa"/>
          </w:tcPr>
          <w:p w14:paraId="6AF35570" w14:textId="77777777" w:rsidR="0037553B" w:rsidRDefault="0037553B" w:rsidP="0037553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4219058" w14:textId="77777777" w:rsidR="0037553B" w:rsidRDefault="0037553B" w:rsidP="0037553B">
            <w:pPr>
              <w:rPr>
                <w:lang w:val="en-US"/>
              </w:rPr>
            </w:pPr>
          </w:p>
        </w:tc>
      </w:tr>
      <w:tr w:rsidR="00CD2C07" w14:paraId="2C50895B" w14:textId="77777777" w:rsidTr="00CD2C07">
        <w:trPr>
          <w:trHeight w:val="256"/>
        </w:trPr>
        <w:tc>
          <w:tcPr>
            <w:tcW w:w="2977" w:type="dxa"/>
          </w:tcPr>
          <w:p w14:paraId="26E91D92" w14:textId="7D115507" w:rsidR="00CD2C07" w:rsidRPr="005649FF" w:rsidRDefault="00CD2C07" w:rsidP="00CD2C07">
            <w:pPr>
              <w:rPr>
                <w:i/>
                <w:lang w:val="en-US"/>
              </w:rPr>
            </w:pPr>
            <w:r>
              <w:rPr>
                <w:lang w:val="en-US"/>
              </w:rPr>
              <w:t>Racialized and newcomer populations quintile (ON-Marg)</w:t>
            </w:r>
          </w:p>
        </w:tc>
        <w:tc>
          <w:tcPr>
            <w:tcW w:w="3119" w:type="dxa"/>
          </w:tcPr>
          <w:p w14:paraId="582037AA" w14:textId="77777777" w:rsidR="00CD2C07" w:rsidRDefault="00CD2C07" w:rsidP="00CD2C07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704557D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1DCACE69" w14:textId="77777777" w:rsidTr="00CD2C07">
        <w:trPr>
          <w:trHeight w:val="256"/>
        </w:trPr>
        <w:tc>
          <w:tcPr>
            <w:tcW w:w="2977" w:type="dxa"/>
          </w:tcPr>
          <w:p w14:paraId="27625152" w14:textId="1CF7DCAA" w:rsidR="00CD2C07" w:rsidRP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3119" w:type="dxa"/>
            <w:vAlign w:val="bottom"/>
          </w:tcPr>
          <w:p w14:paraId="01D68C70" w14:textId="6BD9279E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118 (11.9)</w:t>
            </w:r>
          </w:p>
        </w:tc>
        <w:tc>
          <w:tcPr>
            <w:tcW w:w="3260" w:type="dxa"/>
            <w:vAlign w:val="bottom"/>
          </w:tcPr>
          <w:p w14:paraId="1ED64968" w14:textId="04D1CBA4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12 (1.2)</w:t>
            </w:r>
          </w:p>
        </w:tc>
      </w:tr>
      <w:tr w:rsidR="00CD2C07" w14:paraId="12590727" w14:textId="77777777" w:rsidTr="00CD2C07">
        <w:trPr>
          <w:trHeight w:val="256"/>
        </w:trPr>
        <w:tc>
          <w:tcPr>
            <w:tcW w:w="2977" w:type="dxa"/>
          </w:tcPr>
          <w:p w14:paraId="51734738" w14:textId="7F7E1423" w:rsidR="00CD2C07" w:rsidRP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4E802248" w14:textId="22D78072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129 (11.2)</w:t>
            </w:r>
          </w:p>
        </w:tc>
        <w:tc>
          <w:tcPr>
            <w:tcW w:w="3260" w:type="dxa"/>
            <w:vAlign w:val="bottom"/>
          </w:tcPr>
          <w:p w14:paraId="24B0166D" w14:textId="40676776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13 (1.1)</w:t>
            </w:r>
          </w:p>
        </w:tc>
      </w:tr>
      <w:tr w:rsidR="00CD2C07" w14:paraId="072604EC" w14:textId="77777777" w:rsidTr="00CD2C07">
        <w:trPr>
          <w:trHeight w:val="256"/>
        </w:trPr>
        <w:tc>
          <w:tcPr>
            <w:tcW w:w="2977" w:type="dxa"/>
          </w:tcPr>
          <w:p w14:paraId="27656825" w14:textId="59F8EFBC" w:rsidR="00CD2C07" w:rsidRP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78590C16" w14:textId="3E11DF48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135 (10.9)</w:t>
            </w:r>
          </w:p>
        </w:tc>
        <w:tc>
          <w:tcPr>
            <w:tcW w:w="3260" w:type="dxa"/>
            <w:vAlign w:val="bottom"/>
          </w:tcPr>
          <w:p w14:paraId="0B318E1F" w14:textId="4EAF9AC8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15 (1.2)</w:t>
            </w:r>
          </w:p>
        </w:tc>
      </w:tr>
      <w:tr w:rsidR="00CD2C07" w14:paraId="282644E9" w14:textId="77777777" w:rsidTr="00CD2C07">
        <w:trPr>
          <w:trHeight w:val="256"/>
        </w:trPr>
        <w:tc>
          <w:tcPr>
            <w:tcW w:w="2977" w:type="dxa"/>
          </w:tcPr>
          <w:p w14:paraId="49CE9D0F" w14:textId="41D1CB64" w:rsidR="00CD2C07" w:rsidRP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166C1601" w14:textId="287481EA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166 (11.3)</w:t>
            </w:r>
          </w:p>
        </w:tc>
        <w:tc>
          <w:tcPr>
            <w:tcW w:w="3260" w:type="dxa"/>
            <w:vAlign w:val="bottom"/>
          </w:tcPr>
          <w:p w14:paraId="4B94D7C4" w14:textId="18A8A588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28 (1.9)</w:t>
            </w:r>
          </w:p>
        </w:tc>
      </w:tr>
      <w:tr w:rsidR="00CD2C07" w14:paraId="50D2BE70" w14:textId="77777777" w:rsidTr="00CD2C07">
        <w:trPr>
          <w:trHeight w:val="256"/>
        </w:trPr>
        <w:tc>
          <w:tcPr>
            <w:tcW w:w="2977" w:type="dxa"/>
          </w:tcPr>
          <w:p w14:paraId="4F4F4A0E" w14:textId="18E31CBD" w:rsidR="00CD2C07" w:rsidRP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3119" w:type="dxa"/>
            <w:vAlign w:val="bottom"/>
          </w:tcPr>
          <w:p w14:paraId="2FD8D1DB" w14:textId="5BD23954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192 (11.0)</w:t>
            </w:r>
          </w:p>
        </w:tc>
        <w:tc>
          <w:tcPr>
            <w:tcW w:w="3260" w:type="dxa"/>
            <w:vAlign w:val="bottom"/>
          </w:tcPr>
          <w:p w14:paraId="2BF77F13" w14:textId="2AEE2DF9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29 (1.7)</w:t>
            </w:r>
          </w:p>
        </w:tc>
      </w:tr>
      <w:tr w:rsidR="00CD2C07" w14:paraId="3CEBD641" w14:textId="77777777" w:rsidTr="00CD2C07">
        <w:trPr>
          <w:trHeight w:val="256"/>
        </w:trPr>
        <w:tc>
          <w:tcPr>
            <w:tcW w:w="2977" w:type="dxa"/>
          </w:tcPr>
          <w:p w14:paraId="10F75BA0" w14:textId="0E6676DC" w:rsidR="00CD2C07" w:rsidRP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7C82C07E" w14:textId="0BEAA1C1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26 (17.6)</w:t>
            </w:r>
          </w:p>
        </w:tc>
        <w:tc>
          <w:tcPr>
            <w:tcW w:w="3260" w:type="dxa"/>
            <w:vAlign w:val="bottom"/>
          </w:tcPr>
          <w:p w14:paraId="3F1FAAE5" w14:textId="434C15B2" w:rsidR="00CD2C07" w:rsidRP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D2C07"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4534F7E8" w14:textId="77777777" w:rsidTr="00CD2C07">
        <w:trPr>
          <w:trHeight w:val="256"/>
        </w:trPr>
        <w:tc>
          <w:tcPr>
            <w:tcW w:w="2977" w:type="dxa"/>
          </w:tcPr>
          <w:p w14:paraId="7C4B68CF" w14:textId="731B506E" w:rsidR="00CD2C07" w:rsidRPr="005649FF" w:rsidRDefault="00CD2C07" w:rsidP="00CD2C0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Material resources quintile (ON-Marg) </w:t>
            </w:r>
          </w:p>
        </w:tc>
        <w:tc>
          <w:tcPr>
            <w:tcW w:w="3119" w:type="dxa"/>
          </w:tcPr>
          <w:p w14:paraId="7400C3A8" w14:textId="77777777" w:rsidR="00CD2C07" w:rsidRDefault="00CD2C07" w:rsidP="00CD2C07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C5F0AFA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048207C7" w14:textId="77777777" w:rsidTr="00CD2C07">
        <w:trPr>
          <w:trHeight w:val="256"/>
        </w:trPr>
        <w:tc>
          <w:tcPr>
            <w:tcW w:w="2977" w:type="dxa"/>
          </w:tcPr>
          <w:p w14:paraId="0453CA18" w14:textId="79E977A1" w:rsidR="00CD2C07" w:rsidRPr="005649FF" w:rsidRDefault="00CD2C07" w:rsidP="00CD2C07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3119" w:type="dxa"/>
            <w:vAlign w:val="bottom"/>
          </w:tcPr>
          <w:p w14:paraId="1D7CAD13" w14:textId="0C9F5C71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 (12.3)</w:t>
            </w:r>
          </w:p>
        </w:tc>
        <w:tc>
          <w:tcPr>
            <w:tcW w:w="3260" w:type="dxa"/>
            <w:vAlign w:val="bottom"/>
          </w:tcPr>
          <w:p w14:paraId="530867C6" w14:textId="58AA25C1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 (1.7)</w:t>
            </w:r>
          </w:p>
        </w:tc>
      </w:tr>
      <w:tr w:rsidR="00CD2C07" w14:paraId="5F853B36" w14:textId="77777777" w:rsidTr="00CD2C07">
        <w:trPr>
          <w:trHeight w:val="256"/>
        </w:trPr>
        <w:tc>
          <w:tcPr>
            <w:tcW w:w="2977" w:type="dxa"/>
          </w:tcPr>
          <w:p w14:paraId="72087E66" w14:textId="12773AA0" w:rsidR="00CD2C07" w:rsidRPr="005649FF" w:rsidRDefault="00CD2C07" w:rsidP="00CD2C07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4AE6006C" w14:textId="0310D9FB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 (10.5)</w:t>
            </w:r>
          </w:p>
        </w:tc>
        <w:tc>
          <w:tcPr>
            <w:tcW w:w="3260" w:type="dxa"/>
            <w:vAlign w:val="bottom"/>
          </w:tcPr>
          <w:p w14:paraId="74AB0254" w14:textId="38871B18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 (1.6)</w:t>
            </w:r>
          </w:p>
        </w:tc>
      </w:tr>
      <w:tr w:rsidR="00CD2C07" w14:paraId="672A7FE4" w14:textId="77777777" w:rsidTr="00CD2C07">
        <w:trPr>
          <w:trHeight w:val="256"/>
        </w:trPr>
        <w:tc>
          <w:tcPr>
            <w:tcW w:w="2977" w:type="dxa"/>
          </w:tcPr>
          <w:p w14:paraId="3F3950FA" w14:textId="3227484E" w:rsidR="00CD2C07" w:rsidRPr="005649FF" w:rsidRDefault="00CD2C07" w:rsidP="00CD2C07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14E45BA4" w14:textId="280DA7FD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 (10.2)</w:t>
            </w:r>
          </w:p>
        </w:tc>
        <w:tc>
          <w:tcPr>
            <w:tcW w:w="3260" w:type="dxa"/>
            <w:vAlign w:val="bottom"/>
          </w:tcPr>
          <w:p w14:paraId="179C6DBC" w14:textId="2EF24B9C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 (1.2)</w:t>
            </w:r>
          </w:p>
        </w:tc>
      </w:tr>
      <w:tr w:rsidR="00CD2C07" w14:paraId="309EAA4D" w14:textId="77777777" w:rsidTr="00CD2C07">
        <w:trPr>
          <w:trHeight w:val="256"/>
        </w:trPr>
        <w:tc>
          <w:tcPr>
            <w:tcW w:w="2977" w:type="dxa"/>
          </w:tcPr>
          <w:p w14:paraId="42A98E66" w14:textId="204B6A14" w:rsidR="00CD2C07" w:rsidRPr="008A012E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7DC8C21B" w14:textId="083142E8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146 (11.3)</w:t>
            </w:r>
          </w:p>
        </w:tc>
        <w:tc>
          <w:tcPr>
            <w:tcW w:w="3260" w:type="dxa"/>
            <w:vAlign w:val="bottom"/>
          </w:tcPr>
          <w:p w14:paraId="19CB8AF5" w14:textId="64E07640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 (2.0)</w:t>
            </w:r>
          </w:p>
        </w:tc>
      </w:tr>
      <w:tr w:rsidR="00CD2C07" w14:paraId="0A3FB239" w14:textId="77777777" w:rsidTr="00CD2C07">
        <w:trPr>
          <w:trHeight w:val="256"/>
        </w:trPr>
        <w:tc>
          <w:tcPr>
            <w:tcW w:w="2977" w:type="dxa"/>
          </w:tcPr>
          <w:p w14:paraId="477B1CE1" w14:textId="12256964" w:rsidR="00CD2C07" w:rsidRPr="008A012E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3119" w:type="dxa"/>
            <w:vAlign w:val="bottom"/>
          </w:tcPr>
          <w:p w14:paraId="590FBEDA" w14:textId="4048E9A2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 (11.4)</w:t>
            </w:r>
          </w:p>
        </w:tc>
        <w:tc>
          <w:tcPr>
            <w:tcW w:w="3260" w:type="dxa"/>
            <w:vAlign w:val="bottom"/>
          </w:tcPr>
          <w:p w14:paraId="4C19863D" w14:textId="4837D08E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 (1.0)</w:t>
            </w:r>
          </w:p>
        </w:tc>
      </w:tr>
      <w:tr w:rsidR="00CD2C07" w14:paraId="7B9A53D5" w14:textId="77777777" w:rsidTr="00CD2C07">
        <w:trPr>
          <w:trHeight w:val="256"/>
        </w:trPr>
        <w:tc>
          <w:tcPr>
            <w:tcW w:w="2977" w:type="dxa"/>
          </w:tcPr>
          <w:p w14:paraId="32C45442" w14:textId="2048B639" w:rsidR="00CD2C07" w:rsidRPr="005649FF" w:rsidRDefault="00CD2C07" w:rsidP="00CD2C07">
            <w:pPr>
              <w:ind w:left="720"/>
              <w:rPr>
                <w:i/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30E12E09" w14:textId="20836BFF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 (17.6)</w:t>
            </w:r>
          </w:p>
        </w:tc>
        <w:tc>
          <w:tcPr>
            <w:tcW w:w="3260" w:type="dxa"/>
            <w:vAlign w:val="bottom"/>
          </w:tcPr>
          <w:p w14:paraId="49AFE2BD" w14:textId="6CD2CD75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334C3CBA" w14:textId="77777777" w:rsidTr="00CD2C07">
        <w:trPr>
          <w:trHeight w:val="256"/>
        </w:trPr>
        <w:tc>
          <w:tcPr>
            <w:tcW w:w="2977" w:type="dxa"/>
          </w:tcPr>
          <w:p w14:paraId="5006F7EA" w14:textId="2F258D15" w:rsidR="00CD2C07" w:rsidRDefault="00CD2C07" w:rsidP="00CD2C07">
            <w:pPr>
              <w:rPr>
                <w:lang w:val="en-US"/>
              </w:rPr>
            </w:pPr>
            <w:r>
              <w:rPr>
                <w:lang w:val="en-US"/>
              </w:rPr>
              <w:t>Households and dwellings quintile (ON-Marg)</w:t>
            </w:r>
          </w:p>
        </w:tc>
        <w:tc>
          <w:tcPr>
            <w:tcW w:w="3119" w:type="dxa"/>
          </w:tcPr>
          <w:p w14:paraId="3661ABB1" w14:textId="77777777" w:rsidR="00CD2C07" w:rsidRDefault="00CD2C07" w:rsidP="00CD2C07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14:paraId="5C047D6A" w14:textId="77777777" w:rsidR="00CD2C07" w:rsidRDefault="00CD2C07" w:rsidP="00CD2C07">
            <w:pPr>
              <w:jc w:val="center"/>
              <w:rPr>
                <w:lang w:val="en-US"/>
              </w:rPr>
            </w:pPr>
          </w:p>
        </w:tc>
      </w:tr>
      <w:tr w:rsidR="00CD2C07" w14:paraId="682C167C" w14:textId="77777777" w:rsidTr="00CD2C07">
        <w:trPr>
          <w:trHeight w:val="256"/>
        </w:trPr>
        <w:tc>
          <w:tcPr>
            <w:tcW w:w="2977" w:type="dxa"/>
          </w:tcPr>
          <w:p w14:paraId="0EC270A8" w14:textId="4EA229B5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lastRenderedPageBreak/>
              <w:t>Q1 (least marginalized)</w:t>
            </w:r>
          </w:p>
        </w:tc>
        <w:tc>
          <w:tcPr>
            <w:tcW w:w="3119" w:type="dxa"/>
            <w:vAlign w:val="bottom"/>
          </w:tcPr>
          <w:p w14:paraId="5468A2A4" w14:textId="3E26DEBE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141 (11.4)</w:t>
            </w:r>
          </w:p>
        </w:tc>
        <w:tc>
          <w:tcPr>
            <w:tcW w:w="3260" w:type="dxa"/>
            <w:vAlign w:val="bottom"/>
          </w:tcPr>
          <w:p w14:paraId="4D343D9A" w14:textId="743BFEA1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(0.6)</w:t>
            </w:r>
          </w:p>
        </w:tc>
      </w:tr>
      <w:tr w:rsidR="00CD2C07" w14:paraId="649D4A30" w14:textId="77777777" w:rsidTr="00CD2C07">
        <w:trPr>
          <w:trHeight w:val="256"/>
        </w:trPr>
        <w:tc>
          <w:tcPr>
            <w:tcW w:w="2977" w:type="dxa"/>
          </w:tcPr>
          <w:p w14:paraId="7E676F35" w14:textId="3CA45E00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61222E20" w14:textId="08B6F50E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142 (11.2)</w:t>
            </w:r>
          </w:p>
        </w:tc>
        <w:tc>
          <w:tcPr>
            <w:tcW w:w="3260" w:type="dxa"/>
            <w:vAlign w:val="bottom"/>
          </w:tcPr>
          <w:p w14:paraId="775074C9" w14:textId="6DE3BF66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(1.1)</w:t>
            </w:r>
          </w:p>
        </w:tc>
      </w:tr>
      <w:tr w:rsidR="00CD2C07" w14:paraId="4ED26803" w14:textId="77777777" w:rsidTr="00CD2C07">
        <w:trPr>
          <w:trHeight w:val="256"/>
        </w:trPr>
        <w:tc>
          <w:tcPr>
            <w:tcW w:w="2977" w:type="dxa"/>
          </w:tcPr>
          <w:p w14:paraId="0134075B" w14:textId="5532976D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440AE176" w14:textId="10E815AE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132 (10.9)</w:t>
            </w:r>
          </w:p>
        </w:tc>
        <w:tc>
          <w:tcPr>
            <w:tcW w:w="3260" w:type="dxa"/>
            <w:vAlign w:val="bottom"/>
          </w:tcPr>
          <w:p w14:paraId="70783692" w14:textId="329468F6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(1.4)</w:t>
            </w:r>
          </w:p>
        </w:tc>
      </w:tr>
      <w:tr w:rsidR="00CD2C07" w14:paraId="7EA7A620" w14:textId="77777777" w:rsidTr="00CD2C07">
        <w:trPr>
          <w:trHeight w:val="256"/>
        </w:trPr>
        <w:tc>
          <w:tcPr>
            <w:tcW w:w="2977" w:type="dxa"/>
          </w:tcPr>
          <w:p w14:paraId="78ED275C" w14:textId="028B7A6A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3D0BE052" w14:textId="3BE3EE34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132 (10.2)</w:t>
            </w:r>
          </w:p>
        </w:tc>
        <w:tc>
          <w:tcPr>
            <w:tcW w:w="3260" w:type="dxa"/>
            <w:vAlign w:val="bottom"/>
          </w:tcPr>
          <w:p w14:paraId="0BA972D9" w14:textId="3236157D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(1.6)</w:t>
            </w:r>
          </w:p>
        </w:tc>
      </w:tr>
      <w:tr w:rsidR="00CD2C07" w14:paraId="132EF768" w14:textId="77777777" w:rsidTr="00CD2C07">
        <w:trPr>
          <w:trHeight w:val="256"/>
        </w:trPr>
        <w:tc>
          <w:tcPr>
            <w:tcW w:w="2977" w:type="dxa"/>
          </w:tcPr>
          <w:p w14:paraId="009D1BC8" w14:textId="5FE329A9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3119" w:type="dxa"/>
            <w:vAlign w:val="bottom"/>
          </w:tcPr>
          <w:p w14:paraId="263F6867" w14:textId="28C21CA6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193 (12.1)</w:t>
            </w:r>
          </w:p>
        </w:tc>
        <w:tc>
          <w:tcPr>
            <w:tcW w:w="3260" w:type="dxa"/>
            <w:vAlign w:val="bottom"/>
          </w:tcPr>
          <w:p w14:paraId="6994F95B" w14:textId="39D1E77E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 (2.3)</w:t>
            </w:r>
          </w:p>
        </w:tc>
      </w:tr>
      <w:tr w:rsidR="00CD2C07" w14:paraId="158F5332" w14:textId="77777777" w:rsidTr="00CD2C07">
        <w:trPr>
          <w:trHeight w:val="140"/>
        </w:trPr>
        <w:tc>
          <w:tcPr>
            <w:tcW w:w="2977" w:type="dxa"/>
          </w:tcPr>
          <w:p w14:paraId="0BD61CC3" w14:textId="44AAA8C9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301A1F5C" w14:textId="621A02F4" w:rsidR="00CD2C07" w:rsidRPr="00534A1D" w:rsidRDefault="00CD2C07" w:rsidP="00CD2C07">
            <w:pPr>
              <w:jc w:val="center"/>
              <w:rPr>
                <w:color w:val="FF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 (17.6)</w:t>
            </w:r>
          </w:p>
        </w:tc>
        <w:tc>
          <w:tcPr>
            <w:tcW w:w="3260" w:type="dxa"/>
          </w:tcPr>
          <w:p w14:paraId="7531E0F0" w14:textId="1AF045FA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061CD0" w14:paraId="752116E0" w14:textId="77777777" w:rsidTr="00CD2C07">
        <w:trPr>
          <w:trHeight w:val="256"/>
        </w:trPr>
        <w:tc>
          <w:tcPr>
            <w:tcW w:w="2977" w:type="dxa"/>
          </w:tcPr>
          <w:p w14:paraId="36777051" w14:textId="1192965C" w:rsidR="00061CD0" w:rsidRDefault="00061CD0" w:rsidP="00061CD0">
            <w:pPr>
              <w:rPr>
                <w:lang w:val="en-US"/>
              </w:rPr>
            </w:pPr>
            <w:r>
              <w:rPr>
                <w:lang w:val="en-US"/>
              </w:rPr>
              <w:t>Age and labour quintile (ON-Marg)</w:t>
            </w:r>
          </w:p>
        </w:tc>
        <w:tc>
          <w:tcPr>
            <w:tcW w:w="3119" w:type="dxa"/>
          </w:tcPr>
          <w:p w14:paraId="1F1CB463" w14:textId="77777777" w:rsidR="00061CD0" w:rsidRPr="00534A1D" w:rsidRDefault="00061CD0" w:rsidP="00061CD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260" w:type="dxa"/>
          </w:tcPr>
          <w:p w14:paraId="2B40EF17" w14:textId="77777777" w:rsidR="00061CD0" w:rsidRDefault="00061CD0" w:rsidP="00061CD0">
            <w:pPr>
              <w:jc w:val="center"/>
              <w:rPr>
                <w:lang w:val="en-US"/>
              </w:rPr>
            </w:pPr>
          </w:p>
        </w:tc>
      </w:tr>
      <w:tr w:rsidR="00061CD0" w14:paraId="51B4EC73" w14:textId="77777777" w:rsidTr="00CD2C07">
        <w:trPr>
          <w:trHeight w:val="256"/>
        </w:trPr>
        <w:tc>
          <w:tcPr>
            <w:tcW w:w="2977" w:type="dxa"/>
          </w:tcPr>
          <w:p w14:paraId="11778132" w14:textId="51933526" w:rsidR="00061CD0" w:rsidRDefault="00061CD0" w:rsidP="00061CD0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(least marginalized)</w:t>
            </w:r>
          </w:p>
        </w:tc>
        <w:tc>
          <w:tcPr>
            <w:tcW w:w="3119" w:type="dxa"/>
            <w:vAlign w:val="bottom"/>
          </w:tcPr>
          <w:p w14:paraId="30A40B58" w14:textId="76E08B9F" w:rsidR="00061CD0" w:rsidRPr="00534A1D" w:rsidRDefault="00061CD0" w:rsidP="00061CD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201 (11.2)</w:t>
            </w:r>
          </w:p>
        </w:tc>
        <w:tc>
          <w:tcPr>
            <w:tcW w:w="3260" w:type="dxa"/>
            <w:vAlign w:val="bottom"/>
          </w:tcPr>
          <w:p w14:paraId="205400F1" w14:textId="3CE56CB0" w:rsidR="00061CD0" w:rsidRDefault="00061CD0" w:rsidP="0006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(0.6)</w:t>
            </w:r>
          </w:p>
        </w:tc>
      </w:tr>
      <w:tr w:rsidR="00061CD0" w14:paraId="5B60AF77" w14:textId="77777777" w:rsidTr="00CD2C07">
        <w:trPr>
          <w:trHeight w:val="256"/>
        </w:trPr>
        <w:tc>
          <w:tcPr>
            <w:tcW w:w="2977" w:type="dxa"/>
          </w:tcPr>
          <w:p w14:paraId="24DFDBE2" w14:textId="0ED54F72" w:rsidR="00061CD0" w:rsidRDefault="00061CD0" w:rsidP="00061CD0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3B033A5A" w14:textId="70B5A00F" w:rsidR="00061CD0" w:rsidRPr="00534A1D" w:rsidRDefault="00061CD0" w:rsidP="00061CD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158 (11.9)</w:t>
            </w:r>
          </w:p>
        </w:tc>
        <w:tc>
          <w:tcPr>
            <w:tcW w:w="3260" w:type="dxa"/>
            <w:vAlign w:val="bottom"/>
          </w:tcPr>
          <w:p w14:paraId="05E272F4" w14:textId="2928F6F7" w:rsidR="00061CD0" w:rsidRDefault="00061CD0" w:rsidP="0006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(1.1)</w:t>
            </w:r>
          </w:p>
        </w:tc>
      </w:tr>
      <w:tr w:rsidR="00061CD0" w14:paraId="3A5FABD5" w14:textId="77777777" w:rsidTr="00CD2C07">
        <w:trPr>
          <w:trHeight w:val="256"/>
        </w:trPr>
        <w:tc>
          <w:tcPr>
            <w:tcW w:w="2977" w:type="dxa"/>
          </w:tcPr>
          <w:p w14:paraId="2738443F" w14:textId="797C73BD" w:rsidR="00061CD0" w:rsidRDefault="00061CD0" w:rsidP="00061CD0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349EDA76" w14:textId="2D24F795" w:rsidR="00061CD0" w:rsidRPr="00534A1D" w:rsidRDefault="00061CD0" w:rsidP="00061CD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132 (11.3)</w:t>
            </w:r>
          </w:p>
        </w:tc>
        <w:tc>
          <w:tcPr>
            <w:tcW w:w="3260" w:type="dxa"/>
            <w:vAlign w:val="bottom"/>
          </w:tcPr>
          <w:p w14:paraId="4D2FB5D6" w14:textId="350563E5" w:rsidR="00061CD0" w:rsidRDefault="00061CD0" w:rsidP="0006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(1.1)</w:t>
            </w:r>
          </w:p>
        </w:tc>
      </w:tr>
      <w:tr w:rsidR="00061CD0" w14:paraId="59B7D4A7" w14:textId="77777777" w:rsidTr="00CD2C07">
        <w:trPr>
          <w:trHeight w:val="256"/>
        </w:trPr>
        <w:tc>
          <w:tcPr>
            <w:tcW w:w="2977" w:type="dxa"/>
          </w:tcPr>
          <w:p w14:paraId="034FE319" w14:textId="7474181C" w:rsidR="00061CD0" w:rsidRDefault="00061CD0" w:rsidP="00061CD0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2AC7EBF5" w14:textId="0871CFF9" w:rsidR="00061CD0" w:rsidRPr="00534A1D" w:rsidRDefault="00061CD0" w:rsidP="00061CD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122 (11.2)</w:t>
            </w:r>
          </w:p>
        </w:tc>
        <w:tc>
          <w:tcPr>
            <w:tcW w:w="3260" w:type="dxa"/>
            <w:vAlign w:val="bottom"/>
          </w:tcPr>
          <w:p w14:paraId="52B3E07C" w14:textId="0246D1A1" w:rsidR="00061CD0" w:rsidRDefault="00061CD0" w:rsidP="0006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(1.6)</w:t>
            </w:r>
          </w:p>
        </w:tc>
      </w:tr>
      <w:tr w:rsidR="00061CD0" w14:paraId="67E81240" w14:textId="77777777" w:rsidTr="00CD2C07">
        <w:trPr>
          <w:trHeight w:val="256"/>
        </w:trPr>
        <w:tc>
          <w:tcPr>
            <w:tcW w:w="2977" w:type="dxa"/>
          </w:tcPr>
          <w:p w14:paraId="7C66022D" w14:textId="6DB20D96" w:rsidR="00061CD0" w:rsidRDefault="00061CD0" w:rsidP="00061CD0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(most marginalized)</w:t>
            </w:r>
          </w:p>
        </w:tc>
        <w:tc>
          <w:tcPr>
            <w:tcW w:w="3119" w:type="dxa"/>
            <w:vAlign w:val="bottom"/>
          </w:tcPr>
          <w:p w14:paraId="706E6DAF" w14:textId="00AEDAE2" w:rsidR="00061CD0" w:rsidRPr="00534A1D" w:rsidRDefault="00061CD0" w:rsidP="00061CD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127 (10.3)</w:t>
            </w:r>
          </w:p>
        </w:tc>
        <w:tc>
          <w:tcPr>
            <w:tcW w:w="3260" w:type="dxa"/>
            <w:vAlign w:val="bottom"/>
          </w:tcPr>
          <w:p w14:paraId="5772BDCC" w14:textId="2AD1B650" w:rsidR="00061CD0" w:rsidRDefault="00061CD0" w:rsidP="0006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(3.4)</w:t>
            </w:r>
          </w:p>
        </w:tc>
      </w:tr>
      <w:tr w:rsidR="00061CD0" w14:paraId="467CE4CD" w14:textId="77777777" w:rsidTr="009B239D">
        <w:trPr>
          <w:trHeight w:val="256"/>
        </w:trPr>
        <w:tc>
          <w:tcPr>
            <w:tcW w:w="2977" w:type="dxa"/>
          </w:tcPr>
          <w:p w14:paraId="4D11049B" w14:textId="5A47C9E8" w:rsidR="00061CD0" w:rsidRDefault="00061CD0" w:rsidP="00061CD0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20EA829B" w14:textId="662EE6F3" w:rsidR="00061CD0" w:rsidRPr="00534A1D" w:rsidRDefault="00061CD0" w:rsidP="00061CD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26 (17.6)</w:t>
            </w:r>
          </w:p>
        </w:tc>
        <w:tc>
          <w:tcPr>
            <w:tcW w:w="3260" w:type="dxa"/>
          </w:tcPr>
          <w:p w14:paraId="5FA1350C" w14:textId="41C38E28" w:rsidR="00061CD0" w:rsidRDefault="00061CD0" w:rsidP="00061CD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7FDE55CF" w14:textId="77777777" w:rsidTr="00CD2C07">
        <w:trPr>
          <w:trHeight w:val="256"/>
        </w:trPr>
        <w:tc>
          <w:tcPr>
            <w:tcW w:w="2977" w:type="dxa"/>
          </w:tcPr>
          <w:p w14:paraId="55FD4E9A" w14:textId="77777777" w:rsidR="00CD2C07" w:rsidRPr="00447849" w:rsidRDefault="00CD2C07" w:rsidP="00CD2C07">
            <w:pPr>
              <w:rPr>
                <w:i/>
                <w:lang w:val="en-US"/>
              </w:rPr>
            </w:pPr>
            <w:r w:rsidRPr="00845483">
              <w:rPr>
                <w:i/>
                <w:lang w:val="en-US"/>
              </w:rPr>
              <w:t>Housing</w:t>
            </w:r>
          </w:p>
        </w:tc>
        <w:tc>
          <w:tcPr>
            <w:tcW w:w="3119" w:type="dxa"/>
          </w:tcPr>
          <w:p w14:paraId="71BD45CE" w14:textId="77777777" w:rsidR="00CD2C07" w:rsidRDefault="00CD2C07" w:rsidP="00CD2C07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52BE434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73A01290" w14:textId="77777777" w:rsidTr="00CD2C07">
        <w:trPr>
          <w:trHeight w:val="256"/>
        </w:trPr>
        <w:tc>
          <w:tcPr>
            <w:tcW w:w="2977" w:type="dxa"/>
          </w:tcPr>
          <w:p w14:paraId="0F8EEBE0" w14:textId="77777777" w:rsidR="00CD2C07" w:rsidRDefault="00CD2C07" w:rsidP="00CD2C07">
            <w:pPr>
              <w:rPr>
                <w:lang w:val="en-US"/>
              </w:rPr>
            </w:pPr>
            <w:r>
              <w:rPr>
                <w:lang w:val="en-US"/>
              </w:rPr>
              <w:t>Multi-generational families quintile</w:t>
            </w:r>
          </w:p>
        </w:tc>
        <w:tc>
          <w:tcPr>
            <w:tcW w:w="3119" w:type="dxa"/>
          </w:tcPr>
          <w:p w14:paraId="78FBA5A5" w14:textId="77777777" w:rsidR="00CD2C07" w:rsidRDefault="00CD2C07" w:rsidP="00CD2C07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90EB0C3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3D89AEE9" w14:textId="77777777" w:rsidTr="00CD2C07">
        <w:trPr>
          <w:trHeight w:val="256"/>
        </w:trPr>
        <w:tc>
          <w:tcPr>
            <w:tcW w:w="2977" w:type="dxa"/>
          </w:tcPr>
          <w:p w14:paraId="5EF50377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3119" w:type="dxa"/>
            <w:vAlign w:val="bottom"/>
          </w:tcPr>
          <w:p w14:paraId="7892CE75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169 (12.4)</w:t>
            </w:r>
          </w:p>
        </w:tc>
        <w:tc>
          <w:tcPr>
            <w:tcW w:w="3260" w:type="dxa"/>
            <w:vAlign w:val="bottom"/>
          </w:tcPr>
          <w:p w14:paraId="330763BA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(2.1)</w:t>
            </w:r>
          </w:p>
        </w:tc>
      </w:tr>
      <w:tr w:rsidR="00CD2C07" w14:paraId="58C6C00A" w14:textId="77777777" w:rsidTr="00CD2C07">
        <w:trPr>
          <w:trHeight w:val="256"/>
        </w:trPr>
        <w:tc>
          <w:tcPr>
            <w:tcW w:w="2977" w:type="dxa"/>
          </w:tcPr>
          <w:p w14:paraId="66080067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5C044E80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122 (11.7)</w:t>
            </w:r>
          </w:p>
        </w:tc>
        <w:tc>
          <w:tcPr>
            <w:tcW w:w="3260" w:type="dxa"/>
            <w:vAlign w:val="bottom"/>
          </w:tcPr>
          <w:p w14:paraId="2C447199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(1.1)</w:t>
            </w:r>
          </w:p>
        </w:tc>
      </w:tr>
      <w:tr w:rsidR="00CD2C07" w14:paraId="72BA5A80" w14:textId="77777777" w:rsidTr="00CD2C07">
        <w:trPr>
          <w:trHeight w:val="256"/>
        </w:trPr>
        <w:tc>
          <w:tcPr>
            <w:tcW w:w="2977" w:type="dxa"/>
          </w:tcPr>
          <w:p w14:paraId="5BC22815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42888F69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164 (11.8)</w:t>
            </w:r>
          </w:p>
        </w:tc>
        <w:tc>
          <w:tcPr>
            <w:tcW w:w="3260" w:type="dxa"/>
            <w:vAlign w:val="bottom"/>
          </w:tcPr>
          <w:p w14:paraId="0BF28A90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(1.4)</w:t>
            </w:r>
          </w:p>
        </w:tc>
      </w:tr>
      <w:tr w:rsidR="00CD2C07" w14:paraId="6DB906FC" w14:textId="77777777" w:rsidTr="00CD2C07">
        <w:trPr>
          <w:trHeight w:val="256"/>
        </w:trPr>
        <w:tc>
          <w:tcPr>
            <w:tcW w:w="2977" w:type="dxa"/>
          </w:tcPr>
          <w:p w14:paraId="722ED66F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09E55CEF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156 (10.8)</w:t>
            </w:r>
          </w:p>
        </w:tc>
        <w:tc>
          <w:tcPr>
            <w:tcW w:w="3260" w:type="dxa"/>
            <w:vAlign w:val="bottom"/>
          </w:tcPr>
          <w:p w14:paraId="3F2AF2FF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(1.6)</w:t>
            </w:r>
          </w:p>
        </w:tc>
      </w:tr>
      <w:tr w:rsidR="00CD2C07" w14:paraId="5E95AAAE" w14:textId="77777777" w:rsidTr="00CD2C07">
        <w:trPr>
          <w:trHeight w:val="256"/>
        </w:trPr>
        <w:tc>
          <w:tcPr>
            <w:tcW w:w="2977" w:type="dxa"/>
          </w:tcPr>
          <w:p w14:paraId="6E4DF664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3119" w:type="dxa"/>
            <w:vAlign w:val="bottom"/>
          </w:tcPr>
          <w:p w14:paraId="3FF25C7B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136 (9.7)</w:t>
            </w:r>
          </w:p>
        </w:tc>
        <w:tc>
          <w:tcPr>
            <w:tcW w:w="3260" w:type="dxa"/>
            <w:vAlign w:val="bottom"/>
          </w:tcPr>
          <w:p w14:paraId="4FD2A1CA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(1.1)</w:t>
            </w:r>
          </w:p>
        </w:tc>
      </w:tr>
      <w:tr w:rsidR="00CD2C07" w14:paraId="05362674" w14:textId="77777777" w:rsidTr="00CD2C07">
        <w:trPr>
          <w:trHeight w:val="256"/>
        </w:trPr>
        <w:tc>
          <w:tcPr>
            <w:tcW w:w="2977" w:type="dxa"/>
          </w:tcPr>
          <w:p w14:paraId="2EC1CF6C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5C3F1F86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 (17.9)</w:t>
            </w:r>
          </w:p>
        </w:tc>
        <w:tc>
          <w:tcPr>
            <w:tcW w:w="3260" w:type="dxa"/>
          </w:tcPr>
          <w:p w14:paraId="7CA947D8" w14:textId="77777777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3ACC5B41" w14:textId="77777777" w:rsidTr="00CD2C07">
        <w:trPr>
          <w:trHeight w:val="256"/>
        </w:trPr>
        <w:tc>
          <w:tcPr>
            <w:tcW w:w="2977" w:type="dxa"/>
          </w:tcPr>
          <w:p w14:paraId="096DE2B9" w14:textId="154626D6" w:rsidR="00CD2C07" w:rsidRPr="00597EB8" w:rsidRDefault="00CD2C07" w:rsidP="00CD2C07">
            <w:pPr>
              <w:rPr>
                <w:lang w:val="en-US"/>
              </w:rPr>
            </w:pPr>
            <w:r w:rsidRPr="00597EB8">
              <w:rPr>
                <w:lang w:val="en-US"/>
              </w:rPr>
              <w:t>Unsuitable housing qu</w:t>
            </w:r>
            <w:r>
              <w:rPr>
                <w:lang w:val="en-US"/>
              </w:rPr>
              <w:t>ar</w:t>
            </w:r>
            <w:r w:rsidRPr="00597EB8">
              <w:rPr>
                <w:lang w:val="en-US"/>
              </w:rPr>
              <w:t>tile</w:t>
            </w:r>
            <w:r w:rsidR="00837F47">
              <w:rPr>
                <w:vertAlign w:val="superscript"/>
                <w:lang w:val="en-US"/>
              </w:rPr>
              <w:t>a</w:t>
            </w:r>
          </w:p>
        </w:tc>
        <w:tc>
          <w:tcPr>
            <w:tcW w:w="3119" w:type="dxa"/>
          </w:tcPr>
          <w:p w14:paraId="579F779F" w14:textId="77777777" w:rsidR="00CD2C07" w:rsidRPr="0073035F" w:rsidRDefault="00CD2C07" w:rsidP="00CD2C07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14:paraId="1BBCF33E" w14:textId="77777777" w:rsidR="00CD2C07" w:rsidRPr="0073035F" w:rsidRDefault="00CD2C07" w:rsidP="00CD2C07">
            <w:pPr>
              <w:rPr>
                <w:highlight w:val="yellow"/>
                <w:lang w:val="en-US"/>
              </w:rPr>
            </w:pPr>
          </w:p>
        </w:tc>
      </w:tr>
      <w:tr w:rsidR="00CD2C07" w14:paraId="2175804B" w14:textId="77777777" w:rsidTr="00CD2C07">
        <w:trPr>
          <w:trHeight w:val="256"/>
        </w:trPr>
        <w:tc>
          <w:tcPr>
            <w:tcW w:w="2977" w:type="dxa"/>
          </w:tcPr>
          <w:p w14:paraId="4CD59C43" w14:textId="77777777" w:rsidR="00CD2C07" w:rsidRPr="00597EB8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3119" w:type="dxa"/>
            <w:vAlign w:val="bottom"/>
          </w:tcPr>
          <w:p w14:paraId="39D89367" w14:textId="77777777" w:rsidR="00CD2C07" w:rsidRPr="0073035F" w:rsidRDefault="00CD2C07" w:rsidP="00CD2C07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216 (11.0)</w:t>
            </w:r>
          </w:p>
        </w:tc>
        <w:tc>
          <w:tcPr>
            <w:tcW w:w="3260" w:type="dxa"/>
            <w:vAlign w:val="bottom"/>
          </w:tcPr>
          <w:p w14:paraId="449BA0D2" w14:textId="77777777" w:rsidR="00CD2C07" w:rsidRPr="0073035F" w:rsidRDefault="00CD2C07" w:rsidP="00CD2C07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32 (1.6)</w:t>
            </w:r>
          </w:p>
        </w:tc>
      </w:tr>
      <w:tr w:rsidR="00CD2C07" w14:paraId="0380C362" w14:textId="77777777" w:rsidTr="00CD2C07">
        <w:trPr>
          <w:trHeight w:val="267"/>
        </w:trPr>
        <w:tc>
          <w:tcPr>
            <w:tcW w:w="2977" w:type="dxa"/>
          </w:tcPr>
          <w:p w14:paraId="33C77538" w14:textId="77777777" w:rsidR="00CD2C07" w:rsidRPr="00597EB8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05E8B320" w14:textId="77777777" w:rsidR="00CD2C07" w:rsidRPr="0073035F" w:rsidRDefault="00CD2C07" w:rsidP="00CD2C07">
            <w:pPr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118 (10.9)</w:t>
            </w:r>
          </w:p>
        </w:tc>
        <w:tc>
          <w:tcPr>
            <w:tcW w:w="3260" w:type="dxa"/>
            <w:vAlign w:val="bottom"/>
          </w:tcPr>
          <w:p w14:paraId="4B2C7491" w14:textId="77777777" w:rsidR="00CD2C07" w:rsidRPr="0073035F" w:rsidRDefault="00CD2C07" w:rsidP="00CD2C0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 (0.8)</w:t>
            </w:r>
          </w:p>
        </w:tc>
      </w:tr>
      <w:tr w:rsidR="00CD2C07" w14:paraId="3A47CAB6" w14:textId="77777777" w:rsidTr="00CD2C07">
        <w:trPr>
          <w:trHeight w:val="256"/>
        </w:trPr>
        <w:tc>
          <w:tcPr>
            <w:tcW w:w="2977" w:type="dxa"/>
          </w:tcPr>
          <w:p w14:paraId="7DD43EDF" w14:textId="77777777" w:rsidR="00CD2C07" w:rsidRPr="00597EB8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527CDAA9" w14:textId="77777777" w:rsidR="00CD2C07" w:rsidRPr="0073035F" w:rsidRDefault="00CD2C07" w:rsidP="00CD2C07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201 (12.0)</w:t>
            </w:r>
          </w:p>
        </w:tc>
        <w:tc>
          <w:tcPr>
            <w:tcW w:w="3260" w:type="dxa"/>
            <w:vAlign w:val="bottom"/>
          </w:tcPr>
          <w:p w14:paraId="1ADD63BB" w14:textId="77777777" w:rsidR="00CD2C07" w:rsidRPr="0073035F" w:rsidRDefault="00CD2C07" w:rsidP="00CD2C07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21 (1.3)</w:t>
            </w:r>
          </w:p>
        </w:tc>
      </w:tr>
      <w:tr w:rsidR="00CD2C07" w14:paraId="3CFCDDF0" w14:textId="77777777" w:rsidTr="00CD2C07">
        <w:trPr>
          <w:trHeight w:val="256"/>
        </w:trPr>
        <w:tc>
          <w:tcPr>
            <w:tcW w:w="2977" w:type="dxa"/>
          </w:tcPr>
          <w:p w14:paraId="6F38706C" w14:textId="77777777" w:rsidR="00CD2C07" w:rsidRPr="00597EB8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Q4 (largest)</w:t>
            </w:r>
          </w:p>
        </w:tc>
        <w:tc>
          <w:tcPr>
            <w:tcW w:w="3119" w:type="dxa"/>
            <w:vAlign w:val="bottom"/>
          </w:tcPr>
          <w:p w14:paraId="633DC3F0" w14:textId="77777777" w:rsidR="00CD2C07" w:rsidRPr="0073035F" w:rsidRDefault="00CD2C07" w:rsidP="00CD2C07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212 (11.0)</w:t>
            </w:r>
          </w:p>
        </w:tc>
        <w:tc>
          <w:tcPr>
            <w:tcW w:w="3260" w:type="dxa"/>
            <w:vAlign w:val="bottom"/>
          </w:tcPr>
          <w:p w14:paraId="5392ACD2" w14:textId="77777777" w:rsidR="00CD2C07" w:rsidRPr="0073035F" w:rsidRDefault="00CD2C07" w:rsidP="00CD2C0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35 (1.8)</w:t>
            </w:r>
          </w:p>
        </w:tc>
      </w:tr>
      <w:tr w:rsidR="00CD2C07" w14:paraId="04D96180" w14:textId="77777777" w:rsidTr="00CD2C07">
        <w:trPr>
          <w:trHeight w:val="256"/>
        </w:trPr>
        <w:tc>
          <w:tcPr>
            <w:tcW w:w="2977" w:type="dxa"/>
          </w:tcPr>
          <w:p w14:paraId="4BDB1E5F" w14:textId="77777777" w:rsidR="00CD2C07" w:rsidRPr="00597EB8" w:rsidRDefault="00CD2C07" w:rsidP="00CD2C07">
            <w:pPr>
              <w:ind w:left="720"/>
              <w:rPr>
                <w:lang w:val="en-US"/>
              </w:rPr>
            </w:pPr>
            <w:r w:rsidRPr="00597EB8"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302908B7" w14:textId="77777777" w:rsidR="00CD2C07" w:rsidRPr="0073035F" w:rsidRDefault="00CD2C07" w:rsidP="00CD2C07">
            <w:pPr>
              <w:jc w:val="center"/>
              <w:rPr>
                <w:color w:val="FF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 (17.9)</w:t>
            </w:r>
          </w:p>
        </w:tc>
        <w:tc>
          <w:tcPr>
            <w:tcW w:w="3260" w:type="dxa"/>
          </w:tcPr>
          <w:p w14:paraId="31402508" w14:textId="77777777" w:rsidR="00CD2C07" w:rsidRPr="0073035F" w:rsidRDefault="00CD2C07" w:rsidP="00CD2C07">
            <w:pPr>
              <w:jc w:val="center"/>
              <w:rPr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53FEA685" w14:textId="77777777" w:rsidTr="00CD2C07">
        <w:trPr>
          <w:trHeight w:val="256"/>
        </w:trPr>
        <w:tc>
          <w:tcPr>
            <w:tcW w:w="2977" w:type="dxa"/>
          </w:tcPr>
          <w:p w14:paraId="227E2AD1" w14:textId="77777777" w:rsidR="00CD2C07" w:rsidRPr="002D2E8D" w:rsidRDefault="00CD2C07" w:rsidP="00CD2C07">
            <w:pPr>
              <w:rPr>
                <w:lang w:val="en-US"/>
              </w:rPr>
            </w:pPr>
            <w:r w:rsidRPr="002D2E8D">
              <w:rPr>
                <w:lang w:val="en-US"/>
              </w:rPr>
              <w:t>Average dwelling sizes quintile</w:t>
            </w:r>
          </w:p>
        </w:tc>
        <w:tc>
          <w:tcPr>
            <w:tcW w:w="3119" w:type="dxa"/>
          </w:tcPr>
          <w:p w14:paraId="5D3D5A0F" w14:textId="77777777" w:rsidR="00CD2C07" w:rsidRPr="00534A1D" w:rsidRDefault="00CD2C07" w:rsidP="00CD2C07">
            <w:pPr>
              <w:rPr>
                <w:color w:val="FF0000"/>
                <w:lang w:val="en-US"/>
              </w:rPr>
            </w:pPr>
          </w:p>
        </w:tc>
        <w:tc>
          <w:tcPr>
            <w:tcW w:w="3260" w:type="dxa"/>
          </w:tcPr>
          <w:p w14:paraId="15B4CBE4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748497C3" w14:textId="77777777" w:rsidTr="00CD2C07">
        <w:trPr>
          <w:trHeight w:val="256"/>
        </w:trPr>
        <w:tc>
          <w:tcPr>
            <w:tcW w:w="2977" w:type="dxa"/>
          </w:tcPr>
          <w:p w14:paraId="6B471B19" w14:textId="77777777" w:rsidR="00CD2C07" w:rsidRPr="002D2E8D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3119" w:type="dxa"/>
            <w:vAlign w:val="bottom"/>
          </w:tcPr>
          <w:p w14:paraId="21E785AB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144 (12.1)</w:t>
            </w:r>
          </w:p>
        </w:tc>
        <w:tc>
          <w:tcPr>
            <w:tcW w:w="3260" w:type="dxa"/>
            <w:vAlign w:val="bottom"/>
          </w:tcPr>
          <w:p w14:paraId="49FFC710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(2.1)</w:t>
            </w:r>
          </w:p>
        </w:tc>
      </w:tr>
      <w:tr w:rsidR="00CD2C07" w14:paraId="5AEC5580" w14:textId="77777777" w:rsidTr="00CD2C07">
        <w:trPr>
          <w:trHeight w:val="256"/>
        </w:trPr>
        <w:tc>
          <w:tcPr>
            <w:tcW w:w="2977" w:type="dxa"/>
          </w:tcPr>
          <w:p w14:paraId="1DBF03B6" w14:textId="77777777" w:rsidR="00CD2C07" w:rsidRPr="002D2E8D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43FE17F0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143 (11.6)</w:t>
            </w:r>
          </w:p>
        </w:tc>
        <w:tc>
          <w:tcPr>
            <w:tcW w:w="3260" w:type="dxa"/>
            <w:vAlign w:val="bottom"/>
          </w:tcPr>
          <w:p w14:paraId="05E91C38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(1.9)</w:t>
            </w:r>
          </w:p>
        </w:tc>
      </w:tr>
      <w:tr w:rsidR="00CD2C07" w14:paraId="1A07B63B" w14:textId="77777777" w:rsidTr="00CD2C07">
        <w:trPr>
          <w:trHeight w:val="256"/>
        </w:trPr>
        <w:tc>
          <w:tcPr>
            <w:tcW w:w="2977" w:type="dxa"/>
          </w:tcPr>
          <w:p w14:paraId="37990271" w14:textId="77777777" w:rsidR="00CD2C07" w:rsidRPr="002D2E8D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03FF74F5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155 (10.5)</w:t>
            </w:r>
          </w:p>
        </w:tc>
        <w:tc>
          <w:tcPr>
            <w:tcW w:w="3260" w:type="dxa"/>
            <w:vAlign w:val="bottom"/>
          </w:tcPr>
          <w:p w14:paraId="7A368E8D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(1.2)</w:t>
            </w:r>
          </w:p>
        </w:tc>
      </w:tr>
      <w:tr w:rsidR="00CD2C07" w14:paraId="70CCC3FB" w14:textId="77777777" w:rsidTr="00CD2C07">
        <w:trPr>
          <w:trHeight w:val="256"/>
        </w:trPr>
        <w:tc>
          <w:tcPr>
            <w:tcW w:w="2977" w:type="dxa"/>
          </w:tcPr>
          <w:p w14:paraId="34E6A46A" w14:textId="77777777" w:rsidR="00CD2C07" w:rsidRPr="002D2E8D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0F3E4C14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135 (12.0)</w:t>
            </w:r>
          </w:p>
        </w:tc>
        <w:tc>
          <w:tcPr>
            <w:tcW w:w="3260" w:type="dxa"/>
            <w:vAlign w:val="bottom"/>
          </w:tcPr>
          <w:p w14:paraId="63F95F60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(1.5)</w:t>
            </w:r>
          </w:p>
        </w:tc>
      </w:tr>
      <w:tr w:rsidR="00CD2C07" w14:paraId="7B18B1E4" w14:textId="77777777" w:rsidTr="00CD2C07">
        <w:trPr>
          <w:trHeight w:val="256"/>
        </w:trPr>
        <w:tc>
          <w:tcPr>
            <w:tcW w:w="2977" w:type="dxa"/>
          </w:tcPr>
          <w:p w14:paraId="7A8779C7" w14:textId="77777777" w:rsidR="00CD2C07" w:rsidRPr="002D2E8D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Q5 (largest)</w:t>
            </w:r>
          </w:p>
        </w:tc>
        <w:tc>
          <w:tcPr>
            <w:tcW w:w="3119" w:type="dxa"/>
            <w:vAlign w:val="bottom"/>
          </w:tcPr>
          <w:p w14:paraId="3A57C267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170 (10.5)</w:t>
            </w:r>
          </w:p>
        </w:tc>
        <w:tc>
          <w:tcPr>
            <w:tcW w:w="3260" w:type="dxa"/>
            <w:vAlign w:val="bottom"/>
          </w:tcPr>
          <w:p w14:paraId="53C9ADAD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(0.9)</w:t>
            </w:r>
          </w:p>
        </w:tc>
      </w:tr>
      <w:tr w:rsidR="00CD2C07" w14:paraId="0EA435E4" w14:textId="77777777" w:rsidTr="00CD2C07">
        <w:trPr>
          <w:trHeight w:val="99"/>
        </w:trPr>
        <w:tc>
          <w:tcPr>
            <w:tcW w:w="2977" w:type="dxa"/>
          </w:tcPr>
          <w:p w14:paraId="7D6D752E" w14:textId="77777777" w:rsidR="00CD2C07" w:rsidRPr="002D2E8D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6B356191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 (18.1)</w:t>
            </w:r>
          </w:p>
        </w:tc>
        <w:tc>
          <w:tcPr>
            <w:tcW w:w="3260" w:type="dxa"/>
          </w:tcPr>
          <w:p w14:paraId="79ECDB41" w14:textId="77777777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6109FD9D" w14:textId="77777777" w:rsidTr="00CD2C07">
        <w:trPr>
          <w:trHeight w:val="256"/>
        </w:trPr>
        <w:tc>
          <w:tcPr>
            <w:tcW w:w="2977" w:type="dxa"/>
          </w:tcPr>
          <w:p w14:paraId="4CB4273F" w14:textId="77777777" w:rsidR="00CD2C07" w:rsidRPr="00806825" w:rsidRDefault="00CD2C07" w:rsidP="00CD2C07">
            <w:pPr>
              <w:rPr>
                <w:lang w:val="en-US"/>
              </w:rPr>
            </w:pPr>
            <w:r>
              <w:rPr>
                <w:lang w:val="en-US"/>
              </w:rPr>
              <w:t>Household with persons under 5 years old quintile</w:t>
            </w:r>
          </w:p>
        </w:tc>
        <w:tc>
          <w:tcPr>
            <w:tcW w:w="3119" w:type="dxa"/>
          </w:tcPr>
          <w:p w14:paraId="3652774D" w14:textId="77777777" w:rsidR="00CD2C07" w:rsidRPr="00534A1D" w:rsidRDefault="00CD2C07" w:rsidP="00CD2C0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260" w:type="dxa"/>
          </w:tcPr>
          <w:p w14:paraId="14B78F87" w14:textId="77777777" w:rsidR="00CD2C07" w:rsidRDefault="00CD2C07" w:rsidP="00CD2C07">
            <w:pPr>
              <w:jc w:val="center"/>
              <w:rPr>
                <w:lang w:val="en-US"/>
              </w:rPr>
            </w:pPr>
          </w:p>
        </w:tc>
      </w:tr>
      <w:tr w:rsidR="00CD2C07" w14:paraId="73DD6AA6" w14:textId="77777777" w:rsidTr="00CD2C07">
        <w:trPr>
          <w:trHeight w:val="256"/>
        </w:trPr>
        <w:tc>
          <w:tcPr>
            <w:tcW w:w="2977" w:type="dxa"/>
          </w:tcPr>
          <w:p w14:paraId="57536C7D" w14:textId="77777777" w:rsidR="00CD2C07" w:rsidRPr="00806825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Q1 (fewest)</w:t>
            </w:r>
          </w:p>
        </w:tc>
        <w:tc>
          <w:tcPr>
            <w:tcW w:w="3119" w:type="dxa"/>
            <w:vAlign w:val="bottom"/>
          </w:tcPr>
          <w:p w14:paraId="3675EC4D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105 (8.8)</w:t>
            </w:r>
          </w:p>
        </w:tc>
        <w:tc>
          <w:tcPr>
            <w:tcW w:w="3260" w:type="dxa"/>
            <w:vAlign w:val="bottom"/>
          </w:tcPr>
          <w:p w14:paraId="64F7073C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(3.0)</w:t>
            </w:r>
          </w:p>
        </w:tc>
      </w:tr>
      <w:tr w:rsidR="00CD2C07" w14:paraId="6C21D925" w14:textId="77777777" w:rsidTr="00CD2C07">
        <w:trPr>
          <w:trHeight w:val="256"/>
        </w:trPr>
        <w:tc>
          <w:tcPr>
            <w:tcW w:w="2977" w:type="dxa"/>
          </w:tcPr>
          <w:p w14:paraId="10516B0D" w14:textId="77777777" w:rsidR="00CD2C07" w:rsidRPr="00806825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Q2 </w:t>
            </w:r>
          </w:p>
        </w:tc>
        <w:tc>
          <w:tcPr>
            <w:tcW w:w="3119" w:type="dxa"/>
            <w:vAlign w:val="bottom"/>
          </w:tcPr>
          <w:p w14:paraId="1E84983C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98 (7.9)</w:t>
            </w:r>
          </w:p>
        </w:tc>
        <w:tc>
          <w:tcPr>
            <w:tcW w:w="3260" w:type="dxa"/>
            <w:vAlign w:val="bottom"/>
          </w:tcPr>
          <w:p w14:paraId="5FD0E659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(1.9)</w:t>
            </w:r>
          </w:p>
        </w:tc>
      </w:tr>
      <w:tr w:rsidR="00CD2C07" w14:paraId="259FF564" w14:textId="77777777" w:rsidTr="00CD2C07">
        <w:trPr>
          <w:trHeight w:val="256"/>
        </w:trPr>
        <w:tc>
          <w:tcPr>
            <w:tcW w:w="2977" w:type="dxa"/>
          </w:tcPr>
          <w:p w14:paraId="69944119" w14:textId="77777777" w:rsidR="00CD2C07" w:rsidRPr="00806825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Q3 </w:t>
            </w:r>
          </w:p>
        </w:tc>
        <w:tc>
          <w:tcPr>
            <w:tcW w:w="3119" w:type="dxa"/>
            <w:vAlign w:val="bottom"/>
          </w:tcPr>
          <w:p w14:paraId="77924235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135 (9.1)</w:t>
            </w:r>
          </w:p>
        </w:tc>
        <w:tc>
          <w:tcPr>
            <w:tcW w:w="3260" w:type="dxa"/>
            <w:vAlign w:val="bottom"/>
          </w:tcPr>
          <w:p w14:paraId="4102DB32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(0.9)</w:t>
            </w:r>
          </w:p>
        </w:tc>
      </w:tr>
      <w:tr w:rsidR="00CD2C07" w14:paraId="1F12D45D" w14:textId="77777777" w:rsidTr="00CD2C07">
        <w:trPr>
          <w:trHeight w:val="256"/>
        </w:trPr>
        <w:tc>
          <w:tcPr>
            <w:tcW w:w="2977" w:type="dxa"/>
          </w:tcPr>
          <w:p w14:paraId="0495CA35" w14:textId="77777777" w:rsidR="00CD2C07" w:rsidRPr="00806825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Q4 </w:t>
            </w:r>
          </w:p>
        </w:tc>
        <w:tc>
          <w:tcPr>
            <w:tcW w:w="3119" w:type="dxa"/>
            <w:vAlign w:val="bottom"/>
          </w:tcPr>
          <w:p w14:paraId="017B14AC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161 (14.3)</w:t>
            </w:r>
          </w:p>
        </w:tc>
        <w:tc>
          <w:tcPr>
            <w:tcW w:w="3260" w:type="dxa"/>
            <w:vAlign w:val="bottom"/>
          </w:tcPr>
          <w:p w14:paraId="69D4AD8C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(1.0)</w:t>
            </w:r>
          </w:p>
        </w:tc>
      </w:tr>
      <w:tr w:rsidR="00CD2C07" w14:paraId="2F252C43" w14:textId="77777777" w:rsidTr="00CD2C07">
        <w:trPr>
          <w:trHeight w:val="256"/>
        </w:trPr>
        <w:tc>
          <w:tcPr>
            <w:tcW w:w="2977" w:type="dxa"/>
          </w:tcPr>
          <w:p w14:paraId="3069C66F" w14:textId="77777777" w:rsidR="00CD2C07" w:rsidRPr="00806825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lastRenderedPageBreak/>
              <w:t>Q5 (largest)</w:t>
            </w:r>
          </w:p>
        </w:tc>
        <w:tc>
          <w:tcPr>
            <w:tcW w:w="3119" w:type="dxa"/>
            <w:vAlign w:val="bottom"/>
          </w:tcPr>
          <w:p w14:paraId="64EE5136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248 (15.3)</w:t>
            </w:r>
          </w:p>
        </w:tc>
        <w:tc>
          <w:tcPr>
            <w:tcW w:w="3260" w:type="dxa"/>
            <w:vAlign w:val="bottom"/>
          </w:tcPr>
          <w:p w14:paraId="25AE69FF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(0.9)</w:t>
            </w:r>
          </w:p>
        </w:tc>
      </w:tr>
      <w:tr w:rsidR="00CD2C07" w14:paraId="433192EA" w14:textId="77777777" w:rsidTr="00CD2C07">
        <w:trPr>
          <w:trHeight w:val="256"/>
        </w:trPr>
        <w:tc>
          <w:tcPr>
            <w:tcW w:w="2977" w:type="dxa"/>
          </w:tcPr>
          <w:p w14:paraId="401FCAE6" w14:textId="77777777" w:rsidR="00CD2C07" w:rsidRPr="00806825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1EB7BB1D" w14:textId="77777777" w:rsidR="00CD2C07" w:rsidRPr="00534A1D" w:rsidRDefault="00CD2C07" w:rsidP="00CD2C07">
            <w:pPr>
              <w:jc w:val="center"/>
              <w:rPr>
                <w:color w:val="FF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 (18.1)</w:t>
            </w:r>
          </w:p>
        </w:tc>
        <w:tc>
          <w:tcPr>
            <w:tcW w:w="3260" w:type="dxa"/>
          </w:tcPr>
          <w:p w14:paraId="09920E0C" w14:textId="77777777" w:rsidR="00CD2C07" w:rsidRDefault="00CD2C07" w:rsidP="00CD2C0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2257ED05" w14:textId="77777777" w:rsidTr="00CD2C07">
        <w:trPr>
          <w:trHeight w:val="256"/>
        </w:trPr>
        <w:tc>
          <w:tcPr>
            <w:tcW w:w="2977" w:type="dxa"/>
          </w:tcPr>
          <w:p w14:paraId="5FDDE975" w14:textId="77777777" w:rsidR="00CD2C07" w:rsidRDefault="00CD2C07" w:rsidP="00CD2C07">
            <w:pPr>
              <w:rPr>
                <w:lang w:val="en-US"/>
              </w:rPr>
            </w:pPr>
            <w:r>
              <w:rPr>
                <w:lang w:val="en-US"/>
              </w:rPr>
              <w:t>Rurality</w:t>
            </w:r>
          </w:p>
        </w:tc>
        <w:tc>
          <w:tcPr>
            <w:tcW w:w="3119" w:type="dxa"/>
          </w:tcPr>
          <w:p w14:paraId="5F520E29" w14:textId="77777777" w:rsidR="00CD2C07" w:rsidRPr="00534A1D" w:rsidRDefault="00CD2C07" w:rsidP="00CD2C07">
            <w:pPr>
              <w:rPr>
                <w:color w:val="FF0000"/>
                <w:lang w:val="en-US"/>
              </w:rPr>
            </w:pPr>
          </w:p>
        </w:tc>
        <w:tc>
          <w:tcPr>
            <w:tcW w:w="3260" w:type="dxa"/>
          </w:tcPr>
          <w:p w14:paraId="69F620DF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51E58DE5" w14:textId="77777777" w:rsidTr="00CD2C07">
        <w:trPr>
          <w:trHeight w:val="256"/>
        </w:trPr>
        <w:tc>
          <w:tcPr>
            <w:tcW w:w="2977" w:type="dxa"/>
          </w:tcPr>
          <w:p w14:paraId="222CA2C6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Rural </w:t>
            </w:r>
          </w:p>
        </w:tc>
        <w:tc>
          <w:tcPr>
            <w:tcW w:w="3119" w:type="dxa"/>
            <w:vAlign w:val="bottom"/>
          </w:tcPr>
          <w:p w14:paraId="256D441F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134 (13.9)</w:t>
            </w:r>
          </w:p>
        </w:tc>
        <w:tc>
          <w:tcPr>
            <w:tcW w:w="3260" w:type="dxa"/>
            <w:vAlign w:val="bottom"/>
          </w:tcPr>
          <w:p w14:paraId="6BDB29F5" w14:textId="77777777" w:rsidR="00CD2C07" w:rsidRPr="002D55DC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(0.7)</w:t>
            </w:r>
          </w:p>
        </w:tc>
      </w:tr>
      <w:tr w:rsidR="00CD2C07" w14:paraId="05C7394F" w14:textId="77777777" w:rsidTr="00CD2C07">
        <w:trPr>
          <w:trHeight w:val="171"/>
        </w:trPr>
        <w:tc>
          <w:tcPr>
            <w:tcW w:w="2977" w:type="dxa"/>
          </w:tcPr>
          <w:p w14:paraId="6E8167A0" w14:textId="5549FB9A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Urban</w:t>
            </w:r>
          </w:p>
        </w:tc>
        <w:tc>
          <w:tcPr>
            <w:tcW w:w="3119" w:type="dxa"/>
            <w:vAlign w:val="bottom"/>
          </w:tcPr>
          <w:p w14:paraId="7571525E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631 (10.9)</w:t>
            </w:r>
          </w:p>
        </w:tc>
        <w:tc>
          <w:tcPr>
            <w:tcW w:w="3260" w:type="dxa"/>
            <w:vAlign w:val="bottom"/>
          </w:tcPr>
          <w:p w14:paraId="1771DA0F" w14:textId="77777777" w:rsidR="00CD2C07" w:rsidRPr="002D55DC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 (1.6)</w:t>
            </w:r>
          </w:p>
        </w:tc>
      </w:tr>
      <w:tr w:rsidR="00CD2C07" w14:paraId="4EC9A38D" w14:textId="77777777" w:rsidTr="00CD2C07">
        <w:trPr>
          <w:trHeight w:val="256"/>
        </w:trPr>
        <w:tc>
          <w:tcPr>
            <w:tcW w:w="2977" w:type="dxa"/>
          </w:tcPr>
          <w:p w14:paraId="46EE4698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Missing</w:t>
            </w:r>
          </w:p>
        </w:tc>
        <w:tc>
          <w:tcPr>
            <w:tcW w:w="3119" w:type="dxa"/>
            <w:vAlign w:val="bottom"/>
          </w:tcPr>
          <w:p w14:paraId="3E170637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 (33.3)</w:t>
            </w:r>
          </w:p>
        </w:tc>
        <w:tc>
          <w:tcPr>
            <w:tcW w:w="3260" w:type="dxa"/>
          </w:tcPr>
          <w:p w14:paraId="14565362" w14:textId="77777777" w:rsidR="00CD2C07" w:rsidRPr="00A509FC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(0.0)</w:t>
            </w:r>
          </w:p>
        </w:tc>
      </w:tr>
      <w:tr w:rsidR="00CD2C07" w14:paraId="038A1E7D" w14:textId="77777777" w:rsidTr="00CD2C07">
        <w:trPr>
          <w:trHeight w:val="256"/>
        </w:trPr>
        <w:tc>
          <w:tcPr>
            <w:tcW w:w="2977" w:type="dxa"/>
          </w:tcPr>
          <w:p w14:paraId="289446F8" w14:textId="77777777" w:rsidR="00CD2C07" w:rsidRPr="00E71AFD" w:rsidRDefault="00CD2C07" w:rsidP="00CD2C07">
            <w:pPr>
              <w:rPr>
                <w:color w:val="FF0000"/>
                <w:lang w:val="en-US"/>
              </w:rPr>
            </w:pPr>
            <w:r w:rsidRPr="006D514E">
              <w:rPr>
                <w:lang w:val="en-US"/>
              </w:rPr>
              <w:t>Public Health Regio</w:t>
            </w:r>
            <w:r>
              <w:rPr>
                <w:lang w:val="en-US"/>
              </w:rPr>
              <w:t>n</w:t>
            </w:r>
          </w:p>
        </w:tc>
        <w:tc>
          <w:tcPr>
            <w:tcW w:w="3119" w:type="dxa"/>
          </w:tcPr>
          <w:p w14:paraId="5B735D67" w14:textId="77777777" w:rsidR="00CD2C07" w:rsidRPr="00534A1D" w:rsidRDefault="00CD2C07" w:rsidP="00CD2C07">
            <w:pPr>
              <w:rPr>
                <w:color w:val="FF0000"/>
                <w:lang w:val="en-US"/>
              </w:rPr>
            </w:pPr>
          </w:p>
        </w:tc>
        <w:tc>
          <w:tcPr>
            <w:tcW w:w="3260" w:type="dxa"/>
          </w:tcPr>
          <w:p w14:paraId="73D312EE" w14:textId="77777777" w:rsidR="00CD2C07" w:rsidRDefault="00CD2C07" w:rsidP="00CD2C07">
            <w:pPr>
              <w:rPr>
                <w:lang w:val="en-US"/>
              </w:rPr>
            </w:pPr>
          </w:p>
        </w:tc>
      </w:tr>
      <w:tr w:rsidR="00CD2C07" w14:paraId="52ECFE77" w14:textId="77777777" w:rsidTr="00CD2C07">
        <w:trPr>
          <w:trHeight w:val="256"/>
        </w:trPr>
        <w:tc>
          <w:tcPr>
            <w:tcW w:w="2977" w:type="dxa"/>
          </w:tcPr>
          <w:p w14:paraId="64C055C8" w14:textId="77777777" w:rsidR="00CD2C07" w:rsidRPr="006D514E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Central East</w:t>
            </w:r>
          </w:p>
        </w:tc>
        <w:tc>
          <w:tcPr>
            <w:tcW w:w="3119" w:type="dxa"/>
            <w:vAlign w:val="bottom"/>
          </w:tcPr>
          <w:p w14:paraId="41A7D896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164 (8.8)</w:t>
            </w:r>
          </w:p>
        </w:tc>
        <w:tc>
          <w:tcPr>
            <w:tcW w:w="3260" w:type="dxa"/>
            <w:vAlign w:val="bottom"/>
          </w:tcPr>
          <w:p w14:paraId="5F2CC0CA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(1.2)</w:t>
            </w:r>
          </w:p>
        </w:tc>
      </w:tr>
      <w:tr w:rsidR="00CD2C07" w14:paraId="49254C1B" w14:textId="77777777" w:rsidTr="00CD2C07">
        <w:trPr>
          <w:trHeight w:val="256"/>
        </w:trPr>
        <w:tc>
          <w:tcPr>
            <w:tcW w:w="2977" w:type="dxa"/>
          </w:tcPr>
          <w:p w14:paraId="68EB0973" w14:textId="77777777" w:rsidR="00CD2C07" w:rsidRPr="006D514E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Central West</w:t>
            </w:r>
          </w:p>
        </w:tc>
        <w:tc>
          <w:tcPr>
            <w:tcW w:w="3119" w:type="dxa"/>
            <w:vAlign w:val="bottom"/>
          </w:tcPr>
          <w:p w14:paraId="1BD66209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196 (11.0)</w:t>
            </w:r>
          </w:p>
        </w:tc>
        <w:tc>
          <w:tcPr>
            <w:tcW w:w="3260" w:type="dxa"/>
            <w:vAlign w:val="bottom"/>
          </w:tcPr>
          <w:p w14:paraId="0A7BC445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(1.1)</w:t>
            </w:r>
          </w:p>
        </w:tc>
      </w:tr>
      <w:tr w:rsidR="00CD2C07" w14:paraId="227E90F8" w14:textId="77777777" w:rsidTr="00CD2C07">
        <w:trPr>
          <w:trHeight w:val="256"/>
        </w:trPr>
        <w:tc>
          <w:tcPr>
            <w:tcW w:w="2977" w:type="dxa"/>
          </w:tcPr>
          <w:p w14:paraId="36E574C3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East </w:t>
            </w:r>
          </w:p>
        </w:tc>
        <w:tc>
          <w:tcPr>
            <w:tcW w:w="3119" w:type="dxa"/>
            <w:vAlign w:val="bottom"/>
          </w:tcPr>
          <w:p w14:paraId="1BBD2539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130 (14.8)</w:t>
            </w:r>
          </w:p>
        </w:tc>
        <w:tc>
          <w:tcPr>
            <w:tcW w:w="3260" w:type="dxa"/>
            <w:vAlign w:val="bottom"/>
          </w:tcPr>
          <w:p w14:paraId="4249C104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(0.7)</w:t>
            </w:r>
          </w:p>
        </w:tc>
      </w:tr>
      <w:tr w:rsidR="00CD2C07" w14:paraId="28439AFE" w14:textId="77777777" w:rsidTr="00CD2C07">
        <w:trPr>
          <w:trHeight w:val="256"/>
        </w:trPr>
        <w:tc>
          <w:tcPr>
            <w:tcW w:w="2977" w:type="dxa"/>
          </w:tcPr>
          <w:p w14:paraId="6C8C3DC0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North East</w:t>
            </w:r>
          </w:p>
        </w:tc>
        <w:tc>
          <w:tcPr>
            <w:tcW w:w="3119" w:type="dxa"/>
            <w:vAlign w:val="bottom"/>
          </w:tcPr>
          <w:p w14:paraId="5B29EFC6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17 (8.4)</w:t>
            </w:r>
          </w:p>
        </w:tc>
        <w:tc>
          <w:tcPr>
            <w:tcW w:w="3260" w:type="dxa"/>
            <w:vAlign w:val="bottom"/>
          </w:tcPr>
          <w:p w14:paraId="72E07709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(0.5)</w:t>
            </w:r>
          </w:p>
        </w:tc>
      </w:tr>
      <w:tr w:rsidR="00CD2C07" w14:paraId="1B1F0612" w14:textId="77777777" w:rsidTr="00CD2C07">
        <w:trPr>
          <w:trHeight w:val="256"/>
        </w:trPr>
        <w:tc>
          <w:tcPr>
            <w:tcW w:w="2977" w:type="dxa"/>
          </w:tcPr>
          <w:p w14:paraId="449DCC87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North West</w:t>
            </w:r>
          </w:p>
        </w:tc>
        <w:tc>
          <w:tcPr>
            <w:tcW w:w="3119" w:type="dxa"/>
            <w:vAlign w:val="bottom"/>
          </w:tcPr>
          <w:p w14:paraId="74BC311B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 (14.6)</w:t>
            </w:r>
          </w:p>
        </w:tc>
        <w:tc>
          <w:tcPr>
            <w:tcW w:w="3260" w:type="dxa"/>
            <w:vAlign w:val="bottom"/>
          </w:tcPr>
          <w:p w14:paraId="72B4BF62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(0.8)</w:t>
            </w:r>
          </w:p>
        </w:tc>
      </w:tr>
      <w:tr w:rsidR="00CD2C07" w14:paraId="7280D659" w14:textId="77777777" w:rsidTr="00CD2C07">
        <w:trPr>
          <w:trHeight w:val="256"/>
        </w:trPr>
        <w:tc>
          <w:tcPr>
            <w:tcW w:w="2977" w:type="dxa"/>
          </w:tcPr>
          <w:p w14:paraId="10389092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South West</w:t>
            </w:r>
          </w:p>
        </w:tc>
        <w:tc>
          <w:tcPr>
            <w:tcW w:w="3119" w:type="dxa"/>
            <w:vAlign w:val="bottom"/>
          </w:tcPr>
          <w:p w14:paraId="650EF512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113 (14.3)</w:t>
            </w:r>
          </w:p>
        </w:tc>
        <w:tc>
          <w:tcPr>
            <w:tcW w:w="3260" w:type="dxa"/>
            <w:vAlign w:val="bottom"/>
          </w:tcPr>
          <w:p w14:paraId="09DCB10C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(1.1)</w:t>
            </w:r>
          </w:p>
        </w:tc>
      </w:tr>
      <w:tr w:rsidR="00CD2C07" w14:paraId="3BB6E52A" w14:textId="77777777" w:rsidTr="00CD2C07">
        <w:trPr>
          <w:trHeight w:val="256"/>
        </w:trPr>
        <w:tc>
          <w:tcPr>
            <w:tcW w:w="2977" w:type="dxa"/>
          </w:tcPr>
          <w:p w14:paraId="53AC0EFD" w14:textId="77777777" w:rsidR="00CD2C07" w:rsidRDefault="00CD2C07" w:rsidP="00CD2C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Toronto</w:t>
            </w:r>
          </w:p>
        </w:tc>
        <w:tc>
          <w:tcPr>
            <w:tcW w:w="3119" w:type="dxa"/>
            <w:vAlign w:val="bottom"/>
          </w:tcPr>
          <w:p w14:paraId="0AC7E717" w14:textId="77777777" w:rsidR="00CD2C07" w:rsidRPr="00534A1D" w:rsidRDefault="00CD2C07" w:rsidP="00CD2C07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127 (11.5)</w:t>
            </w:r>
          </w:p>
        </w:tc>
        <w:tc>
          <w:tcPr>
            <w:tcW w:w="3260" w:type="dxa"/>
            <w:vAlign w:val="bottom"/>
          </w:tcPr>
          <w:p w14:paraId="31F91567" w14:textId="77777777" w:rsidR="00CD2C07" w:rsidRDefault="00CD2C07" w:rsidP="00CD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(3.4)</w:t>
            </w:r>
          </w:p>
        </w:tc>
      </w:tr>
    </w:tbl>
    <w:p w14:paraId="72824071" w14:textId="0A0F9FE8" w:rsidR="0037553B" w:rsidRPr="00CA43C3" w:rsidRDefault="00837F47" w:rsidP="0037553B">
      <w:pPr>
        <w:rPr>
          <w:sz w:val="20"/>
          <w:szCs w:val="20"/>
          <w:lang w:val="en-US"/>
        </w:rPr>
      </w:pPr>
      <w:r w:rsidRPr="00837F47">
        <w:rPr>
          <w:iCs/>
          <w:sz w:val="20"/>
          <w:szCs w:val="20"/>
          <w:vertAlign w:val="superscript"/>
          <w:lang w:val="en-US"/>
        </w:rPr>
        <w:t>a</w:t>
      </w:r>
      <w:r w:rsidR="0037553B" w:rsidRPr="00CA43C3">
        <w:rPr>
          <w:i/>
          <w:sz w:val="20"/>
          <w:szCs w:val="20"/>
          <w:vertAlign w:val="superscript"/>
          <w:lang w:val="en-US"/>
        </w:rPr>
        <w:t xml:space="preserve"> </w:t>
      </w:r>
      <w:r w:rsidR="00173B1A" w:rsidRPr="00CA43C3">
        <w:rPr>
          <w:sz w:val="20"/>
          <w:szCs w:val="20"/>
          <w:lang w:val="en-US"/>
        </w:rPr>
        <w:t>Unsuitable housing refers to having more household members occupying the same dwelling unit to live comfortably together, according to the National Occupancy Standard</w:t>
      </w:r>
      <w:r w:rsidR="0037553B" w:rsidRPr="00CA43C3">
        <w:rPr>
          <w:sz w:val="20"/>
          <w:szCs w:val="20"/>
          <w:lang w:val="en-US"/>
        </w:rPr>
        <w:t>. Unsuitable housing is divided into quartiles due to disproportionate distribution of cases when in quintiles.</w:t>
      </w:r>
    </w:p>
    <w:p w14:paraId="09EF1422" w14:textId="77777777" w:rsidR="0037553B" w:rsidRDefault="0037553B" w:rsidP="0037553B">
      <w:pPr>
        <w:rPr>
          <w:lang w:val="en-US"/>
        </w:rPr>
      </w:pPr>
    </w:p>
    <w:p w14:paraId="19354D3E" w14:textId="77777777" w:rsidR="00087C39" w:rsidRDefault="00087C39" w:rsidP="0037553B">
      <w:pPr>
        <w:rPr>
          <w:lang w:val="en-US"/>
        </w:rPr>
      </w:pPr>
    </w:p>
    <w:p w14:paraId="5147A071" w14:textId="77777777" w:rsidR="00087C39" w:rsidRDefault="00087C39" w:rsidP="0037553B">
      <w:pPr>
        <w:rPr>
          <w:lang w:val="en-US"/>
        </w:rPr>
      </w:pPr>
    </w:p>
    <w:p w14:paraId="747D33F2" w14:textId="77777777" w:rsidR="00087C39" w:rsidRDefault="00087C39" w:rsidP="0037553B">
      <w:pPr>
        <w:rPr>
          <w:lang w:val="en-US"/>
        </w:rPr>
      </w:pPr>
    </w:p>
    <w:p w14:paraId="39A20215" w14:textId="77777777" w:rsidR="00087C39" w:rsidRDefault="00087C39" w:rsidP="0037553B">
      <w:pPr>
        <w:rPr>
          <w:lang w:val="en-US"/>
        </w:rPr>
      </w:pPr>
    </w:p>
    <w:p w14:paraId="29D4F501" w14:textId="77777777" w:rsidR="00087C39" w:rsidRDefault="00087C39" w:rsidP="0037553B">
      <w:pPr>
        <w:rPr>
          <w:lang w:val="en-US"/>
        </w:rPr>
      </w:pPr>
    </w:p>
    <w:p w14:paraId="3453EE12" w14:textId="77777777" w:rsidR="00087C39" w:rsidRDefault="00087C39" w:rsidP="0037553B">
      <w:pPr>
        <w:rPr>
          <w:lang w:val="en-US"/>
        </w:rPr>
      </w:pPr>
    </w:p>
    <w:p w14:paraId="5ADAAF4B" w14:textId="77777777" w:rsidR="00087C39" w:rsidRDefault="00087C39" w:rsidP="0037553B">
      <w:pPr>
        <w:rPr>
          <w:lang w:val="en-US"/>
        </w:rPr>
      </w:pPr>
    </w:p>
    <w:p w14:paraId="5F912621" w14:textId="77777777" w:rsidR="00087C39" w:rsidRDefault="00087C39" w:rsidP="0037553B">
      <w:pPr>
        <w:rPr>
          <w:lang w:val="en-US"/>
        </w:rPr>
      </w:pPr>
    </w:p>
    <w:p w14:paraId="22DB13E5" w14:textId="77777777" w:rsidR="00087C39" w:rsidRDefault="00087C39" w:rsidP="0037553B">
      <w:pPr>
        <w:rPr>
          <w:lang w:val="en-US"/>
        </w:rPr>
      </w:pPr>
    </w:p>
    <w:p w14:paraId="3F23820D" w14:textId="77777777" w:rsidR="00087C39" w:rsidRDefault="00087C39" w:rsidP="0037553B">
      <w:pPr>
        <w:rPr>
          <w:lang w:val="en-US"/>
        </w:rPr>
      </w:pPr>
    </w:p>
    <w:p w14:paraId="682A250E" w14:textId="77777777" w:rsidR="00087C39" w:rsidRDefault="00087C39" w:rsidP="0037553B">
      <w:pPr>
        <w:rPr>
          <w:lang w:val="en-US"/>
        </w:rPr>
      </w:pPr>
    </w:p>
    <w:p w14:paraId="29E981A6" w14:textId="77777777" w:rsidR="00087C39" w:rsidRDefault="00087C39" w:rsidP="0037553B">
      <w:pPr>
        <w:rPr>
          <w:lang w:val="en-US"/>
        </w:rPr>
      </w:pPr>
    </w:p>
    <w:p w14:paraId="1B8648AB" w14:textId="77777777" w:rsidR="00087C39" w:rsidRDefault="00087C39" w:rsidP="0037553B">
      <w:pPr>
        <w:rPr>
          <w:lang w:val="en-US"/>
        </w:rPr>
      </w:pPr>
    </w:p>
    <w:p w14:paraId="243CBD1D" w14:textId="77777777" w:rsidR="00087C39" w:rsidRDefault="00087C39" w:rsidP="0037553B">
      <w:pPr>
        <w:rPr>
          <w:lang w:val="en-US"/>
        </w:rPr>
      </w:pPr>
    </w:p>
    <w:p w14:paraId="2719F0D8" w14:textId="77777777" w:rsidR="00CA43C3" w:rsidRDefault="00CA43C3" w:rsidP="0037553B">
      <w:pPr>
        <w:rPr>
          <w:lang w:val="en-US"/>
        </w:rPr>
      </w:pPr>
    </w:p>
    <w:p w14:paraId="5089EBEC" w14:textId="77777777" w:rsidR="00087C39" w:rsidRDefault="00087C39" w:rsidP="0037553B">
      <w:pPr>
        <w:rPr>
          <w:lang w:val="en-US"/>
        </w:rPr>
      </w:pPr>
    </w:p>
    <w:p w14:paraId="243DDB35" w14:textId="6B8793D9" w:rsidR="00087C39" w:rsidRDefault="00087C39" w:rsidP="00087C39">
      <w:pPr>
        <w:rPr>
          <w:lang w:val="en-US"/>
        </w:rPr>
      </w:pPr>
      <w:r>
        <w:rPr>
          <w:b/>
        </w:rPr>
        <w:lastRenderedPageBreak/>
        <w:t>Table S6</w:t>
      </w:r>
      <w:r>
        <w:t xml:space="preserve">: </w:t>
      </w:r>
      <w:r>
        <w:rPr>
          <w:lang w:val="en-US"/>
        </w:rPr>
        <w:t>Hospital outcomes of RSV</w:t>
      </w:r>
      <w:r w:rsidR="008A590E">
        <w:rPr>
          <w:lang w:val="en-US"/>
        </w:rPr>
        <w:t>-related</w:t>
      </w:r>
      <w:r>
        <w:rPr>
          <w:lang w:val="en-US"/>
        </w:rPr>
        <w:t xml:space="preserve"> hospitalization for patients aged 65+ years without RSV as their most responsible diagnosis (n</w:t>
      </w:r>
      <w:r w:rsidR="00CA43C3">
        <w:rPr>
          <w:lang w:val="en-US"/>
        </w:rPr>
        <w:t xml:space="preserve"> </w:t>
      </w:r>
      <w:r>
        <w:rPr>
          <w:lang w:val="en-US"/>
        </w:rPr>
        <w:t>=</w:t>
      </w:r>
      <w:r w:rsidR="00CA43C3">
        <w:rPr>
          <w:lang w:val="en-US"/>
        </w:rPr>
        <w:t xml:space="preserve"> </w:t>
      </w:r>
      <w:r>
        <w:rPr>
          <w:lang w:val="en-US"/>
        </w:rPr>
        <w:t>4284).</w:t>
      </w:r>
    </w:p>
    <w:tbl>
      <w:tblPr>
        <w:tblStyle w:val="TableGrid"/>
        <w:tblW w:w="8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6"/>
        <w:gridCol w:w="1552"/>
        <w:gridCol w:w="1519"/>
        <w:gridCol w:w="1540"/>
        <w:gridCol w:w="1701"/>
      </w:tblGrid>
      <w:tr w:rsidR="00087C39" w:rsidRPr="006D38C8" w14:paraId="3B0D1447" w14:textId="77777777" w:rsidTr="003461C2">
        <w:trPr>
          <w:trHeight w:val="256"/>
        </w:trPr>
        <w:tc>
          <w:tcPr>
            <w:tcW w:w="2276" w:type="dxa"/>
          </w:tcPr>
          <w:p w14:paraId="740F4D6D" w14:textId="5178CBB2" w:rsidR="00087C39" w:rsidRPr="00655113" w:rsidRDefault="00087C39" w:rsidP="003461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Age</w:t>
            </w:r>
          </w:p>
        </w:tc>
        <w:tc>
          <w:tcPr>
            <w:tcW w:w="1552" w:type="dxa"/>
          </w:tcPr>
          <w:p w14:paraId="43AD4FBA" w14:textId="77777777" w:rsidR="00C95157" w:rsidRDefault="00087C39" w:rsidP="003461C2">
            <w:pPr>
              <w:jc w:val="center"/>
              <w:rPr>
                <w:b/>
                <w:lang w:val="en-US"/>
              </w:rPr>
            </w:pPr>
            <w:r w:rsidRPr="00C866F6">
              <w:rPr>
                <w:b/>
                <w:lang w:val="en-US"/>
              </w:rPr>
              <w:t xml:space="preserve">Median length of stay </w:t>
            </w:r>
          </w:p>
          <w:p w14:paraId="0A1A5240" w14:textId="1315BAD6" w:rsidR="00087C39" w:rsidRPr="00C866F6" w:rsidRDefault="00087C39" w:rsidP="003461C2">
            <w:pPr>
              <w:jc w:val="center"/>
              <w:rPr>
                <w:b/>
                <w:lang w:val="en-US"/>
              </w:rPr>
            </w:pPr>
            <w:r w:rsidRPr="00C866F6">
              <w:rPr>
                <w:b/>
                <w:lang w:val="en-US"/>
              </w:rPr>
              <w:t>(days</w:t>
            </w:r>
            <w:r w:rsidR="00655113">
              <w:rPr>
                <w:b/>
                <w:lang w:val="en-US"/>
              </w:rPr>
              <w:t>, IQR</w:t>
            </w:r>
            <w:r w:rsidRPr="00C866F6">
              <w:rPr>
                <w:b/>
                <w:lang w:val="en-US"/>
              </w:rPr>
              <w:t>)</w:t>
            </w:r>
          </w:p>
        </w:tc>
        <w:tc>
          <w:tcPr>
            <w:tcW w:w="1519" w:type="dxa"/>
          </w:tcPr>
          <w:p w14:paraId="6072117C" w14:textId="77777777" w:rsidR="00C95157" w:rsidRDefault="00087C39" w:rsidP="003461C2">
            <w:pPr>
              <w:jc w:val="center"/>
              <w:rPr>
                <w:b/>
                <w:lang w:val="en-US"/>
              </w:rPr>
            </w:pPr>
            <w:r w:rsidRPr="00C866F6">
              <w:rPr>
                <w:b/>
                <w:lang w:val="en-US"/>
              </w:rPr>
              <w:t xml:space="preserve">Median length of stay in ICU </w:t>
            </w:r>
          </w:p>
          <w:p w14:paraId="2ED21A46" w14:textId="6571F933" w:rsidR="00087C39" w:rsidRPr="00C866F6" w:rsidRDefault="00087C39" w:rsidP="003461C2">
            <w:pPr>
              <w:jc w:val="center"/>
              <w:rPr>
                <w:b/>
                <w:lang w:val="en-US"/>
              </w:rPr>
            </w:pPr>
            <w:r w:rsidRPr="00C866F6">
              <w:rPr>
                <w:b/>
                <w:lang w:val="en-US"/>
              </w:rPr>
              <w:t>(days</w:t>
            </w:r>
            <w:r w:rsidR="00655113">
              <w:rPr>
                <w:b/>
                <w:lang w:val="en-US"/>
              </w:rPr>
              <w:t>, IQR</w:t>
            </w:r>
            <w:r w:rsidRPr="00C866F6">
              <w:rPr>
                <w:b/>
                <w:lang w:val="en-US"/>
              </w:rPr>
              <w:t>)</w:t>
            </w:r>
          </w:p>
        </w:tc>
        <w:tc>
          <w:tcPr>
            <w:tcW w:w="1540" w:type="dxa"/>
          </w:tcPr>
          <w:p w14:paraId="4D46ABAC" w14:textId="77777777" w:rsidR="00087C39" w:rsidRDefault="00087C39" w:rsidP="003461C2">
            <w:pPr>
              <w:jc w:val="center"/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% ICU admissions</w:t>
            </w:r>
            <w:r>
              <w:rPr>
                <w:b/>
                <w:lang w:val="en-US"/>
              </w:rPr>
              <w:t xml:space="preserve">, </w:t>
            </w:r>
          </w:p>
          <w:p w14:paraId="2B34C0D3" w14:textId="77777777" w:rsidR="00087C39" w:rsidRPr="00397AAC" w:rsidRDefault="00087C39" w:rsidP="003461C2">
            <w:pPr>
              <w:jc w:val="center"/>
              <w:rPr>
                <w:b/>
                <w:i/>
                <w:lang w:val="en-US"/>
              </w:rPr>
            </w:pPr>
            <w:r w:rsidRPr="00397AAC">
              <w:rPr>
                <w:b/>
                <w:i/>
                <w:lang w:val="en-US"/>
              </w:rPr>
              <w:t>n (%)</w:t>
            </w:r>
          </w:p>
        </w:tc>
        <w:tc>
          <w:tcPr>
            <w:tcW w:w="1701" w:type="dxa"/>
          </w:tcPr>
          <w:p w14:paraId="21D6223D" w14:textId="77777777" w:rsidR="00087C39" w:rsidRDefault="00087C39" w:rsidP="003461C2">
            <w:pPr>
              <w:jc w:val="center"/>
              <w:rPr>
                <w:b/>
                <w:lang w:val="en-US"/>
              </w:rPr>
            </w:pPr>
            <w:r w:rsidRPr="002D1428">
              <w:rPr>
                <w:b/>
                <w:lang w:val="en-US"/>
              </w:rPr>
              <w:t>% Death in hospital</w:t>
            </w:r>
            <w:r>
              <w:rPr>
                <w:b/>
                <w:lang w:val="en-US"/>
              </w:rPr>
              <w:t xml:space="preserve">, </w:t>
            </w:r>
          </w:p>
          <w:p w14:paraId="2EEC51DB" w14:textId="77777777" w:rsidR="00087C39" w:rsidRPr="002D1428" w:rsidRDefault="00087C39" w:rsidP="003461C2">
            <w:pPr>
              <w:jc w:val="center"/>
              <w:rPr>
                <w:b/>
                <w:lang w:val="en-US"/>
              </w:rPr>
            </w:pPr>
            <w:r w:rsidRPr="00397AAC">
              <w:rPr>
                <w:b/>
                <w:i/>
                <w:lang w:val="en-US"/>
              </w:rPr>
              <w:t>n (%)</w:t>
            </w:r>
          </w:p>
        </w:tc>
      </w:tr>
      <w:tr w:rsidR="00087C39" w14:paraId="1E0EA232" w14:textId="77777777" w:rsidTr="003461C2">
        <w:trPr>
          <w:trHeight w:val="256"/>
        </w:trPr>
        <w:tc>
          <w:tcPr>
            <w:tcW w:w="2276" w:type="dxa"/>
          </w:tcPr>
          <w:p w14:paraId="7FCFB9D6" w14:textId="11A509C2" w:rsidR="00087C39" w:rsidRDefault="00087C39" w:rsidP="003461C2">
            <w:pPr>
              <w:rPr>
                <w:lang w:val="en-US"/>
              </w:rPr>
            </w:pPr>
            <w:r>
              <w:rPr>
                <w:lang w:val="en-US"/>
              </w:rPr>
              <w:t>65-74</w:t>
            </w:r>
            <w:r w:rsidR="00364FF6"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5F1942F9" w14:textId="77777777" w:rsidR="00087C39" w:rsidRPr="00C866F6" w:rsidRDefault="00087C39" w:rsidP="003461C2">
            <w:pPr>
              <w:rPr>
                <w:rFonts w:ascii="Calibri" w:hAnsi="Calibri" w:cs="Calibri"/>
              </w:rPr>
            </w:pPr>
            <w:r w:rsidRPr="00C866F6">
              <w:rPr>
                <w:rFonts w:ascii="Calibri" w:hAnsi="Calibri" w:cs="Calibri"/>
              </w:rPr>
              <w:t>7.0 (4.0-15.0)</w:t>
            </w:r>
          </w:p>
        </w:tc>
        <w:tc>
          <w:tcPr>
            <w:tcW w:w="1519" w:type="dxa"/>
            <w:vAlign w:val="bottom"/>
          </w:tcPr>
          <w:p w14:paraId="672B2A97" w14:textId="77777777" w:rsidR="00087C39" w:rsidRPr="00C866F6" w:rsidRDefault="00087C39" w:rsidP="003461C2">
            <w:pPr>
              <w:rPr>
                <w:rFonts w:ascii="Calibri" w:hAnsi="Calibri" w:cs="Calibri"/>
              </w:rPr>
            </w:pPr>
            <w:r w:rsidRPr="00C866F6">
              <w:rPr>
                <w:rFonts w:ascii="Calibri" w:hAnsi="Calibri" w:cs="Calibri"/>
              </w:rPr>
              <w:t>5.0 (2.0-8.0)</w:t>
            </w:r>
          </w:p>
        </w:tc>
        <w:tc>
          <w:tcPr>
            <w:tcW w:w="1540" w:type="dxa"/>
            <w:vAlign w:val="bottom"/>
          </w:tcPr>
          <w:p w14:paraId="7E0DBE6A" w14:textId="77777777" w:rsidR="00087C39" w:rsidRPr="0029563B" w:rsidRDefault="00087C39" w:rsidP="003461C2">
            <w:pPr>
              <w:rPr>
                <w:rFonts w:ascii="Calibri" w:hAnsi="Calibri" w:cs="Calibri"/>
              </w:rPr>
            </w:pPr>
            <w:r w:rsidRPr="0029563B">
              <w:rPr>
                <w:rFonts w:ascii="Calibri" w:hAnsi="Calibri" w:cs="Calibri"/>
              </w:rPr>
              <w:t>201 (30.7)</w:t>
            </w:r>
          </w:p>
        </w:tc>
        <w:tc>
          <w:tcPr>
            <w:tcW w:w="1701" w:type="dxa"/>
          </w:tcPr>
          <w:p w14:paraId="704EE75C" w14:textId="77777777" w:rsidR="00087C39" w:rsidRPr="0029563B" w:rsidRDefault="00087C39" w:rsidP="003461C2">
            <w:pPr>
              <w:rPr>
                <w:rFonts w:ascii="Calibri" w:hAnsi="Calibri" w:cs="Calibri"/>
              </w:rPr>
            </w:pPr>
            <w:r w:rsidRPr="0029563B">
              <w:rPr>
                <w:rFonts w:ascii="Calibri" w:hAnsi="Calibri" w:cs="Calibri"/>
              </w:rPr>
              <w:t>47 (7.2)</w:t>
            </w:r>
          </w:p>
        </w:tc>
      </w:tr>
      <w:tr w:rsidR="00087C39" w14:paraId="679A48C7" w14:textId="77777777" w:rsidTr="003461C2">
        <w:trPr>
          <w:trHeight w:val="256"/>
        </w:trPr>
        <w:tc>
          <w:tcPr>
            <w:tcW w:w="2276" w:type="dxa"/>
          </w:tcPr>
          <w:p w14:paraId="32710FB0" w14:textId="651AA80C" w:rsidR="00087C39" w:rsidRDefault="00087C39" w:rsidP="003461C2">
            <w:pPr>
              <w:rPr>
                <w:lang w:val="en-US"/>
              </w:rPr>
            </w:pPr>
            <w:r>
              <w:rPr>
                <w:lang w:val="en-US"/>
              </w:rPr>
              <w:t>75-84</w:t>
            </w:r>
            <w:r w:rsidR="00364FF6"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36739D44" w14:textId="77777777" w:rsidR="00087C39" w:rsidRPr="00C866F6" w:rsidRDefault="00087C39" w:rsidP="003461C2">
            <w:pPr>
              <w:rPr>
                <w:rFonts w:ascii="Calibri" w:hAnsi="Calibri" w:cs="Calibri"/>
              </w:rPr>
            </w:pPr>
            <w:r w:rsidRPr="00C866F6">
              <w:rPr>
                <w:rFonts w:ascii="Calibri" w:hAnsi="Calibri" w:cs="Calibri"/>
              </w:rPr>
              <w:t>7.0 (4.0-14.0)</w:t>
            </w:r>
          </w:p>
        </w:tc>
        <w:tc>
          <w:tcPr>
            <w:tcW w:w="1519" w:type="dxa"/>
            <w:vAlign w:val="bottom"/>
          </w:tcPr>
          <w:p w14:paraId="0C651ABD" w14:textId="77777777" w:rsidR="00087C39" w:rsidRPr="00C866F6" w:rsidRDefault="00087C39" w:rsidP="003461C2">
            <w:pPr>
              <w:rPr>
                <w:rFonts w:ascii="Calibri" w:hAnsi="Calibri" w:cs="Calibri"/>
              </w:rPr>
            </w:pPr>
            <w:r w:rsidRPr="00C866F6">
              <w:rPr>
                <w:rFonts w:ascii="Calibri" w:hAnsi="Calibri" w:cs="Calibri"/>
              </w:rPr>
              <w:t>4.0 (2.0-7.0)</w:t>
            </w:r>
          </w:p>
        </w:tc>
        <w:tc>
          <w:tcPr>
            <w:tcW w:w="1540" w:type="dxa"/>
            <w:vAlign w:val="bottom"/>
          </w:tcPr>
          <w:p w14:paraId="1DBF80C1" w14:textId="77777777" w:rsidR="00087C39" w:rsidRPr="0029563B" w:rsidRDefault="00087C39" w:rsidP="003461C2">
            <w:pPr>
              <w:rPr>
                <w:rFonts w:ascii="Calibri" w:hAnsi="Calibri" w:cs="Calibri"/>
              </w:rPr>
            </w:pPr>
            <w:r w:rsidRPr="0029563B">
              <w:rPr>
                <w:rFonts w:ascii="Calibri" w:hAnsi="Calibri" w:cs="Calibri"/>
              </w:rPr>
              <w:t>156 (19.5)</w:t>
            </w:r>
          </w:p>
        </w:tc>
        <w:tc>
          <w:tcPr>
            <w:tcW w:w="1701" w:type="dxa"/>
            <w:vAlign w:val="bottom"/>
          </w:tcPr>
          <w:p w14:paraId="56BB3983" w14:textId="77777777" w:rsidR="00087C39" w:rsidRPr="0029563B" w:rsidRDefault="00087C39" w:rsidP="003461C2">
            <w:pPr>
              <w:rPr>
                <w:rFonts w:ascii="Calibri" w:hAnsi="Calibri" w:cs="Calibri"/>
              </w:rPr>
            </w:pPr>
            <w:r w:rsidRPr="0029563B">
              <w:rPr>
                <w:rFonts w:ascii="Calibri" w:hAnsi="Calibri" w:cs="Calibri"/>
              </w:rPr>
              <w:t>82 (10.3)</w:t>
            </w:r>
          </w:p>
        </w:tc>
      </w:tr>
      <w:tr w:rsidR="00087C39" w14:paraId="23B91530" w14:textId="77777777" w:rsidTr="003461C2">
        <w:trPr>
          <w:trHeight w:val="256"/>
        </w:trPr>
        <w:tc>
          <w:tcPr>
            <w:tcW w:w="2276" w:type="dxa"/>
          </w:tcPr>
          <w:p w14:paraId="24E6F39B" w14:textId="33C2D854" w:rsidR="00087C39" w:rsidRDefault="00102260" w:rsidP="0010226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087C39">
              <w:rPr>
                <w:lang w:val="en-US"/>
              </w:rPr>
              <w:t>85</w:t>
            </w:r>
            <w:r w:rsidR="00364FF6">
              <w:rPr>
                <w:lang w:val="en-US"/>
              </w:rPr>
              <w:t xml:space="preserve"> years</w:t>
            </w:r>
          </w:p>
        </w:tc>
        <w:tc>
          <w:tcPr>
            <w:tcW w:w="1552" w:type="dxa"/>
            <w:vAlign w:val="bottom"/>
          </w:tcPr>
          <w:p w14:paraId="4B1C37B5" w14:textId="77777777" w:rsidR="00087C39" w:rsidRPr="00C866F6" w:rsidRDefault="00087C39" w:rsidP="003461C2">
            <w:pPr>
              <w:rPr>
                <w:rFonts w:ascii="Calibri" w:hAnsi="Calibri" w:cs="Calibri"/>
              </w:rPr>
            </w:pPr>
            <w:r w:rsidRPr="00C866F6">
              <w:rPr>
                <w:rFonts w:ascii="Calibri" w:hAnsi="Calibri" w:cs="Calibri"/>
              </w:rPr>
              <w:t>8.0 (4.0-16.0)</w:t>
            </w:r>
          </w:p>
        </w:tc>
        <w:tc>
          <w:tcPr>
            <w:tcW w:w="1519" w:type="dxa"/>
            <w:vAlign w:val="bottom"/>
          </w:tcPr>
          <w:p w14:paraId="1491EFA7" w14:textId="77777777" w:rsidR="00087C39" w:rsidRPr="00C866F6" w:rsidRDefault="00087C39" w:rsidP="003461C2">
            <w:pPr>
              <w:rPr>
                <w:rFonts w:ascii="Calibri" w:hAnsi="Calibri" w:cs="Calibri"/>
              </w:rPr>
            </w:pPr>
            <w:r w:rsidRPr="00C866F6">
              <w:rPr>
                <w:rFonts w:ascii="Calibri" w:hAnsi="Calibri" w:cs="Calibri"/>
              </w:rPr>
              <w:t>4.0 (2.0-7.0)</w:t>
            </w:r>
          </w:p>
        </w:tc>
        <w:tc>
          <w:tcPr>
            <w:tcW w:w="1540" w:type="dxa"/>
            <w:vAlign w:val="bottom"/>
          </w:tcPr>
          <w:p w14:paraId="3DA3856D" w14:textId="77777777" w:rsidR="00087C39" w:rsidRPr="0029563B" w:rsidRDefault="00087C39" w:rsidP="003461C2">
            <w:pPr>
              <w:rPr>
                <w:rFonts w:ascii="Calibri" w:hAnsi="Calibri" w:cs="Calibri"/>
              </w:rPr>
            </w:pPr>
            <w:r w:rsidRPr="0029563B">
              <w:rPr>
                <w:rFonts w:ascii="Calibri" w:hAnsi="Calibri" w:cs="Calibri"/>
              </w:rPr>
              <w:t>103 (11.9)</w:t>
            </w:r>
          </w:p>
        </w:tc>
        <w:tc>
          <w:tcPr>
            <w:tcW w:w="1701" w:type="dxa"/>
            <w:vAlign w:val="bottom"/>
          </w:tcPr>
          <w:p w14:paraId="4542836F" w14:textId="77777777" w:rsidR="00087C39" w:rsidRPr="0029563B" w:rsidRDefault="00087C39" w:rsidP="003461C2">
            <w:pPr>
              <w:rPr>
                <w:rFonts w:ascii="Calibri" w:hAnsi="Calibri" w:cs="Calibri"/>
              </w:rPr>
            </w:pPr>
            <w:r w:rsidRPr="0029563B">
              <w:rPr>
                <w:rFonts w:ascii="Calibri" w:hAnsi="Calibri" w:cs="Calibri"/>
              </w:rPr>
              <w:t>111 (12.8)</w:t>
            </w:r>
          </w:p>
        </w:tc>
      </w:tr>
    </w:tbl>
    <w:p w14:paraId="09DDFCF4" w14:textId="77777777" w:rsidR="00087C39" w:rsidRDefault="00087C39" w:rsidP="0037553B">
      <w:pPr>
        <w:rPr>
          <w:lang w:val="en-US"/>
        </w:rPr>
      </w:pPr>
    </w:p>
    <w:p w14:paraId="5E5990F3" w14:textId="77777777" w:rsidR="00087C39" w:rsidRDefault="00087C39" w:rsidP="0037553B">
      <w:pPr>
        <w:rPr>
          <w:lang w:val="en-US"/>
        </w:rPr>
      </w:pPr>
    </w:p>
    <w:p w14:paraId="707A4B84" w14:textId="77777777" w:rsidR="00087C39" w:rsidRDefault="00087C39" w:rsidP="0037553B">
      <w:pPr>
        <w:rPr>
          <w:lang w:val="en-US"/>
        </w:rPr>
      </w:pPr>
    </w:p>
    <w:p w14:paraId="5F017E74" w14:textId="77777777" w:rsidR="00087C39" w:rsidRDefault="00087C39" w:rsidP="0037553B">
      <w:pPr>
        <w:rPr>
          <w:lang w:val="en-US"/>
        </w:rPr>
      </w:pPr>
    </w:p>
    <w:p w14:paraId="285DD21F" w14:textId="77777777" w:rsidR="00087C39" w:rsidRDefault="00087C39" w:rsidP="0037553B">
      <w:pPr>
        <w:rPr>
          <w:lang w:val="en-US"/>
        </w:rPr>
      </w:pPr>
    </w:p>
    <w:p w14:paraId="2ABDB5DB" w14:textId="77777777" w:rsidR="00087C39" w:rsidRDefault="00087C39" w:rsidP="0037553B">
      <w:pPr>
        <w:rPr>
          <w:lang w:val="en-US"/>
        </w:rPr>
      </w:pPr>
    </w:p>
    <w:p w14:paraId="670320C1" w14:textId="77777777" w:rsidR="00087C39" w:rsidRDefault="00087C39" w:rsidP="0037553B">
      <w:pPr>
        <w:rPr>
          <w:lang w:val="en-US"/>
        </w:rPr>
      </w:pPr>
    </w:p>
    <w:p w14:paraId="41DD37B2" w14:textId="77777777" w:rsidR="00087C39" w:rsidRDefault="00087C39" w:rsidP="0037553B">
      <w:pPr>
        <w:rPr>
          <w:lang w:val="en-US"/>
        </w:rPr>
      </w:pPr>
    </w:p>
    <w:p w14:paraId="649D26B6" w14:textId="77777777" w:rsidR="00087C39" w:rsidRDefault="00087C39" w:rsidP="0037553B">
      <w:pPr>
        <w:rPr>
          <w:lang w:val="en-US"/>
        </w:rPr>
      </w:pPr>
    </w:p>
    <w:p w14:paraId="4D0053F7" w14:textId="77777777" w:rsidR="00087C39" w:rsidRDefault="00087C39" w:rsidP="0037553B">
      <w:pPr>
        <w:rPr>
          <w:lang w:val="en-US"/>
        </w:rPr>
      </w:pPr>
    </w:p>
    <w:p w14:paraId="060B7EE2" w14:textId="77777777" w:rsidR="00087C39" w:rsidRDefault="00087C39" w:rsidP="0037553B">
      <w:pPr>
        <w:rPr>
          <w:lang w:val="en-US"/>
        </w:rPr>
      </w:pPr>
    </w:p>
    <w:p w14:paraId="210FE0E8" w14:textId="77777777" w:rsidR="00087C39" w:rsidRDefault="00087C39" w:rsidP="0037553B">
      <w:pPr>
        <w:rPr>
          <w:lang w:val="en-US"/>
        </w:rPr>
      </w:pPr>
    </w:p>
    <w:p w14:paraId="56F9FE5B" w14:textId="77777777" w:rsidR="00087C39" w:rsidRDefault="00087C39" w:rsidP="0037553B">
      <w:pPr>
        <w:rPr>
          <w:lang w:val="en-US"/>
        </w:rPr>
      </w:pPr>
    </w:p>
    <w:p w14:paraId="3EF38401" w14:textId="77777777" w:rsidR="00087C39" w:rsidRDefault="00087C39" w:rsidP="0037553B">
      <w:pPr>
        <w:rPr>
          <w:lang w:val="en-US"/>
        </w:rPr>
      </w:pPr>
    </w:p>
    <w:p w14:paraId="0C57D8E1" w14:textId="77777777" w:rsidR="00087C39" w:rsidRDefault="00087C39" w:rsidP="0037553B">
      <w:pPr>
        <w:rPr>
          <w:lang w:val="en-US"/>
        </w:rPr>
      </w:pPr>
    </w:p>
    <w:p w14:paraId="1352BA80" w14:textId="77777777" w:rsidR="00087C39" w:rsidRDefault="00087C39" w:rsidP="0037553B">
      <w:pPr>
        <w:rPr>
          <w:lang w:val="en-US"/>
        </w:rPr>
      </w:pPr>
    </w:p>
    <w:p w14:paraId="35D216BC" w14:textId="77777777" w:rsidR="00087C39" w:rsidRDefault="00087C39" w:rsidP="0037553B">
      <w:pPr>
        <w:rPr>
          <w:lang w:val="en-US"/>
        </w:rPr>
      </w:pPr>
    </w:p>
    <w:p w14:paraId="56144421" w14:textId="77777777" w:rsidR="00087C39" w:rsidRDefault="00087C39" w:rsidP="0037553B">
      <w:pPr>
        <w:rPr>
          <w:lang w:val="en-US"/>
        </w:rPr>
      </w:pPr>
    </w:p>
    <w:p w14:paraId="5B9548B0" w14:textId="77777777" w:rsidR="00087C39" w:rsidRDefault="00087C39" w:rsidP="0037553B">
      <w:pPr>
        <w:rPr>
          <w:lang w:val="en-US"/>
        </w:rPr>
      </w:pPr>
    </w:p>
    <w:p w14:paraId="23D30339" w14:textId="77777777" w:rsidR="00087C39" w:rsidRDefault="00087C39" w:rsidP="0037553B">
      <w:pPr>
        <w:rPr>
          <w:lang w:val="en-US"/>
        </w:rPr>
      </w:pPr>
    </w:p>
    <w:p w14:paraId="4181AB20" w14:textId="77777777" w:rsidR="00087C39" w:rsidRDefault="00087C39" w:rsidP="0037553B">
      <w:pPr>
        <w:rPr>
          <w:lang w:val="en-US"/>
        </w:rPr>
      </w:pPr>
    </w:p>
    <w:p w14:paraId="4B567A75" w14:textId="77777777" w:rsidR="00087C39" w:rsidRDefault="00087C39" w:rsidP="0037553B">
      <w:pPr>
        <w:rPr>
          <w:lang w:val="en-US"/>
        </w:rPr>
      </w:pPr>
    </w:p>
    <w:p w14:paraId="7DCC9872" w14:textId="77777777" w:rsidR="00087C39" w:rsidRPr="00B64799" w:rsidRDefault="00087C39" w:rsidP="0037553B">
      <w:pPr>
        <w:rPr>
          <w:lang w:val="en-US"/>
        </w:rPr>
      </w:pPr>
    </w:p>
    <w:p w14:paraId="33E4112D" w14:textId="4B3FD076" w:rsidR="0037553B" w:rsidRPr="004E6F07" w:rsidRDefault="0037553B" w:rsidP="0037553B">
      <w:pPr>
        <w:rPr>
          <w:lang w:val="en-US"/>
        </w:rPr>
      </w:pPr>
      <w:r>
        <w:rPr>
          <w:b/>
          <w:lang w:val="en-US"/>
        </w:rPr>
        <w:lastRenderedPageBreak/>
        <w:t>Table S</w:t>
      </w:r>
      <w:r w:rsidR="00087C39">
        <w:rPr>
          <w:b/>
          <w:lang w:val="en-US"/>
        </w:rPr>
        <w:t>7</w:t>
      </w:r>
      <w:r w:rsidRPr="004E6F07">
        <w:rPr>
          <w:lang w:val="en-US"/>
        </w:rPr>
        <w:t xml:space="preserve">: Top 5 </w:t>
      </w:r>
      <w:r w:rsidR="00260BF3">
        <w:rPr>
          <w:lang w:val="en-US"/>
        </w:rPr>
        <w:t xml:space="preserve">most responsible diagnosis </w:t>
      </w:r>
      <w:r w:rsidRPr="004E6F07">
        <w:rPr>
          <w:lang w:val="en-US"/>
        </w:rPr>
        <w:t>of patients without RSV as their most responsible diagnosis by age (n</w:t>
      </w:r>
      <w:r w:rsidR="00CA43C3">
        <w:rPr>
          <w:lang w:val="en-US"/>
        </w:rPr>
        <w:t xml:space="preserve"> </w:t>
      </w:r>
      <w:r w:rsidRPr="004E6F07">
        <w:rPr>
          <w:lang w:val="en-US"/>
        </w:rPr>
        <w:t xml:space="preserve">= 4284).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37553B" w:rsidRPr="004E6F07" w14:paraId="7BB2AB6A" w14:textId="77777777" w:rsidTr="0037553B">
        <w:tc>
          <w:tcPr>
            <w:tcW w:w="7513" w:type="dxa"/>
          </w:tcPr>
          <w:p w14:paraId="4F73C75C" w14:textId="75707608" w:rsidR="0037553B" w:rsidRPr="004E6F07" w:rsidRDefault="0037553B" w:rsidP="003A70DA">
            <w:pPr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 xml:space="preserve">Age, </w:t>
            </w:r>
            <w:r w:rsidR="003A70DA">
              <w:rPr>
                <w:b/>
                <w:lang w:val="en-US"/>
              </w:rPr>
              <w:t>M</w:t>
            </w:r>
            <w:r w:rsidR="003A70DA" w:rsidRPr="003A70DA">
              <w:rPr>
                <w:b/>
                <w:lang w:val="en-US"/>
              </w:rPr>
              <w:t>ost responsible diagnosis</w:t>
            </w:r>
            <w:r w:rsidR="003A70DA">
              <w:rPr>
                <w:b/>
                <w:lang w:val="en-US"/>
              </w:rPr>
              <w:t xml:space="preserve">, </w:t>
            </w:r>
            <w:r w:rsidR="003A70DA" w:rsidRPr="004E6F07">
              <w:rPr>
                <w:b/>
                <w:lang w:val="en-US"/>
              </w:rPr>
              <w:t>n (%)</w:t>
            </w:r>
          </w:p>
        </w:tc>
        <w:tc>
          <w:tcPr>
            <w:tcW w:w="1843" w:type="dxa"/>
          </w:tcPr>
          <w:p w14:paraId="27B3F05C" w14:textId="52B76746" w:rsidR="003A70DA" w:rsidRPr="004E6F07" w:rsidRDefault="0037553B" w:rsidP="003A70DA">
            <w:pPr>
              <w:jc w:val="center"/>
              <w:rPr>
                <w:b/>
                <w:lang w:val="en-US"/>
              </w:rPr>
            </w:pPr>
            <w:r w:rsidRPr="004E6F07">
              <w:rPr>
                <w:b/>
                <w:lang w:val="en-US"/>
              </w:rPr>
              <w:t xml:space="preserve">Non-RSV </w:t>
            </w:r>
            <w:r w:rsidR="003A70DA">
              <w:rPr>
                <w:b/>
                <w:lang w:val="en-US"/>
              </w:rPr>
              <w:t>m</w:t>
            </w:r>
            <w:r w:rsidR="003A70DA" w:rsidRPr="003A70DA">
              <w:rPr>
                <w:b/>
                <w:lang w:val="en-US"/>
              </w:rPr>
              <w:t>ost responsible diagnosis</w:t>
            </w:r>
          </w:p>
          <w:p w14:paraId="3D18CE64" w14:textId="111501EE" w:rsidR="0037553B" w:rsidRPr="004E6F07" w:rsidRDefault="0037553B" w:rsidP="0037553B">
            <w:pPr>
              <w:jc w:val="center"/>
              <w:rPr>
                <w:b/>
                <w:lang w:val="en-US"/>
              </w:rPr>
            </w:pPr>
          </w:p>
        </w:tc>
      </w:tr>
      <w:tr w:rsidR="0037553B" w:rsidRPr="004E6F07" w14:paraId="21A20E6A" w14:textId="77777777" w:rsidTr="0037553B">
        <w:tc>
          <w:tcPr>
            <w:tcW w:w="7513" w:type="dxa"/>
          </w:tcPr>
          <w:p w14:paraId="10670097" w14:textId="3D275471" w:rsidR="0037553B" w:rsidRPr="004E6F07" w:rsidRDefault="00C93FF0" w:rsidP="0037553B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7553B" w:rsidRPr="004E6F07">
              <w:rPr>
                <w:lang w:val="en-US"/>
              </w:rPr>
              <w:t xml:space="preserve">5 years </w:t>
            </w:r>
          </w:p>
        </w:tc>
        <w:tc>
          <w:tcPr>
            <w:tcW w:w="1843" w:type="dxa"/>
          </w:tcPr>
          <w:p w14:paraId="5A8E56BA" w14:textId="77777777" w:rsidR="0037553B" w:rsidRPr="004E6F07" w:rsidRDefault="0037553B" w:rsidP="0037553B">
            <w:pPr>
              <w:rPr>
                <w:lang w:val="en-US"/>
              </w:rPr>
            </w:pPr>
          </w:p>
        </w:tc>
      </w:tr>
      <w:tr w:rsidR="0037553B" w:rsidRPr="004E6F07" w14:paraId="53B046E6" w14:textId="77777777" w:rsidTr="0037553B">
        <w:tc>
          <w:tcPr>
            <w:tcW w:w="7513" w:type="dxa"/>
            <w:vAlign w:val="bottom"/>
          </w:tcPr>
          <w:p w14:paraId="610FC11D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(J069) ACUTE UPPER RESPIRATORY INFECTION, UNSPECIFIED</w:t>
            </w:r>
          </w:p>
        </w:tc>
        <w:tc>
          <w:tcPr>
            <w:tcW w:w="1843" w:type="dxa"/>
            <w:vAlign w:val="bottom"/>
          </w:tcPr>
          <w:p w14:paraId="34704FC0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166 (13.9)</w:t>
            </w:r>
          </w:p>
        </w:tc>
      </w:tr>
      <w:tr w:rsidR="0037553B" w:rsidRPr="004E6F07" w14:paraId="5D18F0EB" w14:textId="77777777" w:rsidTr="0037553B">
        <w:tc>
          <w:tcPr>
            <w:tcW w:w="7513" w:type="dxa"/>
            <w:vAlign w:val="bottom"/>
          </w:tcPr>
          <w:p w14:paraId="2C9CD0B4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(J4500) PREDOMINANTLY ALLERGIC ASTHMA WITHOUT STATED STATUS ASTHMATICUS</w:t>
            </w:r>
          </w:p>
        </w:tc>
        <w:tc>
          <w:tcPr>
            <w:tcW w:w="1843" w:type="dxa"/>
            <w:vAlign w:val="bottom"/>
          </w:tcPr>
          <w:p w14:paraId="16FF597E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156 (13.1)</w:t>
            </w:r>
          </w:p>
        </w:tc>
      </w:tr>
      <w:tr w:rsidR="0037553B" w:rsidRPr="004E6F07" w14:paraId="56F3B0E5" w14:textId="77777777" w:rsidTr="0037553B">
        <w:tc>
          <w:tcPr>
            <w:tcW w:w="7513" w:type="dxa"/>
            <w:vAlign w:val="bottom"/>
          </w:tcPr>
          <w:p w14:paraId="20DF3F6A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(J159) BACTERIAL PNEUMONIA, UNSPECIFIED</w:t>
            </w:r>
          </w:p>
        </w:tc>
        <w:tc>
          <w:tcPr>
            <w:tcW w:w="1843" w:type="dxa"/>
            <w:vAlign w:val="bottom"/>
          </w:tcPr>
          <w:p w14:paraId="2F908965" w14:textId="77777777" w:rsidR="0037553B" w:rsidRPr="004E6F07" w:rsidRDefault="0037553B" w:rsidP="0037553B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F07">
              <w:rPr>
                <w:rFonts w:ascii="Calibri" w:hAnsi="Calibri" w:cs="Calibri"/>
                <w:color w:val="000000"/>
              </w:rPr>
              <w:t>131 (11.0)</w:t>
            </w:r>
          </w:p>
        </w:tc>
      </w:tr>
      <w:tr w:rsidR="0037553B" w:rsidRPr="004E6F07" w14:paraId="7F0CB63D" w14:textId="77777777" w:rsidTr="0037553B">
        <w:tc>
          <w:tcPr>
            <w:tcW w:w="7513" w:type="dxa"/>
            <w:vAlign w:val="bottom"/>
          </w:tcPr>
          <w:p w14:paraId="5DD62CC9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(J189) PNEUMONIA, UNSPECIFIED</w:t>
            </w:r>
          </w:p>
        </w:tc>
        <w:tc>
          <w:tcPr>
            <w:tcW w:w="1843" w:type="dxa"/>
            <w:vAlign w:val="bottom"/>
          </w:tcPr>
          <w:p w14:paraId="7C8114ED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93 (7.8)</w:t>
            </w:r>
          </w:p>
        </w:tc>
      </w:tr>
      <w:tr w:rsidR="0037553B" w:rsidRPr="004E6F07" w14:paraId="43187FE4" w14:textId="77777777" w:rsidTr="0037553B">
        <w:tc>
          <w:tcPr>
            <w:tcW w:w="7513" w:type="dxa"/>
            <w:vAlign w:val="bottom"/>
          </w:tcPr>
          <w:p w14:paraId="25B842F7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(J22) UNSPECIFIED ACUTE LOWER RESPIRATORY INFECTION</w:t>
            </w:r>
          </w:p>
        </w:tc>
        <w:tc>
          <w:tcPr>
            <w:tcW w:w="1843" w:type="dxa"/>
            <w:vAlign w:val="bottom"/>
          </w:tcPr>
          <w:p w14:paraId="28EDBA80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50 (4.2)</w:t>
            </w:r>
          </w:p>
        </w:tc>
      </w:tr>
      <w:tr w:rsidR="0037553B" w:rsidRPr="004E6F07" w14:paraId="1BB69FBA" w14:textId="77777777" w:rsidTr="0037553B">
        <w:tc>
          <w:tcPr>
            <w:tcW w:w="7513" w:type="dxa"/>
            <w:vAlign w:val="bottom"/>
          </w:tcPr>
          <w:p w14:paraId="1DEF1AEF" w14:textId="50720AA0" w:rsidR="0037553B" w:rsidRPr="004E6F07" w:rsidRDefault="0037553B" w:rsidP="0037553B">
            <w:pPr>
              <w:rPr>
                <w:lang w:val="en-US"/>
              </w:rPr>
            </w:pPr>
            <w:r w:rsidRPr="004E6F07">
              <w:rPr>
                <w:lang w:val="en-US"/>
              </w:rPr>
              <w:t>5</w:t>
            </w:r>
            <w:r w:rsidR="00232348">
              <w:rPr>
                <w:lang w:val="en-US"/>
              </w:rPr>
              <w:t>-</w:t>
            </w:r>
            <w:r w:rsidRPr="004E6F07">
              <w:rPr>
                <w:lang w:val="en-US"/>
              </w:rPr>
              <w:t xml:space="preserve">64 years </w:t>
            </w:r>
          </w:p>
        </w:tc>
        <w:tc>
          <w:tcPr>
            <w:tcW w:w="1843" w:type="dxa"/>
          </w:tcPr>
          <w:p w14:paraId="78E8F2C6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:rsidRPr="004E6F07" w14:paraId="707D3E1B" w14:textId="77777777" w:rsidTr="0037553B">
        <w:tc>
          <w:tcPr>
            <w:tcW w:w="7513" w:type="dxa"/>
            <w:vAlign w:val="bottom"/>
          </w:tcPr>
          <w:p w14:paraId="481A578B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(J440) CHRONIC OBSTRUCTIVE PULMONARY DISEASE WITH ACUTE LOWER RESPIRATORY INFECTION</w:t>
            </w:r>
          </w:p>
        </w:tc>
        <w:tc>
          <w:tcPr>
            <w:tcW w:w="1843" w:type="dxa"/>
            <w:vAlign w:val="bottom"/>
          </w:tcPr>
          <w:p w14:paraId="359D5972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107 (13.9)</w:t>
            </w:r>
          </w:p>
        </w:tc>
      </w:tr>
      <w:tr w:rsidR="0037553B" w:rsidRPr="004E6F07" w14:paraId="2513A83F" w14:textId="77777777" w:rsidTr="0037553B">
        <w:tc>
          <w:tcPr>
            <w:tcW w:w="7513" w:type="dxa"/>
            <w:vAlign w:val="bottom"/>
          </w:tcPr>
          <w:p w14:paraId="0FC48DE5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(J441) CHRONIC OBSTRUCTIVE PULMONARY DISEASE WITH ACUTE EXACERBATION, UNSPECIFIED</w:t>
            </w:r>
          </w:p>
        </w:tc>
        <w:tc>
          <w:tcPr>
            <w:tcW w:w="1843" w:type="dxa"/>
            <w:vAlign w:val="bottom"/>
          </w:tcPr>
          <w:p w14:paraId="028435E1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69 (9.0)</w:t>
            </w:r>
          </w:p>
        </w:tc>
      </w:tr>
      <w:tr w:rsidR="0037553B" w:rsidRPr="004E6F07" w14:paraId="48156E4D" w14:textId="77777777" w:rsidTr="0037553B">
        <w:tc>
          <w:tcPr>
            <w:tcW w:w="7513" w:type="dxa"/>
            <w:vAlign w:val="bottom"/>
          </w:tcPr>
          <w:p w14:paraId="7E2A3281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(J069) ACUTE UPPER RESPIRATORY INFECTION, UNSPECIFIED</w:t>
            </w:r>
          </w:p>
        </w:tc>
        <w:tc>
          <w:tcPr>
            <w:tcW w:w="1843" w:type="dxa"/>
            <w:vAlign w:val="bottom"/>
          </w:tcPr>
          <w:p w14:paraId="33E089DB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59 (7.7)</w:t>
            </w:r>
          </w:p>
        </w:tc>
      </w:tr>
      <w:tr w:rsidR="0037553B" w:rsidRPr="004E6F07" w14:paraId="0E2157FE" w14:textId="77777777" w:rsidTr="0037553B">
        <w:tc>
          <w:tcPr>
            <w:tcW w:w="7513" w:type="dxa"/>
            <w:vAlign w:val="bottom"/>
          </w:tcPr>
          <w:p w14:paraId="79354E58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(J4590) ASTHMA, UNSPECIFIED, WITHOUT STATED STATUS ASTHMATICUS</w:t>
            </w:r>
          </w:p>
        </w:tc>
        <w:tc>
          <w:tcPr>
            <w:tcW w:w="1843" w:type="dxa"/>
            <w:vAlign w:val="bottom"/>
          </w:tcPr>
          <w:p w14:paraId="0D0B8606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27 (3.5)</w:t>
            </w:r>
          </w:p>
        </w:tc>
      </w:tr>
      <w:tr w:rsidR="0037553B" w:rsidRPr="004E6F07" w14:paraId="5B432E15" w14:textId="77777777" w:rsidTr="0037553B">
        <w:tc>
          <w:tcPr>
            <w:tcW w:w="7513" w:type="dxa"/>
            <w:vAlign w:val="bottom"/>
          </w:tcPr>
          <w:p w14:paraId="30396D83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(J4500) PREDOMINANTLY ALLERGIC ASTHMA WITHOUT STATED STATUS ASTHMATICUS</w:t>
            </w:r>
          </w:p>
        </w:tc>
        <w:tc>
          <w:tcPr>
            <w:tcW w:w="1843" w:type="dxa"/>
            <w:vAlign w:val="bottom"/>
          </w:tcPr>
          <w:p w14:paraId="262B03F2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26 (3.4)</w:t>
            </w:r>
          </w:p>
        </w:tc>
      </w:tr>
      <w:tr w:rsidR="0037553B" w:rsidRPr="004E6F07" w14:paraId="013F2954" w14:textId="77777777" w:rsidTr="0037553B">
        <w:tc>
          <w:tcPr>
            <w:tcW w:w="7513" w:type="dxa"/>
            <w:vAlign w:val="bottom"/>
          </w:tcPr>
          <w:p w14:paraId="3B4BCD4C" w14:textId="05BF1BDF" w:rsidR="0037553B" w:rsidRPr="004E6F07" w:rsidRDefault="00C93FF0" w:rsidP="0037553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>
              <w:rPr>
                <w:lang w:val="en-US"/>
              </w:rPr>
              <w:t>65 years</w:t>
            </w:r>
          </w:p>
        </w:tc>
        <w:tc>
          <w:tcPr>
            <w:tcW w:w="1843" w:type="dxa"/>
          </w:tcPr>
          <w:p w14:paraId="660FA523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</w:p>
        </w:tc>
      </w:tr>
      <w:tr w:rsidR="0037553B" w:rsidRPr="004E6F07" w14:paraId="1A4E3CF7" w14:textId="77777777" w:rsidTr="00087C39">
        <w:trPr>
          <w:trHeight w:val="70"/>
        </w:trPr>
        <w:tc>
          <w:tcPr>
            <w:tcW w:w="7513" w:type="dxa"/>
            <w:vAlign w:val="bottom"/>
          </w:tcPr>
          <w:p w14:paraId="6F21276C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(J440) CHRONIC OBSTRUCTIVE PULMONARY DISEASE WITH ACUTE LOWER RESPIRATORY INFECTION</w:t>
            </w:r>
          </w:p>
        </w:tc>
        <w:tc>
          <w:tcPr>
            <w:tcW w:w="1843" w:type="dxa"/>
            <w:vAlign w:val="bottom"/>
          </w:tcPr>
          <w:p w14:paraId="65F24502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511 (22.0)</w:t>
            </w:r>
          </w:p>
        </w:tc>
      </w:tr>
      <w:tr w:rsidR="0037553B" w:rsidRPr="004E6F07" w14:paraId="7B172807" w14:textId="77777777" w:rsidTr="0037553B">
        <w:tc>
          <w:tcPr>
            <w:tcW w:w="7513" w:type="dxa"/>
            <w:vAlign w:val="bottom"/>
          </w:tcPr>
          <w:p w14:paraId="46857E09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(J441) CHRONIC OBSTRUCTIVE PULMONARY DISEASE WITH ACUTE EXACERBATION, UNSPECIFIED</w:t>
            </w:r>
          </w:p>
        </w:tc>
        <w:tc>
          <w:tcPr>
            <w:tcW w:w="1843" w:type="dxa"/>
            <w:vAlign w:val="bottom"/>
          </w:tcPr>
          <w:p w14:paraId="0A4102DA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316 (13.6)</w:t>
            </w:r>
          </w:p>
        </w:tc>
      </w:tr>
      <w:tr w:rsidR="0037553B" w:rsidRPr="004E6F07" w14:paraId="52CA3065" w14:textId="77777777" w:rsidTr="0037553B">
        <w:tc>
          <w:tcPr>
            <w:tcW w:w="7513" w:type="dxa"/>
            <w:vAlign w:val="bottom"/>
          </w:tcPr>
          <w:p w14:paraId="426795A5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(J069) ACUTE UPPER RESPIRATORY INFECTION, UNSPECIFIED</w:t>
            </w:r>
          </w:p>
        </w:tc>
        <w:tc>
          <w:tcPr>
            <w:tcW w:w="1843" w:type="dxa"/>
            <w:vAlign w:val="bottom"/>
          </w:tcPr>
          <w:p w14:paraId="1AE4B396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212 (9.1)</w:t>
            </w:r>
          </w:p>
        </w:tc>
      </w:tr>
      <w:tr w:rsidR="0037553B" w:rsidRPr="004E6F07" w14:paraId="6CBAE813" w14:textId="77777777" w:rsidTr="0037553B">
        <w:tc>
          <w:tcPr>
            <w:tcW w:w="7513" w:type="dxa"/>
            <w:vAlign w:val="bottom"/>
          </w:tcPr>
          <w:p w14:paraId="31AF87A8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(I500) CONGESTIVE HEART FAILURE</w:t>
            </w:r>
          </w:p>
        </w:tc>
        <w:tc>
          <w:tcPr>
            <w:tcW w:w="1843" w:type="dxa"/>
            <w:vAlign w:val="bottom"/>
          </w:tcPr>
          <w:p w14:paraId="35F40043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159 (6.9)</w:t>
            </w:r>
          </w:p>
        </w:tc>
      </w:tr>
      <w:tr w:rsidR="0037553B" w:rsidRPr="004E6F07" w14:paraId="5D87AAC8" w14:textId="77777777" w:rsidTr="0037553B">
        <w:tc>
          <w:tcPr>
            <w:tcW w:w="7513" w:type="dxa"/>
            <w:vAlign w:val="bottom"/>
          </w:tcPr>
          <w:p w14:paraId="596603A8" w14:textId="77777777" w:rsidR="0037553B" w:rsidRPr="004E6F07" w:rsidRDefault="0037553B" w:rsidP="0037553B">
            <w:pPr>
              <w:ind w:left="720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(J4590) ASTHMA, UNSPECIFIED, WITHOUT STATED STATUS ASTHMATICUS</w:t>
            </w:r>
          </w:p>
        </w:tc>
        <w:tc>
          <w:tcPr>
            <w:tcW w:w="1843" w:type="dxa"/>
            <w:vAlign w:val="bottom"/>
          </w:tcPr>
          <w:p w14:paraId="39A72D75" w14:textId="77777777" w:rsidR="0037553B" w:rsidRPr="004E6F07" w:rsidRDefault="0037553B" w:rsidP="0037553B">
            <w:pPr>
              <w:jc w:val="center"/>
              <w:rPr>
                <w:lang w:val="en-US"/>
              </w:rPr>
            </w:pPr>
            <w:r w:rsidRPr="004E6F07">
              <w:rPr>
                <w:rFonts w:ascii="Calibri" w:hAnsi="Calibri" w:cs="Calibri"/>
                <w:color w:val="000000"/>
              </w:rPr>
              <w:t>57 (2.5)</w:t>
            </w:r>
          </w:p>
        </w:tc>
      </w:tr>
    </w:tbl>
    <w:p w14:paraId="38AFAD39" w14:textId="77777777" w:rsidR="0037553B" w:rsidRDefault="0037553B" w:rsidP="0037553B">
      <w:pPr>
        <w:rPr>
          <w:b/>
          <w:lang w:val="en-US"/>
        </w:rPr>
      </w:pPr>
    </w:p>
    <w:p w14:paraId="188EEDE0" w14:textId="77777777" w:rsidR="004C5709" w:rsidRDefault="004C5709" w:rsidP="004C5709">
      <w:pPr>
        <w:rPr>
          <w:b/>
        </w:rPr>
      </w:pPr>
    </w:p>
    <w:p w14:paraId="26397614" w14:textId="77777777" w:rsidR="00087C39" w:rsidRDefault="00087C39" w:rsidP="004C5709">
      <w:pPr>
        <w:rPr>
          <w:b/>
        </w:rPr>
      </w:pPr>
    </w:p>
    <w:p w14:paraId="401C9CD2" w14:textId="77777777" w:rsidR="00087C39" w:rsidRDefault="00087C39" w:rsidP="004C5709">
      <w:pPr>
        <w:rPr>
          <w:b/>
          <w:lang w:val="en-US"/>
        </w:rPr>
      </w:pPr>
    </w:p>
    <w:p w14:paraId="0765264A" w14:textId="24442BC6" w:rsidR="0037553B" w:rsidRDefault="0037553B" w:rsidP="0037553B">
      <w:pPr>
        <w:rPr>
          <w:highlight w:val="yellow"/>
        </w:rPr>
      </w:pPr>
    </w:p>
    <w:p w14:paraId="7EEC05CF" w14:textId="48F9BAB0" w:rsidR="00FC3727" w:rsidRDefault="00FC3727" w:rsidP="00027B12">
      <w:pPr>
        <w:jc w:val="center"/>
      </w:pPr>
    </w:p>
    <w:p w14:paraId="149FB31F" w14:textId="77777777" w:rsidR="00DF76D5" w:rsidRDefault="00DF76D5" w:rsidP="00027B12">
      <w:pPr>
        <w:jc w:val="center"/>
      </w:pPr>
    </w:p>
    <w:p w14:paraId="29868208" w14:textId="77777777" w:rsidR="00DF76D5" w:rsidRDefault="00DF76D5" w:rsidP="00027B12">
      <w:pPr>
        <w:jc w:val="center"/>
      </w:pPr>
    </w:p>
    <w:p w14:paraId="693D9A9A" w14:textId="77777777" w:rsidR="00DF76D5" w:rsidRDefault="00DF76D5" w:rsidP="00027B12">
      <w:pPr>
        <w:jc w:val="center"/>
      </w:pPr>
    </w:p>
    <w:p w14:paraId="454B7FBE" w14:textId="77777777" w:rsidR="00CA43C3" w:rsidRDefault="00CA43C3" w:rsidP="00DF76D5">
      <w:pPr>
        <w:rPr>
          <w:noProof/>
          <w:lang w:eastAsia="en-CA"/>
        </w:rPr>
      </w:pPr>
    </w:p>
    <w:p w14:paraId="4E78B81C" w14:textId="1F0292EB" w:rsidR="00DF76D5" w:rsidRPr="00CA43C3" w:rsidRDefault="00D63A08" w:rsidP="00DF76D5">
      <w:pPr>
        <w:rPr>
          <w:noProof/>
          <w:lang w:eastAsia="en-CA"/>
        </w:rPr>
      </w:pPr>
      <w:r w:rsidRPr="00D63A08">
        <w:rPr>
          <w:noProof/>
          <w:lang w:eastAsia="en-CA"/>
        </w:rPr>
        <w:drawing>
          <wp:inline distT="0" distB="0" distL="0" distR="0" wp14:anchorId="6A4C3B56" wp14:editId="098D3886">
            <wp:extent cx="5943600" cy="4043045"/>
            <wp:effectExtent l="0" t="0" r="0" b="0"/>
            <wp:docPr id="786457956" name="Picture 1" descr="A diagram of a medical proced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57956" name="Picture 1" descr="A diagram of a medical procedur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A08">
        <w:rPr>
          <w:noProof/>
          <w:lang w:eastAsia="en-CA"/>
        </w:rPr>
        <w:t xml:space="preserve"> </w:t>
      </w:r>
    </w:p>
    <w:p w14:paraId="083BECA2" w14:textId="77777777" w:rsidR="00DF76D5" w:rsidRDefault="00DF76D5" w:rsidP="00DF76D5">
      <w:r w:rsidRPr="0050488D">
        <w:rPr>
          <w:b/>
        </w:rPr>
        <w:t xml:space="preserve">Figure S1: </w:t>
      </w:r>
      <w:r w:rsidRPr="0050488D">
        <w:t>Cohort design flow chart.</w:t>
      </w:r>
    </w:p>
    <w:p w14:paraId="7DF1A9E3" w14:textId="77777777" w:rsidR="00DF76D5" w:rsidRDefault="00DF76D5" w:rsidP="00DF76D5">
      <w:pPr>
        <w:rPr>
          <w:b/>
          <w:u w:val="single"/>
        </w:rPr>
      </w:pPr>
    </w:p>
    <w:p w14:paraId="3B0F5BA8" w14:textId="43E3FF9F" w:rsidR="00DF76D5" w:rsidRDefault="00BA35B8" w:rsidP="00DF76D5">
      <w:pPr>
        <w:rPr>
          <w:lang w:val="en-US"/>
        </w:rPr>
      </w:pPr>
      <w:r>
        <w:rPr>
          <w:noProof/>
          <w:lang w:eastAsia="en-CA"/>
        </w:rPr>
        <w:lastRenderedPageBreak/>
        <w:drawing>
          <wp:inline distT="0" distB="0" distL="0" distR="0" wp14:anchorId="4EB847B9" wp14:editId="003C74D9">
            <wp:extent cx="5943600" cy="3239135"/>
            <wp:effectExtent l="0" t="0" r="0" b="18415"/>
            <wp:docPr id="12925387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3C0EFA" w14:textId="42CE34C9" w:rsidR="00DF76D5" w:rsidRDefault="00DF76D5" w:rsidP="00DF76D5">
      <w:pPr>
        <w:rPr>
          <w:lang w:val="en-US"/>
        </w:rPr>
      </w:pPr>
      <w:r w:rsidRPr="000D318F">
        <w:rPr>
          <w:b/>
          <w:lang w:val="en-US"/>
        </w:rPr>
        <w:t>Figure S</w:t>
      </w:r>
      <w:r>
        <w:rPr>
          <w:b/>
          <w:lang w:val="en-US"/>
        </w:rPr>
        <w:t>2</w:t>
      </w:r>
      <w:r w:rsidRPr="000D318F">
        <w:rPr>
          <w:b/>
          <w:lang w:val="en-US"/>
        </w:rPr>
        <w:t xml:space="preserve">: </w:t>
      </w:r>
      <w:r w:rsidRPr="000D318F">
        <w:rPr>
          <w:lang w:val="en-US"/>
        </w:rPr>
        <w:t>Cumulative proportion of RSV</w:t>
      </w:r>
      <w:r w:rsidR="008A590E">
        <w:rPr>
          <w:lang w:val="en-US"/>
        </w:rPr>
        <w:t>-related</w:t>
      </w:r>
      <w:r w:rsidRPr="000D318F">
        <w:rPr>
          <w:lang w:val="en-US"/>
        </w:rPr>
        <w:t xml:space="preserve"> hospitalization by month from September 1, 2016 to August 31, 2019, stratified by age.</w:t>
      </w:r>
      <w:r>
        <w:rPr>
          <w:lang w:val="en-US"/>
        </w:rPr>
        <w:t xml:space="preserve"> </w:t>
      </w:r>
    </w:p>
    <w:p w14:paraId="40112A50" w14:textId="77777777" w:rsidR="00FC3727" w:rsidRDefault="00FC3727" w:rsidP="0037553B"/>
    <w:p w14:paraId="252C2BA4" w14:textId="77777777" w:rsidR="00982467" w:rsidRDefault="00982467" w:rsidP="0037553B">
      <w:pPr>
        <w:rPr>
          <w:lang w:val="en-US"/>
        </w:rPr>
      </w:pPr>
    </w:p>
    <w:p w14:paraId="105C93CF" w14:textId="77777777" w:rsidR="00442A47" w:rsidRDefault="00442A47" w:rsidP="0037553B">
      <w:pPr>
        <w:rPr>
          <w:lang w:val="en-US"/>
        </w:rPr>
      </w:pPr>
    </w:p>
    <w:p w14:paraId="56E23242" w14:textId="77777777" w:rsidR="00442A47" w:rsidRDefault="00442A47" w:rsidP="0037553B">
      <w:pPr>
        <w:rPr>
          <w:lang w:val="en-US"/>
        </w:rPr>
      </w:pPr>
    </w:p>
    <w:p w14:paraId="58CBF9E7" w14:textId="77777777" w:rsidR="00442A47" w:rsidRDefault="00442A47" w:rsidP="0037553B">
      <w:pPr>
        <w:rPr>
          <w:lang w:val="en-US"/>
        </w:rPr>
      </w:pPr>
    </w:p>
    <w:p w14:paraId="21A82B21" w14:textId="77777777" w:rsidR="00442A47" w:rsidRDefault="00442A47" w:rsidP="0037553B">
      <w:pPr>
        <w:rPr>
          <w:lang w:val="en-US"/>
        </w:rPr>
      </w:pPr>
    </w:p>
    <w:p w14:paraId="387DDE86" w14:textId="77777777" w:rsidR="00442A47" w:rsidRDefault="00442A47" w:rsidP="0037553B">
      <w:pPr>
        <w:rPr>
          <w:lang w:val="en-US"/>
        </w:rPr>
      </w:pPr>
    </w:p>
    <w:p w14:paraId="4D6B96BD" w14:textId="2098E800" w:rsidR="00442A47" w:rsidRPr="0004378B" w:rsidRDefault="00442A47" w:rsidP="0037553B">
      <w:pPr>
        <w:rPr>
          <w:lang w:val="en-US"/>
        </w:rPr>
        <w:sectPr w:rsidR="00442A47" w:rsidRPr="0004378B" w:rsidSect="00A46E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3BF4500" w14:textId="4D8A9E00" w:rsidR="00442A47" w:rsidRPr="006140D2" w:rsidRDefault="00C95A4C" w:rsidP="00442A47">
      <w:pPr>
        <w:rPr>
          <w:lang w:val="en-US"/>
        </w:rPr>
      </w:pPr>
      <w:r>
        <w:rPr>
          <w:noProof/>
          <w:lang w:eastAsia="en-CA"/>
        </w:rPr>
        <w:lastRenderedPageBreak/>
        <w:drawing>
          <wp:inline distT="0" distB="0" distL="0" distR="0" wp14:anchorId="1C7DBE97" wp14:editId="7B24320A">
            <wp:extent cx="3073400" cy="6286500"/>
            <wp:effectExtent l="0" t="0" r="1270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C92331A" wp14:editId="4AC03E03">
            <wp:extent cx="3159230" cy="6289675"/>
            <wp:effectExtent l="0" t="0" r="3175" b="158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66E9FC59" wp14:editId="1EB5AA6C">
            <wp:extent cx="3343275" cy="6256655"/>
            <wp:effectExtent l="0" t="0" r="9525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DB868AC" w14:textId="64D1E807" w:rsidR="00442A47" w:rsidRDefault="00442A47" w:rsidP="00442A47">
      <w:pPr>
        <w:rPr>
          <w:lang w:val="en-US"/>
        </w:rPr>
      </w:pPr>
      <w:r w:rsidRPr="000563F1">
        <w:rPr>
          <w:b/>
          <w:lang w:val="en-US"/>
        </w:rPr>
        <w:lastRenderedPageBreak/>
        <w:t xml:space="preserve">Figure </w:t>
      </w:r>
      <w:r>
        <w:rPr>
          <w:b/>
          <w:lang w:val="en-US"/>
        </w:rPr>
        <w:t>S3</w:t>
      </w:r>
      <w:r w:rsidRPr="00C30B05">
        <w:rPr>
          <w:lang w:val="en-US"/>
        </w:rPr>
        <w:t xml:space="preserve">: </w:t>
      </w:r>
      <w:r>
        <w:rPr>
          <w:lang w:val="en-US"/>
        </w:rPr>
        <w:t>A</w:t>
      </w:r>
      <w:r w:rsidRPr="0096137C">
        <w:rPr>
          <w:lang w:val="en-US"/>
        </w:rPr>
        <w:t>ge-standardized annualized RSV</w:t>
      </w:r>
      <w:r>
        <w:rPr>
          <w:lang w:val="en-US"/>
        </w:rPr>
        <w:t>-related</w:t>
      </w:r>
      <w:r w:rsidRPr="0096137C">
        <w:rPr>
          <w:lang w:val="en-US"/>
        </w:rPr>
        <w:t xml:space="preserve"> hospitalization rates per 100,000 in Ontario by </w:t>
      </w:r>
      <w:r>
        <w:rPr>
          <w:lang w:val="en-US"/>
        </w:rPr>
        <w:t>sociodemographic and housing characteristics, stratified by age</w:t>
      </w:r>
      <w:r w:rsidRPr="00FB7496">
        <w:rPr>
          <w:sz w:val="24"/>
          <w:szCs w:val="24"/>
          <w:vertAlign w:val="superscript"/>
          <w:lang w:val="en-US"/>
        </w:rPr>
        <w:t>1</w:t>
      </w:r>
      <w:r w:rsidRPr="0096137C">
        <w:rPr>
          <w:lang w:val="en-US"/>
        </w:rPr>
        <w:t>.</w:t>
      </w:r>
    </w:p>
    <w:p w14:paraId="06947045" w14:textId="77777777" w:rsidR="00442A47" w:rsidRDefault="00442A47" w:rsidP="00442A47">
      <w:pPr>
        <w:rPr>
          <w:noProof/>
          <w:lang w:eastAsia="en-CA"/>
        </w:rPr>
      </w:pPr>
      <w:r w:rsidRPr="00FB7496">
        <w:rPr>
          <w:sz w:val="24"/>
          <w:szCs w:val="24"/>
          <w:vertAlign w:val="superscript"/>
          <w:lang w:val="en-US"/>
        </w:rPr>
        <w:t>1</w:t>
      </w:r>
      <w:r>
        <w:rPr>
          <w:lang w:val="en-US"/>
        </w:rPr>
        <w:t xml:space="preserve"> For each age panel, x-axis is shown on different scales.</w:t>
      </w:r>
      <w:r w:rsidRPr="0004378B">
        <w:rPr>
          <w:noProof/>
          <w:lang w:eastAsia="en-CA"/>
        </w:rPr>
        <w:t xml:space="preserve"> </w:t>
      </w:r>
    </w:p>
    <w:p w14:paraId="586113EB" w14:textId="77777777" w:rsidR="00982467" w:rsidRPr="0037553B" w:rsidRDefault="00982467">
      <w:pPr>
        <w:rPr>
          <w:lang w:val="en-US"/>
        </w:rPr>
      </w:pPr>
    </w:p>
    <w:sectPr w:rsidR="00982467" w:rsidRPr="0037553B" w:rsidSect="00A46E5B">
      <w:pgSz w:w="15840" w:h="12240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AA3E" w14:textId="77777777" w:rsidR="00A46E5B" w:rsidRDefault="00A46E5B" w:rsidP="001C19E3">
      <w:pPr>
        <w:spacing w:after="0" w:line="240" w:lineRule="auto"/>
      </w:pPr>
      <w:r>
        <w:separator/>
      </w:r>
    </w:p>
  </w:endnote>
  <w:endnote w:type="continuationSeparator" w:id="0">
    <w:p w14:paraId="48163174" w14:textId="77777777" w:rsidR="00A46E5B" w:rsidRDefault="00A46E5B" w:rsidP="001C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AC45" w14:textId="77777777" w:rsidR="008A4EFB" w:rsidRDefault="008A4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15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28BE8" w14:textId="2AC29A70" w:rsidR="008A4EFB" w:rsidRDefault="008A4E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9E860" w14:textId="77777777" w:rsidR="008A4EFB" w:rsidRDefault="008A4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F120" w14:textId="77777777" w:rsidR="008A4EFB" w:rsidRDefault="008A4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B43B" w14:textId="77777777" w:rsidR="00A46E5B" w:rsidRDefault="00A46E5B" w:rsidP="001C19E3">
      <w:pPr>
        <w:spacing w:after="0" w:line="240" w:lineRule="auto"/>
      </w:pPr>
      <w:r>
        <w:separator/>
      </w:r>
    </w:p>
  </w:footnote>
  <w:footnote w:type="continuationSeparator" w:id="0">
    <w:p w14:paraId="300D632C" w14:textId="77777777" w:rsidR="00A46E5B" w:rsidRDefault="00A46E5B" w:rsidP="001C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341B" w14:textId="77777777" w:rsidR="008A4EFB" w:rsidRDefault="008A4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3E76" w14:textId="77777777" w:rsidR="008A4EFB" w:rsidRDefault="008A4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D5CA" w14:textId="77777777" w:rsidR="008A4EFB" w:rsidRDefault="008A4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05"/>
    <w:multiLevelType w:val="hybridMultilevel"/>
    <w:tmpl w:val="98821898"/>
    <w:lvl w:ilvl="0" w:tplc="CF5EE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2901"/>
    <w:multiLevelType w:val="hybridMultilevel"/>
    <w:tmpl w:val="956CB7BC"/>
    <w:lvl w:ilvl="0" w:tplc="9044F00C">
      <w:start w:val="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BEA"/>
    <w:multiLevelType w:val="hybridMultilevel"/>
    <w:tmpl w:val="1A4896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5723E"/>
    <w:multiLevelType w:val="hybridMultilevel"/>
    <w:tmpl w:val="A2E2416E"/>
    <w:lvl w:ilvl="0" w:tplc="5D7A69FE">
      <w:start w:val="13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7622"/>
    <w:multiLevelType w:val="multilevel"/>
    <w:tmpl w:val="A79E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64FE3"/>
    <w:multiLevelType w:val="hybridMultilevel"/>
    <w:tmpl w:val="DBC2259A"/>
    <w:lvl w:ilvl="0" w:tplc="2E028C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831B35"/>
    <w:multiLevelType w:val="hybridMultilevel"/>
    <w:tmpl w:val="E5B63BB8"/>
    <w:lvl w:ilvl="0" w:tplc="7DD27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60B3"/>
    <w:multiLevelType w:val="hybridMultilevel"/>
    <w:tmpl w:val="C5725CDC"/>
    <w:lvl w:ilvl="0" w:tplc="C66E0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7602"/>
    <w:multiLevelType w:val="hybridMultilevel"/>
    <w:tmpl w:val="DABE37F4"/>
    <w:lvl w:ilvl="0" w:tplc="04D0FD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B407D"/>
    <w:multiLevelType w:val="hybridMultilevel"/>
    <w:tmpl w:val="87043EE6"/>
    <w:lvl w:ilvl="0" w:tplc="C4905B8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C3177"/>
    <w:multiLevelType w:val="hybridMultilevel"/>
    <w:tmpl w:val="461ACA5A"/>
    <w:lvl w:ilvl="0" w:tplc="DF5688D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7186">
    <w:abstractNumId w:val="6"/>
  </w:num>
  <w:num w:numId="2" w16cid:durableId="156263472">
    <w:abstractNumId w:val="8"/>
  </w:num>
  <w:num w:numId="3" w16cid:durableId="2062627373">
    <w:abstractNumId w:val="0"/>
  </w:num>
  <w:num w:numId="4" w16cid:durableId="298220449">
    <w:abstractNumId w:val="7"/>
  </w:num>
  <w:num w:numId="5" w16cid:durableId="172960380">
    <w:abstractNumId w:val="3"/>
  </w:num>
  <w:num w:numId="6" w16cid:durableId="1489858975">
    <w:abstractNumId w:val="10"/>
  </w:num>
  <w:num w:numId="7" w16cid:durableId="279341931">
    <w:abstractNumId w:val="9"/>
  </w:num>
  <w:num w:numId="8" w16cid:durableId="1032078363">
    <w:abstractNumId w:val="1"/>
  </w:num>
  <w:num w:numId="9" w16cid:durableId="935401968">
    <w:abstractNumId w:val="4"/>
  </w:num>
  <w:num w:numId="10" w16cid:durableId="415055584">
    <w:abstractNumId w:val="2"/>
  </w:num>
  <w:num w:numId="11" w16cid:durableId="202644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2"/>
    <w:rsid w:val="0000140A"/>
    <w:rsid w:val="00006CDB"/>
    <w:rsid w:val="00007D88"/>
    <w:rsid w:val="00020C68"/>
    <w:rsid w:val="000247C8"/>
    <w:rsid w:val="00025304"/>
    <w:rsid w:val="00026163"/>
    <w:rsid w:val="00027B12"/>
    <w:rsid w:val="000314E8"/>
    <w:rsid w:val="000320CF"/>
    <w:rsid w:val="00032F71"/>
    <w:rsid w:val="000347B9"/>
    <w:rsid w:val="0003584B"/>
    <w:rsid w:val="00041F45"/>
    <w:rsid w:val="00045A16"/>
    <w:rsid w:val="00050E11"/>
    <w:rsid w:val="00052A2D"/>
    <w:rsid w:val="00052EA4"/>
    <w:rsid w:val="00054305"/>
    <w:rsid w:val="0006068A"/>
    <w:rsid w:val="0006187D"/>
    <w:rsid w:val="00061CD0"/>
    <w:rsid w:val="00061FAF"/>
    <w:rsid w:val="000654AC"/>
    <w:rsid w:val="00066B35"/>
    <w:rsid w:val="00071835"/>
    <w:rsid w:val="00072121"/>
    <w:rsid w:val="00076445"/>
    <w:rsid w:val="00083477"/>
    <w:rsid w:val="000839C1"/>
    <w:rsid w:val="00084753"/>
    <w:rsid w:val="00087C39"/>
    <w:rsid w:val="00093DE7"/>
    <w:rsid w:val="00097990"/>
    <w:rsid w:val="000A1321"/>
    <w:rsid w:val="000A4959"/>
    <w:rsid w:val="000A79F8"/>
    <w:rsid w:val="000A7CEF"/>
    <w:rsid w:val="000B03B4"/>
    <w:rsid w:val="000B3564"/>
    <w:rsid w:val="000B40A5"/>
    <w:rsid w:val="000B6AC8"/>
    <w:rsid w:val="000C1B3F"/>
    <w:rsid w:val="000C5ED1"/>
    <w:rsid w:val="000C5FCD"/>
    <w:rsid w:val="000C67A0"/>
    <w:rsid w:val="000C6CA6"/>
    <w:rsid w:val="000D0746"/>
    <w:rsid w:val="000E594F"/>
    <w:rsid w:val="000E5FCF"/>
    <w:rsid w:val="000F01B0"/>
    <w:rsid w:val="000F1E94"/>
    <w:rsid w:val="000F1F8B"/>
    <w:rsid w:val="000F33CE"/>
    <w:rsid w:val="000F704B"/>
    <w:rsid w:val="00100F7B"/>
    <w:rsid w:val="00101F2F"/>
    <w:rsid w:val="00102260"/>
    <w:rsid w:val="00104F4B"/>
    <w:rsid w:val="00105677"/>
    <w:rsid w:val="00110DEC"/>
    <w:rsid w:val="00112D24"/>
    <w:rsid w:val="00114843"/>
    <w:rsid w:val="00130E4A"/>
    <w:rsid w:val="00131898"/>
    <w:rsid w:val="0013443D"/>
    <w:rsid w:val="0013581E"/>
    <w:rsid w:val="0014191D"/>
    <w:rsid w:val="00144E2E"/>
    <w:rsid w:val="001467A4"/>
    <w:rsid w:val="00146926"/>
    <w:rsid w:val="00150980"/>
    <w:rsid w:val="00156797"/>
    <w:rsid w:val="00157BB3"/>
    <w:rsid w:val="001630AA"/>
    <w:rsid w:val="00170D22"/>
    <w:rsid w:val="001719FC"/>
    <w:rsid w:val="00173A8D"/>
    <w:rsid w:val="00173B1A"/>
    <w:rsid w:val="0018697C"/>
    <w:rsid w:val="00187AED"/>
    <w:rsid w:val="00190482"/>
    <w:rsid w:val="00192AC0"/>
    <w:rsid w:val="00192E26"/>
    <w:rsid w:val="00197A0D"/>
    <w:rsid w:val="001A01B6"/>
    <w:rsid w:val="001A08AE"/>
    <w:rsid w:val="001A0A40"/>
    <w:rsid w:val="001A2928"/>
    <w:rsid w:val="001B01E5"/>
    <w:rsid w:val="001B383C"/>
    <w:rsid w:val="001C0076"/>
    <w:rsid w:val="001C19E3"/>
    <w:rsid w:val="001C2636"/>
    <w:rsid w:val="001C3D3D"/>
    <w:rsid w:val="001C4C0A"/>
    <w:rsid w:val="001C5166"/>
    <w:rsid w:val="001D3609"/>
    <w:rsid w:val="001E2FA6"/>
    <w:rsid w:val="001E4F4B"/>
    <w:rsid w:val="001F1A60"/>
    <w:rsid w:val="001F21F0"/>
    <w:rsid w:val="00206721"/>
    <w:rsid w:val="002069BB"/>
    <w:rsid w:val="002100BF"/>
    <w:rsid w:val="0021148C"/>
    <w:rsid w:val="0021475E"/>
    <w:rsid w:val="0021486A"/>
    <w:rsid w:val="002165C4"/>
    <w:rsid w:val="00220669"/>
    <w:rsid w:val="00221621"/>
    <w:rsid w:val="00223DC3"/>
    <w:rsid w:val="002279E4"/>
    <w:rsid w:val="00232348"/>
    <w:rsid w:val="00234D8C"/>
    <w:rsid w:val="002356A3"/>
    <w:rsid w:val="002371D1"/>
    <w:rsid w:val="00254D93"/>
    <w:rsid w:val="00255AED"/>
    <w:rsid w:val="00256AA5"/>
    <w:rsid w:val="00260BF3"/>
    <w:rsid w:val="00263459"/>
    <w:rsid w:val="00270CF4"/>
    <w:rsid w:val="002777AF"/>
    <w:rsid w:val="00283824"/>
    <w:rsid w:val="00284F9F"/>
    <w:rsid w:val="00287408"/>
    <w:rsid w:val="00287A6E"/>
    <w:rsid w:val="00296220"/>
    <w:rsid w:val="0029727A"/>
    <w:rsid w:val="00297796"/>
    <w:rsid w:val="002A067A"/>
    <w:rsid w:val="002A5E29"/>
    <w:rsid w:val="002A5F59"/>
    <w:rsid w:val="002B271B"/>
    <w:rsid w:val="002B79AE"/>
    <w:rsid w:val="002C1D74"/>
    <w:rsid w:val="002D011A"/>
    <w:rsid w:val="002D0DF0"/>
    <w:rsid w:val="002D4DDE"/>
    <w:rsid w:val="002E1D7E"/>
    <w:rsid w:val="002E28F8"/>
    <w:rsid w:val="002E3C51"/>
    <w:rsid w:val="002E46FC"/>
    <w:rsid w:val="002F1ECD"/>
    <w:rsid w:val="00301C49"/>
    <w:rsid w:val="00301F3F"/>
    <w:rsid w:val="003070E8"/>
    <w:rsid w:val="003072F1"/>
    <w:rsid w:val="00317837"/>
    <w:rsid w:val="0032415A"/>
    <w:rsid w:val="00325458"/>
    <w:rsid w:val="00326B77"/>
    <w:rsid w:val="00327B2A"/>
    <w:rsid w:val="00335AF7"/>
    <w:rsid w:val="003461C2"/>
    <w:rsid w:val="00351AEB"/>
    <w:rsid w:val="003627F5"/>
    <w:rsid w:val="003641C6"/>
    <w:rsid w:val="00364FF6"/>
    <w:rsid w:val="0036750F"/>
    <w:rsid w:val="003679B9"/>
    <w:rsid w:val="00370E0E"/>
    <w:rsid w:val="0037294E"/>
    <w:rsid w:val="00372C00"/>
    <w:rsid w:val="0037553B"/>
    <w:rsid w:val="00376A30"/>
    <w:rsid w:val="00377EF5"/>
    <w:rsid w:val="0038037C"/>
    <w:rsid w:val="00381C8E"/>
    <w:rsid w:val="0038209D"/>
    <w:rsid w:val="003846BE"/>
    <w:rsid w:val="00392CBC"/>
    <w:rsid w:val="003941E7"/>
    <w:rsid w:val="003A1613"/>
    <w:rsid w:val="003A198A"/>
    <w:rsid w:val="003A70DA"/>
    <w:rsid w:val="003A7D96"/>
    <w:rsid w:val="003B45BE"/>
    <w:rsid w:val="003B54F9"/>
    <w:rsid w:val="003B78FA"/>
    <w:rsid w:val="003C2929"/>
    <w:rsid w:val="003D3E0C"/>
    <w:rsid w:val="003E5F5E"/>
    <w:rsid w:val="003F1D46"/>
    <w:rsid w:val="004051B4"/>
    <w:rsid w:val="0041733E"/>
    <w:rsid w:val="00417DA0"/>
    <w:rsid w:val="0042474C"/>
    <w:rsid w:val="00430C6E"/>
    <w:rsid w:val="00437532"/>
    <w:rsid w:val="00442A47"/>
    <w:rsid w:val="0044451C"/>
    <w:rsid w:val="00451C1C"/>
    <w:rsid w:val="004528F9"/>
    <w:rsid w:val="00453F6D"/>
    <w:rsid w:val="00456717"/>
    <w:rsid w:val="00461F23"/>
    <w:rsid w:val="00462C62"/>
    <w:rsid w:val="00470B30"/>
    <w:rsid w:val="00475EA3"/>
    <w:rsid w:val="0047775B"/>
    <w:rsid w:val="00483F8C"/>
    <w:rsid w:val="004A01FC"/>
    <w:rsid w:val="004A31BC"/>
    <w:rsid w:val="004A5305"/>
    <w:rsid w:val="004B2E9F"/>
    <w:rsid w:val="004B4590"/>
    <w:rsid w:val="004B7DFD"/>
    <w:rsid w:val="004C3248"/>
    <w:rsid w:val="004C5709"/>
    <w:rsid w:val="004D02F5"/>
    <w:rsid w:val="004D2062"/>
    <w:rsid w:val="004D27FD"/>
    <w:rsid w:val="004D4803"/>
    <w:rsid w:val="004D7CA8"/>
    <w:rsid w:val="004E06E0"/>
    <w:rsid w:val="004E445A"/>
    <w:rsid w:val="004F3D3F"/>
    <w:rsid w:val="0050488D"/>
    <w:rsid w:val="005051CA"/>
    <w:rsid w:val="00512B4E"/>
    <w:rsid w:val="00514762"/>
    <w:rsid w:val="005177E1"/>
    <w:rsid w:val="0052165C"/>
    <w:rsid w:val="0052585A"/>
    <w:rsid w:val="00537232"/>
    <w:rsid w:val="00552F30"/>
    <w:rsid w:val="00553DA6"/>
    <w:rsid w:val="00555C3D"/>
    <w:rsid w:val="0056179F"/>
    <w:rsid w:val="00562BCE"/>
    <w:rsid w:val="00563874"/>
    <w:rsid w:val="00570082"/>
    <w:rsid w:val="00573190"/>
    <w:rsid w:val="0057446A"/>
    <w:rsid w:val="0057484A"/>
    <w:rsid w:val="00586CC4"/>
    <w:rsid w:val="00590D93"/>
    <w:rsid w:val="0059750C"/>
    <w:rsid w:val="005A4D49"/>
    <w:rsid w:val="005B1040"/>
    <w:rsid w:val="005B2759"/>
    <w:rsid w:val="005C70B0"/>
    <w:rsid w:val="005D18CF"/>
    <w:rsid w:val="005D1AFB"/>
    <w:rsid w:val="005D391E"/>
    <w:rsid w:val="005D4A2E"/>
    <w:rsid w:val="005D6516"/>
    <w:rsid w:val="005E7006"/>
    <w:rsid w:val="005F15F9"/>
    <w:rsid w:val="005F1F81"/>
    <w:rsid w:val="005F79BE"/>
    <w:rsid w:val="00607E37"/>
    <w:rsid w:val="00610798"/>
    <w:rsid w:val="00610B91"/>
    <w:rsid w:val="00612FE1"/>
    <w:rsid w:val="0061384A"/>
    <w:rsid w:val="006140D2"/>
    <w:rsid w:val="006207E0"/>
    <w:rsid w:val="006245E7"/>
    <w:rsid w:val="0063435B"/>
    <w:rsid w:val="00635330"/>
    <w:rsid w:val="00636497"/>
    <w:rsid w:val="00647A34"/>
    <w:rsid w:val="00651786"/>
    <w:rsid w:val="00651EA1"/>
    <w:rsid w:val="00655113"/>
    <w:rsid w:val="00656C0F"/>
    <w:rsid w:val="00664019"/>
    <w:rsid w:val="0066692B"/>
    <w:rsid w:val="00674CCD"/>
    <w:rsid w:val="00676A26"/>
    <w:rsid w:val="00684A0C"/>
    <w:rsid w:val="006901C8"/>
    <w:rsid w:val="0069041D"/>
    <w:rsid w:val="00692299"/>
    <w:rsid w:val="00693DB6"/>
    <w:rsid w:val="006A17F6"/>
    <w:rsid w:val="006A3502"/>
    <w:rsid w:val="006A386D"/>
    <w:rsid w:val="006A5AC1"/>
    <w:rsid w:val="006B1071"/>
    <w:rsid w:val="006B3A0A"/>
    <w:rsid w:val="006B7AEF"/>
    <w:rsid w:val="006C233B"/>
    <w:rsid w:val="006C3C1A"/>
    <w:rsid w:val="006E5370"/>
    <w:rsid w:val="006E5DE4"/>
    <w:rsid w:val="006E7F9E"/>
    <w:rsid w:val="006F097A"/>
    <w:rsid w:val="006F1CDC"/>
    <w:rsid w:val="00701CDB"/>
    <w:rsid w:val="00701CEE"/>
    <w:rsid w:val="00702A77"/>
    <w:rsid w:val="0070566F"/>
    <w:rsid w:val="007107AF"/>
    <w:rsid w:val="007150C0"/>
    <w:rsid w:val="00715B32"/>
    <w:rsid w:val="007228DC"/>
    <w:rsid w:val="00723A36"/>
    <w:rsid w:val="00724B9B"/>
    <w:rsid w:val="00750780"/>
    <w:rsid w:val="00756B6A"/>
    <w:rsid w:val="00761343"/>
    <w:rsid w:val="00766EB0"/>
    <w:rsid w:val="00770C8B"/>
    <w:rsid w:val="00780684"/>
    <w:rsid w:val="0079189D"/>
    <w:rsid w:val="0079335A"/>
    <w:rsid w:val="007953C0"/>
    <w:rsid w:val="007A059F"/>
    <w:rsid w:val="007B136A"/>
    <w:rsid w:val="007B1EF4"/>
    <w:rsid w:val="007B3E62"/>
    <w:rsid w:val="007B5985"/>
    <w:rsid w:val="007B73F9"/>
    <w:rsid w:val="007D299F"/>
    <w:rsid w:val="007D32E9"/>
    <w:rsid w:val="007D66E7"/>
    <w:rsid w:val="007E0D42"/>
    <w:rsid w:val="007E1758"/>
    <w:rsid w:val="007E19B7"/>
    <w:rsid w:val="007E6DE8"/>
    <w:rsid w:val="007E7E1A"/>
    <w:rsid w:val="008022E9"/>
    <w:rsid w:val="008111AF"/>
    <w:rsid w:val="0081174E"/>
    <w:rsid w:val="008141A5"/>
    <w:rsid w:val="008231ED"/>
    <w:rsid w:val="00836699"/>
    <w:rsid w:val="0083762F"/>
    <w:rsid w:val="00837F47"/>
    <w:rsid w:val="0084431E"/>
    <w:rsid w:val="00846203"/>
    <w:rsid w:val="00846D37"/>
    <w:rsid w:val="00856AD8"/>
    <w:rsid w:val="00871021"/>
    <w:rsid w:val="00872EE3"/>
    <w:rsid w:val="0087370A"/>
    <w:rsid w:val="0087591A"/>
    <w:rsid w:val="00884FF5"/>
    <w:rsid w:val="00890825"/>
    <w:rsid w:val="00891083"/>
    <w:rsid w:val="00891ABA"/>
    <w:rsid w:val="008936D2"/>
    <w:rsid w:val="0089574F"/>
    <w:rsid w:val="008A012E"/>
    <w:rsid w:val="008A01CA"/>
    <w:rsid w:val="008A0F9A"/>
    <w:rsid w:val="008A3DA8"/>
    <w:rsid w:val="008A4EFB"/>
    <w:rsid w:val="008A590E"/>
    <w:rsid w:val="008A62E2"/>
    <w:rsid w:val="008B5E10"/>
    <w:rsid w:val="008C04AE"/>
    <w:rsid w:val="008D6A22"/>
    <w:rsid w:val="008E2C09"/>
    <w:rsid w:val="008E607E"/>
    <w:rsid w:val="008E7AD2"/>
    <w:rsid w:val="008F20CC"/>
    <w:rsid w:val="0091215E"/>
    <w:rsid w:val="00913206"/>
    <w:rsid w:val="00916552"/>
    <w:rsid w:val="00920F38"/>
    <w:rsid w:val="00922FC0"/>
    <w:rsid w:val="00923458"/>
    <w:rsid w:val="00931494"/>
    <w:rsid w:val="00931E3F"/>
    <w:rsid w:val="00932D8F"/>
    <w:rsid w:val="0093682D"/>
    <w:rsid w:val="00936EA3"/>
    <w:rsid w:val="00940419"/>
    <w:rsid w:val="00941910"/>
    <w:rsid w:val="00941945"/>
    <w:rsid w:val="00947E77"/>
    <w:rsid w:val="0095284E"/>
    <w:rsid w:val="009575DB"/>
    <w:rsid w:val="009610FA"/>
    <w:rsid w:val="00962BB6"/>
    <w:rsid w:val="00971793"/>
    <w:rsid w:val="00971DEF"/>
    <w:rsid w:val="00982467"/>
    <w:rsid w:val="00982EFE"/>
    <w:rsid w:val="00987981"/>
    <w:rsid w:val="00990A79"/>
    <w:rsid w:val="009B239D"/>
    <w:rsid w:val="009B54FE"/>
    <w:rsid w:val="009B76D5"/>
    <w:rsid w:val="009C0D9E"/>
    <w:rsid w:val="009C5767"/>
    <w:rsid w:val="009C65E9"/>
    <w:rsid w:val="009C68A3"/>
    <w:rsid w:val="009E06D8"/>
    <w:rsid w:val="009E16AD"/>
    <w:rsid w:val="009E1988"/>
    <w:rsid w:val="009E32A9"/>
    <w:rsid w:val="009F1453"/>
    <w:rsid w:val="009F30CE"/>
    <w:rsid w:val="009F4048"/>
    <w:rsid w:val="00A00293"/>
    <w:rsid w:val="00A05E5E"/>
    <w:rsid w:val="00A1220C"/>
    <w:rsid w:val="00A13857"/>
    <w:rsid w:val="00A14730"/>
    <w:rsid w:val="00A15A2D"/>
    <w:rsid w:val="00A17108"/>
    <w:rsid w:val="00A20538"/>
    <w:rsid w:val="00A241DD"/>
    <w:rsid w:val="00A409C2"/>
    <w:rsid w:val="00A43E59"/>
    <w:rsid w:val="00A46E5B"/>
    <w:rsid w:val="00A639F9"/>
    <w:rsid w:val="00A63AA9"/>
    <w:rsid w:val="00A655B2"/>
    <w:rsid w:val="00A71E53"/>
    <w:rsid w:val="00A723BD"/>
    <w:rsid w:val="00A76569"/>
    <w:rsid w:val="00A76F4E"/>
    <w:rsid w:val="00A8313F"/>
    <w:rsid w:val="00A83D11"/>
    <w:rsid w:val="00A97DEE"/>
    <w:rsid w:val="00AA4852"/>
    <w:rsid w:val="00AA7E69"/>
    <w:rsid w:val="00AB0742"/>
    <w:rsid w:val="00AB64F2"/>
    <w:rsid w:val="00AD11C9"/>
    <w:rsid w:val="00AD3DDD"/>
    <w:rsid w:val="00AE2C81"/>
    <w:rsid w:val="00AE3C3F"/>
    <w:rsid w:val="00AE6C40"/>
    <w:rsid w:val="00AF03EB"/>
    <w:rsid w:val="00AF4006"/>
    <w:rsid w:val="00AF5E5B"/>
    <w:rsid w:val="00B01C1C"/>
    <w:rsid w:val="00B02E22"/>
    <w:rsid w:val="00B033DF"/>
    <w:rsid w:val="00B03F93"/>
    <w:rsid w:val="00B11236"/>
    <w:rsid w:val="00B131FB"/>
    <w:rsid w:val="00B13E10"/>
    <w:rsid w:val="00B16C29"/>
    <w:rsid w:val="00B3176F"/>
    <w:rsid w:val="00B3282A"/>
    <w:rsid w:val="00B42CBB"/>
    <w:rsid w:val="00B438B4"/>
    <w:rsid w:val="00B45E95"/>
    <w:rsid w:val="00B47A7F"/>
    <w:rsid w:val="00B55068"/>
    <w:rsid w:val="00B65F4B"/>
    <w:rsid w:val="00B6757F"/>
    <w:rsid w:val="00B709FE"/>
    <w:rsid w:val="00B81DC4"/>
    <w:rsid w:val="00B85318"/>
    <w:rsid w:val="00B93BA9"/>
    <w:rsid w:val="00B96473"/>
    <w:rsid w:val="00BA0F91"/>
    <w:rsid w:val="00BA35B8"/>
    <w:rsid w:val="00BA3BC9"/>
    <w:rsid w:val="00BB1A0F"/>
    <w:rsid w:val="00BB4DAA"/>
    <w:rsid w:val="00BB52F8"/>
    <w:rsid w:val="00BB559B"/>
    <w:rsid w:val="00BB5991"/>
    <w:rsid w:val="00BD30BC"/>
    <w:rsid w:val="00BD6E54"/>
    <w:rsid w:val="00C00277"/>
    <w:rsid w:val="00C0417F"/>
    <w:rsid w:val="00C053D6"/>
    <w:rsid w:val="00C05DEF"/>
    <w:rsid w:val="00C0764A"/>
    <w:rsid w:val="00C129E8"/>
    <w:rsid w:val="00C16E5A"/>
    <w:rsid w:val="00C209BC"/>
    <w:rsid w:val="00C218DF"/>
    <w:rsid w:val="00C33047"/>
    <w:rsid w:val="00C341C2"/>
    <w:rsid w:val="00C476A2"/>
    <w:rsid w:val="00C53B7B"/>
    <w:rsid w:val="00C5407A"/>
    <w:rsid w:val="00C552A4"/>
    <w:rsid w:val="00C61FE5"/>
    <w:rsid w:val="00C62587"/>
    <w:rsid w:val="00C62841"/>
    <w:rsid w:val="00C63520"/>
    <w:rsid w:val="00C66820"/>
    <w:rsid w:val="00C73DB1"/>
    <w:rsid w:val="00C74F18"/>
    <w:rsid w:val="00C93BFF"/>
    <w:rsid w:val="00C93FF0"/>
    <w:rsid w:val="00C94794"/>
    <w:rsid w:val="00C95143"/>
    <w:rsid w:val="00C95157"/>
    <w:rsid w:val="00C951F5"/>
    <w:rsid w:val="00C95A4C"/>
    <w:rsid w:val="00CA319D"/>
    <w:rsid w:val="00CA3C32"/>
    <w:rsid w:val="00CA43C3"/>
    <w:rsid w:val="00CA6D43"/>
    <w:rsid w:val="00CA7FF6"/>
    <w:rsid w:val="00CB47E1"/>
    <w:rsid w:val="00CB6F28"/>
    <w:rsid w:val="00CC3ED7"/>
    <w:rsid w:val="00CD117D"/>
    <w:rsid w:val="00CD1BB3"/>
    <w:rsid w:val="00CD2C07"/>
    <w:rsid w:val="00CD2F47"/>
    <w:rsid w:val="00CD5BBF"/>
    <w:rsid w:val="00CE1476"/>
    <w:rsid w:val="00CE17D3"/>
    <w:rsid w:val="00CE343B"/>
    <w:rsid w:val="00CE7ECE"/>
    <w:rsid w:val="00CF21FA"/>
    <w:rsid w:val="00CF318B"/>
    <w:rsid w:val="00CF3293"/>
    <w:rsid w:val="00CF3CFD"/>
    <w:rsid w:val="00D00C24"/>
    <w:rsid w:val="00D01643"/>
    <w:rsid w:val="00D14587"/>
    <w:rsid w:val="00D14593"/>
    <w:rsid w:val="00D1775E"/>
    <w:rsid w:val="00D21AEA"/>
    <w:rsid w:val="00D24E0A"/>
    <w:rsid w:val="00D27699"/>
    <w:rsid w:val="00D31391"/>
    <w:rsid w:val="00D346B3"/>
    <w:rsid w:val="00D352A3"/>
    <w:rsid w:val="00D356AB"/>
    <w:rsid w:val="00D43299"/>
    <w:rsid w:val="00D43C7F"/>
    <w:rsid w:val="00D46163"/>
    <w:rsid w:val="00D47287"/>
    <w:rsid w:val="00D5517A"/>
    <w:rsid w:val="00D55458"/>
    <w:rsid w:val="00D56254"/>
    <w:rsid w:val="00D56CB4"/>
    <w:rsid w:val="00D62F4B"/>
    <w:rsid w:val="00D63A08"/>
    <w:rsid w:val="00D65A5F"/>
    <w:rsid w:val="00D66794"/>
    <w:rsid w:val="00D6742C"/>
    <w:rsid w:val="00D679ED"/>
    <w:rsid w:val="00D706E9"/>
    <w:rsid w:val="00D72D90"/>
    <w:rsid w:val="00D82581"/>
    <w:rsid w:val="00D85660"/>
    <w:rsid w:val="00D921B1"/>
    <w:rsid w:val="00D95124"/>
    <w:rsid w:val="00D955A5"/>
    <w:rsid w:val="00DA13E4"/>
    <w:rsid w:val="00DA15EB"/>
    <w:rsid w:val="00DA1FD2"/>
    <w:rsid w:val="00DA3534"/>
    <w:rsid w:val="00DB2844"/>
    <w:rsid w:val="00DB2DE0"/>
    <w:rsid w:val="00DB3153"/>
    <w:rsid w:val="00DB3F3F"/>
    <w:rsid w:val="00DB5162"/>
    <w:rsid w:val="00DC2A84"/>
    <w:rsid w:val="00DC5227"/>
    <w:rsid w:val="00DD30E7"/>
    <w:rsid w:val="00DD39FE"/>
    <w:rsid w:val="00DD45E5"/>
    <w:rsid w:val="00DE378C"/>
    <w:rsid w:val="00DE555F"/>
    <w:rsid w:val="00DF0EF2"/>
    <w:rsid w:val="00DF3D0C"/>
    <w:rsid w:val="00DF5F19"/>
    <w:rsid w:val="00DF6B66"/>
    <w:rsid w:val="00DF76D5"/>
    <w:rsid w:val="00E006F6"/>
    <w:rsid w:val="00E01372"/>
    <w:rsid w:val="00E148BF"/>
    <w:rsid w:val="00E15939"/>
    <w:rsid w:val="00E20D45"/>
    <w:rsid w:val="00E261A1"/>
    <w:rsid w:val="00E3516B"/>
    <w:rsid w:val="00E4197A"/>
    <w:rsid w:val="00E447BF"/>
    <w:rsid w:val="00E528B2"/>
    <w:rsid w:val="00E532AD"/>
    <w:rsid w:val="00E53F51"/>
    <w:rsid w:val="00E61982"/>
    <w:rsid w:val="00E66189"/>
    <w:rsid w:val="00E66D89"/>
    <w:rsid w:val="00E72631"/>
    <w:rsid w:val="00E74009"/>
    <w:rsid w:val="00E74F3D"/>
    <w:rsid w:val="00E7526B"/>
    <w:rsid w:val="00E7696B"/>
    <w:rsid w:val="00E82F5A"/>
    <w:rsid w:val="00E84F84"/>
    <w:rsid w:val="00E878A8"/>
    <w:rsid w:val="00E87E2B"/>
    <w:rsid w:val="00E906EA"/>
    <w:rsid w:val="00E90A40"/>
    <w:rsid w:val="00E93052"/>
    <w:rsid w:val="00E96AD2"/>
    <w:rsid w:val="00E975D5"/>
    <w:rsid w:val="00EA3A96"/>
    <w:rsid w:val="00EA66A0"/>
    <w:rsid w:val="00EB20FA"/>
    <w:rsid w:val="00EB6F32"/>
    <w:rsid w:val="00EC122B"/>
    <w:rsid w:val="00EC3DA6"/>
    <w:rsid w:val="00EC79E7"/>
    <w:rsid w:val="00ED686D"/>
    <w:rsid w:val="00EE2A48"/>
    <w:rsid w:val="00EE4750"/>
    <w:rsid w:val="00EF2A04"/>
    <w:rsid w:val="00EF3531"/>
    <w:rsid w:val="00F004CB"/>
    <w:rsid w:val="00F06190"/>
    <w:rsid w:val="00F10A2A"/>
    <w:rsid w:val="00F217FC"/>
    <w:rsid w:val="00F2306D"/>
    <w:rsid w:val="00F234D5"/>
    <w:rsid w:val="00F25147"/>
    <w:rsid w:val="00F2766E"/>
    <w:rsid w:val="00F3025B"/>
    <w:rsid w:val="00F3493D"/>
    <w:rsid w:val="00F35649"/>
    <w:rsid w:val="00F3587B"/>
    <w:rsid w:val="00F42E1D"/>
    <w:rsid w:val="00F437B9"/>
    <w:rsid w:val="00F536FA"/>
    <w:rsid w:val="00F54BDC"/>
    <w:rsid w:val="00F64A55"/>
    <w:rsid w:val="00F709AA"/>
    <w:rsid w:val="00F72333"/>
    <w:rsid w:val="00F75781"/>
    <w:rsid w:val="00F83A36"/>
    <w:rsid w:val="00F85B4A"/>
    <w:rsid w:val="00F87723"/>
    <w:rsid w:val="00F87BB8"/>
    <w:rsid w:val="00F94370"/>
    <w:rsid w:val="00FA0FA4"/>
    <w:rsid w:val="00FA31D8"/>
    <w:rsid w:val="00FA475B"/>
    <w:rsid w:val="00FA5FC1"/>
    <w:rsid w:val="00FB7496"/>
    <w:rsid w:val="00FC0226"/>
    <w:rsid w:val="00FC14A9"/>
    <w:rsid w:val="00FC3727"/>
    <w:rsid w:val="00FC7E46"/>
    <w:rsid w:val="00FD5EA6"/>
    <w:rsid w:val="00FD73C7"/>
    <w:rsid w:val="00FF432E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B248"/>
  <w15:chartTrackingRefBased/>
  <w15:docId w15:val="{ED65BE4E-061E-42A3-AA26-1843982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C32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E74F3D"/>
    <w:pPr>
      <w:tabs>
        <w:tab w:val="left" w:pos="504"/>
      </w:tabs>
      <w:spacing w:after="0" w:line="240" w:lineRule="auto"/>
      <w:ind w:left="504" w:hanging="5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6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7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3B"/>
  </w:style>
  <w:style w:type="paragraph" w:styleId="Footer">
    <w:name w:val="footer"/>
    <w:basedOn w:val="Normal"/>
    <w:link w:val="FooterChar"/>
    <w:uiPriority w:val="99"/>
    <w:unhideWhenUsed/>
    <w:rsid w:val="0037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3B"/>
  </w:style>
  <w:style w:type="character" w:styleId="Hyperlink">
    <w:name w:val="Hyperlink"/>
    <w:basedOn w:val="DefaultParagraphFont"/>
    <w:uiPriority w:val="99"/>
    <w:unhideWhenUsed/>
    <w:rsid w:val="00537232"/>
    <w:rPr>
      <w:color w:val="0000FF"/>
      <w:u w:val="single"/>
    </w:rPr>
  </w:style>
  <w:style w:type="paragraph" w:styleId="Revision">
    <w:name w:val="Revision"/>
    <w:hidden/>
    <w:uiPriority w:val="99"/>
    <w:semiHidden/>
    <w:rsid w:val="00E7696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0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5781"/>
    <w:rPr>
      <w:color w:val="808080"/>
    </w:rPr>
  </w:style>
  <w:style w:type="character" w:styleId="Strong">
    <w:name w:val="Strong"/>
    <w:basedOn w:val="DefaultParagraphFont"/>
    <w:uiPriority w:val="22"/>
    <w:qFormat/>
    <w:rsid w:val="00B93BA9"/>
    <w:rPr>
      <w:b/>
      <w:bCs/>
    </w:rPr>
  </w:style>
  <w:style w:type="character" w:styleId="Emphasis">
    <w:name w:val="Emphasis"/>
    <w:basedOn w:val="DefaultParagraphFont"/>
    <w:uiPriority w:val="20"/>
    <w:qFormat/>
    <w:rsid w:val="00B93BA9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hart" Target="charts/chart4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6138\Downloads\All-Exhibi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tty.chen\Documents\Intellihealth\Figure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tty.chen\Documents\Intellihealth\Figure2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tty.chen\Documents\Intellihealth\Figure2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'FigureS1-CumulativeProp'!$R$18</c:f>
              <c:strCache>
                <c:ptCount val="1"/>
                <c:pt idx="0">
                  <c:v>&lt;12 months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'FigureS1-CumulativeProp'!$S$18:$AD$18</c:f>
              <c:numCache>
                <c:formatCode>General</c:formatCode>
                <c:ptCount val="12"/>
                <c:pt idx="0">
                  <c:v>0.5</c:v>
                </c:pt>
                <c:pt idx="1">
                  <c:v>2.2999999999999998</c:v>
                </c:pt>
                <c:pt idx="2">
                  <c:v>10.8</c:v>
                </c:pt>
                <c:pt idx="3">
                  <c:v>37.400000000000006</c:v>
                </c:pt>
                <c:pt idx="4">
                  <c:v>67.5</c:v>
                </c:pt>
                <c:pt idx="5">
                  <c:v>85.3</c:v>
                </c:pt>
                <c:pt idx="6">
                  <c:v>93.8</c:v>
                </c:pt>
                <c:pt idx="7">
                  <c:v>97.8</c:v>
                </c:pt>
                <c:pt idx="8">
                  <c:v>99.1</c:v>
                </c:pt>
                <c:pt idx="9">
                  <c:v>99.5</c:v>
                </c:pt>
                <c:pt idx="10">
                  <c:v>99.7</c:v>
                </c:pt>
                <c:pt idx="11">
                  <c:v>99.9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1C-47FE-A662-AC6199DB850E}"/>
            </c:ext>
          </c:extLst>
        </c:ser>
        <c:ser>
          <c:idx val="1"/>
          <c:order val="1"/>
          <c:tx>
            <c:strRef>
              <c:f>'FigureS1-CumulativeProp'!$R$19</c:f>
              <c:strCache>
                <c:ptCount val="1"/>
                <c:pt idx="0">
                  <c:v>12-23 months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'FigureS1-CumulativeProp'!$S$19:$AD$19</c:f>
              <c:numCache>
                <c:formatCode>General</c:formatCode>
                <c:ptCount val="12"/>
                <c:pt idx="0">
                  <c:v>0.4</c:v>
                </c:pt>
                <c:pt idx="1">
                  <c:v>2.4</c:v>
                </c:pt>
                <c:pt idx="2">
                  <c:v>12.8</c:v>
                </c:pt>
                <c:pt idx="3">
                  <c:v>46.5</c:v>
                </c:pt>
                <c:pt idx="4">
                  <c:v>72.2</c:v>
                </c:pt>
                <c:pt idx="5">
                  <c:v>88</c:v>
                </c:pt>
                <c:pt idx="6">
                  <c:v>95.8</c:v>
                </c:pt>
                <c:pt idx="7">
                  <c:v>98.6</c:v>
                </c:pt>
                <c:pt idx="8">
                  <c:v>99.399999999999991</c:v>
                </c:pt>
                <c:pt idx="9">
                  <c:v>99.8</c:v>
                </c:pt>
                <c:pt idx="10">
                  <c:v>100.1</c:v>
                </c:pt>
                <c:pt idx="11">
                  <c:v>100.19999999999999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1C-47FE-A662-AC6199DB850E}"/>
            </c:ext>
          </c:extLst>
        </c:ser>
        <c:ser>
          <c:idx val="2"/>
          <c:order val="2"/>
          <c:tx>
            <c:strRef>
              <c:f>'FigureS1-CumulativeProp'!$R$20</c:f>
              <c:strCache>
                <c:ptCount val="1"/>
                <c:pt idx="0">
                  <c:v>2-4 years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'FigureS1-CumulativeProp'!$S$20:$AD$20</c:f>
              <c:numCache>
                <c:formatCode>General</c:formatCode>
                <c:ptCount val="12"/>
                <c:pt idx="0">
                  <c:v>0.6</c:v>
                </c:pt>
                <c:pt idx="1">
                  <c:v>3</c:v>
                </c:pt>
                <c:pt idx="2">
                  <c:v>17.600000000000001</c:v>
                </c:pt>
                <c:pt idx="3">
                  <c:v>54.9</c:v>
                </c:pt>
                <c:pt idx="4">
                  <c:v>78.2</c:v>
                </c:pt>
                <c:pt idx="5">
                  <c:v>92.600000000000009</c:v>
                </c:pt>
                <c:pt idx="6">
                  <c:v>96.600000000000009</c:v>
                </c:pt>
                <c:pt idx="7">
                  <c:v>98.100000000000009</c:v>
                </c:pt>
                <c:pt idx="8">
                  <c:v>99.500000000000014</c:v>
                </c:pt>
                <c:pt idx="9">
                  <c:v>99.800000000000011</c:v>
                </c:pt>
                <c:pt idx="10">
                  <c:v>99.800000000000011</c:v>
                </c:pt>
                <c:pt idx="11">
                  <c:v>100.10000000000001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1C-47FE-A662-AC6199DB850E}"/>
            </c:ext>
          </c:extLst>
        </c:ser>
        <c:ser>
          <c:idx val="3"/>
          <c:order val="3"/>
          <c:tx>
            <c:strRef>
              <c:f>'FigureS1-CumulativeProp'!$R$21</c:f>
              <c:strCache>
                <c:ptCount val="1"/>
                <c:pt idx="0">
                  <c:v>5-17 years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'FigureS1-CumulativeProp'!$S$21:$AD$21</c:f>
              <c:numCache>
                <c:formatCode>General</c:formatCode>
                <c:ptCount val="12"/>
                <c:pt idx="0">
                  <c:v>0.4</c:v>
                </c:pt>
                <c:pt idx="1">
                  <c:v>2.2999999999999998</c:v>
                </c:pt>
                <c:pt idx="2">
                  <c:v>11.100000000000001</c:v>
                </c:pt>
                <c:pt idx="3">
                  <c:v>42.6</c:v>
                </c:pt>
                <c:pt idx="4">
                  <c:v>68</c:v>
                </c:pt>
                <c:pt idx="5">
                  <c:v>85.3</c:v>
                </c:pt>
                <c:pt idx="6">
                  <c:v>92.2</c:v>
                </c:pt>
                <c:pt idx="7">
                  <c:v>96.8</c:v>
                </c:pt>
                <c:pt idx="8">
                  <c:v>98.7</c:v>
                </c:pt>
                <c:pt idx="9">
                  <c:v>99.5</c:v>
                </c:pt>
                <c:pt idx="10">
                  <c:v>99.5</c:v>
                </c:pt>
                <c:pt idx="11">
                  <c:v>99.9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D1C-47FE-A662-AC6199DB850E}"/>
            </c:ext>
          </c:extLst>
        </c:ser>
        <c:ser>
          <c:idx val="4"/>
          <c:order val="4"/>
          <c:tx>
            <c:strRef>
              <c:f>'FigureS1-CumulativeProp'!$R$22</c:f>
              <c:strCache>
                <c:ptCount val="1"/>
                <c:pt idx="0">
                  <c:v>18-49 years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'FigureS1-CumulativeProp'!$S$22:$AD$22</c:f>
              <c:numCache>
                <c:formatCode>General</c:formatCode>
                <c:ptCount val="12"/>
                <c:pt idx="0">
                  <c:v>0</c:v>
                </c:pt>
                <c:pt idx="1">
                  <c:v>1.6</c:v>
                </c:pt>
                <c:pt idx="2">
                  <c:v>4.4000000000000004</c:v>
                </c:pt>
                <c:pt idx="3">
                  <c:v>27.200000000000003</c:v>
                </c:pt>
                <c:pt idx="4">
                  <c:v>56</c:v>
                </c:pt>
                <c:pt idx="5">
                  <c:v>73.599999999999994</c:v>
                </c:pt>
                <c:pt idx="6">
                  <c:v>86.399999999999991</c:v>
                </c:pt>
                <c:pt idx="7">
                  <c:v>96.399999999999991</c:v>
                </c:pt>
                <c:pt idx="8">
                  <c:v>98.399999999999991</c:v>
                </c:pt>
                <c:pt idx="9">
                  <c:v>98.399999999999991</c:v>
                </c:pt>
                <c:pt idx="10">
                  <c:v>98.8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D1C-47FE-A662-AC6199DB850E}"/>
            </c:ext>
          </c:extLst>
        </c:ser>
        <c:ser>
          <c:idx val="5"/>
          <c:order val="5"/>
          <c:tx>
            <c:strRef>
              <c:f>'FigureS1-CumulativeProp'!$R$23</c:f>
              <c:strCache>
                <c:ptCount val="1"/>
                <c:pt idx="0">
                  <c:v>50-64 years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'FigureS1-CumulativeProp'!$S$23:$AD$23</c:f>
              <c:numCache>
                <c:formatCode>General</c:formatCode>
                <c:ptCount val="12"/>
                <c:pt idx="0">
                  <c:v>0.6</c:v>
                </c:pt>
                <c:pt idx="1">
                  <c:v>1.4</c:v>
                </c:pt>
                <c:pt idx="2">
                  <c:v>5.6</c:v>
                </c:pt>
                <c:pt idx="3">
                  <c:v>24.9</c:v>
                </c:pt>
                <c:pt idx="4">
                  <c:v>59.1</c:v>
                </c:pt>
                <c:pt idx="5">
                  <c:v>78.099999999999994</c:v>
                </c:pt>
                <c:pt idx="6">
                  <c:v>91.3</c:v>
                </c:pt>
                <c:pt idx="7">
                  <c:v>96.2</c:v>
                </c:pt>
                <c:pt idx="8">
                  <c:v>98.2</c:v>
                </c:pt>
                <c:pt idx="9">
                  <c:v>99</c:v>
                </c:pt>
                <c:pt idx="10">
                  <c:v>99.5</c:v>
                </c:pt>
                <c:pt idx="11">
                  <c:v>100.1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D1C-47FE-A662-AC6199DB850E}"/>
            </c:ext>
          </c:extLst>
        </c:ser>
        <c:ser>
          <c:idx val="6"/>
          <c:order val="6"/>
          <c:tx>
            <c:strRef>
              <c:f>'FigureS1-CumulativeProp'!$R$24</c:f>
              <c:strCache>
                <c:ptCount val="1"/>
                <c:pt idx="0">
                  <c:v>≥65 years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'FigureS1-CumulativeProp'!$S$17:$AD$17</c:f>
              <c:strCache>
                <c:ptCount val="12"/>
                <c:pt idx="0">
                  <c:v>September</c:v>
                </c:pt>
                <c:pt idx="1">
                  <c:v>October</c:v>
                </c:pt>
                <c:pt idx="2">
                  <c:v>November</c:v>
                </c:pt>
                <c:pt idx="3">
                  <c:v>December</c:v>
                </c:pt>
                <c:pt idx="4">
                  <c:v>January</c:v>
                </c:pt>
                <c:pt idx="5">
                  <c:v>February</c:v>
                </c:pt>
                <c:pt idx="6">
                  <c:v>March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  <c:pt idx="10">
                  <c:v>July</c:v>
                </c:pt>
                <c:pt idx="11">
                  <c:v>August</c:v>
                </c:pt>
              </c:strCache>
            </c:strRef>
          </c:cat>
          <c:val>
            <c:numRef>
              <c:f>'FigureS1-CumulativeProp'!$S$24:$AD$24</c:f>
              <c:numCache>
                <c:formatCode>General</c:formatCode>
                <c:ptCount val="12"/>
                <c:pt idx="0">
                  <c:v>0.5</c:v>
                </c:pt>
                <c:pt idx="1">
                  <c:v>1.4</c:v>
                </c:pt>
                <c:pt idx="2">
                  <c:v>5.9</c:v>
                </c:pt>
                <c:pt idx="3">
                  <c:v>24.799999999999997</c:v>
                </c:pt>
                <c:pt idx="4">
                  <c:v>59.5</c:v>
                </c:pt>
                <c:pt idx="5">
                  <c:v>78.8</c:v>
                </c:pt>
                <c:pt idx="6">
                  <c:v>92.399999999999991</c:v>
                </c:pt>
                <c:pt idx="7">
                  <c:v>97.999999999999986</c:v>
                </c:pt>
                <c:pt idx="8">
                  <c:v>99.299999999999983</c:v>
                </c:pt>
                <c:pt idx="9">
                  <c:v>99.59999999999998</c:v>
                </c:pt>
                <c:pt idx="10">
                  <c:v>99.799999999999983</c:v>
                </c:pt>
                <c:pt idx="11">
                  <c:v>100.09999999999998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D1C-47FE-A662-AC6199DB8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8561504"/>
        <c:axId val="458561112"/>
      </c:lineChart>
      <c:catAx>
        <c:axId val="45856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61112"/>
        <c:crosses val="autoZero"/>
        <c:auto val="1"/>
        <c:lblAlgn val="ctr"/>
        <c:lblOffset val="100"/>
        <c:noMultiLvlLbl val="0"/>
      </c:catAx>
      <c:valAx>
        <c:axId val="458561112"/>
        <c:scaling>
          <c:orientation val="minMax"/>
          <c:max val="10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Cumulative RSV hospitalization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6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&lt;5 years</a:t>
            </a:r>
          </a:p>
        </c:rich>
      </c:tx>
      <c:layout>
        <c:manualLayout>
          <c:xMode val="edge"/>
          <c:yMode val="edge"/>
          <c:x val="0.43414432965567268"/>
          <c:y val="1.60458452722063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993167176416998"/>
          <c:y val="6.3435456931519918E-2"/>
          <c:w val="0.88635537246897189"/>
          <c:h val="0.87219867971049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Sheet4!$C$1</c:f>
              <c:strCache>
                <c:ptCount val="1"/>
                <c:pt idx="0">
                  <c:v>Rate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multiLvlStrRef>
              <c:f>Sheet4!$A$2:$B$40</c:f>
              <c:multiLvlStrCache>
                <c:ptCount val="3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Q5</c:v>
                  </c:pt>
                  <c:pt idx="5">
                    <c:v>Q1</c:v>
                  </c:pt>
                  <c:pt idx="6">
                    <c:v>Q2</c:v>
                  </c:pt>
                  <c:pt idx="7">
                    <c:v>Q3</c:v>
                  </c:pt>
                  <c:pt idx="8">
                    <c:v>Q4</c:v>
                  </c:pt>
                  <c:pt idx="9">
                    <c:v>Q5</c:v>
                  </c:pt>
                  <c:pt idx="10">
                    <c:v>Q1</c:v>
                  </c:pt>
                  <c:pt idx="11">
                    <c:v>Q2</c:v>
                  </c:pt>
                  <c:pt idx="12">
                    <c:v>Q3</c:v>
                  </c:pt>
                  <c:pt idx="13">
                    <c:v>Q4</c:v>
                  </c:pt>
                  <c:pt idx="14">
                    <c:v>Q5</c:v>
                  </c:pt>
                  <c:pt idx="15">
                    <c:v>Q1</c:v>
                  </c:pt>
                  <c:pt idx="16">
                    <c:v>Q2</c:v>
                  </c:pt>
                  <c:pt idx="17">
                    <c:v>Q3</c:v>
                  </c:pt>
                  <c:pt idx="18">
                    <c:v>Q4</c:v>
                  </c:pt>
                  <c:pt idx="19">
                    <c:v>Q5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Q5</c:v>
                  </c:pt>
                  <c:pt idx="25">
                    <c:v>Q1</c:v>
                  </c:pt>
                  <c:pt idx="26">
                    <c:v>Q2</c:v>
                  </c:pt>
                  <c:pt idx="27">
                    <c:v>Q3</c:v>
                  </c:pt>
                  <c:pt idx="28">
                    <c:v>Q4</c:v>
                  </c:pt>
                  <c:pt idx="29">
                    <c:v>Q1</c:v>
                  </c:pt>
                  <c:pt idx="30">
                    <c:v>Q2</c:v>
                  </c:pt>
                  <c:pt idx="31">
                    <c:v>Q3</c:v>
                  </c:pt>
                  <c:pt idx="32">
                    <c:v>Q4</c:v>
                  </c:pt>
                  <c:pt idx="33">
                    <c:v>Q5</c:v>
                  </c:pt>
                  <c:pt idx="34">
                    <c:v>Q1</c:v>
                  </c:pt>
                  <c:pt idx="35">
                    <c:v>Q2</c:v>
                  </c:pt>
                  <c:pt idx="36">
                    <c:v>Q3</c:v>
                  </c:pt>
                  <c:pt idx="37">
                    <c:v>Q4</c:v>
                  </c:pt>
                  <c:pt idx="38">
                    <c:v>Q5</c:v>
                  </c:pt>
                </c:lvl>
                <c:lvl>
                  <c:pt idx="0">
                    <c:v>Racialized and newcomer populations</c:v>
                  </c:pt>
                  <c:pt idx="5">
                    <c:v>Material resources</c:v>
                  </c:pt>
                  <c:pt idx="10">
                    <c:v>Households and dwellings</c:v>
                  </c:pt>
                  <c:pt idx="15">
                    <c:v>Age and labour</c:v>
                  </c:pt>
                  <c:pt idx="20">
                    <c:v>Multi-generational families</c:v>
                  </c:pt>
                  <c:pt idx="25">
                    <c:v>Unsuitable housing</c:v>
                  </c:pt>
                  <c:pt idx="29">
                    <c:v>Average dwelling sizes</c:v>
                  </c:pt>
                  <c:pt idx="34">
                    <c:v>Household with persons under 5 years old</c:v>
                  </c:pt>
                </c:lvl>
              </c:multiLvlStrCache>
            </c:multiLvlStrRef>
          </c:cat>
          <c:val>
            <c:numRef>
              <c:f>Sheet4!$C$2:$C$40</c:f>
              <c:numCache>
                <c:formatCode>General</c:formatCode>
                <c:ptCount val="39"/>
                <c:pt idx="0">
                  <c:v>376.3</c:v>
                </c:pt>
                <c:pt idx="1">
                  <c:v>356</c:v>
                </c:pt>
                <c:pt idx="2">
                  <c:v>323</c:v>
                </c:pt>
                <c:pt idx="3">
                  <c:v>299.89999999999998</c:v>
                </c:pt>
                <c:pt idx="4">
                  <c:v>240.7</c:v>
                </c:pt>
                <c:pt idx="5">
                  <c:v>262.10000000000002</c:v>
                </c:pt>
                <c:pt idx="6">
                  <c:v>266</c:v>
                </c:pt>
                <c:pt idx="7">
                  <c:v>295.39999999999998</c:v>
                </c:pt>
                <c:pt idx="8">
                  <c:v>337.2</c:v>
                </c:pt>
                <c:pt idx="9">
                  <c:v>357</c:v>
                </c:pt>
                <c:pt idx="10">
                  <c:v>251.9</c:v>
                </c:pt>
                <c:pt idx="11">
                  <c:v>317.89999999999998</c:v>
                </c:pt>
                <c:pt idx="12">
                  <c:v>319.39999999999998</c:v>
                </c:pt>
                <c:pt idx="13">
                  <c:v>333.2</c:v>
                </c:pt>
                <c:pt idx="14">
                  <c:v>302.39999999999998</c:v>
                </c:pt>
                <c:pt idx="15">
                  <c:v>266.60000000000002</c:v>
                </c:pt>
                <c:pt idx="16">
                  <c:v>291.89999999999998</c:v>
                </c:pt>
                <c:pt idx="17">
                  <c:v>319.3</c:v>
                </c:pt>
                <c:pt idx="18">
                  <c:v>329.1</c:v>
                </c:pt>
                <c:pt idx="19">
                  <c:v>363.7</c:v>
                </c:pt>
                <c:pt idx="20">
                  <c:v>337</c:v>
                </c:pt>
                <c:pt idx="21">
                  <c:v>314.60000000000002</c:v>
                </c:pt>
                <c:pt idx="22">
                  <c:v>310.7</c:v>
                </c:pt>
                <c:pt idx="23">
                  <c:v>299</c:v>
                </c:pt>
                <c:pt idx="24">
                  <c:v>263.89999999999998</c:v>
                </c:pt>
                <c:pt idx="25">
                  <c:v>328.4</c:v>
                </c:pt>
                <c:pt idx="26">
                  <c:v>293.60000000000002</c:v>
                </c:pt>
                <c:pt idx="27">
                  <c:v>316.60000000000002</c:v>
                </c:pt>
                <c:pt idx="28">
                  <c:v>272.3</c:v>
                </c:pt>
                <c:pt idx="29">
                  <c:v>341.7</c:v>
                </c:pt>
                <c:pt idx="30">
                  <c:v>344.6</c:v>
                </c:pt>
                <c:pt idx="31">
                  <c:v>323.89999999999998</c:v>
                </c:pt>
                <c:pt idx="32">
                  <c:v>293.7</c:v>
                </c:pt>
                <c:pt idx="33">
                  <c:v>251.8</c:v>
                </c:pt>
                <c:pt idx="34">
                  <c:v>391.3</c:v>
                </c:pt>
                <c:pt idx="35">
                  <c:v>329.9</c:v>
                </c:pt>
                <c:pt idx="36">
                  <c:v>307.10000000000002</c:v>
                </c:pt>
                <c:pt idx="37">
                  <c:v>299</c:v>
                </c:pt>
                <c:pt idx="38">
                  <c:v>272.89999999999998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07-4069-8872-D5F43AA17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565816"/>
        <c:axId val="458559936"/>
      </c:barChart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D607-4069-8872-D5F43AA1796A}"/>
              </c:ext>
            </c:extLst>
          </c:dPt>
          <c:dPt>
            <c:idx val="1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D607-4069-8872-D5F43AA1796A}"/>
              </c:ext>
            </c:extLst>
          </c:dPt>
          <c:dPt>
            <c:idx val="2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D607-4069-8872-D5F43AA1796A}"/>
              </c:ext>
            </c:extLst>
          </c:dPt>
          <c:dPt>
            <c:idx val="3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D607-4069-8872-D5F43AA1796A}"/>
              </c:ext>
            </c:extLst>
          </c:dPt>
          <c:dPt>
            <c:idx val="4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D607-4069-8872-D5F43AA1796A}"/>
              </c:ext>
            </c:extLst>
          </c:dPt>
          <c:dPt>
            <c:idx val="10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D607-4069-8872-D5F43AA1796A}"/>
              </c:ext>
            </c:extLst>
          </c:dPt>
          <c:dPt>
            <c:idx val="11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D607-4069-8872-D5F43AA1796A}"/>
              </c:ext>
            </c:extLst>
          </c:dPt>
          <c:dPt>
            <c:idx val="12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D607-4069-8872-D5F43AA1796A}"/>
              </c:ext>
            </c:extLst>
          </c:dPt>
          <c:dPt>
            <c:idx val="13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D607-4069-8872-D5F43AA1796A}"/>
              </c:ext>
            </c:extLst>
          </c:dPt>
          <c:dPt>
            <c:idx val="14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D607-4069-8872-D5F43AA1796A}"/>
              </c:ext>
            </c:extLst>
          </c:dPt>
          <c:dPt>
            <c:idx val="15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D607-4069-8872-D5F43AA1796A}"/>
              </c:ext>
            </c:extLst>
          </c:dPt>
          <c:dPt>
            <c:idx val="16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D607-4069-8872-D5F43AA1796A}"/>
              </c:ext>
            </c:extLst>
          </c:dPt>
          <c:dPt>
            <c:idx val="17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D607-4069-8872-D5F43AA1796A}"/>
              </c:ext>
            </c:extLst>
          </c:dPt>
          <c:dPt>
            <c:idx val="18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D607-4069-8872-D5F43AA1796A}"/>
              </c:ext>
            </c:extLst>
          </c:dPt>
          <c:dPt>
            <c:idx val="19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D607-4069-8872-D5F43AA1796A}"/>
              </c:ext>
            </c:extLst>
          </c:dPt>
          <c:dPt>
            <c:idx val="20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D607-4069-8872-D5F43AA1796A}"/>
              </c:ext>
            </c:extLst>
          </c:dPt>
          <c:dPt>
            <c:idx val="21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D607-4069-8872-D5F43AA1796A}"/>
              </c:ext>
            </c:extLst>
          </c:dPt>
          <c:dPt>
            <c:idx val="22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D607-4069-8872-D5F43AA1796A}"/>
              </c:ext>
            </c:extLst>
          </c:dPt>
          <c:dPt>
            <c:idx val="23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D607-4069-8872-D5F43AA1796A}"/>
              </c:ext>
            </c:extLst>
          </c:dPt>
          <c:dPt>
            <c:idx val="24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D607-4069-8872-D5F43AA1796A}"/>
              </c:ext>
            </c:extLst>
          </c:dPt>
          <c:dPt>
            <c:idx val="25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D607-4069-8872-D5F43AA1796A}"/>
              </c:ext>
            </c:extLst>
          </c:dPt>
          <c:dPt>
            <c:idx val="26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D607-4069-8872-D5F43AA1796A}"/>
              </c:ext>
            </c:extLst>
          </c:dPt>
          <c:dPt>
            <c:idx val="27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D607-4069-8872-D5F43AA1796A}"/>
              </c:ext>
            </c:extLst>
          </c:dPt>
          <c:dPt>
            <c:idx val="28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D607-4069-8872-D5F43AA1796A}"/>
              </c:ext>
            </c:extLst>
          </c:dPt>
          <c:dPt>
            <c:idx val="29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D607-4069-8872-D5F43AA1796A}"/>
              </c:ext>
            </c:extLst>
          </c:dPt>
          <c:dPt>
            <c:idx val="30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D607-4069-8872-D5F43AA1796A}"/>
              </c:ext>
            </c:extLst>
          </c:dPt>
          <c:dPt>
            <c:idx val="31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D607-4069-8872-D5F43AA1796A}"/>
              </c:ext>
            </c:extLst>
          </c:dPt>
          <c:dPt>
            <c:idx val="32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D607-4069-8872-D5F43AA1796A}"/>
              </c:ext>
            </c:extLst>
          </c:dPt>
          <c:dPt>
            <c:idx val="33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D607-4069-8872-D5F43AA1796A}"/>
              </c:ext>
            </c:extLst>
          </c:dPt>
          <c:dPt>
            <c:idx val="34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D607-4069-8872-D5F43AA1796A}"/>
              </c:ext>
            </c:extLst>
          </c:dPt>
          <c:dPt>
            <c:idx val="35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D607-4069-8872-D5F43AA1796A}"/>
              </c:ext>
            </c:extLst>
          </c:dPt>
          <c:dPt>
            <c:idx val="36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D607-4069-8872-D5F43AA1796A}"/>
              </c:ext>
            </c:extLst>
          </c:dPt>
          <c:dPt>
            <c:idx val="37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D607-4069-8872-D5F43AA1796A}"/>
              </c:ext>
            </c:extLst>
          </c:dPt>
          <c:dPt>
            <c:idx val="38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D607-4069-8872-D5F43AA1796A}"/>
              </c:ext>
            </c:extLst>
          </c:dPt>
          <c:errBars>
            <c:errDir val="x"/>
            <c:errBarType val="both"/>
            <c:errValType val="cust"/>
            <c:noEndCap val="0"/>
            <c:plus>
              <c:numRef>
                <c:f>Sheet4!$G$2:$G$40</c:f>
                <c:numCache>
                  <c:formatCode>General</c:formatCode>
                  <c:ptCount val="39"/>
                  <c:pt idx="0">
                    <c:v>23.800000000000011</c:v>
                  </c:pt>
                  <c:pt idx="1">
                    <c:v>20.899999999999977</c:v>
                  </c:pt>
                  <c:pt idx="2">
                    <c:v>18.5</c:v>
                  </c:pt>
                  <c:pt idx="3">
                    <c:v>16</c:v>
                  </c:pt>
                  <c:pt idx="4">
                    <c:v>11.5</c:v>
                  </c:pt>
                  <c:pt idx="5">
                    <c:v>14.599999999999966</c:v>
                  </c:pt>
                  <c:pt idx="6">
                    <c:v>15.399999999999977</c:v>
                  </c:pt>
                  <c:pt idx="7">
                    <c:v>17.300000000000011</c:v>
                  </c:pt>
                  <c:pt idx="8">
                    <c:v>19</c:v>
                  </c:pt>
                  <c:pt idx="9">
                    <c:v>17.699999999999989</c:v>
                  </c:pt>
                  <c:pt idx="10">
                    <c:v>13.900000000000006</c:v>
                  </c:pt>
                  <c:pt idx="11">
                    <c:v>17.5</c:v>
                  </c:pt>
                  <c:pt idx="12">
                    <c:v>18.200000000000045</c:v>
                  </c:pt>
                  <c:pt idx="13">
                    <c:v>18.5</c:v>
                  </c:pt>
                  <c:pt idx="14">
                    <c:v>16.400000000000034</c:v>
                  </c:pt>
                  <c:pt idx="15">
                    <c:v>12</c:v>
                  </c:pt>
                  <c:pt idx="16">
                    <c:v>15.800000000000011</c:v>
                  </c:pt>
                  <c:pt idx="17">
                    <c:v>18.699999999999989</c:v>
                  </c:pt>
                  <c:pt idx="18">
                    <c:v>20.199999999999989</c:v>
                  </c:pt>
                  <c:pt idx="19">
                    <c:v>23.699999999999989</c:v>
                  </c:pt>
                  <c:pt idx="20">
                    <c:v>18.600000000000023</c:v>
                  </c:pt>
                  <c:pt idx="21">
                    <c:v>19.799999999999955</c:v>
                  </c:pt>
                  <c:pt idx="22">
                    <c:v>16.600000000000023</c:v>
                  </c:pt>
                  <c:pt idx="23">
                    <c:v>15.699999999999989</c:v>
                  </c:pt>
                  <c:pt idx="24">
                    <c:v>14.100000000000023</c:v>
                  </c:pt>
                  <c:pt idx="25">
                    <c:v>14.900000000000034</c:v>
                  </c:pt>
                  <c:pt idx="26">
                    <c:v>17.799999999999955</c:v>
                  </c:pt>
                  <c:pt idx="27">
                    <c:v>15.399999999999977</c:v>
                  </c:pt>
                  <c:pt idx="28">
                    <c:v>12.599999999999966</c:v>
                  </c:pt>
                  <c:pt idx="29">
                    <c:v>21.600000000000023</c:v>
                  </c:pt>
                  <c:pt idx="30">
                    <c:v>19.5</c:v>
                  </c:pt>
                  <c:pt idx="31">
                    <c:v>16.800000000000011</c:v>
                  </c:pt>
                  <c:pt idx="32">
                    <c:v>17.400000000000034</c:v>
                  </c:pt>
                  <c:pt idx="33">
                    <c:v>12.199999999999989</c:v>
                  </c:pt>
                  <c:pt idx="34">
                    <c:v>29.199999999999989</c:v>
                  </c:pt>
                  <c:pt idx="35">
                    <c:v>21.300000000000011</c:v>
                  </c:pt>
                  <c:pt idx="36">
                    <c:v>18.299999999999955</c:v>
                  </c:pt>
                  <c:pt idx="37">
                    <c:v>15.899999999999977</c:v>
                  </c:pt>
                  <c:pt idx="38">
                    <c:v>11.300000000000011</c:v>
                  </c:pt>
                </c:numCache>
              </c:numRef>
            </c:plus>
            <c:minus>
              <c:numRef>
                <c:f>Sheet4!$E$2:$E$40</c:f>
                <c:numCache>
                  <c:formatCode>General</c:formatCode>
                  <c:ptCount val="39"/>
                  <c:pt idx="0">
                    <c:v>23.699999999999989</c:v>
                  </c:pt>
                  <c:pt idx="1">
                    <c:v>21</c:v>
                  </c:pt>
                  <c:pt idx="2">
                    <c:v>18.600000000000023</c:v>
                  </c:pt>
                  <c:pt idx="3">
                    <c:v>16</c:v>
                  </c:pt>
                  <c:pt idx="4">
                    <c:v>11.5</c:v>
                  </c:pt>
                  <c:pt idx="5">
                    <c:v>14.600000000000023</c:v>
                  </c:pt>
                  <c:pt idx="6">
                    <c:v>15.400000000000006</c:v>
                  </c:pt>
                  <c:pt idx="7">
                    <c:v>17.399999999999977</c:v>
                  </c:pt>
                  <c:pt idx="8">
                    <c:v>19.099999999999966</c:v>
                  </c:pt>
                  <c:pt idx="9">
                    <c:v>17.699999999999989</c:v>
                  </c:pt>
                  <c:pt idx="10">
                    <c:v>13.900000000000006</c:v>
                  </c:pt>
                  <c:pt idx="11">
                    <c:v>17.5</c:v>
                  </c:pt>
                  <c:pt idx="12">
                    <c:v>18.199999999999989</c:v>
                  </c:pt>
                  <c:pt idx="13">
                    <c:v>18.399999999999977</c:v>
                  </c:pt>
                  <c:pt idx="14">
                    <c:v>16.5</c:v>
                  </c:pt>
                  <c:pt idx="15">
                    <c:v>11.900000000000034</c:v>
                  </c:pt>
                  <c:pt idx="16">
                    <c:v>15.799999999999955</c:v>
                  </c:pt>
                  <c:pt idx="17">
                    <c:v>18.800000000000011</c:v>
                  </c:pt>
                  <c:pt idx="18">
                    <c:v>20.300000000000011</c:v>
                  </c:pt>
                  <c:pt idx="19">
                    <c:v>23.599999999999966</c:v>
                  </c:pt>
                  <c:pt idx="20">
                    <c:v>18.699999999999989</c:v>
                  </c:pt>
                  <c:pt idx="21">
                    <c:v>19.800000000000011</c:v>
                  </c:pt>
                  <c:pt idx="22">
                    <c:v>16.699999999999989</c:v>
                  </c:pt>
                  <c:pt idx="23">
                    <c:v>15.600000000000023</c:v>
                  </c:pt>
                  <c:pt idx="24">
                    <c:v>14.099999999999966</c:v>
                  </c:pt>
                  <c:pt idx="25">
                    <c:v>14.899999999999977</c:v>
                  </c:pt>
                  <c:pt idx="26">
                    <c:v>17.800000000000011</c:v>
                  </c:pt>
                  <c:pt idx="27">
                    <c:v>15.5</c:v>
                  </c:pt>
                  <c:pt idx="28">
                    <c:v>12.600000000000023</c:v>
                  </c:pt>
                  <c:pt idx="29">
                    <c:v>21.5</c:v>
                  </c:pt>
                  <c:pt idx="30">
                    <c:v>19.5</c:v>
                  </c:pt>
                  <c:pt idx="31">
                    <c:v>16.799999999999955</c:v>
                  </c:pt>
                  <c:pt idx="32">
                    <c:v>17.300000000000011</c:v>
                  </c:pt>
                  <c:pt idx="33">
                    <c:v>12.200000000000017</c:v>
                  </c:pt>
                  <c:pt idx="34">
                    <c:v>29.199999999999989</c:v>
                  </c:pt>
                  <c:pt idx="35">
                    <c:v>21.299999999999955</c:v>
                  </c:pt>
                  <c:pt idx="36">
                    <c:v>18.300000000000011</c:v>
                  </c:pt>
                  <c:pt idx="37">
                    <c:v>15.899999999999977</c:v>
                  </c:pt>
                  <c:pt idx="38">
                    <c:v>11.199999999999989</c:v>
                  </c:pt>
                </c:numCache>
              </c:numRef>
            </c:minus>
            <c:spPr>
              <a:noFill/>
              <a:ln w="1587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Sheet4!$C$2:$C$40</c:f>
              <c:numCache>
                <c:formatCode>General</c:formatCode>
                <c:ptCount val="39"/>
                <c:pt idx="0">
                  <c:v>376.3</c:v>
                </c:pt>
                <c:pt idx="1">
                  <c:v>356</c:v>
                </c:pt>
                <c:pt idx="2">
                  <c:v>323</c:v>
                </c:pt>
                <c:pt idx="3">
                  <c:v>299.89999999999998</c:v>
                </c:pt>
                <c:pt idx="4">
                  <c:v>240.7</c:v>
                </c:pt>
                <c:pt idx="5">
                  <c:v>262.10000000000002</c:v>
                </c:pt>
                <c:pt idx="6">
                  <c:v>266</c:v>
                </c:pt>
                <c:pt idx="7">
                  <c:v>295.39999999999998</c:v>
                </c:pt>
                <c:pt idx="8">
                  <c:v>337.2</c:v>
                </c:pt>
                <c:pt idx="9">
                  <c:v>357</c:v>
                </c:pt>
                <c:pt idx="10">
                  <c:v>251.9</c:v>
                </c:pt>
                <c:pt idx="11">
                  <c:v>317.89999999999998</c:v>
                </c:pt>
                <c:pt idx="12">
                  <c:v>319.39999999999998</c:v>
                </c:pt>
                <c:pt idx="13">
                  <c:v>333.2</c:v>
                </c:pt>
                <c:pt idx="14">
                  <c:v>302.39999999999998</c:v>
                </c:pt>
                <c:pt idx="15">
                  <c:v>266.60000000000002</c:v>
                </c:pt>
                <c:pt idx="16">
                  <c:v>291.89999999999998</c:v>
                </c:pt>
                <c:pt idx="17">
                  <c:v>319.3</c:v>
                </c:pt>
                <c:pt idx="18">
                  <c:v>329.1</c:v>
                </c:pt>
                <c:pt idx="19">
                  <c:v>363.7</c:v>
                </c:pt>
                <c:pt idx="20">
                  <c:v>337</c:v>
                </c:pt>
                <c:pt idx="21">
                  <c:v>314.60000000000002</c:v>
                </c:pt>
                <c:pt idx="22">
                  <c:v>310.7</c:v>
                </c:pt>
                <c:pt idx="23">
                  <c:v>299</c:v>
                </c:pt>
                <c:pt idx="24">
                  <c:v>263.89999999999998</c:v>
                </c:pt>
                <c:pt idx="25">
                  <c:v>328.4</c:v>
                </c:pt>
                <c:pt idx="26">
                  <c:v>293.60000000000002</c:v>
                </c:pt>
                <c:pt idx="27">
                  <c:v>316.60000000000002</c:v>
                </c:pt>
                <c:pt idx="28">
                  <c:v>272.3</c:v>
                </c:pt>
                <c:pt idx="29">
                  <c:v>341.7</c:v>
                </c:pt>
                <c:pt idx="30">
                  <c:v>344.6</c:v>
                </c:pt>
                <c:pt idx="31">
                  <c:v>323.89999999999998</c:v>
                </c:pt>
                <c:pt idx="32">
                  <c:v>293.7</c:v>
                </c:pt>
                <c:pt idx="33">
                  <c:v>251.8</c:v>
                </c:pt>
                <c:pt idx="34">
                  <c:v>391.3</c:v>
                </c:pt>
                <c:pt idx="35">
                  <c:v>329.9</c:v>
                </c:pt>
                <c:pt idx="36">
                  <c:v>307.10000000000002</c:v>
                </c:pt>
                <c:pt idx="37">
                  <c:v>299</c:v>
                </c:pt>
                <c:pt idx="38">
                  <c:v>272.89999999999998</c:v>
                </c:pt>
              </c:numCache>
            </c:numRef>
          </c:xVal>
          <c:yVal>
            <c:numRef>
              <c:f>Sheet4!$R$2:$R$40</c:f>
              <c:numCache>
                <c:formatCode>General</c:formatCode>
                <c:ptCount val="39"/>
                <c:pt idx="0">
                  <c:v>0.7</c:v>
                </c:pt>
                <c:pt idx="1">
                  <c:v>1.8</c:v>
                </c:pt>
                <c:pt idx="2">
                  <c:v>3</c:v>
                </c:pt>
                <c:pt idx="3">
                  <c:v>4.2</c:v>
                </c:pt>
                <c:pt idx="4">
                  <c:v>5.4</c:v>
                </c:pt>
                <c:pt idx="5">
                  <c:v>6.6</c:v>
                </c:pt>
                <c:pt idx="6">
                  <c:v>7.8</c:v>
                </c:pt>
                <c:pt idx="7">
                  <c:v>9</c:v>
                </c:pt>
                <c:pt idx="8">
                  <c:v>10.199999999999999</c:v>
                </c:pt>
                <c:pt idx="9">
                  <c:v>11.4</c:v>
                </c:pt>
                <c:pt idx="10">
                  <c:v>12.6</c:v>
                </c:pt>
                <c:pt idx="11">
                  <c:v>13.8</c:v>
                </c:pt>
                <c:pt idx="12">
                  <c:v>15</c:v>
                </c:pt>
                <c:pt idx="13">
                  <c:v>16.2</c:v>
                </c:pt>
                <c:pt idx="14">
                  <c:v>17.399999999999999</c:v>
                </c:pt>
                <c:pt idx="15">
                  <c:v>18.600000000000001</c:v>
                </c:pt>
                <c:pt idx="16">
                  <c:v>19.8</c:v>
                </c:pt>
                <c:pt idx="17">
                  <c:v>21</c:v>
                </c:pt>
                <c:pt idx="18">
                  <c:v>22.2</c:v>
                </c:pt>
                <c:pt idx="19">
                  <c:v>23.4</c:v>
                </c:pt>
                <c:pt idx="20">
                  <c:v>24.6</c:v>
                </c:pt>
                <c:pt idx="21">
                  <c:v>25.8</c:v>
                </c:pt>
                <c:pt idx="22">
                  <c:v>27</c:v>
                </c:pt>
                <c:pt idx="23">
                  <c:v>28.2</c:v>
                </c:pt>
                <c:pt idx="24">
                  <c:v>29.4</c:v>
                </c:pt>
                <c:pt idx="25">
                  <c:v>30.6</c:v>
                </c:pt>
                <c:pt idx="26">
                  <c:v>31.8</c:v>
                </c:pt>
                <c:pt idx="27">
                  <c:v>33</c:v>
                </c:pt>
                <c:pt idx="28">
                  <c:v>34.200000000000003</c:v>
                </c:pt>
                <c:pt idx="29">
                  <c:v>35.4</c:v>
                </c:pt>
                <c:pt idx="30">
                  <c:v>36.6</c:v>
                </c:pt>
                <c:pt idx="31">
                  <c:v>37.799999999999997</c:v>
                </c:pt>
                <c:pt idx="32">
                  <c:v>39</c:v>
                </c:pt>
                <c:pt idx="33">
                  <c:v>40.200000000000003</c:v>
                </c:pt>
                <c:pt idx="34">
                  <c:v>41.4</c:v>
                </c:pt>
                <c:pt idx="35">
                  <c:v>42.6</c:v>
                </c:pt>
                <c:pt idx="36">
                  <c:v>43.8</c:v>
                </c:pt>
                <c:pt idx="37">
                  <c:v>45</c:v>
                </c:pt>
                <c:pt idx="38">
                  <c:v>46.2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3-D607-4069-8872-D5F43AA17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8563856"/>
        <c:axId val="458563072"/>
      </c:scatterChart>
      <c:catAx>
        <c:axId val="458565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59936"/>
        <c:crosses val="autoZero"/>
        <c:auto val="1"/>
        <c:lblAlgn val="ctr"/>
        <c:lblOffset val="100"/>
        <c:noMultiLvlLbl val="0"/>
      </c:catAx>
      <c:valAx>
        <c:axId val="458559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Incidence</a:t>
                </a:r>
                <a:r>
                  <a:rPr lang="en-CA" baseline="0"/>
                  <a:t> per 100,000</a:t>
                </a:r>
                <a:endParaRPr lang="en-CA"/>
              </a:p>
            </c:rich>
          </c:tx>
          <c:layout>
            <c:manualLayout>
              <c:xMode val="edge"/>
              <c:yMode val="edge"/>
              <c:x val="0.36949697403527049"/>
              <c:y val="0.969153264932792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65816"/>
        <c:crosses val="max"/>
        <c:crossBetween val="between"/>
      </c:valAx>
      <c:valAx>
        <c:axId val="458563072"/>
        <c:scaling>
          <c:orientation val="maxMin"/>
          <c:max val="46.8"/>
          <c:min val="0"/>
        </c:scaling>
        <c:delete val="1"/>
        <c:axPos val="r"/>
        <c:numFmt formatCode="General" sourceLinked="1"/>
        <c:majorTickMark val="out"/>
        <c:minorTickMark val="none"/>
        <c:tickLblPos val="nextTo"/>
        <c:crossAx val="458563856"/>
        <c:crosses val="max"/>
        <c:crossBetween val="midCat"/>
      </c:valAx>
      <c:valAx>
        <c:axId val="458563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563072"/>
        <c:crosses val="max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400">
                <a:solidFill>
                  <a:schemeClr val="tx1">
                    <a:lumMod val="65000"/>
                    <a:lumOff val="35000"/>
                  </a:schemeClr>
                </a:solidFill>
              </a:rPr>
              <a:t>5-64 years</a:t>
            </a:r>
          </a:p>
        </c:rich>
      </c:tx>
      <c:layout>
        <c:manualLayout>
          <c:xMode val="edge"/>
          <c:yMode val="edge"/>
          <c:x val="0.41423115577889447"/>
          <c:y val="2.0191822311963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142814863275623"/>
          <c:y val="6.776004446879387E-2"/>
          <c:w val="0.7647736317826741"/>
          <c:h val="0.872673389324567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Sheet4!$H$1</c:f>
              <c:strCache>
                <c:ptCount val="1"/>
                <c:pt idx="0">
                  <c:v>Rate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1587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Sheet4!$A$2:$B$40</c:f>
              <c:multiLvlStrCache>
                <c:ptCount val="3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Q5</c:v>
                  </c:pt>
                  <c:pt idx="5">
                    <c:v>Q1</c:v>
                  </c:pt>
                  <c:pt idx="6">
                    <c:v>Q2</c:v>
                  </c:pt>
                  <c:pt idx="7">
                    <c:v>Q3</c:v>
                  </c:pt>
                  <c:pt idx="8">
                    <c:v>Q4</c:v>
                  </c:pt>
                  <c:pt idx="9">
                    <c:v>Q5</c:v>
                  </c:pt>
                  <c:pt idx="10">
                    <c:v>Q1</c:v>
                  </c:pt>
                  <c:pt idx="11">
                    <c:v>Q2</c:v>
                  </c:pt>
                  <c:pt idx="12">
                    <c:v>Q3</c:v>
                  </c:pt>
                  <c:pt idx="13">
                    <c:v>Q4</c:v>
                  </c:pt>
                  <c:pt idx="14">
                    <c:v>Q5</c:v>
                  </c:pt>
                  <c:pt idx="15">
                    <c:v>Q1</c:v>
                  </c:pt>
                  <c:pt idx="16">
                    <c:v>Q2</c:v>
                  </c:pt>
                  <c:pt idx="17">
                    <c:v>Q3</c:v>
                  </c:pt>
                  <c:pt idx="18">
                    <c:v>Q4</c:v>
                  </c:pt>
                  <c:pt idx="19">
                    <c:v>Q5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Q5</c:v>
                  </c:pt>
                  <c:pt idx="25">
                    <c:v>Q1</c:v>
                  </c:pt>
                  <c:pt idx="26">
                    <c:v>Q2</c:v>
                  </c:pt>
                  <c:pt idx="27">
                    <c:v>Q3</c:v>
                  </c:pt>
                  <c:pt idx="28">
                    <c:v>Q4</c:v>
                  </c:pt>
                  <c:pt idx="29">
                    <c:v>Q1</c:v>
                  </c:pt>
                  <c:pt idx="30">
                    <c:v>Q2</c:v>
                  </c:pt>
                  <c:pt idx="31">
                    <c:v>Q3</c:v>
                  </c:pt>
                  <c:pt idx="32">
                    <c:v>Q4</c:v>
                  </c:pt>
                  <c:pt idx="33">
                    <c:v>Q5</c:v>
                  </c:pt>
                  <c:pt idx="34">
                    <c:v>Q1</c:v>
                  </c:pt>
                  <c:pt idx="35">
                    <c:v>Q2</c:v>
                  </c:pt>
                  <c:pt idx="36">
                    <c:v>Q3</c:v>
                  </c:pt>
                  <c:pt idx="37">
                    <c:v>Q4</c:v>
                  </c:pt>
                  <c:pt idx="38">
                    <c:v>Q5</c:v>
                  </c:pt>
                </c:lvl>
                <c:lvl>
                  <c:pt idx="0">
                    <c:v>Racialized and newcomer populations</c:v>
                  </c:pt>
                  <c:pt idx="5">
                    <c:v>Material resources</c:v>
                  </c:pt>
                  <c:pt idx="10">
                    <c:v>Households and dwellings</c:v>
                  </c:pt>
                  <c:pt idx="15">
                    <c:v>Age and labour</c:v>
                  </c:pt>
                  <c:pt idx="20">
                    <c:v>Multi-generational families</c:v>
                  </c:pt>
                  <c:pt idx="25">
                    <c:v>Unsuitable housing</c:v>
                  </c:pt>
                  <c:pt idx="29">
                    <c:v>Average dwelling sizes</c:v>
                  </c:pt>
                  <c:pt idx="34">
                    <c:v>Household with persons under 5 years old</c:v>
                  </c:pt>
                </c:lvl>
              </c:multiLvlStrCache>
            </c:multiLvlStrRef>
          </c:cat>
          <c:val>
            <c:numRef>
              <c:f>Sheet4!$H$2:$H$40</c:f>
              <c:numCache>
                <c:formatCode>General</c:formatCode>
                <c:ptCount val="39"/>
                <c:pt idx="0">
                  <c:v>3.4</c:v>
                </c:pt>
                <c:pt idx="1">
                  <c:v>3.8</c:v>
                </c:pt>
                <c:pt idx="2">
                  <c:v>3.7</c:v>
                </c:pt>
                <c:pt idx="3">
                  <c:v>3.4</c:v>
                </c:pt>
                <c:pt idx="4">
                  <c:v>3.7</c:v>
                </c:pt>
                <c:pt idx="5">
                  <c:v>3.2</c:v>
                </c:pt>
                <c:pt idx="6">
                  <c:v>2.9</c:v>
                </c:pt>
                <c:pt idx="7">
                  <c:v>3</c:v>
                </c:pt>
                <c:pt idx="8">
                  <c:v>4</c:v>
                </c:pt>
                <c:pt idx="9">
                  <c:v>5.2</c:v>
                </c:pt>
                <c:pt idx="10">
                  <c:v>2.7</c:v>
                </c:pt>
                <c:pt idx="11">
                  <c:v>2.9</c:v>
                </c:pt>
                <c:pt idx="12">
                  <c:v>3.6</c:v>
                </c:pt>
                <c:pt idx="13">
                  <c:v>4.4000000000000004</c:v>
                </c:pt>
                <c:pt idx="14">
                  <c:v>4.5</c:v>
                </c:pt>
                <c:pt idx="15">
                  <c:v>3.2</c:v>
                </c:pt>
                <c:pt idx="16">
                  <c:v>3.5</c:v>
                </c:pt>
                <c:pt idx="17">
                  <c:v>3.9</c:v>
                </c:pt>
                <c:pt idx="18">
                  <c:v>3.7</c:v>
                </c:pt>
                <c:pt idx="19">
                  <c:v>4.0999999999999996</c:v>
                </c:pt>
                <c:pt idx="20">
                  <c:v>3.6</c:v>
                </c:pt>
                <c:pt idx="21">
                  <c:v>4</c:v>
                </c:pt>
                <c:pt idx="22">
                  <c:v>3.6</c:v>
                </c:pt>
                <c:pt idx="23">
                  <c:v>3.5</c:v>
                </c:pt>
                <c:pt idx="24">
                  <c:v>3.4</c:v>
                </c:pt>
                <c:pt idx="25">
                  <c:v>3.5</c:v>
                </c:pt>
                <c:pt idx="26">
                  <c:v>3.2</c:v>
                </c:pt>
                <c:pt idx="27">
                  <c:v>3.7</c:v>
                </c:pt>
                <c:pt idx="28">
                  <c:v>3.9</c:v>
                </c:pt>
                <c:pt idx="29">
                  <c:v>4.3</c:v>
                </c:pt>
                <c:pt idx="30">
                  <c:v>4.2</c:v>
                </c:pt>
                <c:pt idx="31">
                  <c:v>3.7</c:v>
                </c:pt>
                <c:pt idx="32">
                  <c:v>3.3</c:v>
                </c:pt>
                <c:pt idx="33">
                  <c:v>2.9</c:v>
                </c:pt>
                <c:pt idx="34">
                  <c:v>3.8</c:v>
                </c:pt>
                <c:pt idx="35">
                  <c:v>3.6</c:v>
                </c:pt>
                <c:pt idx="36">
                  <c:v>3.8</c:v>
                </c:pt>
                <c:pt idx="37">
                  <c:v>3.6</c:v>
                </c:pt>
                <c:pt idx="38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3D-4AC5-8E34-B5DF92378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562680"/>
        <c:axId val="458565032"/>
      </c:barChart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2A3D-4AC5-8E34-B5DF92378D4E}"/>
              </c:ext>
            </c:extLst>
          </c:dPt>
          <c:dPt>
            <c:idx val="1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2A3D-4AC5-8E34-B5DF92378D4E}"/>
              </c:ext>
            </c:extLst>
          </c:dPt>
          <c:dPt>
            <c:idx val="2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2A3D-4AC5-8E34-B5DF92378D4E}"/>
              </c:ext>
            </c:extLst>
          </c:dPt>
          <c:dPt>
            <c:idx val="3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2A3D-4AC5-8E34-B5DF92378D4E}"/>
              </c:ext>
            </c:extLst>
          </c:dPt>
          <c:dPt>
            <c:idx val="4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2A3D-4AC5-8E34-B5DF92378D4E}"/>
              </c:ext>
            </c:extLst>
          </c:dPt>
          <c:dPt>
            <c:idx val="10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2A3D-4AC5-8E34-B5DF92378D4E}"/>
              </c:ext>
            </c:extLst>
          </c:dPt>
          <c:dPt>
            <c:idx val="11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2A3D-4AC5-8E34-B5DF92378D4E}"/>
              </c:ext>
            </c:extLst>
          </c:dPt>
          <c:dPt>
            <c:idx val="12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2A3D-4AC5-8E34-B5DF92378D4E}"/>
              </c:ext>
            </c:extLst>
          </c:dPt>
          <c:dPt>
            <c:idx val="13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2A3D-4AC5-8E34-B5DF92378D4E}"/>
              </c:ext>
            </c:extLst>
          </c:dPt>
          <c:dPt>
            <c:idx val="14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2A3D-4AC5-8E34-B5DF92378D4E}"/>
              </c:ext>
            </c:extLst>
          </c:dPt>
          <c:dPt>
            <c:idx val="15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2A3D-4AC5-8E34-B5DF92378D4E}"/>
              </c:ext>
            </c:extLst>
          </c:dPt>
          <c:dPt>
            <c:idx val="16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2A3D-4AC5-8E34-B5DF92378D4E}"/>
              </c:ext>
            </c:extLst>
          </c:dPt>
          <c:dPt>
            <c:idx val="17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2A3D-4AC5-8E34-B5DF92378D4E}"/>
              </c:ext>
            </c:extLst>
          </c:dPt>
          <c:dPt>
            <c:idx val="18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2A3D-4AC5-8E34-B5DF92378D4E}"/>
              </c:ext>
            </c:extLst>
          </c:dPt>
          <c:dPt>
            <c:idx val="19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2A3D-4AC5-8E34-B5DF92378D4E}"/>
              </c:ext>
            </c:extLst>
          </c:dPt>
          <c:dPt>
            <c:idx val="20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2A3D-4AC5-8E34-B5DF92378D4E}"/>
              </c:ext>
            </c:extLst>
          </c:dPt>
          <c:dPt>
            <c:idx val="21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2A3D-4AC5-8E34-B5DF92378D4E}"/>
              </c:ext>
            </c:extLst>
          </c:dPt>
          <c:dPt>
            <c:idx val="22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2A3D-4AC5-8E34-B5DF92378D4E}"/>
              </c:ext>
            </c:extLst>
          </c:dPt>
          <c:dPt>
            <c:idx val="23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2A3D-4AC5-8E34-B5DF92378D4E}"/>
              </c:ext>
            </c:extLst>
          </c:dPt>
          <c:dPt>
            <c:idx val="24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2A3D-4AC5-8E34-B5DF92378D4E}"/>
              </c:ext>
            </c:extLst>
          </c:dPt>
          <c:dPt>
            <c:idx val="25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2A3D-4AC5-8E34-B5DF92378D4E}"/>
              </c:ext>
            </c:extLst>
          </c:dPt>
          <c:dPt>
            <c:idx val="26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2A3D-4AC5-8E34-B5DF92378D4E}"/>
              </c:ext>
            </c:extLst>
          </c:dPt>
          <c:dPt>
            <c:idx val="27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2A3D-4AC5-8E34-B5DF92378D4E}"/>
              </c:ext>
            </c:extLst>
          </c:dPt>
          <c:dPt>
            <c:idx val="28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2A3D-4AC5-8E34-B5DF92378D4E}"/>
              </c:ext>
            </c:extLst>
          </c:dPt>
          <c:dPt>
            <c:idx val="29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2A3D-4AC5-8E34-B5DF92378D4E}"/>
              </c:ext>
            </c:extLst>
          </c:dPt>
          <c:dPt>
            <c:idx val="30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2A3D-4AC5-8E34-B5DF92378D4E}"/>
              </c:ext>
            </c:extLst>
          </c:dPt>
          <c:dPt>
            <c:idx val="31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2A3D-4AC5-8E34-B5DF92378D4E}"/>
              </c:ext>
            </c:extLst>
          </c:dPt>
          <c:dPt>
            <c:idx val="32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2A3D-4AC5-8E34-B5DF92378D4E}"/>
              </c:ext>
            </c:extLst>
          </c:dPt>
          <c:dPt>
            <c:idx val="33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2A3D-4AC5-8E34-B5DF92378D4E}"/>
              </c:ext>
            </c:extLst>
          </c:dPt>
          <c:dPt>
            <c:idx val="34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2A3D-4AC5-8E34-B5DF92378D4E}"/>
              </c:ext>
            </c:extLst>
          </c:dPt>
          <c:dPt>
            <c:idx val="35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2A3D-4AC5-8E34-B5DF92378D4E}"/>
              </c:ext>
            </c:extLst>
          </c:dPt>
          <c:dPt>
            <c:idx val="36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2A3D-4AC5-8E34-B5DF92378D4E}"/>
              </c:ext>
            </c:extLst>
          </c:dPt>
          <c:dPt>
            <c:idx val="37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2A3D-4AC5-8E34-B5DF92378D4E}"/>
              </c:ext>
            </c:extLst>
          </c:dPt>
          <c:dPt>
            <c:idx val="38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2A3D-4AC5-8E34-B5DF92378D4E}"/>
              </c:ext>
            </c:extLst>
          </c:dPt>
          <c:xVal>
            <c:numRef>
              <c:f>Sheet4!$H$2:$H$40</c:f>
              <c:numCache>
                <c:formatCode>General</c:formatCode>
                <c:ptCount val="39"/>
                <c:pt idx="0">
                  <c:v>3.4</c:v>
                </c:pt>
                <c:pt idx="1">
                  <c:v>3.8</c:v>
                </c:pt>
                <c:pt idx="2">
                  <c:v>3.7</c:v>
                </c:pt>
                <c:pt idx="3">
                  <c:v>3.4</c:v>
                </c:pt>
                <c:pt idx="4">
                  <c:v>3.7</c:v>
                </c:pt>
                <c:pt idx="5">
                  <c:v>3.2</c:v>
                </c:pt>
                <c:pt idx="6">
                  <c:v>2.9</c:v>
                </c:pt>
                <c:pt idx="7">
                  <c:v>3</c:v>
                </c:pt>
                <c:pt idx="8">
                  <c:v>4</c:v>
                </c:pt>
                <c:pt idx="9">
                  <c:v>5.2</c:v>
                </c:pt>
                <c:pt idx="10">
                  <c:v>2.7</c:v>
                </c:pt>
                <c:pt idx="11">
                  <c:v>2.9</c:v>
                </c:pt>
                <c:pt idx="12">
                  <c:v>3.6</c:v>
                </c:pt>
                <c:pt idx="13">
                  <c:v>4.4000000000000004</c:v>
                </c:pt>
                <c:pt idx="14">
                  <c:v>4.5</c:v>
                </c:pt>
                <c:pt idx="15">
                  <c:v>3.2</c:v>
                </c:pt>
                <c:pt idx="16">
                  <c:v>3.5</c:v>
                </c:pt>
                <c:pt idx="17">
                  <c:v>3.9</c:v>
                </c:pt>
                <c:pt idx="18">
                  <c:v>3.7</c:v>
                </c:pt>
                <c:pt idx="19">
                  <c:v>4.0999999999999996</c:v>
                </c:pt>
                <c:pt idx="20">
                  <c:v>3.6</c:v>
                </c:pt>
                <c:pt idx="21">
                  <c:v>4</c:v>
                </c:pt>
                <c:pt idx="22">
                  <c:v>3.6</c:v>
                </c:pt>
                <c:pt idx="23">
                  <c:v>3.5</c:v>
                </c:pt>
                <c:pt idx="24">
                  <c:v>3.4</c:v>
                </c:pt>
                <c:pt idx="25">
                  <c:v>3.5</c:v>
                </c:pt>
                <c:pt idx="26">
                  <c:v>3.2</c:v>
                </c:pt>
                <c:pt idx="27">
                  <c:v>3.7</c:v>
                </c:pt>
                <c:pt idx="28">
                  <c:v>3.9</c:v>
                </c:pt>
                <c:pt idx="29">
                  <c:v>4.3</c:v>
                </c:pt>
                <c:pt idx="30">
                  <c:v>4.2</c:v>
                </c:pt>
                <c:pt idx="31">
                  <c:v>3.7</c:v>
                </c:pt>
                <c:pt idx="32">
                  <c:v>3.3</c:v>
                </c:pt>
                <c:pt idx="33">
                  <c:v>2.9</c:v>
                </c:pt>
                <c:pt idx="34">
                  <c:v>3.8</c:v>
                </c:pt>
                <c:pt idx="35">
                  <c:v>3.6</c:v>
                </c:pt>
                <c:pt idx="36">
                  <c:v>3.8</c:v>
                </c:pt>
                <c:pt idx="37">
                  <c:v>3.6</c:v>
                </c:pt>
                <c:pt idx="38">
                  <c:v>3.4</c:v>
                </c:pt>
              </c:numCache>
            </c:numRef>
          </c:xVal>
          <c:yVal>
            <c:numRef>
              <c:f>Sheet4!$R$2:$R$40</c:f>
              <c:numCache>
                <c:formatCode>General</c:formatCode>
                <c:ptCount val="39"/>
                <c:pt idx="0">
                  <c:v>0.7</c:v>
                </c:pt>
                <c:pt idx="1">
                  <c:v>1.8</c:v>
                </c:pt>
                <c:pt idx="2">
                  <c:v>3</c:v>
                </c:pt>
                <c:pt idx="3">
                  <c:v>4.2</c:v>
                </c:pt>
                <c:pt idx="4">
                  <c:v>5.4</c:v>
                </c:pt>
                <c:pt idx="5">
                  <c:v>6.6</c:v>
                </c:pt>
                <c:pt idx="6">
                  <c:v>7.8</c:v>
                </c:pt>
                <c:pt idx="7">
                  <c:v>9</c:v>
                </c:pt>
                <c:pt idx="8">
                  <c:v>10.199999999999999</c:v>
                </c:pt>
                <c:pt idx="9">
                  <c:v>11.4</c:v>
                </c:pt>
                <c:pt idx="10">
                  <c:v>12.6</c:v>
                </c:pt>
                <c:pt idx="11">
                  <c:v>13.8</c:v>
                </c:pt>
                <c:pt idx="12">
                  <c:v>15</c:v>
                </c:pt>
                <c:pt idx="13">
                  <c:v>16.2</c:v>
                </c:pt>
                <c:pt idx="14">
                  <c:v>17.399999999999999</c:v>
                </c:pt>
                <c:pt idx="15">
                  <c:v>18.600000000000001</c:v>
                </c:pt>
                <c:pt idx="16">
                  <c:v>19.8</c:v>
                </c:pt>
                <c:pt idx="17">
                  <c:v>21</c:v>
                </c:pt>
                <c:pt idx="18">
                  <c:v>22.2</c:v>
                </c:pt>
                <c:pt idx="19">
                  <c:v>23.4</c:v>
                </c:pt>
                <c:pt idx="20">
                  <c:v>24.6</c:v>
                </c:pt>
                <c:pt idx="21">
                  <c:v>25.8</c:v>
                </c:pt>
                <c:pt idx="22">
                  <c:v>27</c:v>
                </c:pt>
                <c:pt idx="23">
                  <c:v>28.2</c:v>
                </c:pt>
                <c:pt idx="24">
                  <c:v>29.4</c:v>
                </c:pt>
                <c:pt idx="25">
                  <c:v>30.6</c:v>
                </c:pt>
                <c:pt idx="26">
                  <c:v>31.8</c:v>
                </c:pt>
                <c:pt idx="27">
                  <c:v>33</c:v>
                </c:pt>
                <c:pt idx="28">
                  <c:v>34.200000000000003</c:v>
                </c:pt>
                <c:pt idx="29">
                  <c:v>35.4</c:v>
                </c:pt>
                <c:pt idx="30">
                  <c:v>36.6</c:v>
                </c:pt>
                <c:pt idx="31">
                  <c:v>37.799999999999997</c:v>
                </c:pt>
                <c:pt idx="32">
                  <c:v>39</c:v>
                </c:pt>
                <c:pt idx="33">
                  <c:v>40.200000000000003</c:v>
                </c:pt>
                <c:pt idx="34">
                  <c:v>41.4</c:v>
                </c:pt>
                <c:pt idx="35">
                  <c:v>42.6</c:v>
                </c:pt>
                <c:pt idx="36">
                  <c:v>43.8</c:v>
                </c:pt>
                <c:pt idx="37">
                  <c:v>45</c:v>
                </c:pt>
                <c:pt idx="38">
                  <c:v>46.2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3-2A3D-4AC5-8E34-B5DF92378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8566208"/>
        <c:axId val="458561896"/>
      </c:scatterChart>
      <c:catAx>
        <c:axId val="458562680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nextTo"/>
        <c:crossAx val="458565032"/>
        <c:crosses val="autoZero"/>
        <c:auto val="1"/>
        <c:lblAlgn val="ctr"/>
        <c:lblOffset val="100"/>
        <c:noMultiLvlLbl val="0"/>
      </c:catAx>
      <c:valAx>
        <c:axId val="458565032"/>
        <c:scaling>
          <c:orientation val="minMax"/>
          <c:max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sz="100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Incidence per 100,000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62680"/>
        <c:crosses val="max"/>
        <c:crossBetween val="between"/>
      </c:valAx>
      <c:valAx>
        <c:axId val="458561896"/>
        <c:scaling>
          <c:orientation val="maxMin"/>
          <c:max val="46.8"/>
          <c:min val="0"/>
        </c:scaling>
        <c:delete val="1"/>
        <c:axPos val="r"/>
        <c:numFmt formatCode="General" sourceLinked="1"/>
        <c:majorTickMark val="out"/>
        <c:minorTickMark val="none"/>
        <c:tickLblPos val="nextTo"/>
        <c:crossAx val="458566208"/>
        <c:crosses val="max"/>
        <c:crossBetween val="midCat"/>
      </c:valAx>
      <c:valAx>
        <c:axId val="458566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561896"/>
        <c:crosses val="max"/>
        <c:crossBetween val="midCat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≥</a:t>
            </a:r>
            <a:r>
              <a:rPr lang="en-CA"/>
              <a:t>65 years</a:t>
            </a:r>
          </a:p>
        </c:rich>
      </c:tx>
      <c:layout>
        <c:manualLayout>
          <c:xMode val="edge"/>
          <c:yMode val="edge"/>
          <c:x val="0.43424217271986298"/>
          <c:y val="1.81676950383231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797719553947207"/>
          <c:y val="6.0771770219070723E-2"/>
          <c:w val="0.89862836965980009"/>
          <c:h val="0.87686167768560042"/>
        </c:manualLayout>
      </c:layout>
      <c:barChart>
        <c:barDir val="bar"/>
        <c:grouping val="clustered"/>
        <c:varyColors val="0"/>
        <c:ser>
          <c:idx val="10"/>
          <c:order val="10"/>
          <c:tx>
            <c:strRef>
              <c:f>Sheet4!$M$1</c:f>
              <c:strCache>
                <c:ptCount val="1"/>
                <c:pt idx="0">
                  <c:v>Rate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Sheet4!$Q$2:$Q$40</c:f>
                <c:numCache>
                  <c:formatCode>General</c:formatCode>
                  <c:ptCount val="39"/>
                  <c:pt idx="0">
                    <c:v>2.7999999999999972</c:v>
                  </c:pt>
                  <c:pt idx="1">
                    <c:v>3.5</c:v>
                  </c:pt>
                  <c:pt idx="2">
                    <c:v>4.2999999999999972</c:v>
                  </c:pt>
                  <c:pt idx="3">
                    <c:v>4.5</c:v>
                  </c:pt>
                  <c:pt idx="4">
                    <c:v>4.0999999999999943</c:v>
                  </c:pt>
                  <c:pt idx="5">
                    <c:v>3.6000000000000014</c:v>
                  </c:pt>
                  <c:pt idx="6">
                    <c:v>3.6999999999999957</c:v>
                  </c:pt>
                  <c:pt idx="7">
                    <c:v>3.5999999999999943</c:v>
                  </c:pt>
                  <c:pt idx="8">
                    <c:v>3.8999999999999986</c:v>
                  </c:pt>
                  <c:pt idx="9">
                    <c:v>4.3999999999999986</c:v>
                  </c:pt>
                  <c:pt idx="10">
                    <c:v>3.7000000000000028</c:v>
                  </c:pt>
                  <c:pt idx="11">
                    <c:v>3.6000000000000014</c:v>
                  </c:pt>
                  <c:pt idx="12">
                    <c:v>3.3999999999999986</c:v>
                  </c:pt>
                  <c:pt idx="13">
                    <c:v>3.6999999999999957</c:v>
                  </c:pt>
                  <c:pt idx="14">
                    <c:v>4.0999999999999943</c:v>
                  </c:pt>
                  <c:pt idx="15">
                    <c:v>4.7999999999999972</c:v>
                  </c:pt>
                  <c:pt idx="16">
                    <c:v>4.6000000000000014</c:v>
                  </c:pt>
                  <c:pt idx="17">
                    <c:v>4.2000000000000028</c:v>
                  </c:pt>
                  <c:pt idx="18">
                    <c:v>3.5</c:v>
                  </c:pt>
                  <c:pt idx="19">
                    <c:v>3</c:v>
                  </c:pt>
                  <c:pt idx="20">
                    <c:v>3.5</c:v>
                  </c:pt>
                  <c:pt idx="21">
                    <c:v>4.1000000000000014</c:v>
                  </c:pt>
                  <c:pt idx="22">
                    <c:v>3.6000000000000014</c:v>
                  </c:pt>
                  <c:pt idx="23">
                    <c:v>3.8999999999999986</c:v>
                  </c:pt>
                  <c:pt idx="24">
                    <c:v>4</c:v>
                  </c:pt>
                  <c:pt idx="25">
                    <c:v>2.6000000000000014</c:v>
                  </c:pt>
                  <c:pt idx="26">
                    <c:v>3.8999999999999986</c:v>
                  </c:pt>
                  <c:pt idx="27">
                    <c:v>3.6000000000000014</c:v>
                  </c:pt>
                  <c:pt idx="28">
                    <c:v>4.0999999999999943</c:v>
                  </c:pt>
                  <c:pt idx="29">
                    <c:v>3.6000000000000014</c:v>
                  </c:pt>
                  <c:pt idx="30">
                    <c:v>3.4000000000000057</c:v>
                  </c:pt>
                  <c:pt idx="31">
                    <c:v>3.6000000000000014</c:v>
                  </c:pt>
                  <c:pt idx="32">
                    <c:v>4.5</c:v>
                  </c:pt>
                  <c:pt idx="33">
                    <c:v>3.8999999999999986</c:v>
                  </c:pt>
                  <c:pt idx="34">
                    <c:v>3.3999999999999986</c:v>
                  </c:pt>
                  <c:pt idx="35">
                    <c:v>3.6999999999999957</c:v>
                  </c:pt>
                  <c:pt idx="36">
                    <c:v>3.7999999999999972</c:v>
                  </c:pt>
                  <c:pt idx="37">
                    <c:v>3.8999999999999986</c:v>
                  </c:pt>
                  <c:pt idx="38">
                    <c:v>4.2999999999999972</c:v>
                  </c:pt>
                </c:numCache>
              </c:numRef>
            </c:plus>
            <c:minus>
              <c:numRef>
                <c:f>Sheet4!$O$2:$O$40</c:f>
                <c:numCache>
                  <c:formatCode>General</c:formatCode>
                  <c:ptCount val="39"/>
                  <c:pt idx="0">
                    <c:v>2.8000000000000043</c:v>
                  </c:pt>
                  <c:pt idx="1">
                    <c:v>3.5999999999999943</c:v>
                  </c:pt>
                  <c:pt idx="2">
                    <c:v>4.3000000000000043</c:v>
                  </c:pt>
                  <c:pt idx="3">
                    <c:v>4.6000000000000014</c:v>
                  </c:pt>
                  <c:pt idx="4">
                    <c:v>4.2000000000000028</c:v>
                  </c:pt>
                  <c:pt idx="5">
                    <c:v>3.5999999999999943</c:v>
                  </c:pt>
                  <c:pt idx="6">
                    <c:v>3.6000000000000014</c:v>
                  </c:pt>
                  <c:pt idx="7">
                    <c:v>3.7000000000000028</c:v>
                  </c:pt>
                  <c:pt idx="8">
                    <c:v>4</c:v>
                  </c:pt>
                  <c:pt idx="9">
                    <c:v>4.2999999999999972</c:v>
                  </c:pt>
                  <c:pt idx="10">
                    <c:v>3.6999999999999957</c:v>
                  </c:pt>
                  <c:pt idx="11">
                    <c:v>3.5</c:v>
                  </c:pt>
                  <c:pt idx="12">
                    <c:v>3.4000000000000057</c:v>
                  </c:pt>
                  <c:pt idx="13">
                    <c:v>3.8000000000000043</c:v>
                  </c:pt>
                  <c:pt idx="14">
                    <c:v>4.1000000000000085</c:v>
                  </c:pt>
                  <c:pt idx="15">
                    <c:v>4.8000000000000043</c:v>
                  </c:pt>
                  <c:pt idx="16">
                    <c:v>4.5</c:v>
                  </c:pt>
                  <c:pt idx="17">
                    <c:v>4</c:v>
                  </c:pt>
                  <c:pt idx="18">
                    <c:v>3.6000000000000014</c:v>
                  </c:pt>
                  <c:pt idx="19">
                    <c:v>2.9000000000000057</c:v>
                  </c:pt>
                  <c:pt idx="20">
                    <c:v>3.5</c:v>
                  </c:pt>
                  <c:pt idx="21">
                    <c:v>4.0999999999999943</c:v>
                  </c:pt>
                  <c:pt idx="22">
                    <c:v>3.6000000000000014</c:v>
                  </c:pt>
                  <c:pt idx="23">
                    <c:v>4</c:v>
                  </c:pt>
                  <c:pt idx="24">
                    <c:v>4</c:v>
                  </c:pt>
                  <c:pt idx="25">
                    <c:v>2.5</c:v>
                  </c:pt>
                  <c:pt idx="26">
                    <c:v>3.9000000000000057</c:v>
                  </c:pt>
                  <c:pt idx="27">
                    <c:v>3.6000000000000014</c:v>
                  </c:pt>
                  <c:pt idx="28">
                    <c:v>4.0000000000000071</c:v>
                  </c:pt>
                  <c:pt idx="29">
                    <c:v>3.6999999999999957</c:v>
                  </c:pt>
                  <c:pt idx="30">
                    <c:v>3.5</c:v>
                  </c:pt>
                  <c:pt idx="31">
                    <c:v>3.6000000000000014</c:v>
                  </c:pt>
                  <c:pt idx="32">
                    <c:v>4.5</c:v>
                  </c:pt>
                  <c:pt idx="33">
                    <c:v>3.8999999999999986</c:v>
                  </c:pt>
                  <c:pt idx="34">
                    <c:v>3.3999999999999986</c:v>
                  </c:pt>
                  <c:pt idx="35">
                    <c:v>3.8000000000000043</c:v>
                  </c:pt>
                  <c:pt idx="36">
                    <c:v>3.8000000000000043</c:v>
                  </c:pt>
                  <c:pt idx="37">
                    <c:v>4</c:v>
                  </c:pt>
                  <c:pt idx="38">
                    <c:v>4.3000000000000043</c:v>
                  </c:pt>
                </c:numCache>
              </c:numRef>
            </c:minus>
            <c:spPr>
              <a:noFill/>
              <a:ln w="1587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Sheet4!$A$2:$B$40</c:f>
              <c:multiLvlStrCache>
                <c:ptCount val="3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Q5</c:v>
                  </c:pt>
                  <c:pt idx="5">
                    <c:v>Q1</c:v>
                  </c:pt>
                  <c:pt idx="6">
                    <c:v>Q2</c:v>
                  </c:pt>
                  <c:pt idx="7">
                    <c:v>Q3</c:v>
                  </c:pt>
                  <c:pt idx="8">
                    <c:v>Q4</c:v>
                  </c:pt>
                  <c:pt idx="9">
                    <c:v>Q5</c:v>
                  </c:pt>
                  <c:pt idx="10">
                    <c:v>Q1</c:v>
                  </c:pt>
                  <c:pt idx="11">
                    <c:v>Q2</c:v>
                  </c:pt>
                  <c:pt idx="12">
                    <c:v>Q3</c:v>
                  </c:pt>
                  <c:pt idx="13">
                    <c:v>Q4</c:v>
                  </c:pt>
                  <c:pt idx="14">
                    <c:v>Q5</c:v>
                  </c:pt>
                  <c:pt idx="15">
                    <c:v>Q1</c:v>
                  </c:pt>
                  <c:pt idx="16">
                    <c:v>Q2</c:v>
                  </c:pt>
                  <c:pt idx="17">
                    <c:v>Q3</c:v>
                  </c:pt>
                  <c:pt idx="18">
                    <c:v>Q4</c:v>
                  </c:pt>
                  <c:pt idx="19">
                    <c:v>Q5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Q5</c:v>
                  </c:pt>
                  <c:pt idx="25">
                    <c:v>Q1</c:v>
                  </c:pt>
                  <c:pt idx="26">
                    <c:v>Q2</c:v>
                  </c:pt>
                  <c:pt idx="27">
                    <c:v>Q3</c:v>
                  </c:pt>
                  <c:pt idx="28">
                    <c:v>Q4</c:v>
                  </c:pt>
                  <c:pt idx="29">
                    <c:v>Q1</c:v>
                  </c:pt>
                  <c:pt idx="30">
                    <c:v>Q2</c:v>
                  </c:pt>
                  <c:pt idx="31">
                    <c:v>Q3</c:v>
                  </c:pt>
                  <c:pt idx="32">
                    <c:v>Q4</c:v>
                  </c:pt>
                  <c:pt idx="33">
                    <c:v>Q5</c:v>
                  </c:pt>
                  <c:pt idx="34">
                    <c:v>Q1</c:v>
                  </c:pt>
                  <c:pt idx="35">
                    <c:v>Q2</c:v>
                  </c:pt>
                  <c:pt idx="36">
                    <c:v>Q3</c:v>
                  </c:pt>
                  <c:pt idx="37">
                    <c:v>Q4</c:v>
                  </c:pt>
                  <c:pt idx="38">
                    <c:v>Q5</c:v>
                  </c:pt>
                </c:lvl>
                <c:lvl>
                  <c:pt idx="0">
                    <c:v>Racialized and newcomer populations</c:v>
                  </c:pt>
                  <c:pt idx="5">
                    <c:v>Material resources</c:v>
                  </c:pt>
                  <c:pt idx="10">
                    <c:v>Households and dwellings</c:v>
                  </c:pt>
                  <c:pt idx="15">
                    <c:v>Age and labour</c:v>
                  </c:pt>
                  <c:pt idx="20">
                    <c:v>Multi-generational families</c:v>
                  </c:pt>
                  <c:pt idx="25">
                    <c:v>Unsuitable housing</c:v>
                  </c:pt>
                  <c:pt idx="29">
                    <c:v>Average dwelling sizes</c:v>
                  </c:pt>
                  <c:pt idx="34">
                    <c:v>Household with persons under 5 years old</c:v>
                  </c:pt>
                </c:lvl>
              </c:multiLvlStrCache>
            </c:multiLvlStrRef>
          </c:cat>
          <c:val>
            <c:numRef>
              <c:f>Sheet4!$M$2:$M$40</c:f>
              <c:numCache>
                <c:formatCode>General</c:formatCode>
                <c:ptCount val="39"/>
                <c:pt idx="0">
                  <c:v>32.200000000000003</c:v>
                </c:pt>
                <c:pt idx="1">
                  <c:v>44.8</c:v>
                </c:pt>
                <c:pt idx="2">
                  <c:v>58.6</c:v>
                </c:pt>
                <c:pt idx="3">
                  <c:v>64.2</c:v>
                </c:pt>
                <c:pt idx="4">
                  <c:v>61</c:v>
                </c:pt>
                <c:pt idx="5">
                  <c:v>48.8</c:v>
                </c:pt>
                <c:pt idx="6">
                  <c:v>48.2</c:v>
                </c:pt>
                <c:pt idx="7">
                  <c:v>46.2</c:v>
                </c:pt>
                <c:pt idx="8">
                  <c:v>53</c:v>
                </c:pt>
                <c:pt idx="9">
                  <c:v>60.4</c:v>
                </c:pt>
                <c:pt idx="10">
                  <c:v>37.299999999999997</c:v>
                </c:pt>
                <c:pt idx="11">
                  <c:v>40.4</c:v>
                </c:pt>
                <c:pt idx="12">
                  <c:v>40.200000000000003</c:v>
                </c:pt>
                <c:pt idx="13">
                  <c:v>49.7</c:v>
                </c:pt>
                <c:pt idx="14">
                  <c:v>76.7</c:v>
                </c:pt>
                <c:pt idx="15">
                  <c:v>52.1</c:v>
                </c:pt>
                <c:pt idx="16">
                  <c:v>56.4</c:v>
                </c:pt>
                <c:pt idx="17">
                  <c:v>49.9</c:v>
                </c:pt>
                <c:pt idx="18">
                  <c:v>45.5</c:v>
                </c:pt>
                <c:pt idx="19">
                  <c:v>52.2</c:v>
                </c:pt>
                <c:pt idx="20">
                  <c:v>52.3</c:v>
                </c:pt>
                <c:pt idx="21">
                  <c:v>50.3</c:v>
                </c:pt>
                <c:pt idx="22">
                  <c:v>48.9</c:v>
                </c:pt>
                <c:pt idx="23">
                  <c:v>52.5</c:v>
                </c:pt>
                <c:pt idx="24">
                  <c:v>50</c:v>
                </c:pt>
                <c:pt idx="25">
                  <c:v>40.799999999999997</c:v>
                </c:pt>
                <c:pt idx="26">
                  <c:v>48.2</c:v>
                </c:pt>
                <c:pt idx="27">
                  <c:v>53.9</c:v>
                </c:pt>
                <c:pt idx="28">
                  <c:v>65.400000000000006</c:v>
                </c:pt>
                <c:pt idx="29">
                  <c:v>60.4</c:v>
                </c:pt>
                <c:pt idx="30">
                  <c:v>44.3</c:v>
                </c:pt>
                <c:pt idx="31">
                  <c:v>49.1</c:v>
                </c:pt>
                <c:pt idx="32">
                  <c:v>53</c:v>
                </c:pt>
                <c:pt idx="33">
                  <c:v>45.1</c:v>
                </c:pt>
                <c:pt idx="34">
                  <c:v>54.4</c:v>
                </c:pt>
                <c:pt idx="35">
                  <c:v>51.2</c:v>
                </c:pt>
                <c:pt idx="36">
                  <c:v>47.6</c:v>
                </c:pt>
                <c:pt idx="37">
                  <c:v>47.2</c:v>
                </c:pt>
                <c:pt idx="38">
                  <c:v>52.6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9-4BA2-80F3-DFC2BCA11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565424"/>
        <c:axId val="4585591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Sheet4!$C$1</c15:sqref>
                        </c15:formulaRef>
                      </c:ext>
                    </c:extLst>
                    <c:strCache>
                      <c:ptCount val="1"/>
                      <c:pt idx="0">
                        <c:v>Rate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Sheet4!$C$2:$C$40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376.3</c:v>
                      </c:pt>
                      <c:pt idx="1">
                        <c:v>356</c:v>
                      </c:pt>
                      <c:pt idx="2">
                        <c:v>323</c:v>
                      </c:pt>
                      <c:pt idx="3">
                        <c:v>299.89999999999998</c:v>
                      </c:pt>
                      <c:pt idx="4">
                        <c:v>240.7</c:v>
                      </c:pt>
                      <c:pt idx="5">
                        <c:v>262.10000000000002</c:v>
                      </c:pt>
                      <c:pt idx="6">
                        <c:v>266</c:v>
                      </c:pt>
                      <c:pt idx="7">
                        <c:v>295.39999999999998</c:v>
                      </c:pt>
                      <c:pt idx="8">
                        <c:v>337.2</c:v>
                      </c:pt>
                      <c:pt idx="9">
                        <c:v>357</c:v>
                      </c:pt>
                      <c:pt idx="10">
                        <c:v>251.9</c:v>
                      </c:pt>
                      <c:pt idx="11">
                        <c:v>317.89999999999998</c:v>
                      </c:pt>
                      <c:pt idx="12">
                        <c:v>319.39999999999998</c:v>
                      </c:pt>
                      <c:pt idx="13">
                        <c:v>333.2</c:v>
                      </c:pt>
                      <c:pt idx="14">
                        <c:v>302.39999999999998</c:v>
                      </c:pt>
                      <c:pt idx="15">
                        <c:v>266.60000000000002</c:v>
                      </c:pt>
                      <c:pt idx="16">
                        <c:v>291.89999999999998</c:v>
                      </c:pt>
                      <c:pt idx="17">
                        <c:v>319.3</c:v>
                      </c:pt>
                      <c:pt idx="18">
                        <c:v>329.1</c:v>
                      </c:pt>
                      <c:pt idx="19">
                        <c:v>363.7</c:v>
                      </c:pt>
                      <c:pt idx="20">
                        <c:v>337</c:v>
                      </c:pt>
                      <c:pt idx="21">
                        <c:v>314.60000000000002</c:v>
                      </c:pt>
                      <c:pt idx="22">
                        <c:v>310.7</c:v>
                      </c:pt>
                      <c:pt idx="23">
                        <c:v>299</c:v>
                      </c:pt>
                      <c:pt idx="24">
                        <c:v>263.89999999999998</c:v>
                      </c:pt>
                      <c:pt idx="25">
                        <c:v>328.4</c:v>
                      </c:pt>
                      <c:pt idx="26">
                        <c:v>293.60000000000002</c:v>
                      </c:pt>
                      <c:pt idx="27">
                        <c:v>316.60000000000002</c:v>
                      </c:pt>
                      <c:pt idx="28">
                        <c:v>272.3</c:v>
                      </c:pt>
                      <c:pt idx="29">
                        <c:v>341.7</c:v>
                      </c:pt>
                      <c:pt idx="30">
                        <c:v>344.6</c:v>
                      </c:pt>
                      <c:pt idx="31">
                        <c:v>323.89999999999998</c:v>
                      </c:pt>
                      <c:pt idx="32">
                        <c:v>293.7</c:v>
                      </c:pt>
                      <c:pt idx="33">
                        <c:v>251.8</c:v>
                      </c:pt>
                      <c:pt idx="34">
                        <c:v>391.3</c:v>
                      </c:pt>
                      <c:pt idx="35">
                        <c:v>329.9</c:v>
                      </c:pt>
                      <c:pt idx="36">
                        <c:v>307.10000000000002</c:v>
                      </c:pt>
                      <c:pt idx="37">
                        <c:v>299</c:v>
                      </c:pt>
                      <c:pt idx="38">
                        <c:v>272.89999999999998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25-E689-4BA2-80F3-DFC2BCA11335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Sheet4!$D$1</c15:sqref>
                        </c15:formulaRef>
                      </c:ext>
                    </c:extLst>
                    <c:strCache>
                      <c:ptCount val="1"/>
                      <c:pt idx="0">
                        <c:v>Lower CI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Sheet4!$D$2:$D$40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352.6</c:v>
                      </c:pt>
                      <c:pt idx="1">
                        <c:v>335</c:v>
                      </c:pt>
                      <c:pt idx="2">
                        <c:v>304.39999999999998</c:v>
                      </c:pt>
                      <c:pt idx="3">
                        <c:v>283.89999999999998</c:v>
                      </c:pt>
                      <c:pt idx="4">
                        <c:v>229.2</c:v>
                      </c:pt>
                      <c:pt idx="5">
                        <c:v>247.5</c:v>
                      </c:pt>
                      <c:pt idx="6">
                        <c:v>250.6</c:v>
                      </c:pt>
                      <c:pt idx="7">
                        <c:v>278</c:v>
                      </c:pt>
                      <c:pt idx="8">
                        <c:v>318.10000000000002</c:v>
                      </c:pt>
                      <c:pt idx="9">
                        <c:v>339.3</c:v>
                      </c:pt>
                      <c:pt idx="10">
                        <c:v>238</c:v>
                      </c:pt>
                      <c:pt idx="11">
                        <c:v>300.39999999999998</c:v>
                      </c:pt>
                      <c:pt idx="12">
                        <c:v>301.2</c:v>
                      </c:pt>
                      <c:pt idx="13">
                        <c:v>314.8</c:v>
                      </c:pt>
                      <c:pt idx="14">
                        <c:v>285.89999999999998</c:v>
                      </c:pt>
                      <c:pt idx="15">
                        <c:v>254.7</c:v>
                      </c:pt>
                      <c:pt idx="16">
                        <c:v>276.10000000000002</c:v>
                      </c:pt>
                      <c:pt idx="17">
                        <c:v>300.5</c:v>
                      </c:pt>
                      <c:pt idx="18">
                        <c:v>308.8</c:v>
                      </c:pt>
                      <c:pt idx="19">
                        <c:v>340.1</c:v>
                      </c:pt>
                      <c:pt idx="20">
                        <c:v>318.3</c:v>
                      </c:pt>
                      <c:pt idx="21">
                        <c:v>294.8</c:v>
                      </c:pt>
                      <c:pt idx="22">
                        <c:v>294</c:v>
                      </c:pt>
                      <c:pt idx="23">
                        <c:v>283.39999999999998</c:v>
                      </c:pt>
                      <c:pt idx="24">
                        <c:v>249.8</c:v>
                      </c:pt>
                      <c:pt idx="25">
                        <c:v>313.5</c:v>
                      </c:pt>
                      <c:pt idx="26">
                        <c:v>275.8</c:v>
                      </c:pt>
                      <c:pt idx="27">
                        <c:v>301.10000000000002</c:v>
                      </c:pt>
                      <c:pt idx="28">
                        <c:v>259.7</c:v>
                      </c:pt>
                      <c:pt idx="29">
                        <c:v>320.2</c:v>
                      </c:pt>
                      <c:pt idx="30">
                        <c:v>325.10000000000002</c:v>
                      </c:pt>
                      <c:pt idx="31">
                        <c:v>307.10000000000002</c:v>
                      </c:pt>
                      <c:pt idx="32">
                        <c:v>276.39999999999998</c:v>
                      </c:pt>
                      <c:pt idx="33">
                        <c:v>239.6</c:v>
                      </c:pt>
                      <c:pt idx="34">
                        <c:v>362.1</c:v>
                      </c:pt>
                      <c:pt idx="35">
                        <c:v>308.60000000000002</c:v>
                      </c:pt>
                      <c:pt idx="36">
                        <c:v>288.8</c:v>
                      </c:pt>
                      <c:pt idx="37">
                        <c:v>283.10000000000002</c:v>
                      </c:pt>
                      <c:pt idx="38">
                        <c:v>261.7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E689-4BA2-80F3-DFC2BCA11335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Sheet4!$E$1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Sheet4!$E$2:$E$40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23.699999999999989</c:v>
                      </c:pt>
                      <c:pt idx="1">
                        <c:v>21</c:v>
                      </c:pt>
                      <c:pt idx="2">
                        <c:v>18.600000000000023</c:v>
                      </c:pt>
                      <c:pt idx="3">
                        <c:v>16</c:v>
                      </c:pt>
                      <c:pt idx="4">
                        <c:v>11.5</c:v>
                      </c:pt>
                      <c:pt idx="5">
                        <c:v>14.600000000000023</c:v>
                      </c:pt>
                      <c:pt idx="6">
                        <c:v>15.400000000000006</c:v>
                      </c:pt>
                      <c:pt idx="7">
                        <c:v>17.399999999999977</c:v>
                      </c:pt>
                      <c:pt idx="8">
                        <c:v>19.099999999999966</c:v>
                      </c:pt>
                      <c:pt idx="9">
                        <c:v>17.699999999999989</c:v>
                      </c:pt>
                      <c:pt idx="10">
                        <c:v>13.900000000000006</c:v>
                      </c:pt>
                      <c:pt idx="11">
                        <c:v>17.5</c:v>
                      </c:pt>
                      <c:pt idx="12">
                        <c:v>18.199999999999989</c:v>
                      </c:pt>
                      <c:pt idx="13">
                        <c:v>18.399999999999977</c:v>
                      </c:pt>
                      <c:pt idx="14">
                        <c:v>16.5</c:v>
                      </c:pt>
                      <c:pt idx="15">
                        <c:v>11.900000000000034</c:v>
                      </c:pt>
                      <c:pt idx="16">
                        <c:v>15.799999999999955</c:v>
                      </c:pt>
                      <c:pt idx="17">
                        <c:v>18.800000000000011</c:v>
                      </c:pt>
                      <c:pt idx="18">
                        <c:v>20.300000000000011</c:v>
                      </c:pt>
                      <c:pt idx="19">
                        <c:v>23.599999999999966</c:v>
                      </c:pt>
                      <c:pt idx="20">
                        <c:v>18.699999999999989</c:v>
                      </c:pt>
                      <c:pt idx="21">
                        <c:v>19.800000000000011</c:v>
                      </c:pt>
                      <c:pt idx="22">
                        <c:v>16.699999999999989</c:v>
                      </c:pt>
                      <c:pt idx="23">
                        <c:v>15.600000000000023</c:v>
                      </c:pt>
                      <c:pt idx="24">
                        <c:v>14.099999999999966</c:v>
                      </c:pt>
                      <c:pt idx="25">
                        <c:v>14.899999999999977</c:v>
                      </c:pt>
                      <c:pt idx="26">
                        <c:v>17.800000000000011</c:v>
                      </c:pt>
                      <c:pt idx="27">
                        <c:v>15.5</c:v>
                      </c:pt>
                      <c:pt idx="28">
                        <c:v>12.600000000000023</c:v>
                      </c:pt>
                      <c:pt idx="29">
                        <c:v>21.5</c:v>
                      </c:pt>
                      <c:pt idx="30">
                        <c:v>19.5</c:v>
                      </c:pt>
                      <c:pt idx="31">
                        <c:v>16.799999999999955</c:v>
                      </c:pt>
                      <c:pt idx="32">
                        <c:v>17.300000000000011</c:v>
                      </c:pt>
                      <c:pt idx="33">
                        <c:v>12.200000000000017</c:v>
                      </c:pt>
                      <c:pt idx="34">
                        <c:v>29.199999999999989</c:v>
                      </c:pt>
                      <c:pt idx="35">
                        <c:v>21.299999999999955</c:v>
                      </c:pt>
                      <c:pt idx="36">
                        <c:v>18.300000000000011</c:v>
                      </c:pt>
                      <c:pt idx="37">
                        <c:v>15.899999999999977</c:v>
                      </c:pt>
                      <c:pt idx="38">
                        <c:v>11.199999999999989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7-E689-4BA2-80F3-DFC2BCA11335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Sheet4!$F$1</c15:sqref>
                        </c15:formulaRef>
                      </c:ext>
                    </c:extLst>
                    <c:strCache>
                      <c:ptCount val="1"/>
                      <c:pt idx="0">
                        <c:v>Upper CI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Sheet4!$F$2:$F$40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400.1</c:v>
                      </c:pt>
                      <c:pt idx="1">
                        <c:v>376.9</c:v>
                      </c:pt>
                      <c:pt idx="2">
                        <c:v>341.5</c:v>
                      </c:pt>
                      <c:pt idx="3">
                        <c:v>315.89999999999998</c:v>
                      </c:pt>
                      <c:pt idx="4">
                        <c:v>252.2</c:v>
                      </c:pt>
                      <c:pt idx="5">
                        <c:v>276.7</c:v>
                      </c:pt>
                      <c:pt idx="6">
                        <c:v>281.39999999999998</c:v>
                      </c:pt>
                      <c:pt idx="7">
                        <c:v>312.7</c:v>
                      </c:pt>
                      <c:pt idx="8">
                        <c:v>356.2</c:v>
                      </c:pt>
                      <c:pt idx="9">
                        <c:v>374.7</c:v>
                      </c:pt>
                      <c:pt idx="10">
                        <c:v>265.8</c:v>
                      </c:pt>
                      <c:pt idx="11">
                        <c:v>335.4</c:v>
                      </c:pt>
                      <c:pt idx="12">
                        <c:v>337.6</c:v>
                      </c:pt>
                      <c:pt idx="13">
                        <c:v>351.7</c:v>
                      </c:pt>
                      <c:pt idx="14">
                        <c:v>318.8</c:v>
                      </c:pt>
                      <c:pt idx="15">
                        <c:v>278.60000000000002</c:v>
                      </c:pt>
                      <c:pt idx="16">
                        <c:v>307.7</c:v>
                      </c:pt>
                      <c:pt idx="17">
                        <c:v>338</c:v>
                      </c:pt>
                      <c:pt idx="18">
                        <c:v>349.3</c:v>
                      </c:pt>
                      <c:pt idx="19">
                        <c:v>387.4</c:v>
                      </c:pt>
                      <c:pt idx="20">
                        <c:v>355.6</c:v>
                      </c:pt>
                      <c:pt idx="21">
                        <c:v>334.4</c:v>
                      </c:pt>
                      <c:pt idx="22">
                        <c:v>327.3</c:v>
                      </c:pt>
                      <c:pt idx="23">
                        <c:v>314.7</c:v>
                      </c:pt>
                      <c:pt idx="24">
                        <c:v>278</c:v>
                      </c:pt>
                      <c:pt idx="25">
                        <c:v>343.3</c:v>
                      </c:pt>
                      <c:pt idx="26">
                        <c:v>311.39999999999998</c:v>
                      </c:pt>
                      <c:pt idx="27">
                        <c:v>332</c:v>
                      </c:pt>
                      <c:pt idx="28">
                        <c:v>284.89999999999998</c:v>
                      </c:pt>
                      <c:pt idx="29">
                        <c:v>363.3</c:v>
                      </c:pt>
                      <c:pt idx="30">
                        <c:v>364.1</c:v>
                      </c:pt>
                      <c:pt idx="31">
                        <c:v>340.7</c:v>
                      </c:pt>
                      <c:pt idx="32">
                        <c:v>311.10000000000002</c:v>
                      </c:pt>
                      <c:pt idx="33">
                        <c:v>264</c:v>
                      </c:pt>
                      <c:pt idx="34">
                        <c:v>420.5</c:v>
                      </c:pt>
                      <c:pt idx="35">
                        <c:v>351.2</c:v>
                      </c:pt>
                      <c:pt idx="36">
                        <c:v>325.39999999999998</c:v>
                      </c:pt>
                      <c:pt idx="37">
                        <c:v>314.89999999999998</c:v>
                      </c:pt>
                      <c:pt idx="38">
                        <c:v>284.2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8-E689-4BA2-80F3-DFC2BCA11335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Sheet4!$G$2:$G$40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23.800000000000011</c:v>
                      </c:pt>
                      <c:pt idx="1">
                        <c:v>20.899999999999977</c:v>
                      </c:pt>
                      <c:pt idx="2">
                        <c:v>18.5</c:v>
                      </c:pt>
                      <c:pt idx="3">
                        <c:v>16</c:v>
                      </c:pt>
                      <c:pt idx="4">
                        <c:v>11.5</c:v>
                      </c:pt>
                      <c:pt idx="5">
                        <c:v>14.599999999999966</c:v>
                      </c:pt>
                      <c:pt idx="6">
                        <c:v>15.399999999999977</c:v>
                      </c:pt>
                      <c:pt idx="7">
                        <c:v>17.300000000000011</c:v>
                      </c:pt>
                      <c:pt idx="8">
                        <c:v>19</c:v>
                      </c:pt>
                      <c:pt idx="9">
                        <c:v>17.699999999999989</c:v>
                      </c:pt>
                      <c:pt idx="10">
                        <c:v>13.900000000000006</c:v>
                      </c:pt>
                      <c:pt idx="11">
                        <c:v>17.5</c:v>
                      </c:pt>
                      <c:pt idx="12">
                        <c:v>18.200000000000045</c:v>
                      </c:pt>
                      <c:pt idx="13">
                        <c:v>18.5</c:v>
                      </c:pt>
                      <c:pt idx="14">
                        <c:v>16.400000000000034</c:v>
                      </c:pt>
                      <c:pt idx="15">
                        <c:v>12</c:v>
                      </c:pt>
                      <c:pt idx="16">
                        <c:v>15.800000000000011</c:v>
                      </c:pt>
                      <c:pt idx="17">
                        <c:v>18.699999999999989</c:v>
                      </c:pt>
                      <c:pt idx="18">
                        <c:v>20.199999999999989</c:v>
                      </c:pt>
                      <c:pt idx="19">
                        <c:v>23.699999999999989</c:v>
                      </c:pt>
                      <c:pt idx="20">
                        <c:v>18.600000000000023</c:v>
                      </c:pt>
                      <c:pt idx="21">
                        <c:v>19.799999999999955</c:v>
                      </c:pt>
                      <c:pt idx="22">
                        <c:v>16.600000000000023</c:v>
                      </c:pt>
                      <c:pt idx="23">
                        <c:v>15.699999999999989</c:v>
                      </c:pt>
                      <c:pt idx="24">
                        <c:v>14.100000000000023</c:v>
                      </c:pt>
                      <c:pt idx="25">
                        <c:v>14.900000000000034</c:v>
                      </c:pt>
                      <c:pt idx="26">
                        <c:v>17.799999999999955</c:v>
                      </c:pt>
                      <c:pt idx="27">
                        <c:v>15.399999999999977</c:v>
                      </c:pt>
                      <c:pt idx="28">
                        <c:v>12.599999999999966</c:v>
                      </c:pt>
                      <c:pt idx="29">
                        <c:v>21.600000000000023</c:v>
                      </c:pt>
                      <c:pt idx="30">
                        <c:v>19.5</c:v>
                      </c:pt>
                      <c:pt idx="31">
                        <c:v>16.800000000000011</c:v>
                      </c:pt>
                      <c:pt idx="32">
                        <c:v>17.400000000000034</c:v>
                      </c:pt>
                      <c:pt idx="33">
                        <c:v>12.199999999999989</c:v>
                      </c:pt>
                      <c:pt idx="34">
                        <c:v>29.199999999999989</c:v>
                      </c:pt>
                      <c:pt idx="35">
                        <c:v>21.300000000000011</c:v>
                      </c:pt>
                      <c:pt idx="36">
                        <c:v>18.299999999999955</c:v>
                      </c:pt>
                      <c:pt idx="37">
                        <c:v>15.899999999999977</c:v>
                      </c:pt>
                      <c:pt idx="38">
                        <c:v>11.300000000000011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9-E689-4BA2-80F3-DFC2BCA11335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Sheet4!$H$1</c15:sqref>
                        </c15:formulaRef>
                      </c:ext>
                    </c:extLst>
                    <c:strCache>
                      <c:ptCount val="1"/>
                      <c:pt idx="0">
                        <c:v>Rate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Sheet4!$H$2:$H$40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3.4</c:v>
                      </c:pt>
                      <c:pt idx="1">
                        <c:v>3.8</c:v>
                      </c:pt>
                      <c:pt idx="2">
                        <c:v>3.7</c:v>
                      </c:pt>
                      <c:pt idx="3">
                        <c:v>3.4</c:v>
                      </c:pt>
                      <c:pt idx="4">
                        <c:v>3.7</c:v>
                      </c:pt>
                      <c:pt idx="5">
                        <c:v>3.2</c:v>
                      </c:pt>
                      <c:pt idx="6">
                        <c:v>2.9</c:v>
                      </c:pt>
                      <c:pt idx="7">
                        <c:v>3</c:v>
                      </c:pt>
                      <c:pt idx="8">
                        <c:v>4</c:v>
                      </c:pt>
                      <c:pt idx="9">
                        <c:v>5.2</c:v>
                      </c:pt>
                      <c:pt idx="10">
                        <c:v>2.7</c:v>
                      </c:pt>
                      <c:pt idx="11">
                        <c:v>2.9</c:v>
                      </c:pt>
                      <c:pt idx="12">
                        <c:v>3.6</c:v>
                      </c:pt>
                      <c:pt idx="13">
                        <c:v>4.4000000000000004</c:v>
                      </c:pt>
                      <c:pt idx="14">
                        <c:v>4.5</c:v>
                      </c:pt>
                      <c:pt idx="15">
                        <c:v>3.2</c:v>
                      </c:pt>
                      <c:pt idx="16">
                        <c:v>3.5</c:v>
                      </c:pt>
                      <c:pt idx="17">
                        <c:v>3.9</c:v>
                      </c:pt>
                      <c:pt idx="18">
                        <c:v>3.7</c:v>
                      </c:pt>
                      <c:pt idx="19">
                        <c:v>4.0999999999999996</c:v>
                      </c:pt>
                      <c:pt idx="20">
                        <c:v>3.6</c:v>
                      </c:pt>
                      <c:pt idx="21">
                        <c:v>4</c:v>
                      </c:pt>
                      <c:pt idx="22">
                        <c:v>3.6</c:v>
                      </c:pt>
                      <c:pt idx="23">
                        <c:v>3.5</c:v>
                      </c:pt>
                      <c:pt idx="24">
                        <c:v>3.4</c:v>
                      </c:pt>
                      <c:pt idx="25">
                        <c:v>3.5</c:v>
                      </c:pt>
                      <c:pt idx="26">
                        <c:v>3.2</c:v>
                      </c:pt>
                      <c:pt idx="27">
                        <c:v>3.7</c:v>
                      </c:pt>
                      <c:pt idx="28">
                        <c:v>3.9</c:v>
                      </c:pt>
                      <c:pt idx="29">
                        <c:v>4.3</c:v>
                      </c:pt>
                      <c:pt idx="30">
                        <c:v>4.2</c:v>
                      </c:pt>
                      <c:pt idx="31">
                        <c:v>3.7</c:v>
                      </c:pt>
                      <c:pt idx="32">
                        <c:v>3.3</c:v>
                      </c:pt>
                      <c:pt idx="33">
                        <c:v>2.9</c:v>
                      </c:pt>
                      <c:pt idx="34">
                        <c:v>3.8</c:v>
                      </c:pt>
                      <c:pt idx="35">
                        <c:v>3.6</c:v>
                      </c:pt>
                      <c:pt idx="36">
                        <c:v>3.8</c:v>
                      </c:pt>
                      <c:pt idx="37">
                        <c:v>3.6</c:v>
                      </c:pt>
                      <c:pt idx="38">
                        <c:v>3.4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A-E689-4BA2-80F3-DFC2BCA11335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Sheet4!$I$1</c15:sqref>
                        </c15:formulaRef>
                      </c:ext>
                    </c:extLst>
                    <c:strCache>
                      <c:ptCount val="1"/>
                      <c:pt idx="0">
                        <c:v>Lower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Sheet4!$I$2:$I$40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2.9</c:v>
                      </c:pt>
                      <c:pt idx="1">
                        <c:v>3.2</c:v>
                      </c:pt>
                      <c:pt idx="2">
                        <c:v>3.2</c:v>
                      </c:pt>
                      <c:pt idx="3">
                        <c:v>3</c:v>
                      </c:pt>
                      <c:pt idx="4">
                        <c:v>3.3</c:v>
                      </c:pt>
                      <c:pt idx="5">
                        <c:v>2.8</c:v>
                      </c:pt>
                      <c:pt idx="6">
                        <c:v>2.5</c:v>
                      </c:pt>
                      <c:pt idx="7">
                        <c:v>2.6</c:v>
                      </c:pt>
                      <c:pt idx="8">
                        <c:v>3.5</c:v>
                      </c:pt>
                      <c:pt idx="9">
                        <c:v>4.5999999999999996</c:v>
                      </c:pt>
                      <c:pt idx="10">
                        <c:v>2.4</c:v>
                      </c:pt>
                      <c:pt idx="11">
                        <c:v>2.5</c:v>
                      </c:pt>
                      <c:pt idx="12">
                        <c:v>3.1</c:v>
                      </c:pt>
                      <c:pt idx="13">
                        <c:v>3.8</c:v>
                      </c:pt>
                      <c:pt idx="14">
                        <c:v>4</c:v>
                      </c:pt>
                      <c:pt idx="15">
                        <c:v>2.9</c:v>
                      </c:pt>
                      <c:pt idx="16">
                        <c:v>3.1</c:v>
                      </c:pt>
                      <c:pt idx="17">
                        <c:v>3.4</c:v>
                      </c:pt>
                      <c:pt idx="18">
                        <c:v>3.2</c:v>
                      </c:pt>
                      <c:pt idx="19">
                        <c:v>3.5</c:v>
                      </c:pt>
                      <c:pt idx="20">
                        <c:v>3.2</c:v>
                      </c:pt>
                      <c:pt idx="21">
                        <c:v>3.4</c:v>
                      </c:pt>
                      <c:pt idx="22">
                        <c:v>3.2</c:v>
                      </c:pt>
                      <c:pt idx="23">
                        <c:v>3.1</c:v>
                      </c:pt>
                      <c:pt idx="24">
                        <c:v>3</c:v>
                      </c:pt>
                      <c:pt idx="25">
                        <c:v>3.1</c:v>
                      </c:pt>
                      <c:pt idx="26">
                        <c:v>2.7</c:v>
                      </c:pt>
                      <c:pt idx="27">
                        <c:v>3.3</c:v>
                      </c:pt>
                      <c:pt idx="28">
                        <c:v>3.5</c:v>
                      </c:pt>
                      <c:pt idx="29">
                        <c:v>3.7</c:v>
                      </c:pt>
                      <c:pt idx="30">
                        <c:v>3.6</c:v>
                      </c:pt>
                      <c:pt idx="31">
                        <c:v>3.3</c:v>
                      </c:pt>
                      <c:pt idx="32">
                        <c:v>2.8</c:v>
                      </c:pt>
                      <c:pt idx="33">
                        <c:v>2.6</c:v>
                      </c:pt>
                      <c:pt idx="34">
                        <c:v>3.2</c:v>
                      </c:pt>
                      <c:pt idx="35">
                        <c:v>3.1</c:v>
                      </c:pt>
                      <c:pt idx="36">
                        <c:v>3.3</c:v>
                      </c:pt>
                      <c:pt idx="37">
                        <c:v>3.2</c:v>
                      </c:pt>
                      <c:pt idx="38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B-E689-4BA2-80F3-DFC2BCA11335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Sheet4!$J$1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Sheet4!$J$2:$J$40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0.5</c:v>
                      </c:pt>
                      <c:pt idx="1">
                        <c:v>0.59999999999999964</c:v>
                      </c:pt>
                      <c:pt idx="2">
                        <c:v>0.5</c:v>
                      </c:pt>
                      <c:pt idx="3">
                        <c:v>0.39999999999999991</c:v>
                      </c:pt>
                      <c:pt idx="4">
                        <c:v>0.40000000000000036</c:v>
                      </c:pt>
                      <c:pt idx="5">
                        <c:v>0.40000000000000036</c:v>
                      </c:pt>
                      <c:pt idx="6">
                        <c:v>0.39999999999999991</c:v>
                      </c:pt>
                      <c:pt idx="7">
                        <c:v>0.39999999999999991</c:v>
                      </c:pt>
                      <c:pt idx="8">
                        <c:v>0.5</c:v>
                      </c:pt>
                      <c:pt idx="9">
                        <c:v>0.60000000000000053</c:v>
                      </c:pt>
                      <c:pt idx="10">
                        <c:v>0.30000000000000027</c:v>
                      </c:pt>
                      <c:pt idx="11">
                        <c:v>0.39999999999999991</c:v>
                      </c:pt>
                      <c:pt idx="12">
                        <c:v>0.5</c:v>
                      </c:pt>
                      <c:pt idx="13">
                        <c:v>0.60000000000000053</c:v>
                      </c:pt>
                      <c:pt idx="14">
                        <c:v>0.5</c:v>
                      </c:pt>
                      <c:pt idx="15">
                        <c:v>0.30000000000000027</c:v>
                      </c:pt>
                      <c:pt idx="16">
                        <c:v>0.39999999999999991</c:v>
                      </c:pt>
                      <c:pt idx="17">
                        <c:v>0.5</c:v>
                      </c:pt>
                      <c:pt idx="18">
                        <c:v>0.5</c:v>
                      </c:pt>
                      <c:pt idx="19">
                        <c:v>0.59999999999999964</c:v>
                      </c:pt>
                      <c:pt idx="20">
                        <c:v>0.39999999999999991</c:v>
                      </c:pt>
                      <c:pt idx="21">
                        <c:v>0.60000000000000009</c:v>
                      </c:pt>
                      <c:pt idx="22">
                        <c:v>0.39999999999999991</c:v>
                      </c:pt>
                      <c:pt idx="23">
                        <c:v>0.39999999999999991</c:v>
                      </c:pt>
                      <c:pt idx="24">
                        <c:v>0.39999999999999991</c:v>
                      </c:pt>
                      <c:pt idx="25">
                        <c:v>0.39999999999999991</c:v>
                      </c:pt>
                      <c:pt idx="26">
                        <c:v>0.5</c:v>
                      </c:pt>
                      <c:pt idx="27">
                        <c:v>0.40000000000000036</c:v>
                      </c:pt>
                      <c:pt idx="28">
                        <c:v>0.39999999999999991</c:v>
                      </c:pt>
                      <c:pt idx="29">
                        <c:v>0.59999999999999964</c:v>
                      </c:pt>
                      <c:pt idx="30">
                        <c:v>0.60000000000000009</c:v>
                      </c:pt>
                      <c:pt idx="31">
                        <c:v>0.40000000000000036</c:v>
                      </c:pt>
                      <c:pt idx="32">
                        <c:v>0.5</c:v>
                      </c:pt>
                      <c:pt idx="33">
                        <c:v>0.29999999999999982</c:v>
                      </c:pt>
                      <c:pt idx="34">
                        <c:v>0.59999999999999964</c:v>
                      </c:pt>
                      <c:pt idx="35">
                        <c:v>0.5</c:v>
                      </c:pt>
                      <c:pt idx="36">
                        <c:v>0.5</c:v>
                      </c:pt>
                      <c:pt idx="37">
                        <c:v>0.39999999999999991</c:v>
                      </c:pt>
                      <c:pt idx="38">
                        <c:v>0.39999999999999991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C-E689-4BA2-80F3-DFC2BCA11335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Sheet4!$K$1</c15:sqref>
                        </c15:formulaRef>
                      </c:ext>
                    </c:extLst>
                    <c:strCache>
                      <c:ptCount val="1"/>
                      <c:pt idx="0">
                        <c:v>Upper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Sheet4!$K$2:$K$40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4</c:v>
                      </c:pt>
                      <c:pt idx="1">
                        <c:v>4.3</c:v>
                      </c:pt>
                      <c:pt idx="2">
                        <c:v>4.2</c:v>
                      </c:pt>
                      <c:pt idx="3">
                        <c:v>3.9</c:v>
                      </c:pt>
                      <c:pt idx="4">
                        <c:v>4.0999999999999996</c:v>
                      </c:pt>
                      <c:pt idx="5">
                        <c:v>3.6</c:v>
                      </c:pt>
                      <c:pt idx="6">
                        <c:v>3.3</c:v>
                      </c:pt>
                      <c:pt idx="7">
                        <c:v>3.4</c:v>
                      </c:pt>
                      <c:pt idx="8">
                        <c:v>4.5</c:v>
                      </c:pt>
                      <c:pt idx="9">
                        <c:v>5.8</c:v>
                      </c:pt>
                      <c:pt idx="10">
                        <c:v>3.1</c:v>
                      </c:pt>
                      <c:pt idx="11">
                        <c:v>3.3</c:v>
                      </c:pt>
                      <c:pt idx="12">
                        <c:v>4.0999999999999996</c:v>
                      </c:pt>
                      <c:pt idx="13">
                        <c:v>5</c:v>
                      </c:pt>
                      <c:pt idx="14">
                        <c:v>5</c:v>
                      </c:pt>
                      <c:pt idx="15">
                        <c:v>3.6</c:v>
                      </c:pt>
                      <c:pt idx="16">
                        <c:v>3.9</c:v>
                      </c:pt>
                      <c:pt idx="17">
                        <c:v>4.4000000000000004</c:v>
                      </c:pt>
                      <c:pt idx="18">
                        <c:v>4.2</c:v>
                      </c:pt>
                      <c:pt idx="19">
                        <c:v>4.7</c:v>
                      </c:pt>
                      <c:pt idx="20">
                        <c:v>4.0999999999999996</c:v>
                      </c:pt>
                      <c:pt idx="21">
                        <c:v>4.5</c:v>
                      </c:pt>
                      <c:pt idx="22">
                        <c:v>4.0999999999999996</c:v>
                      </c:pt>
                      <c:pt idx="23">
                        <c:v>3.9</c:v>
                      </c:pt>
                      <c:pt idx="24">
                        <c:v>3.8</c:v>
                      </c:pt>
                      <c:pt idx="25">
                        <c:v>3.8</c:v>
                      </c:pt>
                      <c:pt idx="26">
                        <c:v>3.7</c:v>
                      </c:pt>
                      <c:pt idx="27">
                        <c:v>4.0999999999999996</c:v>
                      </c:pt>
                      <c:pt idx="28">
                        <c:v>4.3</c:v>
                      </c:pt>
                      <c:pt idx="29">
                        <c:v>4.8</c:v>
                      </c:pt>
                      <c:pt idx="30">
                        <c:v>4.7</c:v>
                      </c:pt>
                      <c:pt idx="31">
                        <c:v>4.2</c:v>
                      </c:pt>
                      <c:pt idx="32">
                        <c:v>3.8</c:v>
                      </c:pt>
                      <c:pt idx="33">
                        <c:v>3.3</c:v>
                      </c:pt>
                      <c:pt idx="34">
                        <c:v>4.3</c:v>
                      </c:pt>
                      <c:pt idx="35">
                        <c:v>4.0999999999999996</c:v>
                      </c:pt>
                      <c:pt idx="36">
                        <c:v>4.3</c:v>
                      </c:pt>
                      <c:pt idx="37">
                        <c:v>4.0999999999999996</c:v>
                      </c:pt>
                      <c:pt idx="38">
                        <c:v>3.8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D-E689-4BA2-80F3-DFC2BCA11335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Sheet4!$L$1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Sheet4!$A$2:$B$40</c15:sqref>
                        </c15:formulaRef>
                      </c:ext>
                    </c:extLst>
                    <c:multiLvlStrCache>
                      <c:ptCount val="39"/>
                      <c:lvl>
                        <c:pt idx="0">
                          <c:v>Q1</c:v>
                        </c:pt>
                        <c:pt idx="1">
                          <c:v>Q2</c:v>
                        </c:pt>
                        <c:pt idx="2">
                          <c:v>Q3</c:v>
                        </c:pt>
                        <c:pt idx="3">
                          <c:v>Q4</c:v>
                        </c:pt>
                        <c:pt idx="4">
                          <c:v>Q5</c:v>
                        </c:pt>
                        <c:pt idx="5">
                          <c:v>Q1</c:v>
                        </c:pt>
                        <c:pt idx="6">
                          <c:v>Q2</c:v>
                        </c:pt>
                        <c:pt idx="7">
                          <c:v>Q3</c:v>
                        </c:pt>
                        <c:pt idx="8">
                          <c:v>Q4</c:v>
                        </c:pt>
                        <c:pt idx="9">
                          <c:v>Q5</c:v>
                        </c:pt>
                        <c:pt idx="10">
                          <c:v>Q1</c:v>
                        </c:pt>
                        <c:pt idx="11">
                          <c:v>Q2</c:v>
                        </c:pt>
                        <c:pt idx="12">
                          <c:v>Q3</c:v>
                        </c:pt>
                        <c:pt idx="13">
                          <c:v>Q4</c:v>
                        </c:pt>
                        <c:pt idx="14">
                          <c:v>Q5</c:v>
                        </c:pt>
                        <c:pt idx="15">
                          <c:v>Q1</c:v>
                        </c:pt>
                        <c:pt idx="16">
                          <c:v>Q2</c:v>
                        </c:pt>
                        <c:pt idx="17">
                          <c:v>Q3</c:v>
                        </c:pt>
                        <c:pt idx="18">
                          <c:v>Q4</c:v>
                        </c:pt>
                        <c:pt idx="19">
                          <c:v>Q5</c:v>
                        </c:pt>
                        <c:pt idx="20">
                          <c:v>Q1</c:v>
                        </c:pt>
                        <c:pt idx="21">
                          <c:v>Q2</c:v>
                        </c:pt>
                        <c:pt idx="22">
                          <c:v>Q3</c:v>
                        </c:pt>
                        <c:pt idx="23">
                          <c:v>Q4</c:v>
                        </c:pt>
                        <c:pt idx="24">
                          <c:v>Q5</c:v>
                        </c:pt>
                        <c:pt idx="25">
                          <c:v>Q1</c:v>
                        </c:pt>
                        <c:pt idx="26">
                          <c:v>Q2</c:v>
                        </c:pt>
                        <c:pt idx="27">
                          <c:v>Q3</c:v>
                        </c:pt>
                        <c:pt idx="28">
                          <c:v>Q4</c:v>
                        </c:pt>
                        <c:pt idx="29">
                          <c:v>Q1</c:v>
                        </c:pt>
                        <c:pt idx="30">
                          <c:v>Q2</c:v>
                        </c:pt>
                        <c:pt idx="31">
                          <c:v>Q3</c:v>
                        </c:pt>
                        <c:pt idx="32">
                          <c:v>Q4</c:v>
                        </c:pt>
                        <c:pt idx="33">
                          <c:v>Q5</c:v>
                        </c:pt>
                        <c:pt idx="34">
                          <c:v>Q1</c:v>
                        </c:pt>
                        <c:pt idx="35">
                          <c:v>Q2</c:v>
                        </c:pt>
                        <c:pt idx="36">
                          <c:v>Q3</c:v>
                        </c:pt>
                        <c:pt idx="37">
                          <c:v>Q4</c:v>
                        </c:pt>
                        <c:pt idx="38">
                          <c:v>Q5</c:v>
                        </c:pt>
                      </c:lvl>
                      <c:lvl>
                        <c:pt idx="0">
                          <c:v>Racialized and newcomer populations</c:v>
                        </c:pt>
                        <c:pt idx="5">
                          <c:v>Material resources</c:v>
                        </c:pt>
                        <c:pt idx="10">
                          <c:v>Households and dwellings</c:v>
                        </c:pt>
                        <c:pt idx="15">
                          <c:v>Age and labour</c:v>
                        </c:pt>
                        <c:pt idx="20">
                          <c:v>Multi-generational families</c:v>
                        </c:pt>
                        <c:pt idx="25">
                          <c:v>Unsuitable housing</c:v>
                        </c:pt>
                        <c:pt idx="29">
                          <c:v>Average dwelling sizes</c:v>
                        </c:pt>
                        <c:pt idx="34">
                          <c:v>Household with persons under 5 years old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Sheet4!$L$2:$L$40</c15:sqref>
                        </c15:formulaRef>
                      </c:ext>
                    </c:extLst>
                    <c:numCache>
                      <c:formatCode>General</c:formatCode>
                      <c:ptCount val="39"/>
                      <c:pt idx="0">
                        <c:v>0.60000000000000009</c:v>
                      </c:pt>
                      <c:pt idx="1">
                        <c:v>0.5</c:v>
                      </c:pt>
                      <c:pt idx="2">
                        <c:v>0.5</c:v>
                      </c:pt>
                      <c:pt idx="3">
                        <c:v>0.5</c:v>
                      </c:pt>
                      <c:pt idx="4">
                        <c:v>0.39999999999999947</c:v>
                      </c:pt>
                      <c:pt idx="5">
                        <c:v>0.39999999999999991</c:v>
                      </c:pt>
                      <c:pt idx="6">
                        <c:v>0.39999999999999991</c:v>
                      </c:pt>
                      <c:pt idx="7">
                        <c:v>0.39999999999999991</c:v>
                      </c:pt>
                      <c:pt idx="8">
                        <c:v>0.5</c:v>
                      </c:pt>
                      <c:pt idx="9">
                        <c:v>0.59999999999999964</c:v>
                      </c:pt>
                      <c:pt idx="10">
                        <c:v>0.39999999999999991</c:v>
                      </c:pt>
                      <c:pt idx="11">
                        <c:v>0.39999999999999991</c:v>
                      </c:pt>
                      <c:pt idx="12">
                        <c:v>0.49999999999999956</c:v>
                      </c:pt>
                      <c:pt idx="13">
                        <c:v>0.59999999999999964</c:v>
                      </c:pt>
                      <c:pt idx="14">
                        <c:v>0.5</c:v>
                      </c:pt>
                      <c:pt idx="15">
                        <c:v>0.39999999999999991</c:v>
                      </c:pt>
                      <c:pt idx="16">
                        <c:v>0.39999999999999991</c:v>
                      </c:pt>
                      <c:pt idx="17">
                        <c:v>0.50000000000000044</c:v>
                      </c:pt>
                      <c:pt idx="18">
                        <c:v>0.5</c:v>
                      </c:pt>
                      <c:pt idx="19">
                        <c:v>0.60000000000000053</c:v>
                      </c:pt>
                      <c:pt idx="20">
                        <c:v>0.49999999999999956</c:v>
                      </c:pt>
                      <c:pt idx="21">
                        <c:v>0.5</c:v>
                      </c:pt>
                      <c:pt idx="22">
                        <c:v>0.49999999999999956</c:v>
                      </c:pt>
                      <c:pt idx="23">
                        <c:v>0.39999999999999991</c:v>
                      </c:pt>
                      <c:pt idx="24">
                        <c:v>0.39999999999999991</c:v>
                      </c:pt>
                      <c:pt idx="25">
                        <c:v>0.29999999999999982</c:v>
                      </c:pt>
                      <c:pt idx="26">
                        <c:v>0.5</c:v>
                      </c:pt>
                      <c:pt idx="27">
                        <c:v>0.39999999999999947</c:v>
                      </c:pt>
                      <c:pt idx="28">
                        <c:v>0.39999999999999991</c:v>
                      </c:pt>
                      <c:pt idx="29">
                        <c:v>0.5</c:v>
                      </c:pt>
                      <c:pt idx="30">
                        <c:v>0.5</c:v>
                      </c:pt>
                      <c:pt idx="31">
                        <c:v>0.5</c:v>
                      </c:pt>
                      <c:pt idx="32">
                        <c:v>0.5</c:v>
                      </c:pt>
                      <c:pt idx="33">
                        <c:v>0.39999999999999991</c:v>
                      </c:pt>
                      <c:pt idx="34">
                        <c:v>0.5</c:v>
                      </c:pt>
                      <c:pt idx="35">
                        <c:v>0.49999999999999956</c:v>
                      </c:pt>
                      <c:pt idx="36">
                        <c:v>0.5</c:v>
                      </c:pt>
                      <c:pt idx="37">
                        <c:v>0.49999999999999956</c:v>
                      </c:pt>
                      <c:pt idx="38">
                        <c:v>0.39999999999999991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E-E689-4BA2-80F3-DFC2BCA11335}"/>
                  </c:ext>
                </c:extLst>
              </c15:ser>
            </c15:filteredBarSeries>
          </c:ext>
        </c:extLst>
      </c:barChart>
      <c:scatterChart>
        <c:scatterStyle val="lineMarker"/>
        <c:varyColors val="0"/>
        <c:ser>
          <c:idx val="11"/>
          <c:order val="1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E689-4BA2-80F3-DFC2BCA11335}"/>
              </c:ext>
            </c:extLst>
          </c:dPt>
          <c:dPt>
            <c:idx val="1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E689-4BA2-80F3-DFC2BCA11335}"/>
              </c:ext>
            </c:extLst>
          </c:dPt>
          <c:dPt>
            <c:idx val="2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E689-4BA2-80F3-DFC2BCA11335}"/>
              </c:ext>
            </c:extLst>
          </c:dPt>
          <c:dPt>
            <c:idx val="3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E689-4BA2-80F3-DFC2BCA11335}"/>
              </c:ext>
            </c:extLst>
          </c:dPt>
          <c:dPt>
            <c:idx val="4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E689-4BA2-80F3-DFC2BCA11335}"/>
              </c:ext>
            </c:extLst>
          </c:dPt>
          <c:dPt>
            <c:idx val="10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E689-4BA2-80F3-DFC2BCA11335}"/>
              </c:ext>
            </c:extLst>
          </c:dPt>
          <c:dPt>
            <c:idx val="11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E689-4BA2-80F3-DFC2BCA11335}"/>
              </c:ext>
            </c:extLst>
          </c:dPt>
          <c:dPt>
            <c:idx val="12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E689-4BA2-80F3-DFC2BCA11335}"/>
              </c:ext>
            </c:extLst>
          </c:dPt>
          <c:dPt>
            <c:idx val="13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E689-4BA2-80F3-DFC2BCA11335}"/>
              </c:ext>
            </c:extLst>
          </c:dPt>
          <c:dPt>
            <c:idx val="14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E689-4BA2-80F3-DFC2BCA11335}"/>
              </c:ext>
            </c:extLst>
          </c:dPt>
          <c:dPt>
            <c:idx val="15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E689-4BA2-80F3-DFC2BCA11335}"/>
              </c:ext>
            </c:extLst>
          </c:dPt>
          <c:dPt>
            <c:idx val="16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E689-4BA2-80F3-DFC2BCA11335}"/>
              </c:ext>
            </c:extLst>
          </c:dPt>
          <c:dPt>
            <c:idx val="17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E689-4BA2-80F3-DFC2BCA11335}"/>
              </c:ext>
            </c:extLst>
          </c:dPt>
          <c:dPt>
            <c:idx val="18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E689-4BA2-80F3-DFC2BCA11335}"/>
              </c:ext>
            </c:extLst>
          </c:dPt>
          <c:dPt>
            <c:idx val="19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E689-4BA2-80F3-DFC2BCA11335}"/>
              </c:ext>
            </c:extLst>
          </c:dPt>
          <c:dPt>
            <c:idx val="20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E689-4BA2-80F3-DFC2BCA11335}"/>
              </c:ext>
            </c:extLst>
          </c:dPt>
          <c:dPt>
            <c:idx val="21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E689-4BA2-80F3-DFC2BCA11335}"/>
              </c:ext>
            </c:extLst>
          </c:dPt>
          <c:dPt>
            <c:idx val="22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E689-4BA2-80F3-DFC2BCA11335}"/>
              </c:ext>
            </c:extLst>
          </c:dPt>
          <c:dPt>
            <c:idx val="23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E689-4BA2-80F3-DFC2BCA11335}"/>
              </c:ext>
            </c:extLst>
          </c:dPt>
          <c:dPt>
            <c:idx val="24"/>
            <c:marker>
              <c:symbol val="squar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E689-4BA2-80F3-DFC2BCA11335}"/>
              </c:ext>
            </c:extLst>
          </c:dPt>
          <c:dPt>
            <c:idx val="25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E689-4BA2-80F3-DFC2BCA11335}"/>
              </c:ext>
            </c:extLst>
          </c:dPt>
          <c:dPt>
            <c:idx val="26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E689-4BA2-80F3-DFC2BCA11335}"/>
              </c:ext>
            </c:extLst>
          </c:dPt>
          <c:dPt>
            <c:idx val="27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E689-4BA2-80F3-DFC2BCA11335}"/>
              </c:ext>
            </c:extLst>
          </c:dPt>
          <c:dPt>
            <c:idx val="28"/>
            <c:marker>
              <c:symbol val="circ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E689-4BA2-80F3-DFC2BCA11335}"/>
              </c:ext>
            </c:extLst>
          </c:dPt>
          <c:dPt>
            <c:idx val="29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E689-4BA2-80F3-DFC2BCA11335}"/>
              </c:ext>
            </c:extLst>
          </c:dPt>
          <c:dPt>
            <c:idx val="30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E689-4BA2-80F3-DFC2BCA11335}"/>
              </c:ext>
            </c:extLst>
          </c:dPt>
          <c:dPt>
            <c:idx val="31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E689-4BA2-80F3-DFC2BCA11335}"/>
              </c:ext>
            </c:extLst>
          </c:dPt>
          <c:dPt>
            <c:idx val="32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E689-4BA2-80F3-DFC2BCA11335}"/>
              </c:ext>
            </c:extLst>
          </c:dPt>
          <c:dPt>
            <c:idx val="33"/>
            <c:marker>
              <c:symbol val="triangle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E689-4BA2-80F3-DFC2BCA11335}"/>
              </c:ext>
            </c:extLst>
          </c:dPt>
          <c:dPt>
            <c:idx val="34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E689-4BA2-80F3-DFC2BCA11335}"/>
              </c:ext>
            </c:extLst>
          </c:dPt>
          <c:dPt>
            <c:idx val="35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E689-4BA2-80F3-DFC2BCA11335}"/>
              </c:ext>
            </c:extLst>
          </c:dPt>
          <c:dPt>
            <c:idx val="36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E689-4BA2-80F3-DFC2BCA11335}"/>
              </c:ext>
            </c:extLst>
          </c:dPt>
          <c:dPt>
            <c:idx val="37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E689-4BA2-80F3-DFC2BCA11335}"/>
              </c:ext>
            </c:extLst>
          </c:dPt>
          <c:dPt>
            <c:idx val="38"/>
            <c:marker>
              <c:symbol val="diamond"/>
              <c:size val="5"/>
              <c:spPr>
                <a:solidFill>
                  <a:schemeClr val="tx1"/>
                </a:solidFill>
                <a:ln w="12700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3-E689-4BA2-80F3-DFC2BCA11335}"/>
              </c:ext>
            </c:extLst>
          </c:dPt>
          <c:xVal>
            <c:numRef>
              <c:f>Sheet4!$M$2:$M$40</c:f>
              <c:numCache>
                <c:formatCode>General</c:formatCode>
                <c:ptCount val="39"/>
                <c:pt idx="0">
                  <c:v>32.200000000000003</c:v>
                </c:pt>
                <c:pt idx="1">
                  <c:v>44.8</c:v>
                </c:pt>
                <c:pt idx="2">
                  <c:v>58.6</c:v>
                </c:pt>
                <c:pt idx="3">
                  <c:v>64.2</c:v>
                </c:pt>
                <c:pt idx="4">
                  <c:v>61</c:v>
                </c:pt>
                <c:pt idx="5">
                  <c:v>48.8</c:v>
                </c:pt>
                <c:pt idx="6">
                  <c:v>48.2</c:v>
                </c:pt>
                <c:pt idx="7">
                  <c:v>46.2</c:v>
                </c:pt>
                <c:pt idx="8">
                  <c:v>53</c:v>
                </c:pt>
                <c:pt idx="9">
                  <c:v>60.4</c:v>
                </c:pt>
                <c:pt idx="10">
                  <c:v>37.299999999999997</c:v>
                </c:pt>
                <c:pt idx="11">
                  <c:v>40.4</c:v>
                </c:pt>
                <c:pt idx="12">
                  <c:v>40.200000000000003</c:v>
                </c:pt>
                <c:pt idx="13">
                  <c:v>49.7</c:v>
                </c:pt>
                <c:pt idx="14">
                  <c:v>76.7</c:v>
                </c:pt>
                <c:pt idx="15">
                  <c:v>52.1</c:v>
                </c:pt>
                <c:pt idx="16">
                  <c:v>56.4</c:v>
                </c:pt>
                <c:pt idx="17">
                  <c:v>49.9</c:v>
                </c:pt>
                <c:pt idx="18">
                  <c:v>45.5</c:v>
                </c:pt>
                <c:pt idx="19">
                  <c:v>52.2</c:v>
                </c:pt>
                <c:pt idx="20">
                  <c:v>52.3</c:v>
                </c:pt>
                <c:pt idx="21">
                  <c:v>50.3</c:v>
                </c:pt>
                <c:pt idx="22">
                  <c:v>48.9</c:v>
                </c:pt>
                <c:pt idx="23">
                  <c:v>52.5</c:v>
                </c:pt>
                <c:pt idx="24">
                  <c:v>50</c:v>
                </c:pt>
                <c:pt idx="25">
                  <c:v>40.799999999999997</c:v>
                </c:pt>
                <c:pt idx="26">
                  <c:v>48.2</c:v>
                </c:pt>
                <c:pt idx="27">
                  <c:v>53.9</c:v>
                </c:pt>
                <c:pt idx="28">
                  <c:v>65.400000000000006</c:v>
                </c:pt>
                <c:pt idx="29">
                  <c:v>60.4</c:v>
                </c:pt>
                <c:pt idx="30">
                  <c:v>44.3</c:v>
                </c:pt>
                <c:pt idx="31">
                  <c:v>49.1</c:v>
                </c:pt>
                <c:pt idx="32">
                  <c:v>53</c:v>
                </c:pt>
                <c:pt idx="33">
                  <c:v>45.1</c:v>
                </c:pt>
                <c:pt idx="34">
                  <c:v>54.4</c:v>
                </c:pt>
                <c:pt idx="35">
                  <c:v>51.2</c:v>
                </c:pt>
                <c:pt idx="36">
                  <c:v>47.6</c:v>
                </c:pt>
                <c:pt idx="37">
                  <c:v>47.2</c:v>
                </c:pt>
                <c:pt idx="38">
                  <c:v>52.6</c:v>
                </c:pt>
              </c:numCache>
            </c:numRef>
          </c:xVal>
          <c:yVal>
            <c:numRef>
              <c:f>Sheet4!$R$2:$R$40</c:f>
              <c:numCache>
                <c:formatCode>General</c:formatCode>
                <c:ptCount val="39"/>
                <c:pt idx="0">
                  <c:v>0.7</c:v>
                </c:pt>
                <c:pt idx="1">
                  <c:v>1.8</c:v>
                </c:pt>
                <c:pt idx="2">
                  <c:v>3</c:v>
                </c:pt>
                <c:pt idx="3">
                  <c:v>4.2</c:v>
                </c:pt>
                <c:pt idx="4">
                  <c:v>5.4</c:v>
                </c:pt>
                <c:pt idx="5">
                  <c:v>6.6</c:v>
                </c:pt>
                <c:pt idx="6">
                  <c:v>7.8</c:v>
                </c:pt>
                <c:pt idx="7">
                  <c:v>9</c:v>
                </c:pt>
                <c:pt idx="8">
                  <c:v>10.199999999999999</c:v>
                </c:pt>
                <c:pt idx="9">
                  <c:v>11.4</c:v>
                </c:pt>
                <c:pt idx="10">
                  <c:v>12.6</c:v>
                </c:pt>
                <c:pt idx="11">
                  <c:v>13.8</c:v>
                </c:pt>
                <c:pt idx="12">
                  <c:v>15</c:v>
                </c:pt>
                <c:pt idx="13">
                  <c:v>16.2</c:v>
                </c:pt>
                <c:pt idx="14">
                  <c:v>17.399999999999999</c:v>
                </c:pt>
                <c:pt idx="15">
                  <c:v>18.600000000000001</c:v>
                </c:pt>
                <c:pt idx="16">
                  <c:v>19.8</c:v>
                </c:pt>
                <c:pt idx="17">
                  <c:v>21</c:v>
                </c:pt>
                <c:pt idx="18">
                  <c:v>22.2</c:v>
                </c:pt>
                <c:pt idx="19">
                  <c:v>23.4</c:v>
                </c:pt>
                <c:pt idx="20">
                  <c:v>24.6</c:v>
                </c:pt>
                <c:pt idx="21">
                  <c:v>25.8</c:v>
                </c:pt>
                <c:pt idx="22">
                  <c:v>27</c:v>
                </c:pt>
                <c:pt idx="23">
                  <c:v>28.2</c:v>
                </c:pt>
                <c:pt idx="24">
                  <c:v>29.4</c:v>
                </c:pt>
                <c:pt idx="25">
                  <c:v>30.6</c:v>
                </c:pt>
                <c:pt idx="26">
                  <c:v>31.8</c:v>
                </c:pt>
                <c:pt idx="27">
                  <c:v>33</c:v>
                </c:pt>
                <c:pt idx="28">
                  <c:v>34.200000000000003</c:v>
                </c:pt>
                <c:pt idx="29">
                  <c:v>35.4</c:v>
                </c:pt>
                <c:pt idx="30">
                  <c:v>36.6</c:v>
                </c:pt>
                <c:pt idx="31">
                  <c:v>37.799999999999997</c:v>
                </c:pt>
                <c:pt idx="32">
                  <c:v>39</c:v>
                </c:pt>
                <c:pt idx="33">
                  <c:v>40.200000000000003</c:v>
                </c:pt>
                <c:pt idx="34">
                  <c:v>41.4</c:v>
                </c:pt>
                <c:pt idx="35">
                  <c:v>42.6</c:v>
                </c:pt>
                <c:pt idx="36">
                  <c:v>43.8</c:v>
                </c:pt>
                <c:pt idx="37">
                  <c:v>45</c:v>
                </c:pt>
                <c:pt idx="38">
                  <c:v>46.2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4-E689-4BA2-80F3-DFC2BCA11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082000"/>
        <c:axId val="458560720"/>
      </c:scatterChart>
      <c:catAx>
        <c:axId val="4585654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59152"/>
        <c:crosses val="autoZero"/>
        <c:auto val="0"/>
        <c:lblAlgn val="ctr"/>
        <c:lblOffset val="100"/>
        <c:noMultiLvlLbl val="0"/>
      </c:catAx>
      <c:valAx>
        <c:axId val="45855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Incidence</a:t>
                </a:r>
                <a:r>
                  <a:rPr lang="en-CA" baseline="0"/>
                  <a:t> per 100,000</a:t>
                </a:r>
                <a:endParaRPr lang="en-C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565424"/>
        <c:crosses val="max"/>
        <c:crossBetween val="between"/>
      </c:valAx>
      <c:valAx>
        <c:axId val="458560720"/>
        <c:scaling>
          <c:orientation val="maxMin"/>
          <c:max val="46.8"/>
          <c:min val="0"/>
        </c:scaling>
        <c:delete val="1"/>
        <c:axPos val="r"/>
        <c:numFmt formatCode="General" sourceLinked="1"/>
        <c:majorTickMark val="out"/>
        <c:minorTickMark val="none"/>
        <c:tickLblPos val="nextTo"/>
        <c:crossAx val="254082000"/>
        <c:crosses val="max"/>
        <c:crossBetween val="midCat"/>
      </c:valAx>
      <c:valAx>
        <c:axId val="254082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560720"/>
        <c:crosses val="max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0.00074</cdr:x>
      <cdr:y>0.82336</cdr:y>
    </cdr:from>
    <cdr:to>
      <cdr:x>0.94704</cdr:x>
      <cdr:y>0.82336</cdr:y>
    </cdr:to>
    <cdr:cxnSp macro="">
      <cdr:nvCxnSpPr>
        <cdr:cNvPr id="10" name="Straight Connector 9"/>
        <cdr:cNvCxnSpPr/>
      </cdr:nvCxnSpPr>
      <cdr:spPr>
        <a:xfrm xmlns:a="http://schemas.openxmlformats.org/drawingml/2006/main">
          <a:off x="2275" y="5176070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0.00321</cdr:x>
      <cdr:y>0.71204</cdr:y>
    </cdr:from>
    <cdr:to>
      <cdr:x>0.94951</cdr:x>
      <cdr:y>0.71204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9857" y="4476243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0.00173</cdr:x>
      <cdr:y>0.62231</cdr:y>
    </cdr:from>
    <cdr:to>
      <cdr:x>0.94803</cdr:x>
      <cdr:y>0.62231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5308" y="3912135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0.00197</cdr:x>
      <cdr:y>0.51026</cdr:y>
    </cdr:from>
    <cdr:to>
      <cdr:x>0.94827</cdr:x>
      <cdr:y>0.51026</cdr:y>
    </cdr:to>
    <cdr:cxnSp macro="">
      <cdr:nvCxnSpPr>
        <cdr:cNvPr id="11" name="Straight Connector 10"/>
        <cdr:cNvCxnSpPr/>
      </cdr:nvCxnSpPr>
      <cdr:spPr>
        <a:xfrm xmlns:a="http://schemas.openxmlformats.org/drawingml/2006/main">
          <a:off x="6066" y="3207759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0.00123</cdr:x>
      <cdr:y>0.39846</cdr:y>
    </cdr:from>
    <cdr:to>
      <cdr:x>0.94753</cdr:x>
      <cdr:y>0.39846</cdr:y>
    </cdr:to>
    <cdr:cxnSp macro="">
      <cdr:nvCxnSpPr>
        <cdr:cNvPr id="12" name="Straight Connector 11"/>
        <cdr:cNvCxnSpPr/>
      </cdr:nvCxnSpPr>
      <cdr:spPr>
        <a:xfrm xmlns:a="http://schemas.openxmlformats.org/drawingml/2006/main">
          <a:off x="3791" y="2504900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0.17497</cdr:y>
    </cdr:from>
    <cdr:to>
      <cdr:x>0.9463</cdr:x>
      <cdr:y>0.17497</cdr:y>
    </cdr:to>
    <cdr:cxnSp macro="">
      <cdr:nvCxnSpPr>
        <cdr:cNvPr id="13" name="Straight Connector 12"/>
        <cdr:cNvCxnSpPr/>
      </cdr:nvCxnSpPr>
      <cdr:spPr>
        <a:xfrm xmlns:a="http://schemas.openxmlformats.org/drawingml/2006/main">
          <a:off x="0" y="1099939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0.00222</cdr:x>
      <cdr:y>0.28641</cdr:y>
    </cdr:from>
    <cdr:to>
      <cdr:x>0.94852</cdr:x>
      <cdr:y>0.28641</cdr:y>
    </cdr:to>
    <cdr:cxnSp macro="">
      <cdr:nvCxnSpPr>
        <cdr:cNvPr id="14" name="Straight Connector 13"/>
        <cdr:cNvCxnSpPr/>
      </cdr:nvCxnSpPr>
      <cdr:spPr>
        <a:xfrm xmlns:a="http://schemas.openxmlformats.org/drawingml/2006/main">
          <a:off x="6824" y="1800524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0.00456</cdr:x>
      <cdr:y>0.06578</cdr:y>
    </cdr:from>
    <cdr:to>
      <cdr:x>0.92518</cdr:x>
      <cdr:y>0.06578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14405" y="413760"/>
          <a:ext cx="290835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0.00168</cdr:x>
      <cdr:y>0.17789</cdr:y>
    </cdr:from>
    <cdr:to>
      <cdr:x>0.95618</cdr:x>
      <cdr:y>0.17789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5307" y="1118895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0.0012</cdr:x>
      <cdr:y>0.29121</cdr:y>
    </cdr:from>
    <cdr:to>
      <cdr:x>0.9557</cdr:x>
      <cdr:y>0.29121</cdr:y>
    </cdr:to>
    <cdr:cxnSp macro="">
      <cdr:nvCxnSpPr>
        <cdr:cNvPr id="12" name="Straight Connector 11"/>
        <cdr:cNvCxnSpPr/>
      </cdr:nvCxnSpPr>
      <cdr:spPr>
        <a:xfrm xmlns:a="http://schemas.openxmlformats.org/drawingml/2006/main">
          <a:off x="3790" y="1831611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0.00285</cdr:x>
      <cdr:y>0.40232</cdr:y>
    </cdr:from>
    <cdr:to>
      <cdr:x>0.95736</cdr:x>
      <cdr:y>0.40232</cdr:y>
    </cdr:to>
    <cdr:cxnSp macro="">
      <cdr:nvCxnSpPr>
        <cdr:cNvPr id="13" name="Straight Connector 12"/>
        <cdr:cNvCxnSpPr/>
      </cdr:nvCxnSpPr>
      <cdr:spPr>
        <a:xfrm xmlns:a="http://schemas.openxmlformats.org/drawingml/2006/main">
          <a:off x="9019" y="2530467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0.00088</cdr:x>
      <cdr:y>0.5144</cdr:y>
    </cdr:from>
    <cdr:to>
      <cdr:x>0.95538</cdr:x>
      <cdr:y>0.5144</cdr:y>
    </cdr:to>
    <cdr:cxnSp macro="">
      <cdr:nvCxnSpPr>
        <cdr:cNvPr id="14" name="Straight Connector 13"/>
        <cdr:cNvCxnSpPr/>
      </cdr:nvCxnSpPr>
      <cdr:spPr>
        <a:xfrm xmlns:a="http://schemas.openxmlformats.org/drawingml/2006/main">
          <a:off x="2781" y="3235430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0.00144</cdr:x>
      <cdr:y>0.62634</cdr:y>
    </cdr:from>
    <cdr:to>
      <cdr:x>0.95595</cdr:x>
      <cdr:y>0.62634</cdr:y>
    </cdr:to>
    <cdr:cxnSp macro="">
      <cdr:nvCxnSpPr>
        <cdr:cNvPr id="15" name="Straight Connector 14"/>
        <cdr:cNvCxnSpPr/>
      </cdr:nvCxnSpPr>
      <cdr:spPr>
        <a:xfrm xmlns:a="http://schemas.openxmlformats.org/drawingml/2006/main">
          <a:off x="4563" y="3939498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0.7166</cdr:y>
    </cdr:from>
    <cdr:to>
      <cdr:x>0.9545</cdr:x>
      <cdr:y>0.7166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0" y="4507211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0.00116</cdr:x>
      <cdr:y>0.82826</cdr:y>
    </cdr:from>
    <cdr:to>
      <cdr:x>0.95567</cdr:x>
      <cdr:y>0.82826</cdr:y>
    </cdr:to>
    <cdr:cxnSp macro="">
      <cdr:nvCxnSpPr>
        <cdr:cNvPr id="17" name="Straight Connector 16"/>
        <cdr:cNvCxnSpPr/>
      </cdr:nvCxnSpPr>
      <cdr:spPr>
        <a:xfrm xmlns:a="http://schemas.openxmlformats.org/drawingml/2006/main">
          <a:off x="3671" y="5209498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0.00116</cdr:x>
      <cdr:y>0.9402</cdr:y>
    </cdr:from>
    <cdr:to>
      <cdr:x>0.95567</cdr:x>
      <cdr:y>0.9402</cdr:y>
    </cdr:to>
    <cdr:cxnSp macro="">
      <cdr:nvCxnSpPr>
        <cdr:cNvPr id="18" name="Straight Connector 17"/>
        <cdr:cNvCxnSpPr/>
      </cdr:nvCxnSpPr>
      <cdr:spPr>
        <a:xfrm xmlns:a="http://schemas.openxmlformats.org/drawingml/2006/main">
          <a:off x="3672" y="5913568"/>
          <a:ext cx="3015398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0.12783</cdr:x>
      <cdr:y>1</cdr:y>
    </cdr:from>
    <cdr:to>
      <cdr:x>1</cdr:x>
      <cdr:y>1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965200" y="8105775"/>
          <a:ext cx="2915920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65000"/>
            </a:schemeClr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0.18392</cdr:x>
      <cdr:y>0.05996</cdr:y>
    </cdr:from>
    <cdr:to>
      <cdr:x>0.18392</cdr:x>
      <cdr:y>0.93736</cdr:y>
    </cdr:to>
    <cdr:cxnSp macro="">
      <cdr:nvCxnSpPr>
        <cdr:cNvPr id="10" name="Straight Connector 9"/>
        <cdr:cNvCxnSpPr/>
      </cdr:nvCxnSpPr>
      <cdr:spPr>
        <a:xfrm xmlns:a="http://schemas.openxmlformats.org/drawingml/2006/main">
          <a:off x="614882" y="375139"/>
          <a:ext cx="0" cy="54895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0.1834</cdr:x>
      <cdr:y>0.17264</cdr:y>
    </cdr:from>
    <cdr:to>
      <cdr:x>0.9507</cdr:x>
      <cdr:y>0.17299</cdr:y>
    </cdr:to>
    <cdr:cxnSp macro="">
      <cdr:nvCxnSpPr>
        <cdr:cNvPr id="11" name="Straight Connector 10"/>
        <cdr:cNvCxnSpPr/>
      </cdr:nvCxnSpPr>
      <cdr:spPr>
        <a:xfrm xmlns:a="http://schemas.openxmlformats.org/drawingml/2006/main">
          <a:off x="613165" y="1080169"/>
          <a:ext cx="2565288" cy="2185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0.18287</cdr:x>
      <cdr:y>0.28463</cdr:y>
    </cdr:from>
    <cdr:to>
      <cdr:x>0.95185</cdr:x>
      <cdr:y>0.28463</cdr:y>
    </cdr:to>
    <cdr:cxnSp macro="">
      <cdr:nvCxnSpPr>
        <cdr:cNvPr id="12" name="Straight Connector 11"/>
        <cdr:cNvCxnSpPr/>
      </cdr:nvCxnSpPr>
      <cdr:spPr>
        <a:xfrm xmlns:a="http://schemas.openxmlformats.org/drawingml/2006/main">
          <a:off x="611383" y="1780810"/>
          <a:ext cx="2570900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0.1834</cdr:x>
      <cdr:y>0.39742</cdr:y>
    </cdr:from>
    <cdr:to>
      <cdr:x>0.95098</cdr:x>
      <cdr:y>0.39775</cdr:y>
    </cdr:to>
    <cdr:cxnSp macro="">
      <cdr:nvCxnSpPr>
        <cdr:cNvPr id="13" name="Straight Connector 12"/>
        <cdr:cNvCxnSpPr/>
      </cdr:nvCxnSpPr>
      <cdr:spPr>
        <a:xfrm xmlns:a="http://schemas.openxmlformats.org/drawingml/2006/main">
          <a:off x="613165" y="2486526"/>
          <a:ext cx="2566219" cy="2052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0.1834</cdr:x>
      <cdr:y>0.50957</cdr:y>
    </cdr:from>
    <cdr:to>
      <cdr:x>0.95261</cdr:x>
      <cdr:y>0.51024</cdr:y>
    </cdr:to>
    <cdr:cxnSp macro="">
      <cdr:nvCxnSpPr>
        <cdr:cNvPr id="14" name="Straight Connector 13"/>
        <cdr:cNvCxnSpPr/>
      </cdr:nvCxnSpPr>
      <cdr:spPr>
        <a:xfrm xmlns:a="http://schemas.openxmlformats.org/drawingml/2006/main" flipV="1">
          <a:off x="613165" y="3188194"/>
          <a:ext cx="2571674" cy="4185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0.1834</cdr:x>
      <cdr:y>0.6221</cdr:y>
    </cdr:from>
    <cdr:to>
      <cdr:x>0.95261</cdr:x>
      <cdr:y>0.62277</cdr:y>
    </cdr:to>
    <cdr:cxnSp macro="">
      <cdr:nvCxnSpPr>
        <cdr:cNvPr id="15" name="Straight Connector 14"/>
        <cdr:cNvCxnSpPr/>
      </cdr:nvCxnSpPr>
      <cdr:spPr>
        <a:xfrm xmlns:a="http://schemas.openxmlformats.org/drawingml/2006/main" flipV="1">
          <a:off x="613166" y="3892262"/>
          <a:ext cx="2571673" cy="4187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0.1834</cdr:x>
      <cdr:y>0.71255</cdr:y>
    </cdr:from>
    <cdr:to>
      <cdr:x>0.94858</cdr:x>
      <cdr:y>0.71255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613165" y="4458192"/>
          <a:ext cx="2558199" cy="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0.1834</cdr:x>
      <cdr:y>0.82423</cdr:y>
    </cdr:from>
    <cdr:to>
      <cdr:x>0.95181</cdr:x>
      <cdr:y>0.82533</cdr:y>
    </cdr:to>
    <cdr:cxnSp macro="">
      <cdr:nvCxnSpPr>
        <cdr:cNvPr id="17" name="Straight Connector 16"/>
        <cdr:cNvCxnSpPr/>
      </cdr:nvCxnSpPr>
      <cdr:spPr>
        <a:xfrm xmlns:a="http://schemas.openxmlformats.org/drawingml/2006/main" flipV="1">
          <a:off x="613165" y="5156915"/>
          <a:ext cx="2568999" cy="6861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0d137e-2618-4c7c-b9f9-8e14ad4437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79EECC779284D9CAFD3278DD1C2CE" ma:contentTypeVersion="7" ma:contentTypeDescription="Create a new document." ma:contentTypeScope="" ma:versionID="fabfb5e186c55968d85e46bf7921a54c">
  <xsd:schema xmlns:xsd="http://www.w3.org/2001/XMLSchema" xmlns:xs="http://www.w3.org/2001/XMLSchema" xmlns:p="http://schemas.microsoft.com/office/2006/metadata/properties" xmlns:ns3="070d137e-2618-4c7c-b9f9-8e14ad4437ab" xmlns:ns4="93347c4f-6dbc-40ad-bf34-b1e480096827" targetNamespace="http://schemas.microsoft.com/office/2006/metadata/properties" ma:root="true" ma:fieldsID="3b0408164cbdd41812df4917d1d7b0a9" ns3:_="" ns4:_="">
    <xsd:import namespace="070d137e-2618-4c7c-b9f9-8e14ad4437ab"/>
    <xsd:import namespace="93347c4f-6dbc-40ad-bf34-b1e480096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137e-2618-4c7c-b9f9-8e14ad443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47c4f-6dbc-40ad-bf34-b1e4800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5379-0142-49F2-BAF0-71C4676B0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8353B-48BC-4DF9-AF8B-8867C5877A1B}">
  <ds:schemaRefs>
    <ds:schemaRef ds:uri="http://schemas.microsoft.com/office/2006/metadata/properties"/>
    <ds:schemaRef ds:uri="http://schemas.microsoft.com/office/infopath/2007/PartnerControls"/>
    <ds:schemaRef ds:uri="070d137e-2618-4c7c-b9f9-8e14ad4437ab"/>
  </ds:schemaRefs>
</ds:datastoreItem>
</file>

<file path=customXml/itemProps3.xml><?xml version="1.0" encoding="utf-8"?>
<ds:datastoreItem xmlns:ds="http://schemas.openxmlformats.org/officeDocument/2006/customXml" ds:itemID="{73F263E4-5862-4EDA-A20D-FE53F807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137e-2618-4c7c-b9f9-8e14ad4437ab"/>
    <ds:schemaRef ds:uri="93347c4f-6dbc-40ad-bf34-b1e4800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FD1FE-119A-4ADC-89B5-5EDA89DA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Chen</dc:creator>
  <cp:keywords/>
  <dc:description/>
  <cp:lastModifiedBy>Kitty Chen</cp:lastModifiedBy>
  <cp:revision>6</cp:revision>
  <dcterms:created xsi:type="dcterms:W3CDTF">2023-12-21T19:29:00Z</dcterms:created>
  <dcterms:modified xsi:type="dcterms:W3CDTF">2024-02-25T21:27:00Z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id="6UAaQv24"/&gt;&lt;style id="http://www.zotero.org/styles/vaccine" hasBibliography="1" bibliographyStyleHasBeenSet="1"/&gt;&lt;prefs&gt;&lt;pref name="fieldType" value="Field"/&gt;&lt;pref name="automaticJournalAbbreviat</vt:lpwstr>
  </property>
  <property fmtid="{D5CDD505-2E9C-101B-9397-08002B2CF9AE}" pid="3" name="ZOTERO_PREF_2">
    <vt:lpwstr>ions" value="true"/&gt;&lt;pref name="dontAskDelayCitationUpdates" value="true"/&gt;&lt;/prefs&gt;&lt;/data&gt;</vt:lpwstr>
  </property>
  <property fmtid="{D5CDD505-2E9C-101B-9397-08002B2CF9AE}" pid="4" name="ContentTypeId">
    <vt:lpwstr>0x010100D4979EECC779284D9CAFD3278DD1C2CE</vt:lpwstr>
  </property>
  <property fmtid="{D5CDD505-2E9C-101B-9397-08002B2CF9AE}" pid="5" name="Knowledge Product Taxonomy">
    <vt:lpwstr>4;#Journal articles|defe3211-8eeb-495d-aa32-4dea39a4aee8</vt:lpwstr>
  </property>
  <property fmtid="{D5CDD505-2E9C-101B-9397-08002B2CF9AE}" pid="6" name="DocumentSetDescription">
    <vt:lpwstr/>
  </property>
  <property fmtid="{D5CDD505-2E9C-101B-9397-08002B2CF9AE}" pid="7" name="AssignedTo">
    <vt:lpwstr>14</vt:lpwstr>
  </property>
  <property fmtid="{D5CDD505-2E9C-101B-9397-08002B2CF9AE}" pid="8" name="Senior Author">
    <vt:lpwstr>14</vt:lpwstr>
  </property>
  <property fmtid="{D5CDD505-2E9C-101B-9397-08002B2CF9AE}" pid="9" name="cbe7a31b5b784d7fa328cc932d6f892e">
    <vt:lpwstr>Journal articles|defe3211-8eeb-495d-aa32-4dea39a4aee8</vt:lpwstr>
  </property>
  <property fmtid="{D5CDD505-2E9C-101B-9397-08002B2CF9AE}" pid="10" name="HPLeadTeam">
    <vt:lpwstr>Research</vt:lpwstr>
  </property>
  <property fmtid="{D5CDD505-2E9C-101B-9397-08002B2CF9AE}" pid="11" name="_dlc_DocIdItemGuid">
    <vt:lpwstr>7c8f6994-2fba-4285-a73e-b970c92837f2</vt:lpwstr>
  </property>
</Properties>
</file>