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8E545C" w:rsidRPr="000F585A" w:rsidRDefault="00000000">
      <w:pPr>
        <w:pStyle w:val="Titel"/>
        <w:jc w:val="both"/>
        <w:rPr>
          <w:b/>
          <w:bCs/>
          <w:lang w:val="de-DE"/>
        </w:rPr>
      </w:pPr>
      <w:bookmarkStart w:id="0" w:name="_heading=h.gjdgxs" w:colFirst="0" w:colLast="0"/>
      <w:bookmarkEnd w:id="0"/>
      <w:proofErr w:type="spellStart"/>
      <w:r w:rsidRPr="000F585A">
        <w:rPr>
          <w:b/>
          <w:bCs/>
          <w:lang w:val="de-DE"/>
        </w:rPr>
        <w:t>Supplementary</w:t>
      </w:r>
      <w:proofErr w:type="spellEnd"/>
      <w:r w:rsidRPr="000F585A">
        <w:rPr>
          <w:b/>
          <w:bCs/>
          <w:lang w:val="de-DE"/>
        </w:rPr>
        <w:t xml:space="preserve"> Material - OCD GWAS</w:t>
      </w:r>
    </w:p>
    <w:p w14:paraId="2DDAD2D5" w14:textId="77777777" w:rsidR="000F585A" w:rsidRPr="000F585A" w:rsidRDefault="000F585A" w:rsidP="000F585A">
      <w:pPr>
        <w:rPr>
          <w:lang w:val="de-DE"/>
        </w:rPr>
      </w:pPr>
    </w:p>
    <w:sdt>
      <w:sdtPr>
        <w:rPr>
          <w:rFonts w:asciiTheme="majorHAnsi" w:eastAsiaTheme="majorEastAsia" w:hAnsiTheme="majorHAnsi" w:cstheme="majorBidi"/>
          <w:color w:val="365F91" w:themeColor="accent1" w:themeShade="BF"/>
          <w:sz w:val="32"/>
          <w:szCs w:val="32"/>
          <w:lang w:val="de-DE"/>
        </w:rPr>
        <w:id w:val="1705895967"/>
        <w:docPartObj>
          <w:docPartGallery w:val="Table of Contents"/>
          <w:docPartUnique/>
        </w:docPartObj>
      </w:sdtPr>
      <w:sdtEndPr>
        <w:rPr>
          <w:b/>
          <w:bCs/>
        </w:rPr>
      </w:sdtEndPr>
      <w:sdtContent>
        <w:p w14:paraId="317A55B5" w14:textId="43D322E3" w:rsidR="00656168" w:rsidRDefault="000F585A">
          <w:pPr>
            <w:pStyle w:val="Verzeichnis1"/>
            <w:tabs>
              <w:tab w:val="right" w:leader="dot" w:pos="9350"/>
            </w:tabs>
            <w:rPr>
              <w:rFonts w:asciiTheme="minorHAnsi" w:eastAsiaTheme="minorEastAsia" w:hAnsiTheme="minorHAnsi" w:cstheme="minorBidi"/>
              <w:noProof/>
              <w:kern w:val="2"/>
              <w:sz w:val="24"/>
              <w:szCs w:val="24"/>
              <w:lang w:val="en-AU"/>
              <w14:ligatures w14:val="standardContextual"/>
            </w:rPr>
          </w:pPr>
          <w:r>
            <w:fldChar w:fldCharType="begin"/>
          </w:r>
          <w:r>
            <w:instrText xml:space="preserve"> TOC \o "1-2" \h \z \u </w:instrText>
          </w:r>
          <w:r>
            <w:fldChar w:fldCharType="separate"/>
          </w:r>
          <w:hyperlink w:anchor="_Toc161234206" w:history="1">
            <w:r w:rsidR="00656168" w:rsidRPr="009F2639">
              <w:rPr>
                <w:rStyle w:val="Hyperlink"/>
                <w:b/>
                <w:noProof/>
              </w:rPr>
              <w:t>Supplementary Notes</w:t>
            </w:r>
            <w:r w:rsidR="00656168">
              <w:rPr>
                <w:noProof/>
                <w:webHidden/>
              </w:rPr>
              <w:tab/>
            </w:r>
            <w:r w:rsidR="00656168">
              <w:rPr>
                <w:noProof/>
                <w:webHidden/>
              </w:rPr>
              <w:fldChar w:fldCharType="begin"/>
            </w:r>
            <w:r w:rsidR="00656168">
              <w:rPr>
                <w:noProof/>
                <w:webHidden/>
              </w:rPr>
              <w:instrText xml:space="preserve"> PAGEREF _Toc161234206 \h </w:instrText>
            </w:r>
            <w:r w:rsidR="00656168">
              <w:rPr>
                <w:noProof/>
                <w:webHidden/>
              </w:rPr>
            </w:r>
            <w:r w:rsidR="00656168">
              <w:rPr>
                <w:noProof/>
                <w:webHidden/>
              </w:rPr>
              <w:fldChar w:fldCharType="separate"/>
            </w:r>
            <w:r w:rsidR="00656168">
              <w:rPr>
                <w:noProof/>
                <w:webHidden/>
              </w:rPr>
              <w:t>1</w:t>
            </w:r>
            <w:r w:rsidR="00656168">
              <w:rPr>
                <w:noProof/>
                <w:webHidden/>
              </w:rPr>
              <w:fldChar w:fldCharType="end"/>
            </w:r>
          </w:hyperlink>
        </w:p>
        <w:p w14:paraId="3D36CD8E" w14:textId="2E5EA85C"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07" w:history="1">
            <w:r w:rsidRPr="009F2639">
              <w:rPr>
                <w:rStyle w:val="Hyperlink"/>
                <w:noProof/>
              </w:rPr>
              <w:t>Supplementary Note 1: Author Byline – Consortias</w:t>
            </w:r>
            <w:r>
              <w:rPr>
                <w:noProof/>
                <w:webHidden/>
              </w:rPr>
              <w:tab/>
            </w:r>
            <w:r>
              <w:rPr>
                <w:noProof/>
                <w:webHidden/>
              </w:rPr>
              <w:fldChar w:fldCharType="begin"/>
            </w:r>
            <w:r>
              <w:rPr>
                <w:noProof/>
                <w:webHidden/>
              </w:rPr>
              <w:instrText xml:space="preserve"> PAGEREF _Toc161234207 \h </w:instrText>
            </w:r>
            <w:r>
              <w:rPr>
                <w:noProof/>
                <w:webHidden/>
              </w:rPr>
            </w:r>
            <w:r>
              <w:rPr>
                <w:noProof/>
                <w:webHidden/>
              </w:rPr>
              <w:fldChar w:fldCharType="separate"/>
            </w:r>
            <w:r>
              <w:rPr>
                <w:noProof/>
                <w:webHidden/>
              </w:rPr>
              <w:t>1</w:t>
            </w:r>
            <w:r>
              <w:rPr>
                <w:noProof/>
                <w:webHidden/>
              </w:rPr>
              <w:fldChar w:fldCharType="end"/>
            </w:r>
          </w:hyperlink>
        </w:p>
        <w:p w14:paraId="7A78A164" w14:textId="76C15F98"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08" w:history="1">
            <w:r w:rsidRPr="009F2639">
              <w:rPr>
                <w:rStyle w:val="Hyperlink"/>
                <w:noProof/>
              </w:rPr>
              <w:t>Supplementary Note 2: Sample descriptions</w:t>
            </w:r>
            <w:r>
              <w:rPr>
                <w:noProof/>
                <w:webHidden/>
              </w:rPr>
              <w:tab/>
            </w:r>
            <w:r>
              <w:rPr>
                <w:noProof/>
                <w:webHidden/>
              </w:rPr>
              <w:fldChar w:fldCharType="begin"/>
            </w:r>
            <w:r>
              <w:rPr>
                <w:noProof/>
                <w:webHidden/>
              </w:rPr>
              <w:instrText xml:space="preserve"> PAGEREF _Toc161234208 \h </w:instrText>
            </w:r>
            <w:r>
              <w:rPr>
                <w:noProof/>
                <w:webHidden/>
              </w:rPr>
            </w:r>
            <w:r>
              <w:rPr>
                <w:noProof/>
                <w:webHidden/>
              </w:rPr>
              <w:fldChar w:fldCharType="separate"/>
            </w:r>
            <w:r>
              <w:rPr>
                <w:noProof/>
                <w:webHidden/>
              </w:rPr>
              <w:t>4</w:t>
            </w:r>
            <w:r>
              <w:rPr>
                <w:noProof/>
                <w:webHidden/>
              </w:rPr>
              <w:fldChar w:fldCharType="end"/>
            </w:r>
          </w:hyperlink>
        </w:p>
        <w:p w14:paraId="00D46D3F" w14:textId="4CEC8D79"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09" w:history="1">
            <w:r w:rsidRPr="009F2639">
              <w:rPr>
                <w:rStyle w:val="Hyperlink"/>
                <w:noProof/>
              </w:rPr>
              <w:t>Supplementary Note 3: Definition of independent significant loci</w:t>
            </w:r>
            <w:r>
              <w:rPr>
                <w:noProof/>
                <w:webHidden/>
              </w:rPr>
              <w:tab/>
            </w:r>
            <w:r>
              <w:rPr>
                <w:noProof/>
                <w:webHidden/>
              </w:rPr>
              <w:fldChar w:fldCharType="begin"/>
            </w:r>
            <w:r>
              <w:rPr>
                <w:noProof/>
                <w:webHidden/>
              </w:rPr>
              <w:instrText xml:space="preserve"> PAGEREF _Toc161234209 \h </w:instrText>
            </w:r>
            <w:r>
              <w:rPr>
                <w:noProof/>
                <w:webHidden/>
              </w:rPr>
            </w:r>
            <w:r>
              <w:rPr>
                <w:noProof/>
                <w:webHidden/>
              </w:rPr>
              <w:fldChar w:fldCharType="separate"/>
            </w:r>
            <w:r>
              <w:rPr>
                <w:noProof/>
                <w:webHidden/>
              </w:rPr>
              <w:t>35</w:t>
            </w:r>
            <w:r>
              <w:rPr>
                <w:noProof/>
                <w:webHidden/>
              </w:rPr>
              <w:fldChar w:fldCharType="end"/>
            </w:r>
          </w:hyperlink>
        </w:p>
        <w:p w14:paraId="706FBD5C" w14:textId="4FF7B0C9"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0" w:history="1">
            <w:r w:rsidRPr="009F2639">
              <w:rPr>
                <w:rStyle w:val="Hyperlink"/>
                <w:noProof/>
              </w:rPr>
              <w:t>Supplementary Note 4: X-chromosome analysis in 23andMe</w:t>
            </w:r>
            <w:r>
              <w:rPr>
                <w:noProof/>
                <w:webHidden/>
              </w:rPr>
              <w:tab/>
            </w:r>
            <w:r>
              <w:rPr>
                <w:noProof/>
                <w:webHidden/>
              </w:rPr>
              <w:fldChar w:fldCharType="begin"/>
            </w:r>
            <w:r>
              <w:rPr>
                <w:noProof/>
                <w:webHidden/>
              </w:rPr>
              <w:instrText xml:space="preserve"> PAGEREF _Toc161234210 \h </w:instrText>
            </w:r>
            <w:r>
              <w:rPr>
                <w:noProof/>
                <w:webHidden/>
              </w:rPr>
            </w:r>
            <w:r>
              <w:rPr>
                <w:noProof/>
                <w:webHidden/>
              </w:rPr>
              <w:fldChar w:fldCharType="separate"/>
            </w:r>
            <w:r>
              <w:rPr>
                <w:noProof/>
                <w:webHidden/>
              </w:rPr>
              <w:t>36</w:t>
            </w:r>
            <w:r>
              <w:rPr>
                <w:noProof/>
                <w:webHidden/>
              </w:rPr>
              <w:fldChar w:fldCharType="end"/>
            </w:r>
          </w:hyperlink>
        </w:p>
        <w:p w14:paraId="09C06A76" w14:textId="5BFC4B63"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1" w:history="1">
            <w:r w:rsidRPr="009F2639">
              <w:rPr>
                <w:rStyle w:val="Hyperlink"/>
                <w:noProof/>
              </w:rPr>
              <w:t>Supplementary Note 5: Subgroup analyses</w:t>
            </w:r>
            <w:r>
              <w:rPr>
                <w:noProof/>
                <w:webHidden/>
              </w:rPr>
              <w:tab/>
            </w:r>
            <w:r>
              <w:rPr>
                <w:noProof/>
                <w:webHidden/>
              </w:rPr>
              <w:fldChar w:fldCharType="begin"/>
            </w:r>
            <w:r>
              <w:rPr>
                <w:noProof/>
                <w:webHidden/>
              </w:rPr>
              <w:instrText xml:space="preserve"> PAGEREF _Toc161234211 \h </w:instrText>
            </w:r>
            <w:r>
              <w:rPr>
                <w:noProof/>
                <w:webHidden/>
              </w:rPr>
            </w:r>
            <w:r>
              <w:rPr>
                <w:noProof/>
                <w:webHidden/>
              </w:rPr>
              <w:fldChar w:fldCharType="separate"/>
            </w:r>
            <w:r>
              <w:rPr>
                <w:noProof/>
                <w:webHidden/>
              </w:rPr>
              <w:t>36</w:t>
            </w:r>
            <w:r>
              <w:rPr>
                <w:noProof/>
                <w:webHidden/>
              </w:rPr>
              <w:fldChar w:fldCharType="end"/>
            </w:r>
          </w:hyperlink>
        </w:p>
        <w:p w14:paraId="35C0EF6F" w14:textId="1C52A171"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2" w:history="1">
            <w:r w:rsidRPr="009F2639">
              <w:rPr>
                <w:rStyle w:val="Hyperlink"/>
                <w:noProof/>
              </w:rPr>
              <w:t>Supplementary Note 6: Cross-trait genetic correlations</w:t>
            </w:r>
            <w:r>
              <w:rPr>
                <w:noProof/>
                <w:webHidden/>
              </w:rPr>
              <w:tab/>
            </w:r>
            <w:r>
              <w:rPr>
                <w:noProof/>
                <w:webHidden/>
              </w:rPr>
              <w:fldChar w:fldCharType="begin"/>
            </w:r>
            <w:r>
              <w:rPr>
                <w:noProof/>
                <w:webHidden/>
              </w:rPr>
              <w:instrText xml:space="preserve"> PAGEREF _Toc161234212 \h </w:instrText>
            </w:r>
            <w:r>
              <w:rPr>
                <w:noProof/>
                <w:webHidden/>
              </w:rPr>
            </w:r>
            <w:r>
              <w:rPr>
                <w:noProof/>
                <w:webHidden/>
              </w:rPr>
              <w:fldChar w:fldCharType="separate"/>
            </w:r>
            <w:r>
              <w:rPr>
                <w:noProof/>
                <w:webHidden/>
              </w:rPr>
              <w:t>38</w:t>
            </w:r>
            <w:r>
              <w:rPr>
                <w:noProof/>
                <w:webHidden/>
              </w:rPr>
              <w:fldChar w:fldCharType="end"/>
            </w:r>
          </w:hyperlink>
        </w:p>
        <w:p w14:paraId="45AE4280" w14:textId="11647555"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3" w:history="1">
            <w:r w:rsidRPr="009F2639">
              <w:rPr>
                <w:rStyle w:val="Hyperlink"/>
                <w:noProof/>
              </w:rPr>
              <w:t>Supplementary Note 7: Gene-based results.</w:t>
            </w:r>
            <w:r>
              <w:rPr>
                <w:noProof/>
                <w:webHidden/>
              </w:rPr>
              <w:tab/>
            </w:r>
            <w:r>
              <w:rPr>
                <w:noProof/>
                <w:webHidden/>
              </w:rPr>
              <w:fldChar w:fldCharType="begin"/>
            </w:r>
            <w:r>
              <w:rPr>
                <w:noProof/>
                <w:webHidden/>
              </w:rPr>
              <w:instrText xml:space="preserve"> PAGEREF _Toc161234213 \h </w:instrText>
            </w:r>
            <w:r>
              <w:rPr>
                <w:noProof/>
                <w:webHidden/>
              </w:rPr>
            </w:r>
            <w:r>
              <w:rPr>
                <w:noProof/>
                <w:webHidden/>
              </w:rPr>
              <w:fldChar w:fldCharType="separate"/>
            </w:r>
            <w:r>
              <w:rPr>
                <w:noProof/>
                <w:webHidden/>
              </w:rPr>
              <w:t>39</w:t>
            </w:r>
            <w:r>
              <w:rPr>
                <w:noProof/>
                <w:webHidden/>
              </w:rPr>
              <w:fldChar w:fldCharType="end"/>
            </w:r>
          </w:hyperlink>
        </w:p>
        <w:p w14:paraId="493A05C9" w14:textId="3C7BC58E"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4" w:history="1">
            <w:r w:rsidRPr="009F2639">
              <w:rPr>
                <w:rStyle w:val="Hyperlink"/>
                <w:noProof/>
              </w:rPr>
              <w:t>Supplementary Note 8: Sample size and number of GWS loci</w:t>
            </w:r>
            <w:r>
              <w:rPr>
                <w:noProof/>
                <w:webHidden/>
              </w:rPr>
              <w:tab/>
            </w:r>
            <w:r>
              <w:rPr>
                <w:noProof/>
                <w:webHidden/>
              </w:rPr>
              <w:fldChar w:fldCharType="begin"/>
            </w:r>
            <w:r>
              <w:rPr>
                <w:noProof/>
                <w:webHidden/>
              </w:rPr>
              <w:instrText xml:space="preserve"> PAGEREF _Toc161234214 \h </w:instrText>
            </w:r>
            <w:r>
              <w:rPr>
                <w:noProof/>
                <w:webHidden/>
              </w:rPr>
            </w:r>
            <w:r>
              <w:rPr>
                <w:noProof/>
                <w:webHidden/>
              </w:rPr>
              <w:fldChar w:fldCharType="separate"/>
            </w:r>
            <w:r>
              <w:rPr>
                <w:noProof/>
                <w:webHidden/>
              </w:rPr>
              <w:t>42</w:t>
            </w:r>
            <w:r>
              <w:rPr>
                <w:noProof/>
                <w:webHidden/>
              </w:rPr>
              <w:fldChar w:fldCharType="end"/>
            </w:r>
          </w:hyperlink>
        </w:p>
        <w:p w14:paraId="51FCCF54" w14:textId="252C5693" w:rsidR="00656168" w:rsidRDefault="00656168">
          <w:pPr>
            <w:pStyle w:val="Verzeichnis1"/>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5" w:history="1">
            <w:r w:rsidRPr="009F2639">
              <w:rPr>
                <w:rStyle w:val="Hyperlink"/>
                <w:noProof/>
              </w:rPr>
              <w:t>Supplementary Figures</w:t>
            </w:r>
            <w:r>
              <w:rPr>
                <w:noProof/>
                <w:webHidden/>
              </w:rPr>
              <w:tab/>
            </w:r>
            <w:r>
              <w:rPr>
                <w:noProof/>
                <w:webHidden/>
              </w:rPr>
              <w:fldChar w:fldCharType="begin"/>
            </w:r>
            <w:r>
              <w:rPr>
                <w:noProof/>
                <w:webHidden/>
              </w:rPr>
              <w:instrText xml:space="preserve"> PAGEREF _Toc161234215 \h </w:instrText>
            </w:r>
            <w:r>
              <w:rPr>
                <w:noProof/>
                <w:webHidden/>
              </w:rPr>
            </w:r>
            <w:r>
              <w:rPr>
                <w:noProof/>
                <w:webHidden/>
              </w:rPr>
              <w:fldChar w:fldCharType="separate"/>
            </w:r>
            <w:r>
              <w:rPr>
                <w:noProof/>
                <w:webHidden/>
              </w:rPr>
              <w:t>43</w:t>
            </w:r>
            <w:r>
              <w:rPr>
                <w:noProof/>
                <w:webHidden/>
              </w:rPr>
              <w:fldChar w:fldCharType="end"/>
            </w:r>
          </w:hyperlink>
        </w:p>
        <w:p w14:paraId="6AAAA527" w14:textId="35B11A91"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6" w:history="1">
            <w:r w:rsidRPr="009F2639">
              <w:rPr>
                <w:rStyle w:val="Hyperlink"/>
                <w:noProof/>
              </w:rPr>
              <w:t>Regional association plots and forest plots of the 30 significant SNPs</w:t>
            </w:r>
            <w:r>
              <w:rPr>
                <w:noProof/>
                <w:webHidden/>
              </w:rPr>
              <w:tab/>
            </w:r>
            <w:r>
              <w:rPr>
                <w:noProof/>
                <w:webHidden/>
              </w:rPr>
              <w:fldChar w:fldCharType="begin"/>
            </w:r>
            <w:r>
              <w:rPr>
                <w:noProof/>
                <w:webHidden/>
              </w:rPr>
              <w:instrText xml:space="preserve"> PAGEREF _Toc161234216 \h </w:instrText>
            </w:r>
            <w:r>
              <w:rPr>
                <w:noProof/>
                <w:webHidden/>
              </w:rPr>
            </w:r>
            <w:r>
              <w:rPr>
                <w:noProof/>
                <w:webHidden/>
              </w:rPr>
              <w:fldChar w:fldCharType="separate"/>
            </w:r>
            <w:r>
              <w:rPr>
                <w:noProof/>
                <w:webHidden/>
              </w:rPr>
              <w:t>43</w:t>
            </w:r>
            <w:r>
              <w:rPr>
                <w:noProof/>
                <w:webHidden/>
              </w:rPr>
              <w:fldChar w:fldCharType="end"/>
            </w:r>
          </w:hyperlink>
        </w:p>
        <w:p w14:paraId="2F8EA8A1" w14:textId="3770098D"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7" w:history="1">
            <w:r w:rsidRPr="009F2639">
              <w:rPr>
                <w:rStyle w:val="Hyperlink"/>
                <w:noProof/>
              </w:rPr>
              <w:t>Manhattan-plots and QQ-plots of sub-analyses</w:t>
            </w:r>
            <w:r>
              <w:rPr>
                <w:noProof/>
                <w:webHidden/>
              </w:rPr>
              <w:tab/>
            </w:r>
            <w:r>
              <w:rPr>
                <w:noProof/>
                <w:webHidden/>
              </w:rPr>
              <w:fldChar w:fldCharType="begin"/>
            </w:r>
            <w:r>
              <w:rPr>
                <w:noProof/>
                <w:webHidden/>
              </w:rPr>
              <w:instrText xml:space="preserve"> PAGEREF _Toc161234217 \h </w:instrText>
            </w:r>
            <w:r>
              <w:rPr>
                <w:noProof/>
                <w:webHidden/>
              </w:rPr>
            </w:r>
            <w:r>
              <w:rPr>
                <w:noProof/>
                <w:webHidden/>
              </w:rPr>
              <w:fldChar w:fldCharType="separate"/>
            </w:r>
            <w:r>
              <w:rPr>
                <w:noProof/>
                <w:webHidden/>
              </w:rPr>
              <w:t>74</w:t>
            </w:r>
            <w:r>
              <w:rPr>
                <w:noProof/>
                <w:webHidden/>
              </w:rPr>
              <w:fldChar w:fldCharType="end"/>
            </w:r>
          </w:hyperlink>
        </w:p>
        <w:p w14:paraId="0EE7EBB4" w14:textId="2D555B8A"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8" w:history="1">
            <w:r w:rsidRPr="009F2639">
              <w:rPr>
                <w:rStyle w:val="Hyperlink"/>
                <w:noProof/>
              </w:rPr>
              <w:t>GenomicSEM one factor model of the four OCD ascertainment sub-groups</w:t>
            </w:r>
            <w:r>
              <w:rPr>
                <w:noProof/>
                <w:webHidden/>
              </w:rPr>
              <w:tab/>
            </w:r>
            <w:r>
              <w:rPr>
                <w:noProof/>
                <w:webHidden/>
              </w:rPr>
              <w:fldChar w:fldCharType="begin"/>
            </w:r>
            <w:r>
              <w:rPr>
                <w:noProof/>
                <w:webHidden/>
              </w:rPr>
              <w:instrText xml:space="preserve"> PAGEREF _Toc161234218 \h </w:instrText>
            </w:r>
            <w:r>
              <w:rPr>
                <w:noProof/>
                <w:webHidden/>
              </w:rPr>
            </w:r>
            <w:r>
              <w:rPr>
                <w:noProof/>
                <w:webHidden/>
              </w:rPr>
              <w:fldChar w:fldCharType="separate"/>
            </w:r>
            <w:r>
              <w:rPr>
                <w:noProof/>
                <w:webHidden/>
              </w:rPr>
              <w:t>79</w:t>
            </w:r>
            <w:r>
              <w:rPr>
                <w:noProof/>
                <w:webHidden/>
              </w:rPr>
              <w:fldChar w:fldCharType="end"/>
            </w:r>
          </w:hyperlink>
        </w:p>
        <w:p w14:paraId="724A093E" w14:textId="14A8D8DD"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19" w:history="1">
            <w:r w:rsidRPr="009F2639">
              <w:rPr>
                <w:rStyle w:val="Hyperlink"/>
                <w:noProof/>
              </w:rPr>
              <w:t>Cross-trait genetic correlations of the ascertainment-specific subgroup analyses</w:t>
            </w:r>
            <w:r>
              <w:rPr>
                <w:noProof/>
                <w:webHidden/>
              </w:rPr>
              <w:tab/>
            </w:r>
            <w:r>
              <w:rPr>
                <w:noProof/>
                <w:webHidden/>
              </w:rPr>
              <w:fldChar w:fldCharType="begin"/>
            </w:r>
            <w:r>
              <w:rPr>
                <w:noProof/>
                <w:webHidden/>
              </w:rPr>
              <w:instrText xml:space="preserve"> PAGEREF _Toc161234219 \h </w:instrText>
            </w:r>
            <w:r>
              <w:rPr>
                <w:noProof/>
                <w:webHidden/>
              </w:rPr>
            </w:r>
            <w:r>
              <w:rPr>
                <w:noProof/>
                <w:webHidden/>
              </w:rPr>
              <w:fldChar w:fldCharType="separate"/>
            </w:r>
            <w:r>
              <w:rPr>
                <w:noProof/>
                <w:webHidden/>
              </w:rPr>
              <w:t>80</w:t>
            </w:r>
            <w:r>
              <w:rPr>
                <w:noProof/>
                <w:webHidden/>
              </w:rPr>
              <w:fldChar w:fldCharType="end"/>
            </w:r>
          </w:hyperlink>
        </w:p>
        <w:p w14:paraId="1D5179D9" w14:textId="15DF4657" w:rsidR="00656168" w:rsidRDefault="00656168">
          <w:pPr>
            <w:pStyle w:val="Verzeichnis2"/>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20" w:history="1">
            <w:r w:rsidRPr="009F2639">
              <w:rPr>
                <w:rStyle w:val="Hyperlink"/>
                <w:noProof/>
              </w:rPr>
              <w:t>Consistency of SNP findings across OCD GWAS versions</w:t>
            </w:r>
            <w:r>
              <w:rPr>
                <w:noProof/>
                <w:webHidden/>
              </w:rPr>
              <w:tab/>
            </w:r>
            <w:r>
              <w:rPr>
                <w:noProof/>
                <w:webHidden/>
              </w:rPr>
              <w:fldChar w:fldCharType="begin"/>
            </w:r>
            <w:r>
              <w:rPr>
                <w:noProof/>
                <w:webHidden/>
              </w:rPr>
              <w:instrText xml:space="preserve"> PAGEREF _Toc161234220 \h </w:instrText>
            </w:r>
            <w:r>
              <w:rPr>
                <w:noProof/>
                <w:webHidden/>
              </w:rPr>
            </w:r>
            <w:r>
              <w:rPr>
                <w:noProof/>
                <w:webHidden/>
              </w:rPr>
              <w:fldChar w:fldCharType="separate"/>
            </w:r>
            <w:r>
              <w:rPr>
                <w:noProof/>
                <w:webHidden/>
              </w:rPr>
              <w:t>82</w:t>
            </w:r>
            <w:r>
              <w:rPr>
                <w:noProof/>
                <w:webHidden/>
              </w:rPr>
              <w:fldChar w:fldCharType="end"/>
            </w:r>
          </w:hyperlink>
        </w:p>
        <w:p w14:paraId="59BC4A14" w14:textId="6092A608" w:rsidR="00656168" w:rsidRDefault="00656168">
          <w:pPr>
            <w:pStyle w:val="Verzeichnis1"/>
            <w:tabs>
              <w:tab w:val="right" w:leader="dot" w:pos="9350"/>
            </w:tabs>
            <w:rPr>
              <w:rFonts w:asciiTheme="minorHAnsi" w:eastAsiaTheme="minorEastAsia" w:hAnsiTheme="minorHAnsi" w:cstheme="minorBidi"/>
              <w:noProof/>
              <w:kern w:val="2"/>
              <w:sz w:val="24"/>
              <w:szCs w:val="24"/>
              <w:lang w:val="en-AU"/>
              <w14:ligatures w14:val="standardContextual"/>
            </w:rPr>
          </w:pPr>
          <w:hyperlink w:anchor="_Toc161234221" w:history="1">
            <w:r w:rsidRPr="009F2639">
              <w:rPr>
                <w:rStyle w:val="Hyperlink"/>
                <w:noProof/>
              </w:rPr>
              <w:t>References</w:t>
            </w:r>
            <w:r>
              <w:rPr>
                <w:noProof/>
                <w:webHidden/>
              </w:rPr>
              <w:tab/>
            </w:r>
            <w:r>
              <w:rPr>
                <w:noProof/>
                <w:webHidden/>
              </w:rPr>
              <w:fldChar w:fldCharType="begin"/>
            </w:r>
            <w:r>
              <w:rPr>
                <w:noProof/>
                <w:webHidden/>
              </w:rPr>
              <w:instrText xml:space="preserve"> PAGEREF _Toc161234221 \h </w:instrText>
            </w:r>
            <w:r>
              <w:rPr>
                <w:noProof/>
                <w:webHidden/>
              </w:rPr>
            </w:r>
            <w:r>
              <w:rPr>
                <w:noProof/>
                <w:webHidden/>
              </w:rPr>
              <w:fldChar w:fldCharType="separate"/>
            </w:r>
            <w:r>
              <w:rPr>
                <w:noProof/>
                <w:webHidden/>
              </w:rPr>
              <w:t>83</w:t>
            </w:r>
            <w:r>
              <w:rPr>
                <w:noProof/>
                <w:webHidden/>
              </w:rPr>
              <w:fldChar w:fldCharType="end"/>
            </w:r>
          </w:hyperlink>
        </w:p>
        <w:p w14:paraId="00000012" w14:textId="2772CFB6" w:rsidR="008E545C" w:rsidRPr="000F585A" w:rsidRDefault="000F585A" w:rsidP="000F585A">
          <w:pPr>
            <w:pStyle w:val="Inhaltsverzeichnisberschrift"/>
          </w:pPr>
          <w:r>
            <w:fldChar w:fldCharType="end"/>
          </w:r>
        </w:p>
      </w:sdtContent>
    </w:sdt>
    <w:p w14:paraId="00000013" w14:textId="77777777" w:rsidR="008E545C" w:rsidRDefault="00000000">
      <w:pPr>
        <w:pStyle w:val="berschrift1"/>
        <w:spacing w:line="480" w:lineRule="auto"/>
        <w:jc w:val="both"/>
        <w:rPr>
          <w:b/>
        </w:rPr>
      </w:pPr>
      <w:bookmarkStart w:id="1" w:name="_Toc161234206"/>
      <w:r w:rsidRPr="00DD692C">
        <w:rPr>
          <w:b/>
        </w:rPr>
        <w:t>Supplementary Notes</w:t>
      </w:r>
      <w:bookmarkEnd w:id="1"/>
    </w:p>
    <w:p w14:paraId="63656CD4" w14:textId="70EA1906" w:rsidR="00872FF2" w:rsidRDefault="00872FF2" w:rsidP="00872FF2">
      <w:pPr>
        <w:pStyle w:val="berschrift2"/>
      </w:pPr>
      <w:bookmarkStart w:id="2" w:name="_Toc161234207"/>
      <w:r>
        <w:t xml:space="preserve">Supplementary Note 1: Author Byline – </w:t>
      </w:r>
      <w:proofErr w:type="spellStart"/>
      <w:r>
        <w:t>Consortias</w:t>
      </w:r>
      <w:bookmarkEnd w:id="2"/>
      <w:proofErr w:type="spellEnd"/>
    </w:p>
    <w:p w14:paraId="38A810EC" w14:textId="72C8AA2B" w:rsidR="00C41D11" w:rsidRDefault="00C41D11" w:rsidP="00872FF2">
      <w:pPr>
        <w:pStyle w:val="berschrift3"/>
      </w:pPr>
      <w:r>
        <w:t>23andMe</w:t>
      </w:r>
    </w:p>
    <w:p w14:paraId="6E1239E9" w14:textId="39DC6FEA" w:rsidR="00C41D11" w:rsidRPr="00C41D11" w:rsidRDefault="00C41D11" w:rsidP="00C41D11">
      <w:pPr>
        <w:jc w:val="both"/>
      </w:pPr>
      <w:r w:rsidRPr="00121718">
        <w:t xml:space="preserve">Stella </w:t>
      </w:r>
      <w:proofErr w:type="spellStart"/>
      <w:r w:rsidRPr="00121718">
        <w:t>Aslibekyan</w:t>
      </w:r>
      <w:proofErr w:type="spellEnd"/>
      <w:r w:rsidRPr="00121718">
        <w:t xml:space="preserve">, Adam Auton, Elizabeth Babalola, Robert K. Bell, Jessica Bielenberg, Jonathan Bowes, Katarzyna Bryc, Ninad S. Chaudhary, Daniella Coker, </w:t>
      </w:r>
      <w:proofErr w:type="spellStart"/>
      <w:r w:rsidRPr="00121718">
        <w:t>Sayantan</w:t>
      </w:r>
      <w:proofErr w:type="spellEnd"/>
      <w:r w:rsidRPr="00121718">
        <w:t xml:space="preserve"> Das, Emily DelloRusso, Sarah L. Elson, Nicholas Eriksson, Teresa </w:t>
      </w:r>
      <w:proofErr w:type="spellStart"/>
      <w:r w:rsidRPr="00121718">
        <w:t>Filshtein</w:t>
      </w:r>
      <w:proofErr w:type="spellEnd"/>
      <w:r w:rsidRPr="00121718">
        <w:t xml:space="preserve">, Pierre </w:t>
      </w:r>
      <w:proofErr w:type="spellStart"/>
      <w:r w:rsidRPr="00121718">
        <w:t>Fontanillas</w:t>
      </w:r>
      <w:proofErr w:type="spellEnd"/>
      <w:r w:rsidRPr="00121718">
        <w:t xml:space="preserve">, Will Freyman, Zach Fuller, Chris German, Julie M. Granka, Karl Heilbron, Alejandro Hernandez, Barry Hicks, David A. Hinds, Ethan M. Jewett, </w:t>
      </w:r>
      <w:proofErr w:type="spellStart"/>
      <w:r w:rsidRPr="00121718">
        <w:t>Yunxuan</w:t>
      </w:r>
      <w:proofErr w:type="spellEnd"/>
      <w:r w:rsidRPr="00121718">
        <w:t xml:space="preserve"> Jiang, Katelyn </w:t>
      </w:r>
      <w:proofErr w:type="spellStart"/>
      <w:r w:rsidRPr="00121718">
        <w:t>Kukar</w:t>
      </w:r>
      <w:proofErr w:type="spellEnd"/>
      <w:r w:rsidRPr="00121718">
        <w:t xml:space="preserve">, Alan Kwong, Yanyu Liang, Keng-Han Lin, Bianca A. Llamas, Matthew H. McIntyre, Steven J. Micheletti, Meghan E. Moreno, Priyanka Nandakumar, Dominique T. Nguyen, Jared O'Connell, Aaron A. </w:t>
      </w:r>
      <w:proofErr w:type="spellStart"/>
      <w:r w:rsidRPr="00121718">
        <w:t>Petrakovitz</w:t>
      </w:r>
      <w:proofErr w:type="spellEnd"/>
      <w:r w:rsidRPr="00121718">
        <w:t xml:space="preserve">, G. David </w:t>
      </w:r>
      <w:proofErr w:type="spellStart"/>
      <w:r w:rsidRPr="00121718">
        <w:t>Poznik</w:t>
      </w:r>
      <w:proofErr w:type="spellEnd"/>
      <w:r w:rsidRPr="00121718">
        <w:t xml:space="preserve">, Alexandra Reynoso, Shubham Saini, Morgan Schumacher, Leah Selcer, Anjali J. Shastri, Janie F. Shelton, </w:t>
      </w:r>
      <w:proofErr w:type="spellStart"/>
      <w:r w:rsidRPr="00121718">
        <w:t>Jingchunzi</w:t>
      </w:r>
      <w:proofErr w:type="spellEnd"/>
      <w:r w:rsidRPr="00121718">
        <w:t xml:space="preserve"> Shi, Suyash </w:t>
      </w:r>
      <w:proofErr w:type="spellStart"/>
      <w:r w:rsidRPr="00121718">
        <w:t>Shringarpure</w:t>
      </w:r>
      <w:proofErr w:type="spellEnd"/>
      <w:r w:rsidRPr="00121718">
        <w:t xml:space="preserve">, </w:t>
      </w:r>
      <w:proofErr w:type="spellStart"/>
      <w:r w:rsidRPr="00121718">
        <w:t>Qiaojuan</w:t>
      </w:r>
      <w:proofErr w:type="spellEnd"/>
      <w:r w:rsidRPr="00121718">
        <w:t xml:space="preserve"> Jane Su, Susana A. Tat, Vinh Tran, Joyce Y. Tung, Xin Wang, Wei Wang, Catherine H. Weldon, Peter Wilton, Corinna D. Wong.</w:t>
      </w:r>
    </w:p>
    <w:p w14:paraId="2C94FDDB" w14:textId="5B49C8C5" w:rsidR="00862BFC" w:rsidRDefault="00862BFC" w:rsidP="00872FF2">
      <w:pPr>
        <w:pStyle w:val="berschrift3"/>
      </w:pPr>
      <w:r>
        <w:lastRenderedPageBreak/>
        <w:t>COGA authors</w:t>
      </w:r>
    </w:p>
    <w:p w14:paraId="21053B2E" w14:textId="5C421E11" w:rsidR="00862BFC" w:rsidRPr="00862BFC" w:rsidRDefault="00862BFC" w:rsidP="00862BFC">
      <w:pPr>
        <w:jc w:val="both"/>
        <w:rPr>
          <w:lang w:val="en-AU"/>
        </w:rPr>
      </w:pPr>
      <w:r w:rsidRPr="00862BFC">
        <w:rPr>
          <w:lang w:val="en-AU"/>
        </w:rPr>
        <w:t xml:space="preserve">The Collaborative Study on the Genetics of Alcoholism (COGA), Principal Investigators B. Porjesz, V. Hesselbrock, T. Foroud; Scientific Director, A. Agrawal; Translational Director, D. Dick, includes ten different </w:t>
      </w:r>
      <w:proofErr w:type="spellStart"/>
      <w:r w:rsidRPr="00862BFC">
        <w:rPr>
          <w:lang w:val="en-AU"/>
        </w:rPr>
        <w:t>centers</w:t>
      </w:r>
      <w:proofErr w:type="spellEnd"/>
      <w:r w:rsidRPr="00862BFC">
        <w:rPr>
          <w:lang w:val="en-AU"/>
        </w:rPr>
        <w:t xml:space="preserve">: University of Connecticut (V. Hesselbrock); Indiana University (H.J. </w:t>
      </w:r>
      <w:proofErr w:type="spellStart"/>
      <w:r w:rsidRPr="00862BFC">
        <w:rPr>
          <w:lang w:val="en-AU"/>
        </w:rPr>
        <w:t>Edenberg</w:t>
      </w:r>
      <w:proofErr w:type="spellEnd"/>
      <w:r w:rsidRPr="00862BFC">
        <w:rPr>
          <w:lang w:val="en-AU"/>
        </w:rPr>
        <w:t xml:space="preserve">, T. Foroud, Y. Liu, M.H. Plawecki); University of Iowa Carver College of Medicine (S. Kuperman, J. Kramer); SUNY Downstate Health Sciences University (B. Porjesz, J. Meyers, C. Kamarajan, A. Pandey); Washington University in St. Louis (L. Bierut, J. Rice, K. Bucholz, A. Agrawal); University of California at San Diego (M. </w:t>
      </w:r>
      <w:proofErr w:type="spellStart"/>
      <w:r w:rsidRPr="00862BFC">
        <w:rPr>
          <w:lang w:val="en-AU"/>
        </w:rPr>
        <w:t>Schuckit</w:t>
      </w:r>
      <w:proofErr w:type="spellEnd"/>
      <w:r w:rsidRPr="00862BFC">
        <w:rPr>
          <w:lang w:val="en-AU"/>
        </w:rPr>
        <w:t xml:space="preserve">); Rutgers University (J. </w:t>
      </w:r>
      <w:proofErr w:type="spellStart"/>
      <w:r w:rsidRPr="00862BFC">
        <w:rPr>
          <w:lang w:val="en-AU"/>
        </w:rPr>
        <w:t>Tischfield</w:t>
      </w:r>
      <w:proofErr w:type="spellEnd"/>
      <w:r w:rsidRPr="00862BFC">
        <w:rPr>
          <w:lang w:val="en-AU"/>
        </w:rPr>
        <w:t xml:space="preserve">, D. Dick, R. Hart, J. Salvatore); The Children’s Hospital of Philadelphia, University of Pennsylvania (L. Almasy); Icahn School of Medicine at Mount Sinai (A. Goate, P. Slesinger); and Howard University (D. Scott). Other COGA collaborators include: L. Bauer (University of Connecticut); J. Nurnberger Jr., L. Wetherill, X., </w:t>
      </w:r>
      <w:proofErr w:type="spellStart"/>
      <w:r w:rsidRPr="00862BFC">
        <w:rPr>
          <w:lang w:val="en-AU"/>
        </w:rPr>
        <w:t>Xuei</w:t>
      </w:r>
      <w:proofErr w:type="spellEnd"/>
      <w:r w:rsidRPr="00862BFC">
        <w:rPr>
          <w:lang w:val="en-AU"/>
        </w:rPr>
        <w:t xml:space="preserve">, D. Lai, S. O’Connor, (Indiana University); G. Chan (University of Iowa; University of Connecticut); D.B. Chorlian, J. Zhang, P. Barr, S. </w:t>
      </w:r>
      <w:proofErr w:type="spellStart"/>
      <w:r w:rsidRPr="00862BFC">
        <w:rPr>
          <w:lang w:val="en-AU"/>
        </w:rPr>
        <w:t>Kinreich</w:t>
      </w:r>
      <w:proofErr w:type="spellEnd"/>
      <w:r w:rsidRPr="00862BFC">
        <w:rPr>
          <w:lang w:val="en-AU"/>
        </w:rPr>
        <w:t xml:space="preserve">, G. Pandey (SUNY Downstate); N. Mullins (Icahn School of Medicine at Mount Sinai); A. Anokhin, S. Hartz, E. Johnson, V. McCutcheon, S. Saccone (Washington University); J. Moore, F. Aliev, Z. Pang, S. Kuo (Rutgers University); A. </w:t>
      </w:r>
      <w:proofErr w:type="spellStart"/>
      <w:r w:rsidRPr="00862BFC">
        <w:rPr>
          <w:lang w:val="en-AU"/>
        </w:rPr>
        <w:t>Merikangas</w:t>
      </w:r>
      <w:proofErr w:type="spellEnd"/>
      <w:r w:rsidRPr="00862BFC">
        <w:rPr>
          <w:lang w:val="en-AU"/>
        </w:rPr>
        <w:t xml:space="preserve"> (The Children’s Hospital of Philadelphia and University of Pennsylvania); H. Chin and A. Parsian are the NIAAA Staff Collaborators. We continue to be inspired by our memories of Henri </w:t>
      </w:r>
      <w:proofErr w:type="spellStart"/>
      <w:r w:rsidRPr="00862BFC">
        <w:rPr>
          <w:lang w:val="en-AU"/>
        </w:rPr>
        <w:t>Begleiter</w:t>
      </w:r>
      <w:proofErr w:type="spellEnd"/>
      <w:r w:rsidRPr="00862BFC">
        <w:rPr>
          <w:lang w:val="en-AU"/>
        </w:rPr>
        <w:t xml:space="preserve"> and Theodore Reich, founding PI and Co-PI of COGA, </w:t>
      </w:r>
      <w:proofErr w:type="gramStart"/>
      <w:r w:rsidRPr="00862BFC">
        <w:rPr>
          <w:lang w:val="en-AU"/>
        </w:rPr>
        <w:t>and also</w:t>
      </w:r>
      <w:proofErr w:type="gramEnd"/>
      <w:r w:rsidRPr="00862BFC">
        <w:rPr>
          <w:lang w:val="en-AU"/>
        </w:rPr>
        <w:t xml:space="preserve"> owe a debt of gratitude to other past organizers of COGA, including Ting- Kai Li, P. Michael Conneally, Raymond Crowe, and Wendy Reich, for their critical contributions. This national collaborative study is supported by NIH Grant U10AA008401 from the National Institute on Alcohol Abuse and Alcoholism (NIAAA) and the National Institute on Drug Abuse (NIDA).</w:t>
      </w:r>
    </w:p>
    <w:p w14:paraId="457B9164" w14:textId="78AD54A4" w:rsidR="00B575AF" w:rsidRDefault="00B575AF" w:rsidP="00872FF2">
      <w:pPr>
        <w:pStyle w:val="berschrift3"/>
      </w:pPr>
      <w:proofErr w:type="spellStart"/>
      <w:r>
        <w:t>EstBB</w:t>
      </w:r>
      <w:proofErr w:type="spellEnd"/>
      <w:r>
        <w:t xml:space="preserve"> authors</w:t>
      </w:r>
    </w:p>
    <w:p w14:paraId="4BD2E565" w14:textId="679CE65E" w:rsidR="00B575AF" w:rsidRDefault="00B575AF" w:rsidP="00B575AF">
      <w:pPr>
        <w:rPr>
          <w:vertAlign w:val="superscript"/>
          <w:lang w:val="en-AU"/>
        </w:rPr>
      </w:pPr>
      <w:r w:rsidRPr="00B575AF">
        <w:rPr>
          <w:lang w:val="en-AU"/>
        </w:rPr>
        <w:t>Andres Metspalu</w:t>
      </w:r>
      <w:r>
        <w:rPr>
          <w:vertAlign w:val="superscript"/>
          <w:lang w:val="en-AU"/>
        </w:rPr>
        <w:t>1</w:t>
      </w:r>
      <w:r w:rsidRPr="00B575AF">
        <w:rPr>
          <w:lang w:val="en-AU"/>
        </w:rPr>
        <w:t xml:space="preserve">, </w:t>
      </w:r>
      <w:proofErr w:type="spellStart"/>
      <w:r w:rsidRPr="00B575AF">
        <w:rPr>
          <w:lang w:val="en-AU"/>
        </w:rPr>
        <w:t>Tõnu</w:t>
      </w:r>
      <w:proofErr w:type="spellEnd"/>
      <w:r w:rsidRPr="00B575AF">
        <w:rPr>
          <w:lang w:val="en-AU"/>
        </w:rPr>
        <w:t xml:space="preserve"> Esko</w:t>
      </w:r>
      <w:r>
        <w:rPr>
          <w:vertAlign w:val="superscript"/>
          <w:lang w:val="en-AU"/>
        </w:rPr>
        <w:t>1</w:t>
      </w:r>
      <w:r w:rsidRPr="00B575AF">
        <w:rPr>
          <w:lang w:val="en-AU"/>
        </w:rPr>
        <w:t xml:space="preserve">, </w:t>
      </w:r>
      <w:proofErr w:type="spellStart"/>
      <w:r w:rsidRPr="00B575AF">
        <w:rPr>
          <w:lang w:val="en-AU"/>
        </w:rPr>
        <w:t>Reedik</w:t>
      </w:r>
      <w:proofErr w:type="spellEnd"/>
      <w:r w:rsidRPr="00B575AF">
        <w:rPr>
          <w:lang w:val="en-AU"/>
        </w:rPr>
        <w:t xml:space="preserve"> Mägi</w:t>
      </w:r>
      <w:r>
        <w:rPr>
          <w:vertAlign w:val="superscript"/>
          <w:lang w:val="en-AU"/>
        </w:rPr>
        <w:t>1</w:t>
      </w:r>
      <w:r w:rsidRPr="00B575AF">
        <w:rPr>
          <w:lang w:val="en-AU"/>
        </w:rPr>
        <w:t>, Mari Nelis</w:t>
      </w:r>
      <w:r>
        <w:rPr>
          <w:vertAlign w:val="superscript"/>
          <w:lang w:val="en-AU"/>
        </w:rPr>
        <w:t>1</w:t>
      </w:r>
      <w:r>
        <w:rPr>
          <w:lang w:val="en-AU"/>
        </w:rPr>
        <w:t xml:space="preserve">, </w:t>
      </w:r>
      <w:r w:rsidRPr="00B575AF">
        <w:rPr>
          <w:lang w:val="en-AU"/>
        </w:rPr>
        <w:t>Georgi Hudjashov</w:t>
      </w:r>
      <w:r>
        <w:rPr>
          <w:vertAlign w:val="superscript"/>
          <w:lang w:val="en-AU"/>
        </w:rPr>
        <w:t>1</w:t>
      </w:r>
    </w:p>
    <w:p w14:paraId="43030491" w14:textId="77777777" w:rsidR="00B575AF" w:rsidRDefault="00B575AF" w:rsidP="00B575AF">
      <w:pPr>
        <w:rPr>
          <w:vertAlign w:val="superscript"/>
          <w:lang w:val="en-AU"/>
        </w:rPr>
      </w:pPr>
    </w:p>
    <w:p w14:paraId="6AE96DE9" w14:textId="58F460F8" w:rsidR="00B575AF" w:rsidRPr="00B575AF" w:rsidRDefault="00B575AF" w:rsidP="00B575AF">
      <w:pPr>
        <w:rPr>
          <w:lang w:val="en-AU"/>
        </w:rPr>
      </w:pPr>
      <w:r w:rsidRPr="00B575AF">
        <w:rPr>
          <w:lang w:val="en-AU"/>
        </w:rPr>
        <w:t>1: Estonian Genome Centre, Institute of Genomics, University of Tartu</w:t>
      </w:r>
    </w:p>
    <w:p w14:paraId="548C4092" w14:textId="360052F7" w:rsidR="00872FF2" w:rsidRDefault="00872FF2" w:rsidP="00872FF2">
      <w:pPr>
        <w:pStyle w:val="berschrift3"/>
      </w:pPr>
      <w:r>
        <w:t>Hunt authors</w:t>
      </w:r>
    </w:p>
    <w:p w14:paraId="21FB1A1A" w14:textId="0D4AE9F0" w:rsidR="00872FF2" w:rsidRPr="005944C3" w:rsidRDefault="00872FF2" w:rsidP="00872FF2">
      <w:pPr>
        <w:rPr>
          <w:vertAlign w:val="superscript"/>
        </w:rPr>
      </w:pPr>
      <w:r w:rsidRPr="005944C3">
        <w:t>Laurent F. Thomas</w:t>
      </w:r>
      <w:r w:rsidR="00D0382E" w:rsidRPr="005944C3">
        <w:rPr>
          <w:vertAlign w:val="superscript"/>
        </w:rPr>
        <w:t>1,2,3,4</w:t>
      </w:r>
      <w:r w:rsidRPr="005944C3">
        <w:t xml:space="preserve">, </w:t>
      </w:r>
      <w:r w:rsidR="00D0382E">
        <w:t>Anne H. Skogholt</w:t>
      </w:r>
      <w:r w:rsidR="00D0382E">
        <w:rPr>
          <w:vertAlign w:val="superscript"/>
        </w:rPr>
        <w:t>1</w:t>
      </w:r>
      <w:r w:rsidR="00D0382E">
        <w:t>, Bendik Winsvold</w:t>
      </w:r>
      <w:r w:rsidR="00D0382E">
        <w:rPr>
          <w:vertAlign w:val="superscript"/>
        </w:rPr>
        <w:t>1,5,6</w:t>
      </w:r>
      <w:r w:rsidR="00D0382E">
        <w:t>, Maiken Elvestad Gabrielsen</w:t>
      </w:r>
      <w:r w:rsidR="00D0382E">
        <w:rPr>
          <w:vertAlign w:val="superscript"/>
        </w:rPr>
        <w:t>1</w:t>
      </w:r>
      <w:r w:rsidR="00D0382E">
        <w:t xml:space="preserve">, Sigrid </w:t>
      </w:r>
      <w:r w:rsidR="00D0382E" w:rsidRPr="00D0382E">
        <w:t>Børte</w:t>
      </w:r>
      <w:r w:rsidR="00D0382E">
        <w:rPr>
          <w:vertAlign w:val="superscript"/>
        </w:rPr>
        <w:t>1,7,8</w:t>
      </w:r>
      <w:r w:rsidR="00D0382E">
        <w:t xml:space="preserve">, </w:t>
      </w:r>
      <w:r>
        <w:t xml:space="preserve">Ole A Andreassen MD, </w:t>
      </w:r>
      <w:r w:rsidRPr="005944C3">
        <w:t>PhD</w:t>
      </w:r>
      <w:r w:rsidR="00D0382E">
        <w:rPr>
          <w:vertAlign w:val="superscript"/>
        </w:rPr>
        <w:t>9,10</w:t>
      </w:r>
      <w:r>
        <w:t xml:space="preserve">, Ottar </w:t>
      </w:r>
      <w:proofErr w:type="spellStart"/>
      <w:r>
        <w:t>Bjerkeset</w:t>
      </w:r>
      <w:proofErr w:type="spellEnd"/>
      <w:r>
        <w:t xml:space="preserve"> MD, </w:t>
      </w:r>
      <w:r w:rsidRPr="005944C3">
        <w:t>PhD</w:t>
      </w:r>
      <w:r w:rsidR="00D0382E">
        <w:rPr>
          <w:vertAlign w:val="superscript"/>
        </w:rPr>
        <w:t>11,12</w:t>
      </w:r>
      <w:r>
        <w:t xml:space="preserve">, Ole Kristian Drange MD, </w:t>
      </w:r>
      <w:r w:rsidRPr="005944C3">
        <w:t>PhD</w:t>
      </w:r>
      <w:r w:rsidR="00D0382E">
        <w:rPr>
          <w:vertAlign w:val="superscript"/>
        </w:rPr>
        <w:t>11,13</w:t>
      </w:r>
      <w:r>
        <w:t xml:space="preserve">, Grete Dyb MD, </w:t>
      </w:r>
      <w:r w:rsidRPr="005944C3">
        <w:t>PhD</w:t>
      </w:r>
      <w:r w:rsidR="00D0382E">
        <w:rPr>
          <w:vertAlign w:val="superscript"/>
        </w:rPr>
        <w:t>14</w:t>
      </w:r>
      <w:r>
        <w:t xml:space="preserve">, Katrine </w:t>
      </w:r>
      <w:proofErr w:type="spellStart"/>
      <w:r>
        <w:t>Kveli</w:t>
      </w:r>
      <w:proofErr w:type="spellEnd"/>
      <w:r>
        <w:t xml:space="preserve"> </w:t>
      </w:r>
      <w:proofErr w:type="spellStart"/>
      <w:r>
        <w:t>Fjukstad</w:t>
      </w:r>
      <w:proofErr w:type="spellEnd"/>
      <w:r>
        <w:t xml:space="preserve"> MD, </w:t>
      </w:r>
      <w:r w:rsidRPr="005944C3">
        <w:t>PhD</w:t>
      </w:r>
      <w:r w:rsidR="00D0382E">
        <w:rPr>
          <w:vertAlign w:val="superscript"/>
        </w:rPr>
        <w:t>15,16</w:t>
      </w:r>
      <w:r>
        <w:t xml:space="preserve">, Lars G Fritsche </w:t>
      </w:r>
      <w:r w:rsidRPr="005944C3">
        <w:t>PhD</w:t>
      </w:r>
      <w:r w:rsidR="00D0382E">
        <w:rPr>
          <w:vertAlign w:val="superscript"/>
        </w:rPr>
        <w:t>17</w:t>
      </w:r>
      <w:r>
        <w:t xml:space="preserve">, Ingrid </w:t>
      </w:r>
      <w:proofErr w:type="spellStart"/>
      <w:r>
        <w:t>Heuch</w:t>
      </w:r>
      <w:proofErr w:type="spellEnd"/>
      <w:r>
        <w:t xml:space="preserve"> MD, </w:t>
      </w:r>
      <w:r w:rsidRPr="005944C3">
        <w:t>PhD</w:t>
      </w:r>
      <w:r w:rsidR="00D0382E">
        <w:rPr>
          <w:vertAlign w:val="superscript"/>
        </w:rPr>
        <w:t>5</w:t>
      </w:r>
      <w:r>
        <w:t xml:space="preserve">, Marit Sæbø </w:t>
      </w:r>
      <w:proofErr w:type="spellStart"/>
      <w:r>
        <w:t>Indredavik</w:t>
      </w:r>
      <w:proofErr w:type="spellEnd"/>
      <w:r>
        <w:t xml:space="preserve"> MD, </w:t>
      </w:r>
      <w:r w:rsidRPr="005944C3">
        <w:t>PhD</w:t>
      </w:r>
      <w:r w:rsidR="00D0382E">
        <w:rPr>
          <w:vertAlign w:val="superscript"/>
        </w:rPr>
        <w:t>2</w:t>
      </w:r>
      <w:r>
        <w:t xml:space="preserve">, Håvard Kallestad </w:t>
      </w:r>
      <w:r w:rsidRPr="005944C3">
        <w:t>MD</w:t>
      </w:r>
      <w:r w:rsidR="00D0382E">
        <w:rPr>
          <w:vertAlign w:val="superscript"/>
        </w:rPr>
        <w:t>11,13</w:t>
      </w:r>
      <w:r>
        <w:t xml:space="preserve">, Amy E Martinsen </w:t>
      </w:r>
      <w:r w:rsidRPr="005944C3">
        <w:t>MSc</w:t>
      </w:r>
      <w:r w:rsidR="00D0382E">
        <w:rPr>
          <w:vertAlign w:val="superscript"/>
        </w:rPr>
        <w:t>1,2,5</w:t>
      </w:r>
      <w:r>
        <w:t xml:space="preserve">, Gunnar Morken MD, </w:t>
      </w:r>
      <w:r w:rsidRPr="005944C3">
        <w:t>PhD</w:t>
      </w:r>
      <w:r w:rsidR="00D0382E">
        <w:rPr>
          <w:vertAlign w:val="superscript"/>
        </w:rPr>
        <w:t>11,13</w:t>
      </w:r>
      <w:r>
        <w:t xml:space="preserve">, Jonas Bille Nielsen </w:t>
      </w:r>
      <w:r w:rsidRPr="005944C3">
        <w:t>PhD</w:t>
      </w:r>
      <w:r w:rsidR="00FC38B2">
        <w:rPr>
          <w:vertAlign w:val="superscript"/>
        </w:rPr>
        <w:t>1,18</w:t>
      </w:r>
      <w:r>
        <w:t xml:space="preserve">, Torunn Stene </w:t>
      </w:r>
      <w:proofErr w:type="spellStart"/>
      <w:r>
        <w:t>Nøvik</w:t>
      </w:r>
      <w:proofErr w:type="spellEnd"/>
      <w:r>
        <w:t xml:space="preserve"> MD, </w:t>
      </w:r>
      <w:r w:rsidRPr="005944C3">
        <w:t>PhD</w:t>
      </w:r>
      <w:r w:rsidR="00FC38B2">
        <w:rPr>
          <w:vertAlign w:val="superscript"/>
        </w:rPr>
        <w:t>19</w:t>
      </w:r>
      <w:r>
        <w:t xml:space="preserve">, Linda M Pedersen </w:t>
      </w:r>
      <w:r w:rsidRPr="005944C3">
        <w:t>PhD</w:t>
      </w:r>
      <w:r w:rsidR="00FC38B2">
        <w:rPr>
          <w:vertAlign w:val="superscript"/>
        </w:rPr>
        <w:t>5</w:t>
      </w:r>
      <w:r>
        <w:t xml:space="preserve">, Sara Germans Selvik MD, </w:t>
      </w:r>
      <w:r w:rsidRPr="005944C3">
        <w:t>PhD</w:t>
      </w:r>
      <w:r w:rsidR="00FC38B2">
        <w:rPr>
          <w:vertAlign w:val="superscript"/>
        </w:rPr>
        <w:t>20</w:t>
      </w:r>
      <w:r>
        <w:t xml:space="preserve">, Børge Sivertsen </w:t>
      </w:r>
      <w:r w:rsidRPr="005944C3">
        <w:t>PhD</w:t>
      </w:r>
      <w:r w:rsidR="00FC38B2">
        <w:rPr>
          <w:vertAlign w:val="superscript"/>
        </w:rPr>
        <w:t>11,21,22</w:t>
      </w:r>
      <w:r>
        <w:t xml:space="preserve">, Marit Skrove MD, </w:t>
      </w:r>
      <w:r w:rsidRPr="005944C3">
        <w:t>PhD</w:t>
      </w:r>
      <w:r w:rsidR="00FC38B2">
        <w:rPr>
          <w:vertAlign w:val="superscript"/>
        </w:rPr>
        <w:t>23</w:t>
      </w:r>
      <w:r>
        <w:t xml:space="preserve">, Synne Øien Stensland MD, </w:t>
      </w:r>
      <w:r w:rsidRPr="005944C3">
        <w:t>PhD</w:t>
      </w:r>
      <w:r w:rsidR="00FC38B2">
        <w:rPr>
          <w:vertAlign w:val="superscript"/>
        </w:rPr>
        <w:t>7,14,</w:t>
      </w:r>
      <w:r>
        <w:t xml:space="preserve">, Eystein Stordal MD, </w:t>
      </w:r>
      <w:r w:rsidRPr="005944C3">
        <w:t>PhD</w:t>
      </w:r>
      <w:r w:rsidR="00FC38B2">
        <w:rPr>
          <w:vertAlign w:val="superscript"/>
        </w:rPr>
        <w:t>11,20</w:t>
      </w:r>
      <w:r>
        <w:t xml:space="preserve">, Cristen J Willer </w:t>
      </w:r>
      <w:r w:rsidRPr="005944C3">
        <w:t>PhD</w:t>
      </w:r>
      <w:r w:rsidR="00FC38B2">
        <w:rPr>
          <w:vertAlign w:val="superscript"/>
        </w:rPr>
        <w:t>18</w:t>
      </w:r>
      <w:r>
        <w:t xml:space="preserve">, Wei Zhou </w:t>
      </w:r>
      <w:r w:rsidRPr="005944C3">
        <w:t>PhD</w:t>
      </w:r>
      <w:r w:rsidR="00FC38B2">
        <w:rPr>
          <w:vertAlign w:val="superscript"/>
        </w:rPr>
        <w:t>24,25</w:t>
      </w:r>
      <w:r w:rsidR="00D0382E">
        <w:t>, Kristian Hveem</w:t>
      </w:r>
      <w:r w:rsidR="00FC38B2">
        <w:rPr>
          <w:vertAlign w:val="superscript"/>
        </w:rPr>
        <w:t>1,26,27</w:t>
      </w:r>
      <w:r w:rsidR="00D0382E">
        <w:t>, John-Anker Zwart</w:t>
      </w:r>
      <w:r w:rsidR="00FC38B2">
        <w:rPr>
          <w:vertAlign w:val="superscript"/>
        </w:rPr>
        <w:t>1,5,8</w:t>
      </w:r>
    </w:p>
    <w:p w14:paraId="3925127D" w14:textId="77777777" w:rsidR="00872FF2" w:rsidRDefault="00872FF2" w:rsidP="00872FF2"/>
    <w:p w14:paraId="536F23DC" w14:textId="2E7941CE" w:rsidR="005944C3" w:rsidRDefault="00D0382E" w:rsidP="00D0382E">
      <w:r>
        <w:t>1</w:t>
      </w:r>
      <w:r w:rsidR="005944C3">
        <w:t>:</w:t>
      </w:r>
      <w:r>
        <w:t xml:space="preserve"> K. G. Jebsen Center for Genetic Epidemiology, Department of Public Health and Nursing, Faculty of Medicine and Health Sciences, Norwegian University of Science and Technology (NTNU), Trondheim, Norway.</w:t>
      </w:r>
    </w:p>
    <w:p w14:paraId="1B67E3E9" w14:textId="7CDE3E5E" w:rsidR="00D0382E" w:rsidRDefault="00D0382E" w:rsidP="00D0382E">
      <w:r>
        <w:t>2</w:t>
      </w:r>
      <w:r w:rsidR="005944C3">
        <w:t>:</w:t>
      </w:r>
      <w:r>
        <w:t xml:space="preserve"> Department of Clinical and Molecular Medicine, Faculty of Medicine and Health Sciences, Norwegian University of Science and Technology (NTNU), Trondheim, Norway.</w:t>
      </w:r>
    </w:p>
    <w:p w14:paraId="2A853095" w14:textId="750BA7BD" w:rsidR="00D0382E" w:rsidRDefault="00D0382E" w:rsidP="00872FF2">
      <w:r>
        <w:lastRenderedPageBreak/>
        <w:t>3</w:t>
      </w:r>
      <w:r w:rsidR="005944C3">
        <w:t>:</w:t>
      </w:r>
      <w:r>
        <w:t xml:space="preserve"> </w:t>
      </w:r>
      <w:proofErr w:type="spellStart"/>
      <w:r w:rsidRPr="00D0382E">
        <w:t>BioCore</w:t>
      </w:r>
      <w:proofErr w:type="spellEnd"/>
      <w:r w:rsidRPr="00D0382E">
        <w:t xml:space="preserve"> - Bioinformatics Core Facility, Norwegian University of Science and Technology, Trondheim. Norway.</w:t>
      </w:r>
    </w:p>
    <w:p w14:paraId="4B4F84A4" w14:textId="5B2EE6C9" w:rsidR="00D0382E" w:rsidRPr="005944C3" w:rsidRDefault="005944C3" w:rsidP="00872FF2">
      <w:pPr>
        <w:rPr>
          <w:lang w:val="en-AU"/>
        </w:rPr>
      </w:pPr>
      <w:r>
        <w:t xml:space="preserve">4: </w:t>
      </w:r>
      <w:r w:rsidRPr="00D0382E">
        <w:t>Clinic</w:t>
      </w:r>
      <w:r w:rsidR="00D0382E" w:rsidRPr="00D0382E">
        <w:t xml:space="preserve"> of Laboratory Medicine, </w:t>
      </w:r>
      <w:proofErr w:type="spellStart"/>
      <w:proofErr w:type="gramStart"/>
      <w:r w:rsidR="00D0382E" w:rsidRPr="00D0382E">
        <w:t>St.Olavs</w:t>
      </w:r>
      <w:proofErr w:type="spellEnd"/>
      <w:proofErr w:type="gramEnd"/>
      <w:r w:rsidR="00D0382E" w:rsidRPr="00D0382E">
        <w:t xml:space="preserve"> Hospital, Trondheim University Hospital, Trondheim, Norway.</w:t>
      </w:r>
    </w:p>
    <w:p w14:paraId="075AD5D5" w14:textId="315880DE" w:rsidR="00D0382E" w:rsidRDefault="00D0382E" w:rsidP="00D0382E">
      <w:r>
        <w:t>5</w:t>
      </w:r>
      <w:r w:rsidR="005944C3">
        <w:t>:</w:t>
      </w:r>
      <w:r>
        <w:t xml:space="preserve"> Department of Research and Innovation and Education, Division of Clinical Neuroscience, Oslo University Hospital, Oslo, Norway.</w:t>
      </w:r>
    </w:p>
    <w:p w14:paraId="7A7381DC" w14:textId="2B5481F1" w:rsidR="00D0382E" w:rsidRDefault="00D0382E" w:rsidP="00872FF2">
      <w:r>
        <w:t>6</w:t>
      </w:r>
      <w:r w:rsidR="005944C3">
        <w:t>:</w:t>
      </w:r>
      <w:r>
        <w:t xml:space="preserve"> D</w:t>
      </w:r>
      <w:r w:rsidRPr="00D0382E">
        <w:t>epartment of Neurology, Oslo University Hospital, Oslo, Norway.</w:t>
      </w:r>
    </w:p>
    <w:p w14:paraId="0CBF7A26" w14:textId="6409C45A" w:rsidR="00D0382E" w:rsidRDefault="00D0382E" w:rsidP="00D0382E">
      <w:r>
        <w:t>7</w:t>
      </w:r>
      <w:r w:rsidR="005944C3">
        <w:t>:</w:t>
      </w:r>
      <w:r>
        <w:t xml:space="preserve"> Research and Communication Unit for Musculoskeletal Health (FORMI), Department of Research and Innovation, Division of Clinical Neuroscience, Oslo University Hospital, Oslo, Norway.</w:t>
      </w:r>
    </w:p>
    <w:p w14:paraId="0E9486A3" w14:textId="65BEADAC" w:rsidR="00D0382E" w:rsidRDefault="00D0382E" w:rsidP="00D0382E">
      <w:r>
        <w:t>8</w:t>
      </w:r>
      <w:r w:rsidR="005944C3">
        <w:t>:</w:t>
      </w:r>
      <w:r>
        <w:t xml:space="preserve"> Institute of Clinical Medicine, Faculty of Medicine, University of Oslo, Oslo, Norway.</w:t>
      </w:r>
    </w:p>
    <w:p w14:paraId="5E432458" w14:textId="5F199EC9" w:rsidR="00872FF2" w:rsidRDefault="00D0382E" w:rsidP="00872FF2">
      <w:r>
        <w:t>9</w:t>
      </w:r>
      <w:r w:rsidR="005944C3">
        <w:t>:</w:t>
      </w:r>
      <w:r w:rsidR="00872FF2">
        <w:t xml:space="preserve"> Division of Mental Health and Addiction, Oslo University Hospital, Oslo, Norway.</w:t>
      </w:r>
    </w:p>
    <w:p w14:paraId="50D62321" w14:textId="74ED7629" w:rsidR="00872FF2" w:rsidRDefault="00D0382E" w:rsidP="00872FF2">
      <w:r>
        <w:t>10</w:t>
      </w:r>
      <w:r w:rsidR="005944C3">
        <w:t>:</w:t>
      </w:r>
      <w:r w:rsidR="00872FF2">
        <w:t xml:space="preserve"> NORMENT, University of Oslo, Oslo, Norway.</w:t>
      </w:r>
    </w:p>
    <w:p w14:paraId="420E76B0" w14:textId="54DAE75F" w:rsidR="00872FF2" w:rsidRDefault="00D0382E" w:rsidP="00872FF2">
      <w:r>
        <w:t>11</w:t>
      </w:r>
      <w:r w:rsidR="005944C3">
        <w:t>:</w:t>
      </w:r>
      <w:r w:rsidR="00872FF2">
        <w:t xml:space="preserve"> Department of Mental Health, Faculty of Medicine and Health Sciences, Norwegian University of Science and Technology (NTNU), Trondheim, Norway.</w:t>
      </w:r>
    </w:p>
    <w:p w14:paraId="3FEC25A3" w14:textId="6CEB17AD" w:rsidR="00872FF2" w:rsidRDefault="00D0382E" w:rsidP="00872FF2">
      <w:r>
        <w:t>12</w:t>
      </w:r>
      <w:r w:rsidR="005944C3">
        <w:t>:</w:t>
      </w:r>
      <w:r w:rsidR="00872FF2">
        <w:t xml:space="preserve"> Faculty of Nursing and Health Sciences, NORD University, Levanger, Norway.</w:t>
      </w:r>
    </w:p>
    <w:p w14:paraId="616CC70A" w14:textId="11F844D5" w:rsidR="00872FF2" w:rsidRDefault="00D0382E" w:rsidP="00872FF2">
      <w:r>
        <w:t>13</w:t>
      </w:r>
      <w:r w:rsidR="005944C3">
        <w:t>:</w:t>
      </w:r>
      <w:r w:rsidR="00872FF2">
        <w:t xml:space="preserve"> Division of Mental Health Care, St. Olavs Hospital, Trondheim University Hospital, Trondheim, Norway.</w:t>
      </w:r>
    </w:p>
    <w:p w14:paraId="251CA8E5" w14:textId="7C7551F4" w:rsidR="00872FF2" w:rsidRDefault="00D0382E" w:rsidP="00872FF2">
      <w:r>
        <w:t>14</w:t>
      </w:r>
      <w:r w:rsidR="005944C3">
        <w:t>:</w:t>
      </w:r>
      <w:r w:rsidR="00872FF2">
        <w:t xml:space="preserve"> Norwegian Centre for Violence and Traumatic Stress Studies, Oslo, Norway.</w:t>
      </w:r>
    </w:p>
    <w:p w14:paraId="57881FFF" w14:textId="3BD5EEC8" w:rsidR="00872FF2" w:rsidRDefault="00D0382E" w:rsidP="00872FF2">
      <w:r>
        <w:t>15</w:t>
      </w:r>
      <w:r w:rsidR="005944C3">
        <w:t>:</w:t>
      </w:r>
      <w:r w:rsidR="00872FF2">
        <w:t xml:space="preserve"> Department of Psychiatry, Nord-</w:t>
      </w:r>
      <w:proofErr w:type="spellStart"/>
      <w:r w:rsidR="00872FF2">
        <w:t>Trøndelag</w:t>
      </w:r>
      <w:proofErr w:type="spellEnd"/>
      <w:r w:rsidR="00872FF2">
        <w:t xml:space="preserve"> Hospital Trust, Levanger Hospital, Levanger, Norway.</w:t>
      </w:r>
    </w:p>
    <w:p w14:paraId="1C406C6E" w14:textId="1936534A" w:rsidR="00872FF2" w:rsidRDefault="00D0382E" w:rsidP="00872FF2">
      <w:r>
        <w:t>16</w:t>
      </w:r>
      <w:r w:rsidR="005944C3">
        <w:t>:</w:t>
      </w:r>
      <w:r w:rsidR="00872FF2">
        <w:t xml:space="preserve"> Department of Laboratory Medicine, Children’s and Women’s Health, Norwegian University of Science and Technology (NTNU), Trondheim, Norway.</w:t>
      </w:r>
    </w:p>
    <w:p w14:paraId="6E8C75ED" w14:textId="5425EF2F" w:rsidR="00872FF2" w:rsidRDefault="00D0382E" w:rsidP="00872FF2">
      <w:r>
        <w:t>17</w:t>
      </w:r>
      <w:r w:rsidR="005944C3">
        <w:t>:</w:t>
      </w:r>
      <w:r w:rsidR="00872FF2">
        <w:t xml:space="preserve"> Center for Statistical Genetics, Department of Biostatistics, University of Michigan, Ann Arbor, MI, 48109, USA.</w:t>
      </w:r>
    </w:p>
    <w:p w14:paraId="68ECA2BD" w14:textId="4E55CBD8" w:rsidR="00872FF2" w:rsidRDefault="00872FF2" w:rsidP="00872FF2">
      <w:r>
        <w:t>1</w:t>
      </w:r>
      <w:r w:rsidR="00D0382E">
        <w:t>8</w:t>
      </w:r>
      <w:r w:rsidR="005944C3">
        <w:t>:</w:t>
      </w:r>
      <w:r>
        <w:t xml:space="preserve"> Department of Internal Medicine, Division of Cardiovascular Medicine, University of Michigan, Ann Arbor, MI, 48109, USA.</w:t>
      </w:r>
    </w:p>
    <w:p w14:paraId="592C1E54" w14:textId="4C79FB47" w:rsidR="00872FF2" w:rsidRDefault="00872FF2" w:rsidP="00872FF2">
      <w:r>
        <w:t>1</w:t>
      </w:r>
      <w:r w:rsidR="00D0382E">
        <w:t>9</w:t>
      </w:r>
      <w:r w:rsidR="005944C3">
        <w:t>:</w:t>
      </w:r>
      <w:r>
        <w:t xml:space="preserve"> Department of Child and Adolescent Psychiatry, St. Olavs Hospital, Trondheim University Hospital, Trondheim, Norway.</w:t>
      </w:r>
    </w:p>
    <w:p w14:paraId="0C945C0D" w14:textId="7EA9BC83" w:rsidR="00872FF2" w:rsidRDefault="00D0382E" w:rsidP="00872FF2">
      <w:r>
        <w:t>20</w:t>
      </w:r>
      <w:r w:rsidR="005944C3">
        <w:t>:</w:t>
      </w:r>
      <w:r w:rsidR="00872FF2">
        <w:t xml:space="preserve"> Department of Psychiatry, Hospital </w:t>
      </w:r>
      <w:proofErr w:type="spellStart"/>
      <w:r w:rsidR="00872FF2">
        <w:t>Namsos</w:t>
      </w:r>
      <w:proofErr w:type="spellEnd"/>
      <w:r w:rsidR="00872FF2">
        <w:t>, Nord-</w:t>
      </w:r>
      <w:proofErr w:type="spellStart"/>
      <w:r w:rsidR="00872FF2">
        <w:t>Trøndelag</w:t>
      </w:r>
      <w:proofErr w:type="spellEnd"/>
      <w:r w:rsidR="00872FF2">
        <w:t xml:space="preserve"> Health Trust, </w:t>
      </w:r>
      <w:proofErr w:type="spellStart"/>
      <w:r w:rsidR="00872FF2">
        <w:t>Namsos</w:t>
      </w:r>
      <w:proofErr w:type="spellEnd"/>
      <w:r w:rsidR="00872FF2">
        <w:t>, Norway.</w:t>
      </w:r>
    </w:p>
    <w:p w14:paraId="329C28E7" w14:textId="50B1F91B" w:rsidR="00872FF2" w:rsidRDefault="00D0382E" w:rsidP="00872FF2">
      <w:r>
        <w:t>21</w:t>
      </w:r>
      <w:r w:rsidR="005944C3">
        <w:t>:</w:t>
      </w:r>
      <w:r w:rsidR="00872FF2">
        <w:t xml:space="preserve"> Department of Health Promotion, Norwegian Institute of Public Health, Bergen, Norway.</w:t>
      </w:r>
    </w:p>
    <w:p w14:paraId="2BD9F904" w14:textId="56AE630A" w:rsidR="00872FF2" w:rsidRDefault="00D0382E" w:rsidP="00872FF2">
      <w:r>
        <w:t>22</w:t>
      </w:r>
      <w:r w:rsidR="005944C3">
        <w:t>:</w:t>
      </w:r>
      <w:r w:rsidR="00872FF2">
        <w:t xml:space="preserve"> Department of Research and Innovation, Helse-</w:t>
      </w:r>
      <w:proofErr w:type="spellStart"/>
      <w:r w:rsidR="00872FF2">
        <w:t>Fonna</w:t>
      </w:r>
      <w:proofErr w:type="spellEnd"/>
      <w:r w:rsidR="00872FF2">
        <w:t xml:space="preserve"> HF, </w:t>
      </w:r>
      <w:proofErr w:type="spellStart"/>
      <w:r w:rsidR="00872FF2">
        <w:t>Haugesund</w:t>
      </w:r>
      <w:proofErr w:type="spellEnd"/>
      <w:r w:rsidR="00872FF2">
        <w:t>, Norway.</w:t>
      </w:r>
    </w:p>
    <w:p w14:paraId="6432D2C9" w14:textId="7B1A557D" w:rsidR="00872FF2" w:rsidRDefault="00D0382E" w:rsidP="00872FF2">
      <w:r>
        <w:t>23</w:t>
      </w:r>
      <w:r w:rsidR="005944C3">
        <w:t>:</w:t>
      </w:r>
      <w:r w:rsidR="00872FF2">
        <w:t xml:space="preserve"> Regional Centre for Child and Youth Mental Health and Child Welfare, Department of Mental Health, Faculty of Medicine and Health Sciences, Norwegian University of Science and Technology (NTNU), Trondheim, Norway.</w:t>
      </w:r>
    </w:p>
    <w:p w14:paraId="3D509824" w14:textId="3C4E9AF7" w:rsidR="00872FF2" w:rsidRDefault="00872FF2" w:rsidP="00872FF2">
      <w:r>
        <w:t>2</w:t>
      </w:r>
      <w:r w:rsidR="00D0382E">
        <w:t>4</w:t>
      </w:r>
      <w:r w:rsidR="005944C3">
        <w:t>:</w:t>
      </w:r>
      <w:r>
        <w:t xml:space="preserve"> Department of Computational Medicine and Bioinformatics, University of Michigan, Ann Arbor, MI, 48109, USA.</w:t>
      </w:r>
    </w:p>
    <w:p w14:paraId="35EE5694" w14:textId="2E9BC7A1" w:rsidR="00872FF2" w:rsidRDefault="00872FF2" w:rsidP="00872FF2">
      <w:r>
        <w:t>2</w:t>
      </w:r>
      <w:r w:rsidR="00D0382E">
        <w:t>5</w:t>
      </w:r>
      <w:r w:rsidR="005944C3">
        <w:t>:</w:t>
      </w:r>
      <w:r>
        <w:t xml:space="preserve"> Analytic and Translational Genetics Unit, Massachusetts General Hospital, Boston, MA, USA.</w:t>
      </w:r>
    </w:p>
    <w:p w14:paraId="43D23E1F" w14:textId="2946336C" w:rsidR="00FC38B2" w:rsidRDefault="00FC38B2" w:rsidP="00872FF2">
      <w:r>
        <w:t>26</w:t>
      </w:r>
      <w:r w:rsidR="005944C3">
        <w:t>:</w:t>
      </w:r>
      <w:r>
        <w:t xml:space="preserve"> </w:t>
      </w:r>
      <w:r w:rsidRPr="00FC38B2">
        <w:t>HUNT Research Center, Department of Public Health and Nursing, Faculty of Medicine and Health Sciences, Norwegian University of Science and Technology, Trondheim, Norway.</w:t>
      </w:r>
    </w:p>
    <w:p w14:paraId="1C568ED8" w14:textId="052F781A" w:rsidR="00FC38B2" w:rsidRPr="005944C3" w:rsidRDefault="00FC38B2" w:rsidP="00872FF2">
      <w:pPr>
        <w:rPr>
          <w:lang w:val="en-AU"/>
        </w:rPr>
      </w:pPr>
      <w:r>
        <w:t>27</w:t>
      </w:r>
      <w:r w:rsidR="005944C3">
        <w:t>:</w:t>
      </w:r>
      <w:r>
        <w:t xml:space="preserve"> </w:t>
      </w:r>
      <w:r w:rsidRPr="00FC38B2">
        <w:t>Department of Research, Innovation and Education, St. Olavs Hospital, Trondheim University Hospital, Trondheim, Norway.</w:t>
      </w:r>
    </w:p>
    <w:p w14:paraId="11E3F39A" w14:textId="77777777" w:rsidR="00872FF2" w:rsidRPr="00872FF2" w:rsidRDefault="00872FF2" w:rsidP="00872FF2"/>
    <w:p w14:paraId="211C694A" w14:textId="77777777" w:rsidR="00872FF2" w:rsidRPr="00872FF2" w:rsidRDefault="00872FF2" w:rsidP="00872FF2"/>
    <w:p w14:paraId="00000014" w14:textId="6A4933EE" w:rsidR="008E545C" w:rsidRPr="00DD692C" w:rsidRDefault="00000000">
      <w:pPr>
        <w:pStyle w:val="berschrift2"/>
        <w:spacing w:line="480" w:lineRule="auto"/>
        <w:jc w:val="both"/>
      </w:pPr>
      <w:bookmarkStart w:id="3" w:name="_Toc161234208"/>
      <w:r w:rsidRPr="00DD692C">
        <w:lastRenderedPageBreak/>
        <w:t xml:space="preserve">Supplementary Note </w:t>
      </w:r>
      <w:r w:rsidR="00872FF2">
        <w:t>2</w:t>
      </w:r>
      <w:r w:rsidRPr="00DD692C">
        <w:t>: Sample descriptions</w:t>
      </w:r>
      <w:bookmarkEnd w:id="3"/>
      <w:r w:rsidRPr="00DD692C">
        <w:t xml:space="preserve"> </w:t>
      </w:r>
    </w:p>
    <w:p w14:paraId="00000015" w14:textId="632BD871" w:rsidR="008E545C" w:rsidRPr="00DD692C" w:rsidRDefault="00000000">
      <w:pPr>
        <w:spacing w:line="480" w:lineRule="auto"/>
        <w:jc w:val="both"/>
      </w:pPr>
      <w:sdt>
        <w:sdtPr>
          <w:tag w:val="goog_rdk_1"/>
          <w:id w:val="200132157"/>
        </w:sdtPr>
        <w:sdtContent>
          <w:r w:rsidRPr="00DD692C">
            <w:t>Here</w:t>
          </w:r>
        </w:sdtContent>
      </w:sdt>
      <w:r w:rsidRPr="00DD692C">
        <w:t xml:space="preserve"> we describe each individual sample that was included in the OCD meta-analysis</w:t>
      </w:r>
      <w:r w:rsidR="00E419DC">
        <w:t xml:space="preserve">, </w:t>
      </w:r>
      <w:r w:rsidRPr="00DD692C">
        <w:t xml:space="preserve">in alphabetical order. The header of each sample lists study identifier, study </w:t>
      </w:r>
      <w:r w:rsidR="00D4634B">
        <w:t>principal investigator(s) (</w:t>
      </w:r>
      <w:r w:rsidRPr="00DD692C">
        <w:t>PI(s)</w:t>
      </w:r>
      <w:r w:rsidR="00D4634B">
        <w:t>)</w:t>
      </w:r>
      <w:r w:rsidRPr="00DD692C">
        <w:t xml:space="preserve">, country or site name, and if there has been a previous publication in connection with the data, also PubMed ID(s). See </w:t>
      </w:r>
      <w:r w:rsidRPr="00DD692C">
        <w:rPr>
          <w:b/>
        </w:rPr>
        <w:t>Supplementary Table S1</w:t>
      </w:r>
      <w:r w:rsidRPr="00DD692C">
        <w:t xml:space="preserve"> for an overview of sample sizes, number of included SNPs, reference panel</w:t>
      </w:r>
      <w:r w:rsidR="00E419DC">
        <w:t xml:space="preserve">, </w:t>
      </w:r>
      <w:r w:rsidRPr="00DD692C">
        <w:t xml:space="preserve">GWAS analysis tool, and Lambda1000 estimate for each individual cohort. </w:t>
      </w:r>
    </w:p>
    <w:p w14:paraId="00000016" w14:textId="277DD727" w:rsidR="008E545C" w:rsidRPr="00DD692C" w:rsidRDefault="00000000">
      <w:pPr>
        <w:pStyle w:val="berschrift3"/>
        <w:spacing w:line="480" w:lineRule="auto"/>
        <w:jc w:val="both"/>
        <w:rPr>
          <w:shd w:val="clear" w:color="auto" w:fill="FCE5CD"/>
        </w:rPr>
      </w:pPr>
      <w:bookmarkStart w:id="4" w:name="_heading=h.3znysh7" w:colFirst="0" w:colLast="0"/>
      <w:bookmarkEnd w:id="4"/>
      <w:r w:rsidRPr="00867E80">
        <w:t xml:space="preserve">23andMe | </w:t>
      </w:r>
      <w:r w:rsidR="00867E80" w:rsidRPr="00867E80">
        <w:t>23andMe</w:t>
      </w:r>
      <w:r w:rsidR="00867E80">
        <w:t xml:space="preserve"> </w:t>
      </w:r>
      <w:r w:rsidRPr="00867E80">
        <w:t>| USA</w:t>
      </w:r>
      <w:r w:rsidRPr="00DD692C">
        <w:t xml:space="preserve"> | </w:t>
      </w:r>
      <w:sdt>
        <w:sdtPr>
          <w:tag w:val="goog_rdk_3"/>
          <w:id w:val="706139889"/>
        </w:sdtPr>
        <w:sdtContent/>
      </w:sdt>
      <w:r w:rsidR="00867E80" w:rsidRPr="00867E80">
        <w:t>https://doi.org/10.1101/2024.03.06.24303776</w:t>
      </w:r>
    </w:p>
    <w:p w14:paraId="137A5ED8" w14:textId="497EB47A" w:rsidR="00970648" w:rsidRDefault="00000000" w:rsidP="00970648">
      <w:pPr>
        <w:spacing w:line="480" w:lineRule="auto"/>
        <w:jc w:val="both"/>
      </w:pPr>
      <w:r w:rsidRPr="00DD692C">
        <w:t xml:space="preserve">Samples of European ancestry </w:t>
      </w:r>
      <w:proofErr w:type="gramStart"/>
      <w:r w:rsidRPr="00DD692C">
        <w:t>were</w:t>
      </w:r>
      <w:proofErr w:type="gramEnd"/>
      <w:r w:rsidRPr="00DD692C">
        <w:t xml:space="preserve"> drawn from the customer base of 23andMe Inc., a private consumer genetics company. The 23andMe cohort has been described in detail elsewhere</w:t>
      </w:r>
      <w:r w:rsidR="00E419DC">
        <w:t xml:space="preserve"> </w:t>
      </w:r>
      <w:r w:rsidR="00E419DC">
        <w:fldChar w:fldCharType="begin"/>
      </w:r>
      <w:r w:rsidR="00E419DC">
        <w:instrText xml:space="preserve"> ADDIN ZOTERO_ITEM CSL_CITATION {"citationID":"Kvqasna2","properties":{"formattedCitation":"(Hyde et al., 2016)","plainCitation":"(Hyde et al., 2016)","noteIndex":0},"citationItems":[{"id":3663,"uris":["http://zotero.org/users/9762508/items/XD8ZCME2"],"itemData":{"id":3663,"type":"article-journal","abstract":"Despite strong evidence supporting the heritability of major depressive disorder (MDD), previous genome-wide studies were unable to identify risk loci among individuals of European descent. We used self-report data from 75,607 individuals reporting clinical diagnosis of depression and 231,747 individuals reporting no history of depression through 23andMe and carried out meta-analysis of these results with published MDD genome-wide association study results. We identified five independent variants from four regions associated with self-report of clinical diagnosis or treatment for depression. Loci with a P value &lt;1.0 × 10-5 in the meta-analysis were further analyzed in a replication data set (45,773 cases and 106,354 controls) from 23andMe. A total of 17 independent SNPs from 15 regions reached genome-wide significance after joint analysis over all three data sets. Some of these loci were also implicated in genome-wide association studies of related psychiatric traits. These studies provide evidence for large-scale consumer genomic data as a powerful and efficient complement to data collected from traditional means of ascertainment for neuropsychiatric disease genomics.","container-title":"Nature genetics","DOI":"10.1038/NG.3623","issue":"9","note":"publisher: Nat Genet","page":"1031-1036","title":"Identification of 15 genetic loci associated with risk of major depression in individuals of European descent","volume":"48","author":[{"family":"Hyde","given":"CL"},{"family":"Nagle","given":"MW"},{"family":"Tian","given":"C"},{"family":"Chen","given":"X"},{"family":"Paciga","given":"SA"},{"family":"Wendland","given":"JR"},{"family":"Tung","given":"JY"},{"family":"Hinds","given":"DA"},{"family":"Perlis","given":"RH"},{"family":"Winslow","given":"AR"}],"issued":{"date-parts":[["2016",9]]}}}],"schema":"https://github.com/citation-style-language/schema/raw/master/csl-citation.json"} </w:instrText>
      </w:r>
      <w:r w:rsidR="00E419DC">
        <w:fldChar w:fldCharType="separate"/>
      </w:r>
      <w:r w:rsidR="00E419DC" w:rsidRPr="00E419DC">
        <w:t>(Hyde et al., 2016)</w:t>
      </w:r>
      <w:r w:rsidR="00E419DC">
        <w:fldChar w:fldCharType="end"/>
      </w:r>
      <w:r w:rsidRPr="00DD692C">
        <w:t xml:space="preserve">. </w:t>
      </w:r>
      <w:r w:rsidR="00970648">
        <w:t>Participants provided informed consent and volunteered to participate in the research online, under a protocol approved by the external AAHRPP-accredited IRB, Ethical &amp; Independent (E&amp;I) Review Services. As of 2022, E&amp;I Review Services is part of Salus IRB (</w:t>
      </w:r>
      <w:hyperlink r:id="rId8" w:history="1">
        <w:r w:rsidR="00970648" w:rsidRPr="007545BF">
          <w:rPr>
            <w:rStyle w:val="Hyperlink"/>
          </w:rPr>
          <w:t>https://www.versiticlinicaltrials.org/salusirb</w:t>
        </w:r>
      </w:hyperlink>
      <w:r w:rsidR="00970648">
        <w:t xml:space="preserve">). </w:t>
      </w:r>
      <w:r w:rsidRPr="00DD692C">
        <w:t xml:space="preserve">The cohort was selected from participant data available on 1st September 2017 and the analysis was reviewed and approved by a private institutional review board (www.eandireview.com). All individuals identified as cases have reported being diagnosed with OCD, while controls have reported not having been diagnosed with </w:t>
      </w:r>
      <w:sdt>
        <w:sdtPr>
          <w:tag w:val="goog_rdk_4"/>
          <w:id w:val="-1958412808"/>
        </w:sdtPr>
        <w:sdtContent/>
      </w:sdt>
      <w:r w:rsidRPr="00DD692C">
        <w:t>OCD. 30,167 OCD cases and 929,804 controls were included in the final GWAS. Of the cases, 10,808 (35.83%) were male and 19,359 (64.17%) were female. Of the controls, 443,336 (47</w:t>
      </w:r>
      <w:sdt>
        <w:sdtPr>
          <w:tag w:val="goog_rdk_5"/>
          <w:id w:val="-1479837316"/>
        </w:sdtPr>
        <w:sdtContent>
          <w:r w:rsidRPr="00DD692C">
            <w:t>.</w:t>
          </w:r>
        </w:sdtContent>
      </w:sdt>
      <w:r w:rsidRPr="00DD692C">
        <w:t>68%) were male and 486,468 (52</w:t>
      </w:r>
      <w:sdt>
        <w:sdtPr>
          <w:tag w:val="goog_rdk_7"/>
          <w:id w:val="706612131"/>
        </w:sdtPr>
        <w:sdtContent>
          <w:r w:rsidRPr="00DD692C">
            <w:t>.</w:t>
          </w:r>
        </w:sdtContent>
      </w:sdt>
      <w:r w:rsidRPr="00DD692C">
        <w:t>32%) were female. Of the cases, 7,040 (23.34%) individuals were below the age of 30, 11,087 (36.75%) between 30 and 45, 7,056 (23.39%) between 45 and 60, and 4,984 (16.52%) above the age of 60. Of the controls, 91,287 (9.82%) individuals were below the age of 30, 230,696 (24.81%) between 30 and 45, 257,793</w:t>
      </w:r>
      <w:r w:rsidR="00DD692C" w:rsidRPr="00DD692C">
        <w:t xml:space="preserve"> (37.64%) </w:t>
      </w:r>
      <w:r w:rsidRPr="00DD692C">
        <w:t xml:space="preserve">between 45 and 60, and 350,028 (27.73%) above the age of 60. Extraction of DNA and genotyping was performed by the National Genetics Institute (NGI), a CLIA licensed clinical laboratory and a subsidiary of Laboratory Corporation of America. Individuals were genotyped on four different genotype </w:t>
      </w:r>
      <w:r w:rsidRPr="00DD692C">
        <w:lastRenderedPageBreak/>
        <w:t xml:space="preserve">platforms. Two (V1, V2) platforms were variants of the Illumina HumanHap550+ </w:t>
      </w:r>
      <w:proofErr w:type="spellStart"/>
      <w:r w:rsidRPr="00DD692C">
        <w:t>BeadChip</w:t>
      </w:r>
      <w:proofErr w:type="spellEnd"/>
      <w:r w:rsidRPr="00DD692C">
        <w:t xml:space="preserve">, including 25,000 custom SNPs, one platform (V3) was the Illumina </w:t>
      </w:r>
      <w:proofErr w:type="spellStart"/>
      <w:r w:rsidRPr="00DD692C">
        <w:t>OmniExpress</w:t>
      </w:r>
      <w:proofErr w:type="spellEnd"/>
      <w:r w:rsidRPr="00DD692C">
        <w:t xml:space="preserve">+ </w:t>
      </w:r>
      <w:proofErr w:type="spellStart"/>
      <w:r w:rsidRPr="00DD692C">
        <w:t>BeadChip</w:t>
      </w:r>
      <w:proofErr w:type="spellEnd"/>
      <w:r w:rsidRPr="00DD692C">
        <w:t>, with custom SNPs to increase overlap with V2, and one platform (V4) is in current use and a fully customized array. Individuals that failed to meet a 98.5% call rate were re-analyzed. Only individuals with &gt; 97% European ancestry were included in the analysis. European ancestry was determined through an analysis of local ancestry using a support vector machine to classify individual haplotypes into one of 31 reference populations. Those classifications were then fed into a hidden Markov model (HMM) which accounts for incorrect assignments and switch errors, thereby giving probabilities for each reference population per window (100 SNPs). Simulated admixed individuals were then used to re-calibrate the HMM probabilities so the assigned ancestries were consistent with the simulated individuals. Publicly available datasets (Human Genome Diversity Project, HapMap</w:t>
      </w:r>
      <w:r w:rsidR="00A16DDA">
        <w:t xml:space="preserve"> </w:t>
      </w:r>
      <w:r w:rsidR="00A16DDA">
        <w:fldChar w:fldCharType="begin"/>
      </w:r>
      <w:r w:rsidR="00A16DDA">
        <w:instrText xml:space="preserve"> ADDIN ZOTERO_ITEM CSL_CITATION {"citationID":"4ws4nPRl","properties":{"formattedCitation":"(Altshuler et al., 2010)","plainCitation":"(Altshuler et al., 2010)","noteIndex":0},"citationItems":[{"id":1828,"uris":["http://zotero.org/users/9762508/items/A363DKKK"],"itemData":{"id":1828,"type":"article-journal","abstract":"Despite great progress in identifying genetic variants that influence human disease, most inherited risk remains unexplained. A more complete understanding requires genome-wide studies that fully examine less common alleles in populations with a wide range of ancestry. To inform the design and interpretation of such studies, we genotyped 1.6 million common single nucleotide polymorphisms (SNPs) in 1,184 reference individuals from 11 global populations, and sequenced ten 100-kilobase regions in 692 of these individuals. This integrated data set of common and rare alleles, called 'HapMap 3', includes both SNPs and copy number polymorphisms (CNPs). We characterized population-specific differences among low-frequency variants, measured the improvement in imputation accuracy afforded by the larger reference panel, especially in imputing SNPs with a minor allele frequency of &lt;or=5%, and demonstrated the feasibility of imputing newly discovered CNPs and SNPs. This expanded public resource of genome variants in global populations supports deeper interrogation of genomic variation and its role in human disease, and serves as a step towards a high-resolution map of the landscape of human genetic variation.","container-title":"Nature","DOI":"10.1038/nature09298","ISSN":"14764687","issue":"7311","page":"52-58","title":"Integrating common and rare genetic variation in diverse human populations","volume":"467","author":[{"family":"Altshuler","given":"David M."},{"family":"Gibbs","given":"Richard A."},{"family":"Peltonen","given":"Leena"},{"family":"Schaffner","given":"Stephen F."},{"family":"Yu","given":"Fuli"},{"family":"Dermitzakis","given":"Emmanouil"},{"family":"Bonnen","given":"Penelope E."},{"family":"De Bakker","given":"Paul I.W."},{"family":"Deloukas","given":"Panos"},{"family":"Gabriel","given":"Stacey B."},{"family":"Gwilliam","given":"Rhian"},{"family":"Hunt","given":"Sarah"},{"family":"Inouye","given":"Michael"},{"family":"Jia","given":"Xiaoming"},{"literal":"Aarno Palotie"},{"family":"Parkin","given":"Melissa"},{"family":"Whittaker","given":"Pamela"},{"family":"Chang","given":"Kyle"},{"family":"Hawes","given":"Alicia"},{"family":"Lewis","given":"Lora R."},{"family":"Ren","given":"Yanru"},{"family":"Wheeler","given":"David"},{"family":"Muzny","given":"Donna Marie"},{"family":"Barnes","given":"Chris"},{"family":"Darvishi","given":"Katayoon"},{"family":"Hurles","given":"Matthew"},{"family":"Korn","given":"Joshua M."},{"family":"Kristiansson","given":"Kati"},{"family":"Lee","given":"Charles"},{"family":"McCarroll","given":"Steven A."},{"family":"Nemesh","given":"James"},{"family":"Keinan","given":"Alon"},{"family":"Montgomery","given":"Stephen B."},{"literal":"Samuela Pollack"},{"family":"Price","given":"Alkes L."},{"family":"Soranzo","given":"Nicole"},{"family":"Gonzaga-Jauregui","given":"Claudia"},{"family":"Anttila","given":"Verneri"},{"family":"Brodeur","given":"Wendy"},{"family":"Daly","given":"Mark J."},{"family":"Leslie","given":"Stephen"},{"family":"McVean","given":"Gil"},{"family":"Moutsianas","given":"Loukas"},{"family":"Nguyen","given":"Huy"},{"family":"Zhang","given":"Qingrun"},{"family":"Ghori","given":"Mohammed J.R."},{"family":"McGinnis","given":"Ralph"},{"family":"McLaren","given":"William"},{"family":"Pollack","given":"Samuela"},{"family":"Takeuchi","given":"Fumihiko"},{"family":"Grossman","given":"Sharon R."},{"family":"Shlyakhter","given":"Ilya"},{"family":"Hostetter","given":"Elizabeth B."},{"family":"Sabeti","given":"Pardis C."},{"family":"Adebamowo","given":"Clement A."},{"family":"Foster","given":"Morris W."},{"family":"Gordon","given":"Deborah R."},{"family":"Licinio","given":"Julio"},{"family":"Manca","given":"Maria Cristina"},{"family":"Marshall","given":"Patricia A."},{"family":"Matsuda","given":"Ichiro"},{"family":"Ngare","given":"Duncan"},{"family":"Wang","given":"Vivian Ota"},{"family":"Reddy","given":"Deepa"},{"family":"Rotimi","given":"Charles N."},{"family":"Royal","given":"Charmaine D."},{"family":"Sharp","given":"Richard R."},{"family":"Zeng","given":"Changqing"},{"family":"Brooks","given":"D. B."},{"family":"McEwen","given":"Jean E."}],"issued":{"date-parts":[["2010"]]}}}],"schema":"https://github.com/citation-style-language/schema/raw/master/csl-citation.json"} </w:instrText>
      </w:r>
      <w:r w:rsidR="00A16DDA">
        <w:fldChar w:fldCharType="separate"/>
      </w:r>
      <w:r w:rsidR="00A16DDA" w:rsidRPr="00A16DDA">
        <w:t>(Altshuler et al., 2010)</w:t>
      </w:r>
      <w:r w:rsidR="00A16DDA">
        <w:fldChar w:fldCharType="end"/>
      </w:r>
      <w:r w:rsidRPr="00DD692C">
        <w:t>, and 1000 Genomes</w:t>
      </w:r>
      <w:r w:rsidR="00A16DDA">
        <w:t xml:space="preserve"> </w:t>
      </w:r>
      <w:r w:rsidR="00A16DDA">
        <w:fldChar w:fldCharType="begin"/>
      </w:r>
      <w:r w:rsidR="00A16DDA">
        <w:instrText xml:space="preserve"> ADDIN ZOTERO_ITEM CSL_CITATION {"citationID":"RNqeAHcG","properties":{"formattedCitation":"(The 1000 Genomes Project Consortium, 2015)","plainCitation":"(The 1000 Genomes Project Consortium, 2015)","noteIndex":0},"citationItems":[{"id":1789,"uris":["http://zotero.org/users/9762508/items/STD52SJI"],"itemData":{"id":1789,"type":"article-journal","abstract":"The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studies.","container-title":"Nature","DOI":"10.1038/nature15393","ISSN":"14764687","issue":"7571","note":"PMID: 26432245\narXiv: 15334406\nCitation Key: 1000genome\nISBN: 9781137332875","page":"68-74","title":"A global reference for human genetic variation","volume":"526","author":[{"literal":"The 1000 Genomes Project Consortium"}],"issued":{"date-parts":[["2015"]]}}}],"schema":"https://github.com/citation-style-language/schema/raw/master/csl-citation.json"} </w:instrText>
      </w:r>
      <w:r w:rsidR="00A16DDA">
        <w:fldChar w:fldCharType="separate"/>
      </w:r>
      <w:r w:rsidR="00A16DDA" w:rsidRPr="00A16DDA">
        <w:t>(The 1000 Genomes Project Consortium, 2015)</w:t>
      </w:r>
      <w:r w:rsidR="00A16DDA">
        <w:fldChar w:fldCharType="end"/>
      </w:r>
      <w:r w:rsidRPr="00DD692C">
        <w:t xml:space="preserve">) and 23andMe customers with four grandparents from the same country served as the reference population. Identity-by-descent (IBD) estimation was used to define a maximal set of unrelated individuals for each analysis. Individuals who shared less than 700 </w:t>
      </w:r>
      <w:proofErr w:type="spellStart"/>
      <w:r w:rsidRPr="00DD692C">
        <w:t>cM</w:t>
      </w:r>
      <w:proofErr w:type="spellEnd"/>
      <w:r w:rsidRPr="00DD692C">
        <w:t xml:space="preserve"> IBD were defined as unrelated (e.g.</w:t>
      </w:r>
      <w:r w:rsidR="00E419DC">
        <w:t>,</w:t>
      </w:r>
      <w:r w:rsidRPr="00DD692C">
        <w:t xml:space="preserve"> approximately less related than first cousins). The merged UK10K and 1000 Genomes Phase 3 panel was used for imputation. Finch, an internally developed tool that implements the Beagle haplotype graph-based phasing algorithm, modified to separate the steps of graph construction and phasing, was used for phasing. Imputation was then performed as an estimated allele dosage averaged over a set of possible imputed haplotypes for </w:t>
      </w:r>
      <w:proofErr w:type="gramStart"/>
      <w:r w:rsidRPr="00DD692C">
        <w:t>each individual</w:t>
      </w:r>
      <w:proofErr w:type="gramEnd"/>
      <w:r w:rsidRPr="00DD692C">
        <w:t xml:space="preserve">. Genetic association testing was performed using logistic regression, assuming an additive model for allelic effects, including age, sex, first five </w:t>
      </w:r>
      <w:r w:rsidR="003136E8">
        <w:t>principal components (</w:t>
      </w:r>
      <w:r w:rsidRPr="00DD692C">
        <w:t>PCs</w:t>
      </w:r>
      <w:r w:rsidR="003136E8">
        <w:t>)</w:t>
      </w:r>
      <w:r w:rsidRPr="00DD692C">
        <w:t>, and the genotype platform as covariates. For imputed data, the imputed dosages rather than the best-guess genotypes were used. The association p-value was computed using a likelihood ratio test.</w:t>
      </w:r>
      <w:r w:rsidR="00970648">
        <w:t xml:space="preserve"> </w:t>
      </w:r>
    </w:p>
    <w:p w14:paraId="00000019" w14:textId="77777777" w:rsidR="008E545C" w:rsidRPr="00DD692C" w:rsidRDefault="00000000">
      <w:pPr>
        <w:pStyle w:val="berschrift3"/>
        <w:spacing w:line="480" w:lineRule="auto"/>
        <w:jc w:val="both"/>
      </w:pPr>
      <w:bookmarkStart w:id="5" w:name="_heading=h.2et92p0" w:colFirst="0" w:colLast="0"/>
      <w:bookmarkEnd w:id="5"/>
      <w:r w:rsidRPr="00DD692C">
        <w:lastRenderedPageBreak/>
        <w:t>AGDS | Martin, N. | QIMR, Brisbane, Australia</w:t>
      </w:r>
    </w:p>
    <w:p w14:paraId="0000001B" w14:textId="57F35E6D" w:rsidR="008E545C" w:rsidRPr="00DD692C" w:rsidRDefault="00000000">
      <w:pPr>
        <w:spacing w:line="480" w:lineRule="auto"/>
        <w:jc w:val="both"/>
      </w:pPr>
      <w:r w:rsidRPr="00DD692C">
        <w:t>The Australian Genetics of Depression study (AGDS) was established to recruit a large cohort of individuals who have been diagnosed with depression at some point in their lifetime. The purpose of establishing this cohort is to investigate genetic and environmental risk factors for depression and response to commonly prescribed antidepressants. All cases and controls were diagnosed with Major Depressive Disorder. OCD cases were identified based on self</w:t>
      </w:r>
      <w:r w:rsidR="00A16DDA">
        <w:t>-</w:t>
      </w:r>
      <w:r w:rsidRPr="00DD692C">
        <w:t>reported clinical diagnosis for OCD while OCD controls had no self</w:t>
      </w:r>
      <w:r w:rsidR="00A16DDA">
        <w:t>-</w:t>
      </w:r>
      <w:r w:rsidRPr="00DD692C">
        <w:t xml:space="preserve">reported clinical diagnosis for OCD and obtained a score below 10 on the Obsessive-Compulsive Inventory-Revised (OCI-R). A total of 20,689 participants were recruited through the Australian Department of Human Services and a media campaign, 75% of whom were female. Participants were recruited to the Australian Genetics of Depression Study (www.geneticsofdepression.org.au) between 2016 and 2019. All study protocols were approved by the QIMR Berghofer Medical Research Institute Human Research Ethics Committee. The protocol for approaching participants through the DHS, enrolling them in the study, and consenting for all phases of the study (including invitation to future related studies) and accessing MBS and PBS records was approved by the Ethics Department of the Department of Human Services. The average age of participants was 43 years ± 15 years. Participants completed an online questionnaire that consisted of a compulsory module that assessed self-reported psychiatric history, clinical depression using the Composite Interview Diagnostic Interview Short Form, and experiences of using commonly prescribed antidepressants. Further voluntary modules assessed a wide range of traits of relevance to psychopathology. Participants who reported they were willing to provide a DNA sample (75%) were sent a saliva kit in the mail. In the present study, we included 757 cases and 5,368 controls for whom genotype data were available. Samples from the AGDS were genotyped in three different genotyping centers using the same array (GSAMD-24v1-0_20011747). Genotype calling was performed with </w:t>
      </w:r>
      <w:proofErr w:type="spellStart"/>
      <w:r w:rsidRPr="00DD692C">
        <w:t>GenomeStudio</w:t>
      </w:r>
      <w:proofErr w:type="spellEnd"/>
      <w:r w:rsidRPr="00DD692C">
        <w:t xml:space="preserve">. A common set of high QC markers between the different genotyping batches was obtained prior to joint imputation. Marker exclusion criteria (prior to imputation) included: unknown or ambiguous map position and strand alignment in a BLAST </w:t>
      </w:r>
      <w:r w:rsidRPr="00DD692C">
        <w:lastRenderedPageBreak/>
        <w:t xml:space="preserve">search, missingness &gt; 5%, HWE test </w:t>
      </w:r>
      <m:oMath>
        <m:r>
          <w:rPr>
            <w:rFonts w:ascii="Cambria Math" w:hAnsi="Cambria Math"/>
          </w:rPr>
          <m:t>P&lt; 1x1</m:t>
        </m:r>
        <m:sSup>
          <m:sSupPr>
            <m:ctrlPr>
              <w:rPr>
                <w:rFonts w:ascii="Cambria Math" w:hAnsi="Cambria Math"/>
              </w:rPr>
            </m:ctrlPr>
          </m:sSupPr>
          <m:e>
            <m:r>
              <w:rPr>
                <w:rFonts w:ascii="Cambria Math" w:hAnsi="Cambria Math"/>
              </w:rPr>
              <m:t>0</m:t>
            </m:r>
          </m:e>
          <m:sup>
            <m:r>
              <w:rPr>
                <w:rFonts w:ascii="Cambria Math" w:hAnsi="Cambria Math"/>
              </w:rPr>
              <m:t>-06</m:t>
            </m:r>
          </m:sup>
        </m:sSup>
      </m:oMath>
      <w:r w:rsidRPr="00DD692C">
        <w:t>, MAF &lt; 1%, GenTrain score &lt; 0.6. The Michigan imputation server</w:t>
      </w:r>
      <w:r w:rsidR="003136E8">
        <w:t xml:space="preserve"> </w:t>
      </w:r>
      <w:r w:rsidR="003136E8">
        <w:fldChar w:fldCharType="begin"/>
      </w:r>
      <w:r w:rsidR="003136E8">
        <w:instrText xml:space="preserve"> ADDIN ZOTERO_ITEM CSL_CITATION {"citationID":"gdpiieC5","properties":{"formattedCitation":"(Das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3136E8">
        <w:fldChar w:fldCharType="separate"/>
      </w:r>
      <w:r w:rsidR="003136E8" w:rsidRPr="003136E8">
        <w:t>(Das et al., 2016)</w:t>
      </w:r>
      <w:r w:rsidR="003136E8">
        <w:fldChar w:fldCharType="end"/>
      </w:r>
      <w:r w:rsidRPr="00DD692C">
        <w:t xml:space="preserve"> was used to impute the genotypes using the HRCr1.1 as a reference panel. Individuals were excluded based on a high missingness (missing rate &gt; 3%), inconsistent (and unresolvable) sex, or if deemed ancestry outliers from the European population (6 standard deviations from the first two genetic </w:t>
      </w:r>
      <w:r w:rsidR="00561C75">
        <w:t>PCs</w:t>
      </w:r>
      <w:r w:rsidRPr="00DD692C">
        <w:t>. The GWAS was done employing a logistic regression using PLINK 1.9</w:t>
      </w:r>
      <w:r w:rsidR="00A16DDA">
        <w:t xml:space="preserve"> </w:t>
      </w:r>
      <w:r w:rsidR="00A16DDA">
        <w:fldChar w:fldCharType="begin"/>
      </w:r>
      <w:r w:rsidR="00A16DDA">
        <w:instrText xml:space="preserve"> ADDIN ZOTERO_ITEM CSL_CITATION {"citationID":"V1xxtSwy","properties":{"formattedCitation":"(Purcell et al., 2007)","plainCitation":"(Purcell et al., 2007)","noteIndex":0},"citationItems":[{"id":3259,"uris":["http://zotero.org/users/9762508/items/TVXPRGS8"],"itemData":{"id":3259,"type":"article-journal","abstract":"Whole-genome association studies (WGAS) bring new computational, as well as analytic, challenges to researchers. Many existing genetic-analysis tools are not designed to handle such large data sets in a convenient manner and do not necessarily exploit the new opportunities that whole-genome data bring. To address these issues, we developed PLINK, an open-source C/C++ WGAS tool set. With PLINK, large data sets comprising hundreds of thousands of markers genotyped for thousands of individuals can be rapidly manipulated and analyzed in their entirety. As well as providing tools to make the basic analytic steps computationally efficient, PLINK also supports some novel approaches to whole-genome data that take advantage of whole-genome coverage. We introduce PLINK and describe the five main domains of function: data management, summary statistics, population stratification, association analysis, and identity-by-descent estimation. In particular, we focus on the estimation and use of identity-by-state and identity-by-descent information in the context of population-based whole-genome studies. This information can be used to detect and correct for population stratification and to identify extended chromosomal segments that are shared identical by descent between very distantly related individuals. Analysis of the patterns of segmental sharing has the potential to map disease loci that contain multiple rare variants in a population-based linkage analysis. © 2007 by The American Society of Human Genetics. All rights reserved.","container-title":"American journal of human genetics","DOI":"10.1086/519795","ISSN":"0002-9297","issue":"3","note":"PMID: 17701901\npublisher: Am J Hum Genet","page":"559-575","title":"PLINK: a tool set for whole-genome association and population-based linkage analyses","volume":"81","author":[{"family":"Purcell","given":"Shaun"},{"family":"Neale","given":"Benjamin"},{"family":"Todd-Brown","given":"Kathe"},{"family":"Thomas","given":"Lori"},{"family":"Ferreira","given":"Manuel A.R."},{"family":"Bender","given":"David"},{"family":"Maller","given":"Julian"},{"family":"Sklar","given":"Pamela"},{"family":"De Bakker","given":"Paul I.W."},{"family":"Daly","given":"Mark J."},{"family":"Sham","given":"Pak C."}],"issued":{"date-parts":[["2007"]]}}}],"schema":"https://github.com/citation-style-language/schema/raw/master/csl-citation.json"} </w:instrText>
      </w:r>
      <w:r w:rsidR="00A16DDA">
        <w:fldChar w:fldCharType="separate"/>
      </w:r>
      <w:r w:rsidR="00A16DDA" w:rsidRPr="00A16DDA">
        <w:t>(Purcell et al., 2007)</w:t>
      </w:r>
      <w:r w:rsidR="00A16DDA">
        <w:fldChar w:fldCharType="end"/>
      </w:r>
      <w:r w:rsidRPr="00DD692C">
        <w:t xml:space="preserve"> and imputed dosage genotypes while correcting for the genotyping center and the first twenty ancestry </w:t>
      </w:r>
      <w:r w:rsidR="00561C75">
        <w:t xml:space="preserve">PCs </w:t>
      </w:r>
      <w:r w:rsidRPr="00DD692C">
        <w:t>as covariates.</w:t>
      </w:r>
    </w:p>
    <w:p w14:paraId="0000001C" w14:textId="77777777" w:rsidR="008E545C" w:rsidRPr="00DD692C" w:rsidRDefault="00000000">
      <w:pPr>
        <w:pStyle w:val="berschrift3"/>
        <w:spacing w:line="480" w:lineRule="auto"/>
        <w:jc w:val="both"/>
      </w:pPr>
      <w:bookmarkStart w:id="6" w:name="_heading=h.tyjcwt" w:colFirst="0" w:colLast="0"/>
      <w:bookmarkEnd w:id="6"/>
      <w:proofErr w:type="spellStart"/>
      <w:r w:rsidRPr="00DD692C">
        <w:t>BioVU</w:t>
      </w:r>
      <w:proofErr w:type="spellEnd"/>
      <w:r w:rsidRPr="00DD692C">
        <w:t xml:space="preserve"> | Davis, L. K. | Nashville, Tennessee, USA </w:t>
      </w:r>
    </w:p>
    <w:p w14:paraId="0000001E" w14:textId="41ED4BCF" w:rsidR="008E545C" w:rsidRPr="00DD692C" w:rsidRDefault="002E56D9">
      <w:pPr>
        <w:spacing w:line="480" w:lineRule="auto"/>
        <w:jc w:val="both"/>
      </w:pPr>
      <w:r w:rsidRPr="002E56D9">
        <w:t xml:space="preserve">Vanderbilt University Medical Center (VUMC) is a tertiary care center that provides inpatient and outpatient care in Nashville, TN. The VUMC electronic health record (EHR) system was established in 1990 and includes data on billing codes from the International Classification of Diseases, </w:t>
      </w:r>
      <w:proofErr w:type="gramStart"/>
      <w:r w:rsidRPr="002E56D9">
        <w:t>9th</w:t>
      </w:r>
      <w:proofErr w:type="gramEnd"/>
      <w:r w:rsidRPr="002E56D9">
        <w:t xml:space="preserve"> and 10th editions (ICD-9 and ICD-10), Current Procedural Terminology (CPT) codes, laboratory values, reports, and clinical documentation. In 2007, VUMC launched a biobank, </w:t>
      </w:r>
      <w:proofErr w:type="spellStart"/>
      <w:r w:rsidRPr="002E56D9">
        <w:t>BioVU</w:t>
      </w:r>
      <w:proofErr w:type="spellEnd"/>
      <w:r w:rsidRPr="002E56D9">
        <w:t xml:space="preserve">, which links a patient’s DNA sample to their EHR. The </w:t>
      </w:r>
      <w:proofErr w:type="spellStart"/>
      <w:r w:rsidRPr="002E56D9">
        <w:t>BioVU</w:t>
      </w:r>
      <w:proofErr w:type="spellEnd"/>
      <w:r w:rsidRPr="002E56D9">
        <w:t xml:space="preserve"> Consent form is provided to patients in the outpatient clinic environments at VUMC. The form states policies on data sharing and privacy, and should a signature be obtained, makes any blood leftover from clinical care eligible for </w:t>
      </w:r>
      <w:proofErr w:type="spellStart"/>
      <w:r w:rsidRPr="002E56D9">
        <w:t>BioVU</w:t>
      </w:r>
      <w:proofErr w:type="spellEnd"/>
      <w:r w:rsidRPr="002E56D9">
        <w:t xml:space="preserve"> banking. The Vanderbilt University Medical Center Institutional Review Board oversees </w:t>
      </w:r>
      <w:proofErr w:type="spellStart"/>
      <w:r w:rsidRPr="002E56D9">
        <w:t>BioVU</w:t>
      </w:r>
      <w:proofErr w:type="spellEnd"/>
      <w:r w:rsidRPr="002E56D9">
        <w:t xml:space="preserve"> and approved this project (IRB201609). OCD case status was determined through a combination of ICD codes, medications, and natural language processing for EHR notes. Using ICD codes, cases were defined as individuals with any codes for OCD (ICD9: 300.3, ICD10: F42, F63.3, F45.22). Additional cases were gathered by first finding individuals with “obsessive-compulsive”, “obsessive compulsive”, or “OCD" in clinic notes, problem lists, discharge summaries, or clinical communications, where the first instance occurred before 55 years of age. Mentions of “OCD” were excluded if the keyword “osteochondritis” or “</w:t>
      </w:r>
      <w:proofErr w:type="spellStart"/>
      <w:r w:rsidRPr="002E56D9">
        <w:t>osteocondritis</w:t>
      </w:r>
      <w:proofErr w:type="spellEnd"/>
      <w:r w:rsidRPr="002E56D9">
        <w:t xml:space="preserve">” occurred in the same document, or if certain ICD codes related to pervasive developmental disorders, osteochondritis dissecans, and bariatric surgery status (ICD9: 299*, 732.7, 649.2, 649.20, 649.21, 649.23, 649.24, V45.86, ICD10: F84*, M93.20, O99.840, O99.841, </w:t>
      </w:r>
      <w:r w:rsidRPr="002E56D9">
        <w:lastRenderedPageBreak/>
        <w:t xml:space="preserve">O99.842, O99.843, O99.844, O99.845, Z98.84) occurred on the same date as the mention. Keyword mentions were excluded if negating terms or terms related to familial relationships occurred within 30 characters on either side of the mention. Next, these individuals were required to have OCD medication or cognitive behavioral therapy in their EHR. Finally, individuals with metabolic disorder codes (ICD9: 277.89, 277.9, ICD10: E88.9, E88.89) were excluded. Controls were defined as any individual without OCD codes, metabolic disorder codes, “obsessive-compulsive”, “obsessive compulsive”, or “OCD" in their clinical notes, and without evidence of OCD medication. The initial sample included 1062 cases (median age in years across EHR: 32.75, 58.6% female) and 40,316 controls (median age in years across EHR: 53.57% female). We obtained genotype information on 94,474 </w:t>
      </w:r>
      <w:proofErr w:type="spellStart"/>
      <w:r w:rsidRPr="002E56D9">
        <w:t>BioVU</w:t>
      </w:r>
      <w:proofErr w:type="spellEnd"/>
      <w:r w:rsidRPr="002E56D9">
        <w:t xml:space="preserve"> individuals genotyped on the Illumina MEGA EX array. </w:t>
      </w:r>
      <w:r w:rsidRPr="00DD692C">
        <w:t xml:space="preserve">Using PLINK v1.95 </w:t>
      </w:r>
      <w:r w:rsidR="00A16DDA">
        <w:fldChar w:fldCharType="begin"/>
      </w:r>
      <w:r w:rsidR="00A16DDA">
        <w:instrText xml:space="preserve"> ADDIN ZOTERO_ITEM CSL_CITATION {"citationID":"hsVZhoPS","properties":{"formattedCitation":"(Purcell et al., 2007)","plainCitation":"(Purcell et al., 2007)","noteIndex":0},"citationItems":[{"id":3259,"uris":["http://zotero.org/users/9762508/items/TVXPRGS8"],"itemData":{"id":3259,"type":"article-journal","abstract":"Whole-genome association studies (WGAS) bring new computational, as well as analytic, challenges to researchers. Many existing genetic-analysis tools are not designed to handle such large data sets in a convenient manner and do not necessarily exploit the new opportunities that whole-genome data bring. To address these issues, we developed PLINK, an open-source C/C++ WGAS tool set. With PLINK, large data sets comprising hundreds of thousands of markers genotyped for thousands of individuals can be rapidly manipulated and analyzed in their entirety. As well as providing tools to make the basic analytic steps computationally efficient, PLINK also supports some novel approaches to whole-genome data that take advantage of whole-genome coverage. We introduce PLINK and describe the five main domains of function: data management, summary statistics, population stratification, association analysis, and identity-by-descent estimation. In particular, we focus on the estimation and use of identity-by-state and identity-by-descent information in the context of population-based whole-genome studies. This information can be used to detect and correct for population stratification and to identify extended chromosomal segments that are shared identical by descent between very distantly related individuals. Analysis of the patterns of segmental sharing has the potential to map disease loci that contain multiple rare variants in a population-based linkage analysis. © 2007 by The American Society of Human Genetics. All rights reserved.","container-title":"American journal of human genetics","DOI":"10.1086/519795","ISSN":"0002-9297","issue":"3","note":"PMID: 17701901\npublisher: Am J Hum Genet","page":"559-575","title":"PLINK: a tool set for whole-genome association and population-based linkage analyses","volume":"81","author":[{"family":"Purcell","given":"Shaun"},{"family":"Neale","given":"Benjamin"},{"family":"Todd-Brown","given":"Kathe"},{"family":"Thomas","given":"Lori"},{"family":"Ferreira","given":"Manuel A.R."},{"family":"Bender","given":"David"},{"family":"Maller","given":"Julian"},{"family":"Sklar","given":"Pamela"},{"family":"De Bakker","given":"Paul I.W."},{"family":"Daly","given":"Mark J."},{"family":"Sham","given":"Pak C."}],"issued":{"date-parts":[["2007"]]}}}],"schema":"https://github.com/citation-style-language/schema/raw/master/csl-citation.json"} </w:instrText>
      </w:r>
      <w:r w:rsidR="00A16DDA">
        <w:fldChar w:fldCharType="separate"/>
      </w:r>
      <w:r w:rsidR="00A16DDA" w:rsidRPr="00A16DDA">
        <w:t>(Purcell et al., 2007)</w:t>
      </w:r>
      <w:r w:rsidR="00A16DDA">
        <w:fldChar w:fldCharType="end"/>
      </w:r>
      <w:r w:rsidRPr="00DD692C">
        <w:t>, genotypes were filtered for SNP and individual call rates, sex discrepancies, and excessive heterozygosity. We selected individuals of European ancestry using principal component analysis</w:t>
      </w:r>
      <w:r w:rsidR="00561C75">
        <w:t xml:space="preserve"> (PCA)</w:t>
      </w:r>
      <w:r w:rsidRPr="00DD692C">
        <w:t xml:space="preserve"> implemented in </w:t>
      </w:r>
      <w:proofErr w:type="spellStart"/>
      <w:r w:rsidRPr="00DD692C">
        <w:t>FlashPCA</w:t>
      </w:r>
      <w:proofErr w:type="spellEnd"/>
      <w:r w:rsidR="003136E8">
        <w:t xml:space="preserve"> </w:t>
      </w:r>
      <w:r w:rsidR="003136E8">
        <w:fldChar w:fldCharType="begin"/>
      </w:r>
      <w:r w:rsidR="003136E8">
        <w:instrText xml:space="preserve"> ADDIN ZOTERO_ITEM CSL_CITATION {"citationID":"e8TjFutX","properties":{"formattedCitation":"(Abraham &amp; Inouye, 2014)","plainCitation":"(Abraham &amp; Inouye, 2014)","noteIndex":0},"citationItems":[{"id":4622,"uris":["http://zotero.org/users/9762508/items/W3P52KNB"],"itemData":{"id":4622,"type":"article-journal","abstract":"Principal component analysis (PCA) is routinely used to analyze genome-wide single-nucleotide polymorphism (SNP) data, for detecting population structure and potential outliers. However, the size of SNP datasets has increased immensely in recent years and PCA of large datasets has become a time consuming task. We have developed flashpca, a highly efficient PCA implementation based on randomized algorithms, which delivers identical accuracy in extracting the top principal components compared with existing tools, in substantially less time. We demonstrate the utility of flashpca on both HapMap3 and on a large Immunochip dataset. For the latter, flashpca performed PCA of 15,000 individuals up to 125 times faster than existing tools, with identical results, and PCA of 150,000 individuals using flashpca completed in 4 hours. The increasing size of SNP datasets will make tools such as flashpca essential as traditional approaches will not adequately scale. This approach will also help to scale other applications that leverage PCA or eigen-decomposition to substantially larger datasets.","container-title":"PLOS ONE","DOI":"10.1371/journal.pone.0093766","ISSN":"1932-6203","issue":"4","journalAbbreviation":"PLOS ONE","language":"en","note":"publisher: Public Library of Science","page":"e93766","source":"PLoS Journals","title":"Fast Principal Component Analysis of Large-Scale Genome-Wide Data","volume":"9","author":[{"family":"Abraham","given":"Gad"},{"family":"Inouye","given":"Michael"}],"issued":{"date-parts":[["2014",4,9]]}}}],"schema":"https://github.com/citation-style-language/schema/raw/master/csl-citation.json"} </w:instrText>
      </w:r>
      <w:r w:rsidR="003136E8">
        <w:fldChar w:fldCharType="separate"/>
      </w:r>
      <w:r w:rsidR="003136E8" w:rsidRPr="003136E8">
        <w:t>(Abraham &amp; Inouye, 2014)</w:t>
      </w:r>
      <w:r w:rsidR="003136E8">
        <w:fldChar w:fldCharType="end"/>
      </w:r>
      <w:r w:rsidRPr="00DD692C">
        <w:t xml:space="preserve"> and confirmed the absence of genotyping batch effects through logistic regression with batch as the phenotype. Autosomes were imputed to the HRC panel using Michigan Imputation Server </w:t>
      </w:r>
      <w:r w:rsidR="003136E8">
        <w:fldChar w:fldCharType="begin"/>
      </w:r>
      <w:r w:rsidR="003136E8">
        <w:instrText xml:space="preserve"> ADDIN ZOTERO_ITEM CSL_CITATION {"citationID":"VAMdr60F","properties":{"formattedCitation":"(Das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3136E8">
        <w:fldChar w:fldCharType="separate"/>
      </w:r>
      <w:r w:rsidR="003136E8" w:rsidRPr="003136E8">
        <w:t>(Das et al., 2016)</w:t>
      </w:r>
      <w:r w:rsidR="003136E8">
        <w:fldChar w:fldCharType="end"/>
      </w:r>
      <w:r w:rsidRPr="00DD692C">
        <w:t xml:space="preserve"> in five batches. After imputation, genotypes were converted to hard calls with PLINK using the default threshold settings. SNPs with multiple alleles or imputation quality less than R² of 0.3 were excluded. Next, SNPs with minor allele frequency</w:t>
      </w:r>
      <w:r w:rsidR="00944AFF">
        <w:t xml:space="preserve"> (MAF)</w:t>
      </w:r>
      <w:r w:rsidRPr="00DD692C">
        <w:t xml:space="preserve"> less than 0.005 or genotyping rates less than 0.98 were excluded. Individuals with call rates less than 0.98 were excluded. We ran a series of PCA to determine </w:t>
      </w:r>
      <w:proofErr w:type="spellStart"/>
      <w:r w:rsidRPr="00DD692C">
        <w:t>BioVU</w:t>
      </w:r>
      <w:proofErr w:type="spellEnd"/>
      <w:r w:rsidRPr="00DD692C">
        <w:t xml:space="preserve"> individuals of European genetic ancestry. First, we performed PCA using </w:t>
      </w:r>
      <w:proofErr w:type="spellStart"/>
      <w:r w:rsidRPr="00DD692C">
        <w:t>FlashPCA</w:t>
      </w:r>
      <w:proofErr w:type="spellEnd"/>
      <w:r w:rsidRPr="00DD692C">
        <w:t xml:space="preserve"> on </w:t>
      </w:r>
      <w:proofErr w:type="spellStart"/>
      <w:r w:rsidRPr="00DD692C">
        <w:t>BioVU</w:t>
      </w:r>
      <w:proofErr w:type="spellEnd"/>
      <w:r w:rsidRPr="00DD692C">
        <w:t xml:space="preserve"> combined with CEU, YRI, and CHB reference sets from 1000 Genomes Project Phase 3 </w:t>
      </w:r>
      <w:r w:rsidR="003136E8">
        <w:fldChar w:fldCharType="begin"/>
      </w:r>
      <w:r w:rsidR="003136E8">
        <w:instrText xml:space="preserve"> ADDIN ZOTERO_ITEM CSL_CITATION {"citationID":"lW9tv9L3","properties":{"formattedCitation":"(The 1000 Genomes Project Consortium, 2015)","plainCitation":"(The 1000 Genomes Project Consortium, 2015)","noteIndex":0},"citationItems":[{"id":1789,"uris":["http://zotero.org/users/9762508/items/STD52SJI"],"itemData":{"id":1789,"type":"article-journal","abstract":"The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studies.","container-title":"Nature","DOI":"10.1038/nature15393","ISSN":"14764687","issue":"7571","note":"PMID: 26432245\narXiv: 15334406\nCitation Key: 1000genome\nISBN: 9781137332875","page":"68-74","title":"A global reference for human genetic variation","volume":"526","author":[{"literal":"The 1000 Genomes Project Consortium"}],"issued":{"date-parts":[["2015"]]}}}],"schema":"https://github.com/citation-style-language/schema/raw/master/csl-citation.json"} </w:instrText>
      </w:r>
      <w:r w:rsidR="003136E8">
        <w:fldChar w:fldCharType="separate"/>
      </w:r>
      <w:r w:rsidR="003136E8" w:rsidRPr="003136E8">
        <w:t>(The 1000 Genomes Project Consortium, 2015)</w:t>
      </w:r>
      <w:r w:rsidR="003136E8">
        <w:fldChar w:fldCharType="end"/>
      </w:r>
      <w:r w:rsidRPr="00DD692C">
        <w:t>.</w:t>
      </w:r>
      <w:r w:rsidR="001B4629">
        <w:t xml:space="preserve"> PCs were scaled so that the axes could be interpreted as proportions of genetic ancestry. We selected </w:t>
      </w:r>
      <w:proofErr w:type="spellStart"/>
      <w:r w:rsidR="001B4629">
        <w:t>BioVU</w:t>
      </w:r>
      <w:proofErr w:type="spellEnd"/>
      <w:r w:rsidR="001B4629">
        <w:t xml:space="preserve"> individuals who were within 40% of the CEU cluster along the CEU-CHB axis and within 30% of the CEU cluster on the CEU-YRI axis, generating a once-PCA filtered European set. To ensure subsequent steps would remove SNPs associated with reduced quality rather than cryptic population substructure, we filtered the previously identified </w:t>
      </w:r>
      <w:proofErr w:type="spellStart"/>
      <w:r w:rsidR="001B4629">
        <w:t>BioVU</w:t>
      </w:r>
      <w:proofErr w:type="spellEnd"/>
      <w:r w:rsidR="001B4629">
        <w:t xml:space="preserve"> European cluster to identify individuals falling within the CEU, TSI, and GIH 1000 genomes </w:t>
      </w:r>
      <w:r w:rsidR="001B4629">
        <w:lastRenderedPageBreak/>
        <w:t xml:space="preserve">populations, producing a twice filtered European set. Using the twice-filtered European set we conducted a series of SNP checks. First, we filtered individuals with IBS greater than 0.2 and calculated PCs to use as covariates. Next, we checked for imputation batch effects by conducting pairwise logistic regression of the five imputation batches using sex and top 10 PCs as covariates. SNPs with p-values less than 0.001 in the additive model were flagged. We then compared MAF between </w:t>
      </w:r>
      <w:proofErr w:type="spellStart"/>
      <w:r w:rsidR="001B4629">
        <w:t>BioVU</w:t>
      </w:r>
      <w:proofErr w:type="spellEnd"/>
      <w:r w:rsidR="001B4629">
        <w:t xml:space="preserve"> and the CEU reference population. Any SNPs with a MAF difference greater than 0.1 were flagged. SNPs with a Hardy-Weinberg Equilibrium (HWE) p-value less than </w:t>
      </w:r>
      <m:oMath>
        <m:r>
          <w:rPr>
            <w:rFonts w:ascii="Cambria Math" w:eastAsia="Cambria Math" w:hAnsi="Cambria Math" w:cs="Cambria Math"/>
          </w:rPr>
          <m:t>1x</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-10</m:t>
            </m:r>
          </m:sup>
        </m:sSup>
      </m:oMath>
      <w:r w:rsidR="001B4629">
        <w:t xml:space="preserve"> were flagged. Finally, the flagged SNPs from the batch effect, MAF difference, and HWE were excluded from the once-PCA filtered BioVU European set, resulting in 9,386,383 SNPs for analysis. The final dataset consisted of 1041 cases and 38,613 controls. To account for the large case-control imbalance, we used SAIGE </w:t>
      </w:r>
      <w:r w:rsidR="00693630">
        <w:fldChar w:fldCharType="begin"/>
      </w:r>
      <w:r w:rsidR="00E23A18">
        <w:instrText xml:space="preserve"> ADDIN ZOTERO_ITEM CSL_CITATION {"citationID":"kw1NnUSi","properties":{"formattedCitation":"(Zhou et al., 2018)","plainCitation":"(Zhou et al., 2018)","noteIndex":0},"citationItems":[{"id":2074,"uris":["http://zotero.org/users/9762508/items/8GN2Q29U"],"itemData":{"id":2074,"type":"article-journal","abstract":"In genome-wide association studies (GWAS) for thousands of phenotypes in large biobanks, most binary traits have substantially fewer cases than controls. Both of the widely used approaches, linear mixed model and the recently proposed logistic mixed model, perform poorly -- producing large type I error rates -- in the analysis of phenotypes with unbalanced case-control ratios. Here we propose a scalable and accurate generalized mixed model association test that uses the saddlepoint approximation (SPA) to calibrate the distribution of score test statistics. This method, SAIGE, provides accurate p-values even when case-control ratios are extremely unbalanced. It utilizes state-of-art optimization strategies to reduce computational time and memory cost of generalized mixed model. The computation cost linearly depends on sample size, and hence can be applicable to GWAS for thousands of phenotypes by large biobanks. Through the analysis of UK-Biobank data of 408,961 white British European-ancestry samples, we show that SAIGE can efficiently analyze large sample data, controlling for unbalanced case-control ratios and sample relatedness.","container-title":"Nature Genetics","DOI":"10.1038/s41588-018-0184-y","ISSN":"15461718","issue":"9","note":"publisher: Springer US","page":"1335-1341","title":"Efficiently controlling for case-control imbalance and sample relatedness in large-scale genetic association studies","volume":"50","author":[{"family":"Zhou","given":"Wei"},{"family":"Nielsen","given":"Jonas B."},{"family":"Fritsche","given":"Lars G."},{"family":"Dey","given":"Rounak"},{"family":"Gabrielsen","given":"Maiken E."},{"family":"Wolford","given":"Brooke N."},{"family":"LeFaive","given":"Jonathon"},{"family":"VandeHaar","given":"Peter"},{"family":"Gagliano","given":"Sarah A."},{"family":"Gifford","given":"Aliya"},{"family":"Bastarache","given":"Lisa A."},{"family":"Wei","given":"Wei Qi"},{"family":"Denny","given":"Joshua C."},{"family":"Lin","given":"Maoxuan"},{"family":"Hveem","given":"Kristian"},{"family":"Kang","given":"Hyun Min"},{"family":"Abecasis","given":"Goncalo R."},{"family":"Willer","given":"Cristen J."},{"family":"Lee","given":"Seunggeun"}],"issued":{"date-parts":[["2018"]]}}}],"schema":"https://github.com/citation-style-language/schema/raw/master/csl-citation.json"} </w:instrText>
      </w:r>
      <w:r w:rsidR="00693630">
        <w:fldChar w:fldCharType="separate"/>
      </w:r>
      <w:r w:rsidR="00E23A18" w:rsidRPr="00E23A18">
        <w:t>(Zhou et al., 2018)</w:t>
      </w:r>
      <w:r w:rsidR="00693630">
        <w:fldChar w:fldCharType="end"/>
      </w:r>
      <w:r w:rsidRPr="00DD692C">
        <w:t xml:space="preserve"> for the GWAS. Covariates included were sex, median age across medical record</w:t>
      </w:r>
      <w:sdt>
        <w:sdtPr>
          <w:tag w:val="goog_rdk_10"/>
          <w:id w:val="-692760260"/>
        </w:sdtPr>
        <w:sdtContent>
          <w:r w:rsidRPr="00DD692C">
            <w:t>s</w:t>
          </w:r>
        </w:sdtContent>
      </w:sdt>
      <w:r w:rsidRPr="00DD692C">
        <w:t xml:space="preserve">, and top 10 </w:t>
      </w:r>
      <w:r w:rsidR="003136E8">
        <w:t>PCs</w:t>
      </w:r>
      <w:r w:rsidRPr="00DD692C">
        <w:t xml:space="preserve">. </w:t>
      </w:r>
    </w:p>
    <w:p w14:paraId="0000001F" w14:textId="77777777" w:rsidR="008E545C" w:rsidRPr="00DD692C" w:rsidRDefault="00000000">
      <w:pPr>
        <w:pStyle w:val="berschrift3"/>
        <w:spacing w:line="480" w:lineRule="auto"/>
        <w:jc w:val="both"/>
      </w:pPr>
      <w:bookmarkStart w:id="7" w:name="_heading=h.3dy6vkm" w:colFirst="0" w:colLast="0"/>
      <w:bookmarkEnd w:id="7"/>
      <w:r w:rsidRPr="00DD692C">
        <w:t xml:space="preserve">Children’s Hospital of Philadelphia (CHOP) | </w:t>
      </w:r>
      <w:proofErr w:type="spellStart"/>
      <w:r w:rsidRPr="00DD692C">
        <w:t>Hakonarson</w:t>
      </w:r>
      <w:proofErr w:type="spellEnd"/>
      <w:r w:rsidRPr="00DD692C">
        <w:t>, H; Gur, R. E. | USA | 25840117, 2588255</w:t>
      </w:r>
    </w:p>
    <w:p w14:paraId="00000020" w14:textId="1DD477B3" w:rsidR="008E545C" w:rsidRPr="00DD692C" w:rsidRDefault="00000000">
      <w:pPr>
        <w:spacing w:line="480" w:lineRule="auto"/>
        <w:jc w:val="both"/>
      </w:pPr>
      <w:r w:rsidRPr="00DD692C">
        <w:t xml:space="preserve">Data were collected in the Philadelphia Neurodevelopmental Cohort (PNC) from the Children’s Hospital of Philadelphia (CHOP) </w:t>
      </w:r>
      <w:r w:rsidR="003136E8">
        <w:fldChar w:fldCharType="begin"/>
      </w:r>
      <w:r w:rsidR="001D0F65">
        <w:instrText xml:space="preserve"> ADDIN ZOTERO_ITEM CSL_CITATION {"citationID":"dkLLBiFl","properties":{"formattedCitation":"(Satterthwaite et al., 2016)","plainCitation":"(Satterthwaite et al., 2016)","noteIndex":0},"citationItems":[{"id":3963,"uris":["http://zotero.org/users/9762508/items/LKVFJMVW"],"itemData":{"id":3963,"type":"article-journal","abstract":"The Philadelphia Neurodevelopmental Cohort (PNC) is a large-scale study of child development that combines neuroimaging, diverse clinical and cognitive phenotypes, and genomics. Data from this rich resource is now publicly available through the Database of Genotypes and Phenotypes (dbGaP). Here we focus on the data from the PNC that is available through dbGaP and describe how users can access this data, which is evolving to be a significant resource for the broader neuroscience community for studies of normal and abnormal neurodevelopment.","container-title":"NeuroImage","DOI":"10.1016/j.neuroimage.2015.03.056","ISSN":"1095-9572","issue":"Pt B","journalAbbreviation":"Neuroimage","language":"eng","note":"PMID: 25840117\nPMCID: PMC4591095","page":"1115-1119","source":"PubMed","title":"The Philadelphia Neurodevelopmental Cohort: A publicly available resource for the study of normal and abnormal brain development in youth","title-short":"The Philadelphia Neurodevelopmental Cohort","volume":"124","author":[{"family":"Satterthwaite","given":"Theodore D."},{"family":"Connolly","given":"John J."},{"family":"Ruparel","given":"Kosha"},{"family":"Calkins","given":"Monica E."},{"family":"Jackson","given":"Chad"},{"family":"Elliott","given":"Mark A."},{"family":"Roalf","given":"David R."},{"family":"Hopson","given":"Ryan"},{"family":"Prabhakaran","given":"Karthik"},{"family":"Behr","given":"Meckenzie"},{"family":"Qiu","given":"Haijun"},{"family":"Mentch","given":"Frank D."},{"family":"Chiavacci","given":"Rosetta"},{"family":"Sleiman","given":"Patrick M. A."},{"family":"Gur","given":"Ruben C."},{"family":"Hakonarson","given":"Hakon"},{"family":"Gur","given":"Raquel E."}],"issued":{"date-parts":[["2016",1,1]]}}}],"schema":"https://github.com/citation-style-language/schema/raw/master/csl-citation.json"} </w:instrText>
      </w:r>
      <w:r w:rsidR="003136E8">
        <w:fldChar w:fldCharType="separate"/>
      </w:r>
      <w:r w:rsidR="001D0F65" w:rsidRPr="001D0F65">
        <w:t>(Satterthwaite et al., 2016)</w:t>
      </w:r>
      <w:r w:rsidR="003136E8">
        <w:fldChar w:fldCharType="end"/>
      </w:r>
      <w:r w:rsidRPr="00DD692C">
        <w:t xml:space="preserve">. 9428 participants aged 8-21 years completed a computerized structured screener based on the Kiddie-Schedule for Affective Disorders and Schizophrenia (K-SADS) called GO-ASSESS </w:t>
      </w:r>
      <w:r w:rsidR="003136E8">
        <w:fldChar w:fldCharType="begin"/>
      </w:r>
      <w:r w:rsidR="001D0F65">
        <w:instrText xml:space="preserve"> ADDIN ZOTERO_ITEM CSL_CITATION {"citationID":"DZkNteDZ","properties":{"formattedCitation":"(Calkins et al., 2014, 2015)","plainCitation":"(Calkins et al., 2014, 2015)","noteIndex":0},"citationItems":[{"id":3969,"uris":["http://zotero.org/users/9762508/items/NBWXTY4N"],"itemData":{"id":3969,"type":"article-journal","abstract":"Little is known about the occurrence and predictors of the psychosis spectrum in large non-clinical community samples of U.S. youths. We aimed to bridge this gap through assessment of psychosis spectrum symptoms in the Philadelphia Neurodevelopmental Cohort, a collaborative investigation of clinical and neurobehavioral phenotypes in a prospectively accrued cohort of youths, funded by the National Institute of Mental Health. Youths (age 11-21; N=7,054) and collateral informants (caregiver/legal guardian) were recruited through the Children's Hospital of Philadelphia and administered structured screens of psychosis spectrum symptoms, other major psychopathology domains, and substance use. Youths were also administered a computerized neurocognitive battery assessing five neurobehavioral domains. Predictors of psychosis spectrum status in physically healthy participants (N=4,848) were examined using logistic regression. Among medically healthy youths, 3.7% reported threshold psychotic symptoms (delusions and/or hallucinations). An additional 12.3% reported significant sub-psychotic positive symptoms, with odd/unusual thoughts and auditory perceptions, followed by reality confusion, being the most discriminating and widely endorsed attenuated symptoms. A minority of youths (2.3%) endorsed subclinical negative/disorganized symptoms in the absence of positive symptoms. Caregivers reported lower symptom levels than their children. Male gender, younger age, and non-European American ethnicity were significant predictors of spectrum status. Youths with spectrum symptoms had reduced accuracy across neurocognitive domains, reduced global functioning, and increased odds of depression, anxiety, behavioral disorders, substance use and suicidal ideation. These findings have public health relevance for prevention and early intervention.","container-title":"World psychiatry: official journal of the World Psychiatric Association (WPA)","DOI":"10.1002/wps.20152","ISSN":"1723-8617","issue":"3","journalAbbreviation":"World Psychiatry","language":"eng","note":"PMID: 25273303\nPMCID: PMC4219071","page":"296-305","source":"PubMed","title":"The psychosis spectrum in a young U.S. community sample: findings from the Philadelphia Neurodevelopmental Cohort","title-short":"The psychosis spectrum in a young U.S. community sample","volume":"13","author":[{"family":"Calkins","given":"Monica E."},{"family":"Moore","given":"Tyler M."},{"family":"Merikangas","given":"Kathleen R."},{"family":"Burstein","given":"Marcy"},{"family":"Satterthwaite","given":"Theodore D."},{"family":"Bilker","given":"Warren B."},{"family":"Ruparel","given":"Kosha"},{"family":"Chiavacci","given":"Rosetta"},{"family":"Wolf","given":"Daniel H."},{"family":"Mentch","given":"Frank"},{"family":"Qiu","given":"Haijun"},{"family":"Connolly","given":"John J."},{"family":"Sleiman","given":"Patrick A."},{"family":"Hakonarson","given":"Hakon"},{"family":"Gur","given":"Ruben C."},{"family":"Gur","given":"Raquel E."}],"issued":{"date-parts":[["2014",10]]}}},{"id":3966,"uris":["http://zotero.org/users/9762508/items/94CAJKZT"],"itemData":{"id":3966,"type":"article-journal","abstract":"BACKGROUND: An integrative multidisciplinary approach is required to elucidate the multiple factors that shape neurodevelopmental trajectories of mental disorders. The Philadelphia Neurodevelopmental Cohort (PNC), funded by the National Institute of Mental Health Grand Opportunity (GO) mechanism of the American Recovery and Reinvestment Act, was designed to characterize clinical and neurobehavioral phenotypes of genotyped youths. Data generated, which are recently available through the NIMH Database of Genotypes and Phenotypes (dbGaP), have garnered considerable interest. We provide an overview of PNC recruitment and clinical assessment methods to allow informed use and interpretation of the PNC resource by the scientific community. We also evaluate the structure of the assessment tools and their criterion validity.\nMETHODS: Participants were recruited from a large pool of youths (n = 13,958) previously identified and genotyped at The Children's Hospital of Philadelphia. A comprehensive computerized tool for structured evaluation of psychopathology domains (GOASSESS) was constructed. We administered GOASSESS to all participants and used factor analysis to evaluate its structure.\nRESULTS: A total of 9,498 youths (aged 8-21; mean age = 14.2; European American = 55.8%; African American = 32.9%; Other = 11.4%) were enrolled. Factor analysis revealed a strong general psychopathology factor, and specific 'anxious-misery', 'fear', and 'behavior' factors. The 'behavior' factor had a small negative correlation (-0.21) with overall accuracy of neurocognitive performance, particularly in tests of executive and complex reasoning. Being female had a high association with the 'anxious-misery' and low association with the 'behavior' factors. The psychosis spectrum was also best characterized by a general factor and three specific factors: ideas about 'special abilities/persecution,' 'unusual thoughts/perceptions', and 'negative/disorganized' symptoms.\nCONCLUSIONS: The PNC assessment mechanism yielded psychopathology data with strong factorial validity in a large diverse community cohort of genotyped youths. Factor scores should be useful for dimensional integration with other modalities (neuroimaging, genomics). Thus, PNC public domain resources can advance understanding of complex inter-relationships among genes, cognition, brain, and behavior involved in neurodevelopment of common mental disorders.","container-title":"Journal of Child Psychology and Psychiatry, and Allied Disciplines","DOI":"10.1111/jcpp.12416","ISSN":"1469-7610","issue":"12","journalAbbreviation":"J Child Psychol Psychiatry","language":"eng","note":"PMID: 25858255\nPMCID: PMC4598260","page":"1356-1369","source":"PubMed","title":"The Philadelphia Neurodevelopmental Cohort: constructing a deep phenotyping collaborative","title-short":"The Philadelphia Neurodevelopmental Cohort","volume":"56","author":[{"family":"Calkins","given":"Monica E."},{"family":"Merikangas","given":"Kathleen R."},{"family":"Moore","given":"Tyler M."},{"family":"Burstein","given":"Marcy"},{"family":"Behr","given":"Meckenzie A."},{"family":"Satterthwaite","given":"Theodore D."},{"family":"Ruparel","given":"Kosha"},{"family":"Wolf","given":"Daniel H."},{"family":"Roalf","given":"David R."},{"family":"Mentch","given":"Frank D."},{"family":"Qiu","given":"Haijun"},{"family":"Chiavacci","given":"Rosetta"},{"family":"Connolly","given":"John J."},{"family":"Sleiman","given":"Patrick M. A."},{"family":"Gur","given":"Ruben C."},{"family":"Hakonarson","given":"Hakon"},{"family":"Gur","given":"Raquel E."}],"issued":{"date-parts":[["2015",12]]}}}],"schema":"https://github.com/citation-style-language/schema/raw/master/csl-citation.json"} </w:instrText>
      </w:r>
      <w:r w:rsidR="003136E8">
        <w:fldChar w:fldCharType="separate"/>
      </w:r>
      <w:r w:rsidR="001D0F65" w:rsidRPr="001D0F65">
        <w:t>(Calkins et al., 2014, 2015)</w:t>
      </w:r>
      <w:r w:rsidR="003136E8">
        <w:fldChar w:fldCharType="end"/>
      </w:r>
      <w:r w:rsidRPr="00DD692C">
        <w:t xml:space="preserve">, which asked about the lifetime presence of any obsessive or compulsive symptoms as well as the severity, level of impairment and age of onset of symptoms. Samples were genotyped using Illumina Human610-Quadv1_B </w:t>
      </w:r>
      <w:proofErr w:type="spellStart"/>
      <w:r w:rsidRPr="00DD692C">
        <w:t>BeadChip</w:t>
      </w:r>
      <w:proofErr w:type="spellEnd"/>
      <w:r w:rsidRPr="00DD692C">
        <w:t xml:space="preserve"> array. As previously described </w:t>
      </w:r>
      <w:r w:rsidR="001D0F65">
        <w:fldChar w:fldCharType="begin"/>
      </w:r>
      <w:r w:rsidR="001D0F65">
        <w:instrText xml:space="preserve"> ADDIN ZOTERO_ITEM CSL_CITATION {"citationID":"laPHNDMm","properties":{"formattedCitation":"(Burton et al., 2021)","plainCitation":"(Burton et al., 2021)","noteIndex":0},"citationItems":[{"id":3229,"uris":["http://zotero.org/users/9762508/items/BPVB7UGW"],"itemData":{"id":3229,"type":"article-journal","abstract":"Using a novel trait-based measure, we examined genetic variants associated with obsessive-compulsive (OC) traits and tested whether OC traits and obsessive-compulsive disorder (OCD) shared genetic risk. We conducted a genome-wide association analysis (GWAS) of OC traits using the Toronto Obsessive-Compulsive Scale (TOCS) in 5018 unrelated Caucasian children and adolescents from the community (Spit for Science sample). We tested the hypothesis that genetic variants associated with OC traits from the community would be associated with clinical OCD using a meta-analysis of all currently available OCD cases. Shared genetic risk was examined between OC traits and OCD in the respective samples using polygenic risk score and genetic correlation analyses. A locus tagged by rs7856850 in an intron of PTPRD (protein tyrosine phosphatase δ) was significantly associated with OC traits at the genome-wide significance level (p = 2.48 × 10−8). rs7856850 was also associated with OCD in a meta-analysis of OCD case/control genome-wide datasets (p = 0.0069). The direction of effect was the same as in the community sample. Polygenic risk scores from OC traits were significantly associated with OCD in case/control datasets and vice versa (p’s &lt; 0.01). OC traits were highly, but not significantly, genetically correlated with OCD (rg = 0.71, p = 0.062). We report the first validated genome-wide significant variant for OC traits in PTPRD, downstream of the most significant locus in a previous OCD GWAS. OC traits measured in the community sample shared genetic risk with OCD case/control status. Our results demonstrate the feasibility and power of using trait-based approaches in community samples for genetic discovery.","container-title":"Translational Psychiatry 2021 11:1","DOI":"10.1038/s41398-020-01121-9","ISSN":"2158-3188","issue":"1","note":"PMID: 33531474\npublisher: Nature Publishing Group","page":"1-10","title":"Genome-wide association study of pediatric obsessive-compulsive traits: shared genetic risk between traits and disorder","volume":"11","author":[{"family":"Burton","given":"Christie L."},{"family":"Lemire","given":"Mathieu"},{"family":"Xiao","given":"Bowei"},{"family":"Corfield","given":"Elizabeth C."},{"family":"Erdman","given":"Lauren"},{"family":"Bralten","given":"Janita"},{"family":"Poelmans","given":"Geert"},{"family":"Yu","given":"Dongmei"},{"family":"Shaheen","given":"S. M."},{"family":"Goodale","given":"Tara"},{"family":"Sinopoli","given":"Vanessa M."},{"family":"Askland","given":"Kathleen D."},{"family":"Barlassina","given":"Cristina"},{"family":"Bienvenu","given":"O. Joseph"},{"family":"Black","given":"Donald"},{"family":"Bloch","given":"Michael"},{"family":"Brentani","given":"Helena"},{"family":"Camarena","given":"Beatriz"},{"family":"Cappi","given":"Carolina"},{"family":"Cath","given":"Danielle"},{"family":"Cavallini","given":"M. Cristina"},{"family":"Ciullo","given":"Valentina"},{"family":"Conti","given":"David"},{"family":"Cook","given":"Edwin H."},{"family":"Coric","given":"Vladimir"},{"family":"Cullen","given":"Bernadette A."},{"family":"Cusi","given":"Danielle"},{"family":"Davis","given":"Lea K."},{"family":"Delorme","given":"Richard"},{"family":"Denys","given":"Damiaan"},{"family":"Derks","given":"Eske"},{"family":"Eapen","given":"Valsamma"},{"family":"Edlund","given":"Christopher"},{"family":"Falkai","given":"Peter"},{"family":"Fyer","given":"Abby J."},{"family":"Geller","given":"Daniel A."},{"family":"Goes","given":"Fernando S."},{"family":"Grabe","given":"Hans J."},{"family":"Grados","given":"Marco A."},{"family":"Greenberg","given":"Benjamin D."},{"family":"Grünblatt","given":"Edna"},{"family":"Guo","given":"Wei"},{"family":"Hounie","given":"Ana G."},{"family":"Jenike","given":"Michael"},{"family":"Keenan","given":"Clare L."},{"family":"Kennedy","given":"James L."},{"family":"Khramtsova","given":"Ekaterina A."},{"family":"Knowles","given":"James A."},{"family":"Krasnow","given":"Janice"},{"family":"Lange","given":"Cristoph"},{"family":"Lanzagorta","given":"Nuria"},{"family":"Leboyer","given":"Marion"},{"family":"Liang","given":"Kung Yee"},{"family":"Lochner","given":"Christine"},{"family":"Macciardi","given":"Fabio"},{"family":"Maher","given":"Brion"},{"family":"Mathews","given":"Carol A."},{"family":"Mattheisen","given":"Manuel"},{"family":"McCracken","given":"James T."},{"family":"McGregor","given":"Nathaniel"},{"family":"McLaughlin","given":"Nicole C.R."},{"family":"Miguel","given":"Euripedes","dropping-particle":"c."},{"family":"Neale","given":"Benjamin"},{"family":"Nestadt","given":"Gerald"},{"family":"Nestadt","given":"Paul S."},{"family":"Nicolini","given":"Humberto"},{"family":"Nurmi","given":"Erika L."},{"family":"Osiecki","given":"Lisa"},{"family":"Piacentini","given":"John"},{"family":"Pittenger","given":"Christopher"},{"family":"Posthuma","given":"Danielle"},{"family":"Pulver","given":"Ann E."},{"family":"Rasmussen","given":"Steven A."},{"family":"Rauch","given":"Scott"},{"family":"Richter","given":"Margaret A."},{"family":"Riddle","given":"Mark A."},{"family":"Ripke","given":"Stephan"},{"family":"Ruhrmann","given":"Stephan"},{"family":"Sampaio","given":"Aline S."},{"family":"Samuels","given":"Jack F."},{"family":"Scharf","given":"Jeremiah M."},{"family":"Shugart","given":"Yin Yao"},{"family":"Smit","given":"Jan H."},{"family":"Stein","given":"Dan J."},{"family":"Stewart","given":"S. Evelyn"},{"family":"Turiel","given":"Maurizio"},{"family":"Vallada","given":"Homero"},{"family":"Veenstra-VanderWeele","given":"Jeremy"},{"family":"Vulink","given":"Nienke"},{"family":"Wagner","given":"Michael"},{"family":"Walitza","given":"Susanne"},{"family":"Wang","given":"Ying"},{"family":"Wendland","given":"Jens"},{"family":"Zai","given":"Gwyneth"},{"family":"Soreni","given":"Noam"},{"family":"Hanna","given":"Gregory L."},{"family":"Fitzgerald","given":"Kate D."},{"family":"Rosenberg","given":"David"},{"family":"Nestadt","given":"Gerald"},{"family":"Paterson","given":"Andrew D."},{"family":"Strug","given":"Lisa J."},{"family":"Schachar","given":"Russell J."},{"family":"Crosbie","given":"Jennifer"},{"family":"Arnold","given":"Paul D."}],"issued":{"date-parts":[["2021",2,2]]}}}],"schema":"https://github.com/citation-style-language/schema/raw/master/csl-citation.json"} </w:instrText>
      </w:r>
      <w:r w:rsidR="001D0F65">
        <w:fldChar w:fldCharType="separate"/>
      </w:r>
      <w:r w:rsidR="001D0F65" w:rsidRPr="001D0F65">
        <w:t>(Burton et al., 2021)</w:t>
      </w:r>
      <w:r w:rsidR="001D0F65">
        <w:fldChar w:fldCharType="end"/>
      </w:r>
      <w:r w:rsidRPr="00DD692C">
        <w:t xml:space="preserve">, QC filtering was done using standard methods including removing SNPs with </w:t>
      </w:r>
      <w:r w:rsidR="00944AFF">
        <w:t xml:space="preserve">MAF </w:t>
      </w:r>
      <w:r w:rsidRPr="00DD692C">
        <w:t>&lt; 0.01, and imputation quality &lt; 0.6. GWAS was conducted using R (v3.5.1) with a logistic regression and using age, sex, and 3 PC scores as covariates.</w:t>
      </w:r>
    </w:p>
    <w:p w14:paraId="00000021" w14:textId="77777777" w:rsidR="008E545C" w:rsidRPr="00DD692C" w:rsidRDefault="008E545C" w:rsidP="00A821F7">
      <w:pPr>
        <w:pStyle w:val="berschrift3"/>
      </w:pPr>
    </w:p>
    <w:p w14:paraId="0F899591" w14:textId="4C501CB9" w:rsidR="00A821F7" w:rsidRPr="00316A97" w:rsidRDefault="00A821F7" w:rsidP="00A821F7">
      <w:pPr>
        <w:pStyle w:val="berschrift3"/>
      </w:pPr>
      <w:bookmarkStart w:id="8" w:name="_heading=h.1t3h5sf" w:colFirst="0" w:colLast="0"/>
      <w:bookmarkEnd w:id="8"/>
      <w:r w:rsidRPr="00316A97">
        <w:t xml:space="preserve">COGA | </w:t>
      </w:r>
      <w:r w:rsidR="00316A97" w:rsidRPr="00316A97">
        <w:t>Porjesz,</w:t>
      </w:r>
      <w:r w:rsidR="00316A97">
        <w:t xml:space="preserve"> B.;</w:t>
      </w:r>
      <w:r w:rsidR="00316A97" w:rsidRPr="00316A97">
        <w:t xml:space="preserve"> Foroud,</w:t>
      </w:r>
      <w:r w:rsidR="00316A97">
        <w:t xml:space="preserve"> T.;</w:t>
      </w:r>
      <w:r w:rsidR="00316A97" w:rsidRPr="00316A97">
        <w:t xml:space="preserve"> Agrawal</w:t>
      </w:r>
      <w:r w:rsidR="00316A97">
        <w:t>, A.</w:t>
      </w:r>
      <w:r w:rsidRPr="00316A97">
        <w:t xml:space="preserve"> | USA | 31270906, 31090166</w:t>
      </w:r>
    </w:p>
    <w:p w14:paraId="12E8259B" w14:textId="77777777" w:rsidR="00A821F7" w:rsidRPr="00316A97" w:rsidRDefault="00A821F7" w:rsidP="00A821F7"/>
    <w:p w14:paraId="00000023" w14:textId="32A23615" w:rsidR="008E545C" w:rsidRPr="00DD692C" w:rsidRDefault="00000000">
      <w:pPr>
        <w:spacing w:line="480" w:lineRule="auto"/>
        <w:jc w:val="both"/>
      </w:pPr>
      <w:r w:rsidRPr="00DD692C">
        <w:t xml:space="preserve">Participants of the Collaborative Study on the Genetics of Alcoholism (COGA) were recruited from 7 sites across the U.S. Institutional review boards at all sites approved the study and all participants provided informed consent. OCD diagnosis was determined using DSM-III-R or DSM-IV. COGA European ancestry (EA) data were genotyped using three arrays: Illumina Human1M array, Illumina Human </w:t>
      </w:r>
      <w:proofErr w:type="spellStart"/>
      <w:r w:rsidRPr="00DD692C">
        <w:t>OmniExpress</w:t>
      </w:r>
      <w:proofErr w:type="spellEnd"/>
      <w:r w:rsidRPr="00DD692C">
        <w:t xml:space="preserve"> V1 array, Smokescreen genotyping array (two different batches) </w:t>
      </w:r>
      <w:r w:rsidR="001D0F65">
        <w:fldChar w:fldCharType="begin"/>
      </w:r>
      <w:r w:rsidR="001D0F65">
        <w:instrText xml:space="preserve"> ADDIN ZOTERO_ITEM CSL_CITATION {"citationID":"b3c8bWFN","properties":{"formattedCitation":"(Lai et al., 2019, 2020)","plainCitation":"(Lai et al., 2019, 2020)","noteIndex":0},"citationItems":[{"id":3989,"uris":["http://zotero.org/users/9762508/items/2CXCE34Q"],"itemData":{"id":3989,"type":"article-journal","abstract":"Genome-wide association studies (GWAS) of alcohol dependence (AD) have reliably identified variation within alcohol metabolizing genes (eg, ADH1B) but have inconsistently located other signals, which may be partially attributable to symptom heterogeneity underlying the disorder. We conducted GWAS of DSM-IV AD (primary analysis), DSM-IV AD criterion count (secondary analysis), and individual dependence criteria (tertiary analysis) among 7418 (1121 families) European American (EA) individuals from the Collaborative Study on the Genetics of Alcoholism (COGA). Trans-ancestral meta-analyses combined these results with data from 3175 (585 families) African-American (AA) individuals from COGA. In the EA GWAS, three loci were genome-wide significant: rs1229984 in ADH1B for AD criterion count (P = 4.16E−11) and Desire to cut drinking (P = 1.21E−11); rs188227250 (chromosome 8, Drinking more than intended, P = 6.72E−09); rs1912461 (chromosome 15, Time spent drinking, P = 1.77E−08). In the trans-ancestral meta-analysis, rs1229984 was associated with multiple phenotypes and two additional loci were genome-wide significant: rs61826952 (chromosome 1, DSM-IV AD, P = 8.42E−11); rs7597960 (chromosome 2, Time spent drinking, P = 1.22E−08). Associations with rs1229984 and rs18822750 were replicated in independent datasets. Polygenic risk scores derived from the EA GWAS of AD predicted AD in two EA datasets (P &lt; .01; 0.61%-1.82% of variance). Identified novel variants (ie, rs1912461, rs61826952) were associated with differential central evoked theta power (loss − gain; P = .0037) and reward-related ventral striatum reactivity (P = .008), respectively. This study suggests that studying individual criteria may unveil new insights into the genetic etiology of AD liability.","container-title":"Genes, Brain and Behavior","DOI":"10.1111/gbb.12579","ISSN":"1601-183X","issue":"6","language":"en","note":"_eprint: https://onlinelibrary.wiley.com/doi/pdf/10.1111/gbb.12579","page":"e12579","source":"Wiley Online Library","title":"Genome-wide association studies of alcohol dependence, DSM-IV criterion count and individual criteria","volume":"18","author":[{"family":"Lai","given":"Dongbing"},{"family":"Wetherill","given":"Leah"},{"family":"Bertelsen","given":"Sarah"},{"family":"Carey","given":"Caitlin E."},{"family":"Kamarajan","given":"Chella"},{"family":"Kapoor","given":"Manav"},{"family":"Meyers","given":"Jacquelyn L."},{"family":"Anokhin","given":"Andrey P."},{"family":"Bennett","given":"David A."},{"family":"Bucholz","given":"Kathleen K."},{"family":"Chang","given":"Katharine K."},{"family":"De Jager","given":"Philip L."},{"family":"Dick","given":"Danielle M."},{"family":"Hesselbrock","given":"Victor"},{"family":"Kramer","given":"John"},{"family":"Kuperman","given":"Samuel"},{"family":"Nurnberger Jr","given":"John I."},{"family":"Raj","given":"Towfique"},{"family":"Schuckit","given":"Marc"},{"family":"Scott","given":"Denise M."},{"family":"Taylor","given":"Robert E."},{"family":"Tischfield","given":"Jay"},{"family":"Hariri","given":"Ahmad R."},{"family":"Edenberg","given":"Howard J."},{"family":"Agrawal","given":"Arpana"},{"family":"Bogdan","given":"Ryan"},{"family":"Porjesz","given":"Bernice"},{"family":"Goate","given":"Alison M."},{"family":"Foroud","given":"Tatiana"}],"issued":{"date-parts":[["2019"]]}}},{"id":3992,"uris":["http://zotero.org/users/9762508/items/ZUNC2QPW"],"itemData":{"id":3992,"type":"article-journal","abstract":"The level of response (LR) to alcohol as measured with the Self-Report of the Effects of Alcohol Retrospective Questionnaire (SRE) evaluates the number of standard drinks usually required for up to four effects. The need for a higher number of drinks for effects is genetically influenced and predicts higher risks for heavy drinking and alcohol problems. We conducted genome-wide association study (GWAS) in the African-American (COGA-AA, N = 1527 from 309 families) and European-American (COGA-EA, N = 4723 from 956 families) subsamples of the Collaborative Studies on the Genetics of Alcoholism (COGA) for two SRE scores: SRE-T (average of first five times of drinking, the period of heaviest drinking, and the most recent 3 months of consumption) and SRE-5 (the first five times of drinking). We then meta-analyzed the two COGA subsamples (COGA-AA + EA). Both SRE-T and SRE-5 were modestly heritable (h2: 21%-31%) and genetically correlated with alcohol dependence (AD) and DSM-IV AD criterion count (rg: 0.35-0.76). Genome-wide significant associations were observed (SRE-T: chromosomes 6, rs140154945, COGA-EA P = 3.30E-08 and 11, rs10647170, COGA-AA+EA P = 3.53E-09; SRE-5: chromosome13, rs4770359, COGA-AA P = 2.92E-08). Chromosome 11 was replicated in an EA dataset from the National Institute on Alcohol Abuse and Alcoholism intramural program. In silico functional analyses and RNA expression analyses suggest that the chromosome 6 locus is an eQTL for KIF25. Polygenic risk scores derived using the COGA SRE-T and SRE-5 GWAS predicted 0.47% to 2.48% of variances in AD and DSM-IV AD criterion count in independent datasets. This study highlights the genetic contribution of alcohol response phenotypes to the etiology of alcohol use disorders.","container-title":"Addiction Biology","DOI":"10.1111/adb.12800","ISSN":"1369-1600","issue":"2","language":"en","note":"_eprint: https://onlinelibrary.wiley.com/doi/pdf/10.1111/adb.12800","page":"e12800","source":"Wiley Online Library","title":"Genome-wide association studies of the self-rating of effects of ethanol (SRE)","volume":"25","author":[{"family":"Lai","given":"Dongbing"},{"family":"Wetherill","given":"Leah"},{"family":"Kapoor","given":"Manav"},{"family":"Johnson","given":"Emma C."},{"family":"Schwandt","given":"Melanie"},{"family":"Ramchandani","given":"Vijay A."},{"family":"Goldman","given":"David"},{"family":"Joslyn","given":"Geoff"},{"family":"Rao","given":"Xi"},{"family":"Liu","given":"Yunlong"},{"family":"Farris","given":"Sean"},{"family":"Mayfield","given":"R. Dayne"},{"family":"Dick","given":"Danielle"},{"family":"Hesselbrock","given":"Victor"},{"family":"Kramer","given":"John"},{"family":"McCutcheon","given":"Vivia V."},{"family":"Nurnberger","given":"John"},{"family":"Tischfield","given":"Jay"},{"family":"Goate","given":"Alison"},{"family":"Edenberg","given":"Howard J."},{"family":"Porjesz","given":"Bernice"},{"family":"Agrawal","given":"Arpana"},{"family":"Foroud","given":"Tatiana"},{"family":"Schuckit","given":"Marc"}],"issued":{"date-parts":[["2020"]]}}}],"schema":"https://github.com/citation-style-language/schema/raw/master/csl-citation.json"} </w:instrText>
      </w:r>
      <w:r w:rsidR="001D0F65">
        <w:fldChar w:fldCharType="separate"/>
      </w:r>
      <w:r w:rsidR="001D0F65" w:rsidRPr="001D0F65">
        <w:t>(Lai et al., 2019, 2020)</w:t>
      </w:r>
      <w:r w:rsidR="001D0F65">
        <w:fldChar w:fldCharType="end"/>
      </w:r>
      <w:r w:rsidRPr="00DD692C">
        <w:t xml:space="preserve">. To confirm pedigree structure and estimate PCs of population stratification, we used a set of independent (defined as linkage disequilibrium (LD) r2 &lt; 0.5) and high-quality variants (MAF &gt; 10%, HWE </w:t>
      </w:r>
      <w:r w:rsidR="005E689A">
        <w:t>p-</w:t>
      </w:r>
      <w:r w:rsidRPr="00DD692C">
        <w:t xml:space="preserve">value &gt; 0.001, missing rate &lt; 2%, 47,000 variants) genotyped on all arrays. Pairwise identity by descent was computed using PLINK </w:t>
      </w:r>
      <w:r w:rsidR="001D0F65">
        <w:fldChar w:fldCharType="begin"/>
      </w:r>
      <w:r w:rsidR="001D0F65">
        <w:instrText xml:space="preserve"> ADDIN ZOTERO_ITEM CSL_CITATION {"citationID":"NHM0BTmY","properties":{"formattedCitation":"(Chang et al., 2015; Purcell et al., 2007)","plainCitation":"(Chang et al., 2015; Purcell et al., 2007)","noteIndex":0},"citationItems":[{"id":3253,"uris":["http://zotero.org/users/9762508/items/IX89LDBQ"],"itemData":{"id":3253,"type":"article-journal","abstract":"Background: PLINK 1 is a widely used open-source C/C++ toolset for genome-wide association studies (GWAS) and research in population genetics. However, the steady accumulation of data from imputation and whole-genome sequencing studies has exposed a strong need for faster and scalable implementations of key functions, such as logistic regression, linkage disequilibrium estimation, and genomic distance evaluation. In addition, GWAS and population-genetic data now frequently contain genotype likelihoods, phase information, and/or multiallelic variants, none of which can be represented by PLINK 1's primary data format. Findings: To address these issues, we are developing a second-generation codebase for PLINK. The first major release from this codebase, PLINK 1.9, introduces extensive use of bit-level parallelism, O(√n)-time/constant-space Hardy-Weinberg equilibrium and Fisher's exact tests, and many other algorithmic improvements. In combination, these changes accelerate most operations by 1-4 orders of magnitude, and allow the program to handle datasets too large to fit in RAM. We have also developed an extension to the data format which adds low-overhead support for genotype likelihoods, phase, multiallelic variants, and reference vs. alternate alleles, which is the basis of our planned second release (PLINK 2.0). Conclusions: The second-generation versions of PLINK will offer dramatic improvements in performance and compatibility. For the first time, users without access to high-end computing resources can perform several essential analyses of the feature-rich and very large genetic datasets coming into use.","container-title":"GigaScience","DOI":"10.1186/S13742-015-0047-8/2707533","ISSN":"2047217X","issue":"1","note":"PMID: 25722852\narXiv: 1410.4803\npublisher: BioMed Central Ltd.","page":"7","title":"Second-generation PLINK: Rising to the challenge of larger and richer datasets","volume":"4","author":[{"family":"Chang","given":"Christopher C."},{"family":"Chow","given":"Carson C."},{"family":"Tellier","given":"Laurent C.A.M."},{"family":"Vattikuti","given":"Shashaank"},{"family":"Purcell","given":"Shaun M."},{"family":"Lee","given":"James J."}],"issued":{"date-parts":[["2015",2,25]]}}},{"id":3259,"uris":["http://zotero.org/users/9762508/items/TVXPRGS8"],"itemData":{"id":3259,"type":"article-journal","abstract":"Whole-genome association studies (WGAS) bring new computational, as well as analytic, challenges to researchers. Many existing genetic-analysis tools are not designed to handle such large data sets in a convenient manner and do not necessarily exploit the new opportunities that whole-genome data bring. To address these issues, we developed PLINK, an open-source C/C++ WGAS tool set. With PLINK, large data sets comprising hundreds of thousands of markers genotyped for thousands of individuals can be rapidly manipulated and analyzed in their entirety. As well as providing tools to make the basic analytic steps computationally efficient, PLINK also supports some novel approaches to whole-genome data that take advantage of whole-genome coverage. We introduce PLINK and describe the five main domains of function: data management, summary statistics, population stratification, association analysis, and identity-by-descent estimation. In particular, we focus on the estimation and use of identity-by-state and identity-by-descent information in the context of population-based whole-genome studies. This information can be used to detect and correct for population stratification and to identify extended chromosomal segments that are shared identical by descent between very distantly related individuals. Analysis of the patterns of segmental sharing has the potential to map disease loci that contain multiple rare variants in a population-based linkage analysis. © 2007 by The American Society of Human Genetics. All rights reserved.","container-title":"American journal of human genetics","DOI":"10.1086/519795","ISSN":"0002-9297","issue":"3","note":"PMID: 17701901\npublisher: Am J Hum Genet","page":"559-575","title":"PLINK: a tool set for whole-genome association and population-based linkage analyses","volume":"81","author":[{"family":"Purcell","given":"Shaun"},{"family":"Neale","given":"Benjamin"},{"family":"Todd-Brown","given":"Kathe"},{"family":"Thomas","given":"Lori"},{"family":"Ferreira","given":"Manuel A.R."},{"family":"Bender","given":"David"},{"family":"Maller","given":"Julian"},{"family":"Sklar","given":"Pamela"},{"family":"De Bakker","given":"Paul I.W."},{"family":"Daly","given":"Mark J."},{"family":"Sham","given":"Pak C."}],"issued":{"date-parts":[["2007"]]}}}],"schema":"https://github.com/citation-style-language/schema/raw/master/csl-citation.json"} </w:instrText>
      </w:r>
      <w:r w:rsidR="001D0F65">
        <w:fldChar w:fldCharType="separate"/>
      </w:r>
      <w:r w:rsidR="001D0F65" w:rsidRPr="001D0F65">
        <w:t>(Chang et al., 2015; Purcell et al., 2007)</w:t>
      </w:r>
      <w:r w:rsidR="001D0F65">
        <w:fldChar w:fldCharType="end"/>
      </w:r>
      <w:r w:rsidRPr="00DD692C">
        <w:t xml:space="preserve"> to confirm family relationships and family structures were updated if necessary. PCs were calculated using </w:t>
      </w:r>
      <w:proofErr w:type="spellStart"/>
      <w:r w:rsidRPr="00DD692C">
        <w:t>Eigenstrat</w:t>
      </w:r>
      <w:proofErr w:type="spellEnd"/>
      <w:r w:rsidRPr="00DD692C">
        <w:t xml:space="preserve"> </w:t>
      </w:r>
      <w:r w:rsidR="001D0F65">
        <w:fldChar w:fldCharType="begin"/>
      </w:r>
      <w:r w:rsidR="001D0F65">
        <w:instrText xml:space="preserve"> ADDIN ZOTERO_ITEM CSL_CITATION {"citationID":"t5O56WT7","properties":{"formattedCitation":"(Price et al., 2006)","plainCitation":"(Price et al., 2006)","noteIndex":0},"citationItems":[{"id":3266,"uris":["http://zotero.org/users/9762508/items/P5PLR8V2"],"itemData":{"id":3266,"type":"article-journal","abstract":"Population stratification - allele frequency differences between cases and controls due to systematic ancestry differences - can cause spurious associations in disease studies. We describe a method that enables explicit detection and correction of population stratification on a genome-wide scale. Our method uses principal components analysis to explicitly model ancestry differences between cases and controls. The resulting correction is specific to a candidate marker's variation in frequency across ancestral populations, minimizing spurious associations while maximizing power to detect true associations. Our simple, efficient approach can easily be applied to disease studies with hundreds of thousands of markers. © 2006 Nature Publishing Group.","container-title":"Nature genetics","DOI":"10.1038/NG1847","ISSN":"1061-4036","issue":"8","note":"PMID: 16862161\npublisher: Nat Genet","page":"904-909","title":"Principal components analysis corrects for stratification in genome-wide association studies","volume":"38","author":[{"family":"Price","given":"Alkes L."},{"family":"Patterson","given":"Nick J."},{"family":"Plenge","given":"Robert M."},{"family":"Weinblatt","given":"Michael E."},{"family":"Shadick","given":"Nancy A."},{"family":"Reich","given":"David"}],"issued":{"date-parts":[["2006",8]]}}}],"schema":"https://github.com/citation-style-language/schema/raw/master/csl-citation.json"} </w:instrText>
      </w:r>
      <w:r w:rsidR="001D0F65">
        <w:fldChar w:fldCharType="separate"/>
      </w:r>
      <w:r w:rsidR="001D0F65" w:rsidRPr="001D0F65">
        <w:t>(Price et al., 2006)</w:t>
      </w:r>
      <w:r w:rsidR="001D0F65">
        <w:fldChar w:fldCharType="end"/>
      </w:r>
      <w:r w:rsidRPr="00DD692C">
        <w:t xml:space="preserve">. Based on the first two PCs, </w:t>
      </w:r>
      <w:proofErr w:type="gramStart"/>
      <w:r w:rsidRPr="00DD692C">
        <w:t>each individual</w:t>
      </w:r>
      <w:proofErr w:type="gramEnd"/>
      <w:r w:rsidRPr="00DD692C">
        <w:t xml:space="preserve"> was assigned an ancestry (i.e., African ancestry, European ancestry, or other) if they clustered with the corresponding 1000 Genomes project populations. Before imputation, Mendelian errors were detected using </w:t>
      </w:r>
      <w:proofErr w:type="spellStart"/>
      <w:r w:rsidRPr="00DD692C">
        <w:t>Pedcheck</w:t>
      </w:r>
      <w:proofErr w:type="spellEnd"/>
      <w:r w:rsidR="001D0F65">
        <w:t xml:space="preserve"> </w:t>
      </w:r>
      <w:r w:rsidR="001D0F65">
        <w:fldChar w:fldCharType="begin"/>
      </w:r>
      <w:r w:rsidR="001D0F65">
        <w:instrText xml:space="preserve"> ADDIN ZOTERO_ITEM CSL_CITATION {"citationID":"qxaMmLHl","properties":{"formattedCitation":"(O\\uc0\\u8217{}Connell &amp; Weeks, 1998)","plainCitation":"(O’Connell &amp; Weeks, 1998)","noteIndex":0},"citationItems":[{"id":3996,"uris":["http://zotero.org/users/9762508/items/VVHPDPVM"],"itemData":{"id":3996,"type":"article-journal","abstract":"Prior to performance of linkage analysis, elimination of all Mendelian inconsistencies in the pedigree data is essential. Often, identification of erroneous genotypes by visual inspection can be very difficult and time consuming. In fact, sometimes the errors are not recognized until the stage of running linkage-analysis software. The effort then required to find the erroneous genotypes and to cross-reference pedigree and marker data that may have been recoded and renumbered can be not only tedious but also quite daunting, in the case of very large pedigrees. We have implemented four error-checking algorithms in a new computer program, PedCheck, which will assist researchers in identifying all Mendelian inconsistencies in pedigree data and will provide them with useful and detailed diagnostic information to help resolve the errors. Our program, which uses many of the algorithms implemented in VITESSE, handles large data sets quickly and efficiently, accepts a variety of input formats, and offers various error-checking algorithms that match the subtlety of the pedigree error. These algorithms range from simple parent-offspring-compatibility checks to a single-locus likelihood-based statistic that identifies and ranks the individuals most likely to be in error. We use various real data sets to illustrate the power and effectiveness of our program.","container-title":"American Journal of Human Genetics","DOI":"10.1086/301904","ISSN":"0002-9297","issue":"1","journalAbbreviation":"Am J Hum Genet","language":"eng","note":"PMID: 9634505\nPMCID: PMC1377228","page":"259-266","source":"PubMed","title":"PedCheck: a program for identification of genotype incompatibilities in linkage analysis","title-short":"PedCheck","volume":"63","author":[{"family":"O'Connell","given":"J. R."},{"family":"Weeks","given":"D. E."}],"issued":{"date-parts":[["1998",7]]}}}],"schema":"https://github.com/citation-style-language/schema/raw/master/csl-citation.json"} </w:instrText>
      </w:r>
      <w:r w:rsidR="001D0F65">
        <w:fldChar w:fldCharType="separate"/>
      </w:r>
      <w:r w:rsidR="001D0F65" w:rsidRPr="001D0F65">
        <w:rPr>
          <w:szCs w:val="24"/>
        </w:rPr>
        <w:t>(O’Connell &amp; Weeks, 1998)</w:t>
      </w:r>
      <w:r w:rsidR="001D0F65">
        <w:fldChar w:fldCharType="end"/>
      </w:r>
      <w:r w:rsidRPr="00DD692C">
        <w:t xml:space="preserve"> and inconsistencies were set to missing. Palindromic variants were excluded to avoid strand ambiguities. Then variants with missing rates &gt; 5%, MAF &lt; 3%, and HWE P values &lt; 0.0001 were excluded. SHAPEIT2 </w:t>
      </w:r>
      <w:r w:rsidR="001D0F65">
        <w:fldChar w:fldCharType="begin"/>
      </w:r>
      <w:r w:rsidR="001D0F65">
        <w:instrText xml:space="preserve"> ADDIN ZOTERO_ITEM CSL_CITATION {"citationID":"x5hZdHzH","properties":{"formattedCitation":"(Delaneau et al., 2013)","plainCitation":"(Delaneau et al., 2013)","noteIndex":0},"citationItems":[{"id":3639,"uris":["http://zotero.org/users/9762508/items/YLN2PAQD"],"itemData":{"id":3639,"type":"article-journal","container-title":"Nature Methods","DOI":"10.1038/nmeth.2307","ISSN":"1548-7105","issue":"1","journalAbbreviation":"Nat Methods","language":"en","license":"2013 Nature Publishing Group, a division of Macmillan Publishers Limited. All Rights Reserved.","note":"number: 1\npublisher: Nature Publishing Group","page":"5-6","source":"www.nature.com","title":"Improved whole-chromosome phasing for disease and population genetic studies","volume":"10","author":[{"family":"Delaneau","given":"Olivier"},{"family":"Zagury","given":"Jean-Francois"},{"family":"Marchini","given":"Jonathan"}],"issued":{"date-parts":[["2013",1]]}}}],"schema":"https://github.com/citation-style-language/schema/raw/master/csl-citation.json"} </w:instrText>
      </w:r>
      <w:r w:rsidR="001D0F65">
        <w:fldChar w:fldCharType="separate"/>
      </w:r>
      <w:r w:rsidR="001D0F65" w:rsidRPr="001D0F65">
        <w:t>(Delaneau et al., 2013)</w:t>
      </w:r>
      <w:r w:rsidR="001D0F65">
        <w:fldChar w:fldCharType="end"/>
      </w:r>
      <w:hyperlink r:id="rId9"/>
      <w:r w:rsidRPr="00DD692C">
        <w:t xml:space="preserve"> was used to phase haplotypes of each sample then </w:t>
      </w:r>
      <w:proofErr w:type="spellStart"/>
      <w:r w:rsidRPr="00DD692C">
        <w:t>Minimac</w:t>
      </w:r>
      <w:proofErr w:type="spellEnd"/>
      <w:r w:rsidRPr="00DD692C">
        <w:t xml:space="preserve"> 3.32</w:t>
      </w:r>
      <w:r w:rsidR="001D0F65">
        <w:t xml:space="preserve"> </w:t>
      </w:r>
      <w:r w:rsidR="001D0F65">
        <w:fldChar w:fldCharType="begin"/>
      </w:r>
      <w:r w:rsidR="001D0F65">
        <w:instrText xml:space="preserve"> ADDIN ZOTERO_ITEM CSL_CITATION {"citationID":"593Vf79i","properties":{"formattedCitation":"(Das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1D0F65">
        <w:fldChar w:fldCharType="separate"/>
      </w:r>
      <w:r w:rsidR="001D0F65" w:rsidRPr="001D0F65">
        <w:t>(Das et al., 2016)</w:t>
      </w:r>
      <w:r w:rsidR="001D0F65">
        <w:fldChar w:fldCharType="end"/>
      </w:r>
      <w:r w:rsidR="001D0F65">
        <w:t xml:space="preserve"> </w:t>
      </w:r>
      <w:sdt>
        <w:sdtPr>
          <w:tag w:val="goog_rdk_13"/>
          <w:id w:val="1335487887"/>
        </w:sdtPr>
        <w:sdtContent>
          <w:r w:rsidRPr="00DD692C">
            <w:rPr>
              <w:rFonts w:eastAsia="Arial Unicode MS"/>
            </w:rPr>
            <w:t xml:space="preserve"> was used for imputation. 1000 genomes project samples were used as the reference panel (Phase 3, version 5</w:t>
          </w:r>
          <w:r w:rsidR="001D0F65">
            <w:rPr>
              <w:rFonts w:eastAsia="Arial Unicode MS"/>
            </w:rPr>
            <w:t xml:space="preserve">; </w:t>
          </w:r>
          <w:r w:rsidR="001D0F65">
            <w:rPr>
              <w:rFonts w:eastAsia="Arial Unicode MS"/>
            </w:rPr>
            <w:fldChar w:fldCharType="begin"/>
          </w:r>
          <w:r w:rsidR="001D0F65">
            <w:rPr>
              <w:rFonts w:eastAsia="Arial Unicode MS"/>
            </w:rPr>
            <w:instrText xml:space="preserve"> ADDIN ZOTERO_ITEM CSL_CITATION {"citationID":"Wryyxi3L","properties":{"formattedCitation":"(The 1000 Genomes Project Consortium, 2015)","plainCitation":"(The 1000 Genomes Project Consortium, 2015)","noteIndex":0},"citationItems":[{"id":1789,"uris":["http://zotero.org/users/9762508/items/STD52SJI"],"itemData":{"id":1789,"type":"article-journal","abstract":"The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studies.","container-title":"Nature","DOI":"10.1038/nature15393","ISSN":"14764687","issue":"7571","note":"PMID: 26432245\narXiv: 15334406\nCitation Key: 1000genome\nISBN: 9781137332875","page":"68-74","title":"A global reference for human genetic variation","volume":"526","author":[{"literal":"The 1000 Genomes Project Consortium"}],"issued":{"date-parts":[["2015"]]}}}],"schema":"https://github.com/citation-style-language/schema/raw/master/csl-citation.json"} </w:instrText>
          </w:r>
          <w:r w:rsidR="001D0F65">
            <w:rPr>
              <w:rFonts w:eastAsia="Arial Unicode MS"/>
            </w:rPr>
            <w:fldChar w:fldCharType="separate"/>
          </w:r>
          <w:r w:rsidR="00381117" w:rsidRPr="00381117">
            <w:t>(The 1000 Genomes Project Consortium, 2015)</w:t>
          </w:r>
          <w:r w:rsidR="001D0F65">
            <w:rPr>
              <w:rFonts w:eastAsia="Arial Unicode MS"/>
            </w:rPr>
            <w:fldChar w:fldCharType="end"/>
          </w:r>
          <w:r w:rsidRPr="00DD692C">
            <w:rPr>
              <w:rFonts w:eastAsia="Arial Unicode MS"/>
            </w:rPr>
            <w:t>). Samples on each array were imputed separately due to the different array content. After imputation, variants with R</w:t>
          </w:r>
          <w:r w:rsidR="001D0F65">
            <w:rPr>
              <w:rFonts w:eastAsia="Arial Unicode MS"/>
            </w:rPr>
            <w:t>²</w:t>
          </w:r>
          <w:r w:rsidRPr="00DD692C">
            <w:rPr>
              <w:rFonts w:eastAsia="Arial Unicode MS"/>
            </w:rPr>
            <w:t xml:space="preserve"> &lt; 0.60 were excluded. Genotype probabilities were converted to genotypes if they were &gt; 0.90, then Mendelian error checking was performed again. All genotype and imputed variants with missing rates less than 20%, MAF ≥ 1%, and HWE P values &gt; 0.000001 were kept in analyses. Unrelated samples selected from COGA EA datasets were included in </w:t>
          </w:r>
          <w:r w:rsidRPr="00DD692C">
            <w:rPr>
              <w:rFonts w:eastAsia="Arial Unicode MS"/>
            </w:rPr>
            <w:lastRenderedPageBreak/>
            <w:t xml:space="preserve">analysis (131 cases and 1358 controls) using PLINK. Sex, age, the first 10 PCs, and array indicator were included as covariates. </w:t>
          </w:r>
        </w:sdtContent>
      </w:sdt>
    </w:p>
    <w:p w14:paraId="00000024" w14:textId="77777777" w:rsidR="008E545C" w:rsidRPr="00DD692C" w:rsidRDefault="00000000">
      <w:pPr>
        <w:spacing w:line="480" w:lineRule="auto"/>
        <w:jc w:val="both"/>
      </w:pPr>
      <w:r w:rsidRPr="00DD692C">
        <w:t xml:space="preserve"> </w:t>
      </w:r>
    </w:p>
    <w:p w14:paraId="00000025" w14:textId="77777777" w:rsidR="008E545C" w:rsidRPr="00DD692C" w:rsidRDefault="00000000">
      <w:pPr>
        <w:pStyle w:val="berschrift3"/>
        <w:spacing w:line="480" w:lineRule="auto"/>
        <w:jc w:val="both"/>
      </w:pPr>
      <w:bookmarkStart w:id="9" w:name="_heading=h.4d34og8" w:colFirst="0" w:colLast="0"/>
      <w:bookmarkEnd w:id="9"/>
      <w:r w:rsidRPr="00DD692C">
        <w:t xml:space="preserve">EGOS | Grice, D. E. | Sweden | 31907560 </w:t>
      </w:r>
    </w:p>
    <w:p w14:paraId="00000026" w14:textId="72145960" w:rsidR="008E545C" w:rsidRPr="00DD692C" w:rsidRDefault="00000000">
      <w:pPr>
        <w:spacing w:line="480" w:lineRule="auto"/>
        <w:jc w:val="both"/>
      </w:pPr>
      <w:r w:rsidRPr="00DD692C">
        <w:t>The EGOS source population consists of individuals born in Sweden between January 1954 and December 1998 that presented at least two diagnoses of OCD or chronic tic disorders (CTD) at different time points in the Swedish National Patient Register (NPR</w:t>
      </w:r>
      <w:r w:rsidR="000E2493" w:rsidRPr="00DD692C">
        <w:t>) and</w:t>
      </w:r>
      <w:r w:rsidRPr="00DD692C">
        <w:t xml:space="preserve"> were followed between January 1997 and December 2012 (N = 20,374). The International Classification of Disease (ICD) was used for the identification of OCD cases (F49 ICD version 10). Detailed information for </w:t>
      </w:r>
      <w:proofErr w:type="gramStart"/>
      <w:r w:rsidRPr="00DD692C">
        <w:t>each individual</w:t>
      </w:r>
      <w:proofErr w:type="gramEnd"/>
      <w:r w:rsidRPr="00DD692C">
        <w:t xml:space="preserve"> was obtained through linkage to the Swedish national registers, e.g., family relatedness, identification of additional psychiatric diagnoses, medical diagnoses, birth-related variables, and relevant demographic and social data. To create an epidemiologically valid subset of the source cohort that also includes biospecimens and additional phenotyping, individuals were contacted from within the source population. Study participants could elect whether to donate blood or saliva. Individuals are aged 16-64 years. All samples were genotyped using the Global Screening Array (GSA). Further description of the EGOS cohort has been represented </w:t>
      </w:r>
      <w:r w:rsidRPr="00302EE6">
        <w:t xml:space="preserve">by </w:t>
      </w:r>
      <w:proofErr w:type="spellStart"/>
      <w:r w:rsidRPr="00302EE6">
        <w:t>Mahjani</w:t>
      </w:r>
      <w:proofErr w:type="spellEnd"/>
      <w:r w:rsidRPr="00302EE6">
        <w:t xml:space="preserve"> et al.</w:t>
      </w:r>
      <w:r w:rsidR="00163366" w:rsidRPr="00302EE6">
        <w:t xml:space="preserve"> </w:t>
      </w:r>
      <w:r w:rsidR="00163366" w:rsidRPr="00302EE6">
        <w:fldChar w:fldCharType="begin"/>
      </w:r>
      <w:r w:rsidR="00163366" w:rsidRPr="00302EE6">
        <w:instrText xml:space="preserve"> ADDIN ZOTERO_ITEM CSL_CITATION {"citationID":"vXugcgLn","properties":{"formattedCitation":"(Mahjani et al., 2020)","plainCitation":"(Mahjani et al., 2020)","noteIndex":0},"citationItems":[{"id":3729,"uris":["http://zotero.org/users/9762508/items/27UNND76"],"itemData":{"id":3729,"type":"article-journal","abstract":"Purpose: The EGOS study (Epidemiology and Genetics of Obsessive–compulsive disorder and chronic tic disorders in Sweden) is a large-scale, epidemiological, prospective cohort that is used to identify genetic and environmental risk factors in the etiology of obsessive–compulsive disorder (OCD) and chronic tic disorders (CTD). Methods: Individuals born between January 1954 and December 1998 with at least two diagnoses of OCD or CTD at different timepoints in the National Patient Register (NPR), and followed between January 1997 and December 2012, represent the EGOS source population (n = 20,374). The Swedish Multi-Generation Registry (MGR) are then used to define family relatedness for all cases and additional phenotypic and demographic data added to the resultant database. To create an epidemiologically valid subset of the source cohort that also includes biospecimens and additional phenotyping, we contact cases from within the source population. To date, 6832 invitations have been sent out and 1853 (27%) have elected to participate in the EGOS biospecimen collection. Results: To date, 1608 biological samples have been collected, of which 1249 are genotyped and 832 supplementary Obsessive–Compulsive Inventory-Revised (OCI-R) and/or Florida Obsessive–Compulsive Inventory (FOCI) have been completed by individuals with OCD and/or CTD, age 16–64 years. DNA samples are genotyped using Infinium Global Screening Array and will undergo whole-exome sequencing in the future. Detailed information is available for each individual through linkage to the Swedish national registers, e.g., identification of additional psychiatric diagnoses, medical diagnoses, birth-related variables, and relevant demographic and social data. Conclusion: EGOS benefits from a genetically homogeneous sample with epidemiological ascertainment, minimizing the risk of confounding due to population stratification on ascertainment bias. In addition, this study is built upon clinical diagnoses of OCD and CTD in specialized psychiatric care, which reduces further biases and case misclassification.","container-title":"Social Psychiatry and Psychiatric Epidemiology","DOI":"10.1007/s00127-019-01822-7","issue":"10","note":"publisher: Springer Science and Business Media Deutschland GmbH","page":"1383-1393","title":"Cohort profile: Epidemiology and Genetics of Obsessive–compulsive disorder and chronic tic disorders in Sweden (EGOS)","volume":"55","author":[{"family":"Mahjani","given":"Behrang"},{"family":"Dellenvall","given":"Karin"},{"family":"Grahnat","given":"Anna Carin Säll"},{"family":"Karlsson","given":"Gun"},{"family":"Tuuliainen","given":"Aki"},{"family":"Reichert","given":"Jennifer"},{"family":"Mahjani","given":"Christina G."},{"family":"Klei","given":"Lambertus"},{"family":"De Rubeis","given":"Silvia"},{"family":"Reichenberg","given":"Abraham"},{"family":"Devlin","given":"Bernie"},{"family":"Hultman","given":"Christina M."},{"family":"Buxbaum","given":"Joseph D."},{"family":"Sandin","given":"Sven"},{"family":"Grice","given":"Dorothy E."}],"issued":{"date-parts":[["2020",10]]}}}],"schema":"https://github.com/citation-style-language/schema/raw/master/csl-citation.json"} </w:instrText>
      </w:r>
      <w:r w:rsidR="00163366" w:rsidRPr="00302EE6">
        <w:fldChar w:fldCharType="separate"/>
      </w:r>
      <w:r w:rsidR="00163366" w:rsidRPr="00302EE6">
        <w:t>(Mahjani et al., 2020)</w:t>
      </w:r>
      <w:r w:rsidR="00163366" w:rsidRPr="00302EE6">
        <w:fldChar w:fldCharType="end"/>
      </w:r>
      <w:r w:rsidRPr="00DD692C">
        <w:t xml:space="preserve"> The dataset that was used in this meta-analysis consists of 1026 OCD cases from EGOS and 1208 controls from </w:t>
      </w:r>
      <w:proofErr w:type="spellStart"/>
      <w:r w:rsidRPr="00DD692C">
        <w:t>LifeGene</w:t>
      </w:r>
      <w:proofErr w:type="spellEnd"/>
      <w:r w:rsidRPr="00DD692C">
        <w:t xml:space="preserve">. EGOS was supported by a grant from the Beatrice and Samuel A. Seaver Foundation to DEG. Ethical approvals were obtained from the Institutional Review Board (IRB) at the Icahn School of Medicine at Mount Sinai, New York, NY, and the Regional Ethical Review Board in Stockholm. </w:t>
      </w:r>
    </w:p>
    <w:p w14:paraId="00000027" w14:textId="77777777" w:rsidR="008E545C" w:rsidRPr="00DD692C" w:rsidRDefault="00000000">
      <w:pPr>
        <w:pStyle w:val="berschrift3"/>
        <w:spacing w:line="480" w:lineRule="auto"/>
        <w:jc w:val="both"/>
        <w:rPr>
          <w:lang w:val="de-DE"/>
        </w:rPr>
      </w:pPr>
      <w:bookmarkStart w:id="10" w:name="_heading=h.2s8eyo1" w:colFirst="0" w:colLast="0"/>
      <w:bookmarkEnd w:id="10"/>
      <w:r w:rsidRPr="00DD692C">
        <w:rPr>
          <w:lang w:val="de-DE"/>
        </w:rPr>
        <w:t xml:space="preserve">EPOC | Wagner, M.; Kathmann, N. | Germany | 30744714, 30008679, 29890378, 29721727, 29159055, 28541065, 28481032, 28160276 </w:t>
      </w:r>
    </w:p>
    <w:p w14:paraId="00000028" w14:textId="50735B07" w:rsidR="008E545C" w:rsidRPr="00DD692C" w:rsidRDefault="00000000">
      <w:pPr>
        <w:spacing w:line="480" w:lineRule="auto"/>
        <w:jc w:val="both"/>
      </w:pPr>
      <w:r w:rsidRPr="00DD692C">
        <w:t xml:space="preserve">The EPOC (Endophenotypes of OCD) sample comprises (epi)genetic and deep phenotype data of OCD patients, unaffected first-degree relatives of OCD patients and healthy controls that were </w:t>
      </w:r>
      <w:r w:rsidRPr="00DD692C">
        <w:lastRenderedPageBreak/>
        <w:t xml:space="preserve">collected at two sites in Germany (Berlin and Bonn) between 2014 and 2017. In the present analysis, data from 195 patients with OCD (55.9 % female, 44.1 % male) and 204 controls (63.2 % female, 36.8 % male) were included. Mean age was 33.37 (SD = 10.76; range: 18–64) for patients and 34.72 (SD = 12.64; range: 18–64) for controls. Lifetime comorbidity rates of patients were 60.0% for depression; 11.3% for panic disorder or agoraphobia; 7.7% for tic disorder; 7.7% for specific phobia; 6.7% for social phobia; 4.6% for generalized anxiety disorder; 4.1% for PTSD; 4.1% for anorexia; 3.1% for hypochondria; and 2.6% for hoarding disorder. OCD patients were recruited via the outpatient clinics at the Department of Psychology of Humboldt University, Berlin and at the Department of Psychiatry and Psychotherapy of the University Hospital Bonn. Healthy volunteers were recruited from the general population via public advertisements in the same cities. All participants were examined by trained clinical psychologists using the Structured Clinical Interview for DSM-IV (SCIDI) to assess OCD diagnosis and potential comorbidities. To establish cross-site reliability of clinical ratings, all instructions were </w:t>
      </w:r>
      <w:r w:rsidR="000E2493" w:rsidRPr="00DD692C">
        <w:t>standardized,</w:t>
      </w:r>
      <w:r w:rsidRPr="00DD692C">
        <w:t xml:space="preserve"> and raters completed assessments of four training videos. Patients were only included if they: (a) met diagnostic criteria of OCD based on the SCID-I interview; (b) were free of past or present psychotic, bipolar or substance-related disorders; (c) did not take neuroleptic medication for the previous four weeks; and (d) did not use benzodiazepines in the prior two weeks. Healthy controls were excluded if they: (a) took any psychoactive medication in the previous three months; (b) had a current Axis I disorder; (c) had a lifetime diagnosis of OCD or tic disorder; or (d) had a family history of OCD. Written informed consent was obtained and participants were compensated for their time. The study was in accordance with the revised Declaration of Helsinki and approved by the local ethics committees of the Charité University Medicine Berlin and the University Hospital Bonn. Genotyping of cases and controls was performed on the Illumina Global Screen Array (GSA) at the Life Brain Center, Bonn. Genotype quality control was done using Plink-1.9 </w:t>
      </w:r>
      <w:r w:rsidR="00163366">
        <w:fldChar w:fldCharType="begin"/>
      </w:r>
      <w:r w:rsidR="00163366">
        <w:instrText xml:space="preserve"> ADDIN ZOTERO_ITEM CSL_CITATION {"citationID":"6nncPSP1","properties":{"formattedCitation":"(Purcell et al., 2007)","plainCitation":"(Purcell et al., 2007)","noteIndex":0},"citationItems":[{"id":3259,"uris":["http://zotero.org/users/9762508/items/TVXPRGS8"],"itemData":{"id":3259,"type":"article-journal","abstract":"Whole-genome association studies (WGAS) bring new computational, as well as analytic, challenges to researchers. Many existing genetic-analysis tools are not designed to handle such large data sets in a convenient manner and do not necessarily exploit the new opportunities that whole-genome data bring. To address these issues, we developed PLINK, an open-source C/C++ WGAS tool set. With PLINK, large data sets comprising hundreds of thousands of markers genotyped for thousands of individuals can be rapidly manipulated and analyzed in their entirety. As well as providing tools to make the basic analytic steps computationally efficient, PLINK also supports some novel approaches to whole-genome data that take advantage of whole-genome coverage. We introduce PLINK and describe the five main domains of function: data management, summary statistics, population stratification, association analysis, and identity-by-descent estimation. In particular, we focus on the estimation and use of identity-by-state and identity-by-descent information in the context of population-based whole-genome studies. This information can be used to detect and correct for population stratification and to identify extended chromosomal segments that are shared identical by descent between very distantly related individuals. Analysis of the patterns of segmental sharing has the potential to map disease loci that contain multiple rare variants in a population-based linkage analysis. © 2007 by The American Society of Human Genetics. All rights reserved.","container-title":"American journal of human genetics","DOI":"10.1086/519795","ISSN":"0002-9297","issue":"3","note":"PMID: 17701901\npublisher: Am J Hum Genet","page":"559-575","title":"PLINK: a tool set for whole-genome association and population-based linkage analyses","volume":"81","author":[{"family":"Purcell","given":"Shaun"},{"family":"Neale","given":"Benjamin"},{"family":"Todd-Brown","given":"Kathe"},{"family":"Thomas","given":"Lori"},{"family":"Ferreira","given":"Manuel A.R."},{"family":"Bender","given":"David"},{"family":"Maller","given":"Julian"},{"family":"Sklar","given":"Pamela"},{"family":"De Bakker","given":"Paul I.W."},{"family":"Daly","given":"Mark J."},{"family":"Sham","given":"Pak C."}],"issued":{"date-parts":[["2007"]]}}}],"schema":"https://github.com/citation-style-language/schema/raw/master/csl-citation.json"} </w:instrText>
      </w:r>
      <w:r w:rsidR="00163366">
        <w:fldChar w:fldCharType="separate"/>
      </w:r>
      <w:r w:rsidR="00163366" w:rsidRPr="00163366">
        <w:t>(Purcell et al., 2007)</w:t>
      </w:r>
      <w:r w:rsidR="00163366">
        <w:fldChar w:fldCharType="end"/>
      </w:r>
      <w:r w:rsidRPr="00DD692C">
        <w:t xml:space="preserve">, and R (version 3.5.1). We checked the data for sex inconsistencies and grossly failing markers (call rate &lt; 0.5). Individuals with a call rate of &lt; 0.95 were removed. The heterozygosity rate for each subject was calculated; outliers (±3 SD from the mean heterozygosity rate) were identified and removed. On marker level, SNPs were removed if at least one of the following </w:t>
      </w:r>
      <w:r w:rsidRPr="00DD692C">
        <w:lastRenderedPageBreak/>
        <w:t xml:space="preserve">conditions was true: significant difference of missing rate between cases and controls, call rate &lt; 0.95; deviation of </w:t>
      </w:r>
      <w:r w:rsidR="005E689A">
        <w:t>HWE</w:t>
      </w:r>
      <w:r w:rsidRPr="00DD692C">
        <w:t xml:space="preserve"> </w:t>
      </w:r>
      <m:oMath>
        <m:r>
          <w:rPr>
            <w:rFonts w:ascii="Cambria Math" w:hAnsi="Cambria Math"/>
          </w:rPr>
          <m:t>(P&lt;1x1</m:t>
        </m:r>
        <m:sSup>
          <m:sSupPr>
            <m:ctrlPr>
              <w:rPr>
                <w:rFonts w:ascii="Cambria Math" w:hAnsi="Cambria Math"/>
              </w:rPr>
            </m:ctrlPr>
          </m:sSupPr>
          <m:e>
            <m:r>
              <w:rPr>
                <w:rFonts w:ascii="Cambria Math" w:hAnsi="Cambria Math"/>
              </w:rPr>
              <m:t>0</m:t>
            </m:r>
          </m:e>
          <m:sup>
            <m:r>
              <w:rPr>
                <w:rFonts w:ascii="Cambria Math" w:hAnsi="Cambria Math"/>
              </w:rPr>
              <m:t>-06</m:t>
            </m:r>
          </m:sup>
        </m:sSup>
        <m:r>
          <w:rPr>
            <w:rFonts w:ascii="Cambria Math" w:hAnsi="Cambria Math"/>
          </w:rPr>
          <m:t>)</m:t>
        </m:r>
      </m:oMath>
      <w:r w:rsidRPr="00DD692C">
        <w:t xml:space="preserve">; and </w:t>
      </w:r>
      <w:r w:rsidR="005E689A">
        <w:t>MAF</w:t>
      </w:r>
      <w:r w:rsidRPr="00DD692C">
        <w:t xml:space="preserve"> &lt; 0.05 (computed separately in cases and controls). Furthermore, all A/T or C/G SNPs were removed. To check for population stratification, PCA was performed, and the first two </w:t>
      </w:r>
      <w:r w:rsidR="00561C75">
        <w:t>PCs</w:t>
      </w:r>
      <w:r w:rsidRPr="00DD692C">
        <w:t xml:space="preserve"> were checked for outliers. Seven individuals, whose non-European ethnicity was additionally validated based on their demographic data, were excluded. The genotyped data were imputed on the Michigan Imputation Serv</w:t>
      </w:r>
      <w:r w:rsidR="003136E8">
        <w:t xml:space="preserve">er </w:t>
      </w:r>
      <w:r w:rsidR="003136E8">
        <w:fldChar w:fldCharType="begin"/>
      </w:r>
      <w:r w:rsidR="003136E8">
        <w:instrText xml:space="preserve"> ADDIN ZOTERO_ITEM CSL_CITATION {"citationID":"meXlgG8S","properties":{"formattedCitation":"(Das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3136E8">
        <w:fldChar w:fldCharType="separate"/>
      </w:r>
      <w:r w:rsidR="003136E8" w:rsidRPr="003136E8">
        <w:t>(Das et al., 2016)</w:t>
      </w:r>
      <w:r w:rsidR="003136E8">
        <w:fldChar w:fldCharType="end"/>
      </w:r>
      <w:r w:rsidR="003136E8">
        <w:t xml:space="preserve"> </w:t>
      </w:r>
      <w:r w:rsidRPr="00DD692C">
        <w:t xml:space="preserve">using the 1000 Genomes Phase 3 (version 5) reference panel </w:t>
      </w:r>
      <w:r w:rsidR="00163366">
        <w:fldChar w:fldCharType="begin"/>
      </w:r>
      <w:r w:rsidR="00163366">
        <w:instrText xml:space="preserve"> ADDIN ZOTERO_ITEM CSL_CITATION {"citationID":"6LqL87Bl","properties":{"formattedCitation":"(The 1000 Genomes Project Consortium, 2015)","plainCitation":"(The 1000 Genomes Project Consortium, 2015)","noteIndex":0},"citationItems":[{"id":1789,"uris":["http://zotero.org/users/9762508/items/STD52SJI"],"itemData":{"id":1789,"type":"article-journal","abstract":"The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studies.","container-title":"Nature","DOI":"10.1038/nature15393","ISSN":"14764687","issue":"7571","note":"PMID: 26432245\narXiv: 15334406\nCitation Key: 1000genome\nISBN: 9781137332875","page":"68-74","title":"A global reference for human genetic variation","volume":"526","author":[{"literal":"The 1000 Genomes Project Consortium"}],"issued":{"date-parts":[["2015"]]}}}],"schema":"https://github.com/citation-style-language/schema/raw/master/csl-citation.json"} </w:instrText>
      </w:r>
      <w:r w:rsidR="00163366">
        <w:fldChar w:fldCharType="separate"/>
      </w:r>
      <w:r w:rsidR="00163366" w:rsidRPr="00163366">
        <w:t>(The 1000 Genomes Project Consortium, 2015)</w:t>
      </w:r>
      <w:r w:rsidR="00163366">
        <w:fldChar w:fldCharType="end"/>
      </w:r>
      <w:r w:rsidRPr="00DD692C">
        <w:t xml:space="preserve">. GWAS was conducted using SNPTEST (version 2.5.2) </w:t>
      </w:r>
      <w:r w:rsidR="00163366">
        <w:fldChar w:fldCharType="begin"/>
      </w:r>
      <w:r w:rsidR="00163366">
        <w:instrText xml:space="preserve"> ADDIN ZOTERO_ITEM CSL_CITATION {"citationID":"dNEEYBFd","properties":{"formattedCitation":"(Marchini et al., 2007)","plainCitation":"(Marchini et al., 2007)","noteIndex":0},"citationItems":[{"id":3945,"uris":["http://zotero.org/users/9762508/items/Q66JD3FE"],"itemData":{"id":3945,"type":"article-journal","abstract":"Genome-wide association studies are set to become the method of choice for uncovering the genetic basis of human diseases. A central challenge in this area is the development of powerful multipoint methods that can detect causal variants that have not been directly genotyped. We propose a coherent analysis framework that treats the problem as one involving missing or uncertain genotypes. Central to our approach is a model-based imputation method for inferring genotypes at observed or unobserved SNPs, leading to improved power over existing methods for multipoint association mapping. Using real genome-wide association study data, we show that our approach (i) is accurate and well calibrated, (ii) provides detailed views of associated regions that facilitate follow-up studies and (iii) can be used to validate and correct data at genotyped markers. A notable future use of our method will be to boost power by combining data from genome-wide scans that use different SNP sets.","container-title":"Nature Genetics","DOI":"10.1038/ng2088","ISSN":"1546-1718","issue":"7","journalAbbreviation":"Nat Genet","language":"en","license":"2007 Nature Publishing Group","note":"number: 7\npublisher: Nature Publishing Group","page":"906-913","source":"www.nature.com","title":"A new multipoint method for genome-wide association studies by imputation of genotypes","volume":"39","author":[{"family":"Marchini","given":"Jonathan"},{"family":"Howie","given":"Bryan"},{"family":"Myers","given":"Simon"},{"family":"McVean","given":"Gil"},{"family":"Donnelly","given":"Peter"}],"issued":{"date-parts":[["2007",7]]}}}],"schema":"https://github.com/citation-style-language/schema/raw/master/csl-citation.json"} </w:instrText>
      </w:r>
      <w:r w:rsidR="00163366">
        <w:fldChar w:fldCharType="separate"/>
      </w:r>
      <w:r w:rsidR="00163366" w:rsidRPr="00163366">
        <w:t>(Marchini et al., 2007)</w:t>
      </w:r>
      <w:r w:rsidR="00163366">
        <w:fldChar w:fldCharType="end"/>
      </w:r>
      <w:r w:rsidRPr="00DD692C">
        <w:t xml:space="preserve"> with the first four PC</w:t>
      </w:r>
      <w:r w:rsidR="00163366">
        <w:t>s</w:t>
      </w:r>
      <w:r w:rsidRPr="00DD692C">
        <w:t xml:space="preserve"> as covariates. </w:t>
      </w:r>
    </w:p>
    <w:p w14:paraId="00000029" w14:textId="77777777" w:rsidR="008E545C" w:rsidRPr="00DD692C" w:rsidRDefault="008E545C">
      <w:pPr>
        <w:spacing w:line="480" w:lineRule="auto"/>
        <w:jc w:val="both"/>
      </w:pPr>
    </w:p>
    <w:p w14:paraId="0000002A" w14:textId="77777777" w:rsidR="008E545C" w:rsidRPr="00DD692C" w:rsidRDefault="00000000">
      <w:pPr>
        <w:pStyle w:val="berschrift3"/>
        <w:spacing w:line="480" w:lineRule="auto"/>
        <w:jc w:val="both"/>
      </w:pPr>
      <w:bookmarkStart w:id="11" w:name="_heading=h.17dp8vu" w:colFirst="0" w:colLast="0"/>
      <w:bookmarkEnd w:id="11"/>
      <w:proofErr w:type="spellStart"/>
      <w:r w:rsidRPr="00DD692C">
        <w:t>EstBB</w:t>
      </w:r>
      <w:proofErr w:type="spellEnd"/>
      <w:r w:rsidRPr="00DD692C">
        <w:t xml:space="preserve"> | </w:t>
      </w:r>
      <w:proofErr w:type="spellStart"/>
      <w:r w:rsidRPr="00DD692C">
        <w:t>Metspalu</w:t>
      </w:r>
      <w:proofErr w:type="spellEnd"/>
      <w:r w:rsidRPr="00DD692C">
        <w:t xml:space="preserve">, A. | Estonia </w:t>
      </w:r>
    </w:p>
    <w:p w14:paraId="392C66DD" w14:textId="204ACE5F" w:rsidR="00B575AF" w:rsidRDefault="00000000">
      <w:pPr>
        <w:spacing w:line="480" w:lineRule="auto"/>
        <w:jc w:val="both"/>
      </w:pPr>
      <w:r w:rsidRPr="00DD692C">
        <w:t>The Estonian Biobank (</w:t>
      </w:r>
      <w:proofErr w:type="spellStart"/>
      <w:r w:rsidRPr="00DD692C">
        <w:t>EstBB</w:t>
      </w:r>
      <w:proofErr w:type="spellEnd"/>
      <w:r w:rsidRPr="00DD692C">
        <w:t xml:space="preserve">) is a population-based cohort with a rich variety of phenotypic and health-related information collected for each </w:t>
      </w:r>
      <w:r w:rsidRPr="00163366">
        <w:t>participant</w:t>
      </w:r>
      <w:r w:rsidR="00163366" w:rsidRPr="00163366">
        <w:t xml:space="preserve"> </w:t>
      </w:r>
      <w:r w:rsidR="00163366" w:rsidRPr="00163366">
        <w:fldChar w:fldCharType="begin"/>
      </w:r>
      <w:r w:rsidR="00163366" w:rsidRPr="00163366">
        <w:instrText xml:space="preserve"> ADDIN ZOTERO_ITEM CSL_CITATION {"citationID":"dQA97s5C","properties":{"formattedCitation":"(Leitsalu et al., 2015)","plainCitation":"(Leitsalu et al., 2015)","noteIndex":0},"citationItems":[{"id":3818,"uris":["http://zotero.org/users/9762508/items/3PSAUBH2"],"itemData":{"id":3818,"type":"article-journal","abstract":"The Estonian population-based biobank, with 52,000 participants’ genetic and health data, is the largest epidemiological cohort in the Baltic region. Participants were recruited through a network of medical professionals throughout Estonia (population 1.34 million). Unique legislation as well as a broad consent form give the Estonian Genome Center, a research institute of the University of Tartu, permission to re-contact participants and to retrieve participants’ data from national registries and databases. In addition to two re-contacting projects to update the health data of participants, extensive clinical characterizations have been retrieved from national registries and hospital databases regularly since 2010. Acquiring data from electronic health records and registries has provided a means to update and enhance the database of the Genome Center in a timely manner and at low cost. The resulting database allows a wide spectrum of genomic and epidemiological research to be conducted with the aim of benefitting public health. Future plans include linking the genome center database with the national health information system through X-road and exchanging data in real time, as well as using the genetic data and the technical infrastructure available for piloting personalized medicine in Estonia.","container-title":"Journal of Personalized Medicine","DOI":"10.3390/jpm5020096","issue":"2","title":"Linking a population biobank with national health registries—The Estonian experience","volume":"5","author":[{"family":"Leitsalu","given":"Liis"},{"family":"Alavere","given":"Helene"},{"family":"Tammesoo","given":"Mari Liis"},{"family":"Leego","given":"Erkki"},{"family":"Metspalu","given":"Andres"}],"issued":{"date-parts":[["2015"]]}}}],"schema":"https://github.com/citation-style-language/schema/raw/master/csl-citation.json"} </w:instrText>
      </w:r>
      <w:r w:rsidR="00163366" w:rsidRPr="00163366">
        <w:fldChar w:fldCharType="separate"/>
      </w:r>
      <w:r w:rsidR="00163366" w:rsidRPr="00163366">
        <w:t>(Leitsalu et al., 2015)</w:t>
      </w:r>
      <w:r w:rsidR="00163366" w:rsidRPr="00163366">
        <w:fldChar w:fldCharType="end"/>
      </w:r>
      <w:r w:rsidRPr="00163366">
        <w:t>.</w:t>
      </w:r>
      <w:r w:rsidRPr="00DD692C">
        <w:t xml:space="preserve"> </w:t>
      </w:r>
      <w:r w:rsidR="00B575AF" w:rsidRPr="00B575AF">
        <w:t xml:space="preserve">At recruitment, participants signed a consent allowing follow-up linkage of their electronic health records (EHRs), thereby providing a longitudinal collection of their phenotypic information. The </w:t>
      </w:r>
      <w:proofErr w:type="spellStart"/>
      <w:r w:rsidR="00B575AF" w:rsidRPr="00B575AF">
        <w:t>EstBB</w:t>
      </w:r>
      <w:proofErr w:type="spellEnd"/>
      <w:r w:rsidR="00B575AF" w:rsidRPr="00B575AF">
        <w:t xml:space="preserve"> database includes health records from the national Health Insurance Fund Treatment Bills (from 2004 onwards), Tartu University Hospital (from 2008), and North Estonia Medical Center (from 2005), and data from different registries (causes of death, cancer, etc.). For all the participants </w:t>
      </w:r>
      <w:proofErr w:type="spellStart"/>
      <w:r w:rsidR="00B575AF" w:rsidRPr="00B575AF">
        <w:t>EstBB</w:t>
      </w:r>
      <w:proofErr w:type="spellEnd"/>
      <w:r w:rsidR="00B575AF" w:rsidRPr="00B575AF">
        <w:t xml:space="preserve"> provides information on the diagnoses in ICD-10 coding and information on drug dispensing data, including drug ATC codes, prescription status and purchase date (if available).</w:t>
      </w:r>
    </w:p>
    <w:p w14:paraId="11FE33F7" w14:textId="77777777" w:rsidR="00B575AF" w:rsidRDefault="00B575AF">
      <w:pPr>
        <w:spacing w:line="480" w:lineRule="auto"/>
        <w:jc w:val="both"/>
      </w:pPr>
    </w:p>
    <w:p w14:paraId="4AC5ADBA" w14:textId="77777777" w:rsidR="00381117" w:rsidRDefault="00B575AF">
      <w:pPr>
        <w:spacing w:line="480" w:lineRule="auto"/>
        <w:jc w:val="both"/>
      </w:pPr>
      <w:r w:rsidRPr="00B575AF">
        <w:t xml:space="preserve">Genotyping of DNA samples from the Estonian Biobank was done at the Core Genotyping Lab of the Institute of Genomics, University of Tartu using the Illumina Global Screening Arrays (GSAv1.0, GSAv2.0, and GSAv2.0_EST). Samples were genotyped and then PLINK format files were created using Illumina </w:t>
      </w:r>
      <w:proofErr w:type="spellStart"/>
      <w:r w:rsidRPr="00B575AF">
        <w:t>GenomeStudio</w:t>
      </w:r>
      <w:proofErr w:type="spellEnd"/>
      <w:r w:rsidRPr="00B575AF">
        <w:t xml:space="preserve"> v2.0.4. During the quality control all individuals with call-rate &lt; 95% or mismatching sex that was defined based on the heterozygosity of X chromosome and sex in the phenotype data, were excluded from the analysis. Variants were </w:t>
      </w:r>
      <w:r w:rsidRPr="00B575AF">
        <w:lastRenderedPageBreak/>
        <w:t xml:space="preserve">filtered by call-rate &lt; 95% and HWE p-value </w:t>
      </w:r>
      <m:oMath>
        <m:r>
          <w:rPr>
            <w:rFonts w:ascii="Cambria Math" w:hAnsi="Cambria Math"/>
          </w:rPr>
          <m:t>&lt;1x</m:t>
        </m:r>
        <m:sSup>
          <m:sSupPr>
            <m:ctrlPr>
              <w:rPr>
                <w:rFonts w:ascii="Cambria Math" w:hAnsi="Cambria Math"/>
                <w:i/>
              </w:rPr>
            </m:ctrlPr>
          </m:sSupPr>
          <m:e>
            <m:r>
              <w:rPr>
                <w:rFonts w:ascii="Cambria Math" w:hAnsi="Cambria Math"/>
              </w:rPr>
              <m:t>10</m:t>
            </m:r>
          </m:e>
          <m:sup>
            <m:r>
              <w:rPr>
                <w:rFonts w:ascii="Cambria Math" w:hAnsi="Cambria Math"/>
              </w:rPr>
              <m:t>-04</m:t>
            </m:r>
          </m:sup>
        </m:sSup>
      </m:oMath>
      <w:r w:rsidRPr="00DD692C">
        <w:t xml:space="preserve"> (autosomal variants only). </w:t>
      </w:r>
      <w:r w:rsidR="00381117" w:rsidRPr="00381117">
        <w:t>Variant positions were updated to Genome Reference Consortium Human Build 37 and all variants were changed to be from TOP strand using reference information provided by Dr. Will Rayner from the University of Oxford (https://www.well.ox.ac.uk/~wrayner/strand/). After QC the dataset contained 202,910 samples for imputation. Before imputation variants with MAF</w:t>
      </w:r>
      <w:r w:rsidR="00381117">
        <w:t xml:space="preserve"> </w:t>
      </w:r>
      <w:r w:rsidR="00381117" w:rsidRPr="00381117">
        <w:t>&lt;</w:t>
      </w:r>
      <w:r w:rsidR="00381117">
        <w:t xml:space="preserve"> </w:t>
      </w:r>
      <w:r w:rsidR="00381117" w:rsidRPr="00381117">
        <w:t xml:space="preserve">1% and Indels were removed. </w:t>
      </w:r>
      <w:proofErr w:type="spellStart"/>
      <w:r w:rsidR="00381117" w:rsidRPr="00381117">
        <w:t>Prephasing</w:t>
      </w:r>
      <w:proofErr w:type="spellEnd"/>
      <w:r w:rsidR="00381117" w:rsidRPr="00381117">
        <w:t xml:space="preserve"> was done using the Eagle v2.3 software </w:t>
      </w:r>
      <w:r w:rsidR="002B7A8A">
        <w:fldChar w:fldCharType="begin"/>
      </w:r>
      <w:r w:rsidR="002B7A8A">
        <w:instrText xml:space="preserve"> ADDIN ZOTERO_ITEM CSL_CITATION {"citationID":"N1j89x52","properties":{"formattedCitation":"(Loh, Danecek, et al., 2016; Loh, Palamara, et al., 2016)","plainCitation":"(Loh, Danecek, et al., 2016; Loh, Palamara, et al., 2016)","noteIndex":0},"citationItems":[{"id":3250,"uris":["http://zotero.org/users/9762508/items/8GI5EZYY"],"itemData":{"id":3250,"type":"article-journal","abstract":"Po-Ru Loh, Alkes Price and colleagues present Eagle2, a reference-based phasing algorithm that allows for highly accurate and efficient phasing of genotypes across a broad range of cohort sizes. They demonstrate an approximately 10% improvement in accuracy and 20% improvement in speed compared to a competing method, SHAPEIT2. Haplotype phasing is a fundamental problem in medical and population genetics. Phasing is generally performed via statistical phasing in a genotyped cohort, an approach that can yield high accuracy in very large cohorts but attains lower accuracy in smaller cohorts. Here we instead explore the paradigm of reference-based phasing. We introduce a new phasing algorithm, Eagle2, that attains high accuracy across a broad range of cohort sizes by efficiently leveraging information from large external reference panels (such as the Haplotype Reference Consortium; HRC) using a new data structure based on the positional Burrows-Wheeler transform. We demonstrate that Eagle2 attains a </w:instrText>
      </w:r>
      <w:r w:rsidR="002B7A8A">
        <w:rPr>
          <w:rFonts w:ascii="Cambria Math" w:hAnsi="Cambria Math" w:cs="Cambria Math"/>
        </w:rPr>
        <w:instrText>∼</w:instrText>
      </w:r>
      <w:r w:rsidR="002B7A8A">
        <w:instrText xml:space="preserve">20× speedup and </w:instrText>
      </w:r>
      <w:r w:rsidR="002B7A8A">
        <w:rPr>
          <w:rFonts w:ascii="Cambria Math" w:hAnsi="Cambria Math" w:cs="Cambria Math"/>
        </w:rPr>
        <w:instrText>∼</w:instrText>
      </w:r>
      <w:r w:rsidR="002B7A8A">
        <w:instrText xml:space="preserve">10% increase in accuracy compared to reference-based phasing using SHAPEIT2. On European-ancestry samples, Eagle2 with the HRC panel achieves &gt;2× the accuracy of 1000 Genomes–based phasing. Eagle2 is open source and freely available for HRC-based phasing via the Sanger Imputation Service and the Michigan Imputation Server.","container-title":"Nature Genetics 2016 48:11","DOI":"10.1038/ng.3679","ISSN":"1546-1718","issue":"11","note":"PMID: 27694958\npublisher: Nature Publishing Group","page":"1443-1448","title":"Reference-based phasing using the Haplotype Reference Consortium panel","volume":"48","author":[{"family":"Loh","given":"Po Ru"},{"family":"Danecek","given":"Petr"},{"family":"Palamara","given":"Pier Francesco"},{"family":"Fuchsberger","given":"Christian"},{"family":"Reshef","given":"Yakir A."},{"family":"Finucane","given":"Hilary K."},{"family":"Schoenherr","given":"Sebastian"},{"family":"Forer","given":"Lukas"},{"family":"McCarthy","given":"Shane"},{"family":"Abecasis","given":"Goncalo R."},{"family":"Durbin","given":"Richard"},{"family":"Price","given":"Alkes L."}],"issued":{"date-parts":[["2016",10,3]]}}},{"id":3272,"uris":["http://zotero.org/users/9762508/items/65FKI2ZU"],"itemData":{"id":3272,"type":"article-journal","abstract":"Po-Ru Loh, Pier Francesco Palamara and Alkes Price develop a new long-range phasing method, Eagle, that harnesses long, shared identical-by-descent tracts and can be applied to large outbred populations. They use Eagle to phase samples from the UK Biobank and find that it is faster and has better accuracy than existing methods. Recent work has leveraged the extensive genotyping of the Icelandic population to perform long-range phasing (LRP), enabling accurate imputation and association analysis of rare variants in target samples typed on genotyping arrays. Here we develop a fast and accurate LRP method, Eagle, that extends this paradigm to populations with much smaller proportions of genotyped samples by harnessing long (&gt;4-cM) identical-by-descent (IBD) tracts shared among distantly related individuals. We applied Eagle to N ≈ 150,000 samples (0.2% of the British population) from the UK Biobank, and we determined that it is 1–2 orders of magnitude faster than existing methods while achieving similar or better phasing accuracy (switch error rate ≈ 0.3%, corresponding to perfect phase in a majority of 10-Mb segments). We also observed that, when used within an imputation pipeline, Eagle prephasing improved downstream imputation accuracy in comparison to prephasing in batches using existing methods, as necessary to achieve comparable computational cost.","container-title":"Nature Genetics 2016 48:7","DOI":"10.1038/ng.3571","ISSN":"1546-1718","issue":"7","note":"PMID: 27270109\npublisher: Nature Publishing Group","page":"811-816","title":"Fast and accurate long-range phasing in a UK Biobank cohort","volume":"48","author":[{"family":"Loh","given":"Po Ru"},{"family":"Palamara","given":"Pier Francesco"},{"family":"Price","given":"Alkes L."}],"issued":{"date-parts":[["2016",6,6]]}}}],"schema":"https://github.com/citation-style-language/schema/raw/master/csl-citation.json"} </w:instrText>
      </w:r>
      <w:r w:rsidR="002B7A8A">
        <w:fldChar w:fldCharType="separate"/>
      </w:r>
      <w:r w:rsidR="00381117" w:rsidRPr="00381117">
        <w:t>(Loh, Danecek, et al., 2016; Loh, Palamara, et al., 2016)</w:t>
      </w:r>
      <w:r w:rsidR="002B7A8A">
        <w:fldChar w:fldCharType="end"/>
      </w:r>
      <w:r w:rsidRPr="00DD692C">
        <w:t>. The number of conditioning haplotypes Eagle2 uses when phasing each sample was set to: –</w:t>
      </w:r>
      <w:proofErr w:type="spellStart"/>
      <w:r w:rsidRPr="00DD692C">
        <w:t>Kpbwt</w:t>
      </w:r>
      <w:proofErr w:type="spellEnd"/>
      <w:r w:rsidRPr="00DD692C">
        <w:t xml:space="preserve">=20000. Imputation was done using </w:t>
      </w:r>
      <w:r w:rsidR="00381117" w:rsidRPr="00381117">
        <w:t xml:space="preserve">Beagle v.18May20.d20 </w:t>
      </w:r>
      <w:r w:rsidR="002B7A8A">
        <w:fldChar w:fldCharType="begin"/>
      </w:r>
      <w:r w:rsidR="00381117">
        <w:instrText xml:space="preserve"> ADDIN ZOTERO_ITEM CSL_CITATION {"citationID":"ZlHpda9T","properties":{"formattedCitation":"(B. L. Browning et al., 2018; S. R. Browning &amp; Browning, 2007)","plainCitation":"(B. L. Browning et al., 2018; S. R. Browning &amp; Browning, 2007)","noteIndex":0},"citationItems":[{"id":4879,"uris":["http://zotero.org/users/9762508/items/YV3Z3LNN"],"itemData":{"id":4879,"type":"article-journal","abstract":"Genotype imputation is commonly performed in genome-wide association studies because it greatly increases the number of markers that can be tested for association with a trait. In general, one should perform genotype imputation using the largest reference panel that is available because the number of accurately imputed variants increases with reference panel size. However, one impediment to using larger reference panels is the increased computational cost of imputation. We present a new genotype imputation method, Beagle 5.0, which greatly reduces the computational cost of imputation from large reference panels. We compare Beagle 5.0 with Beagle 4.1, Impute4, Minimac3, and Minimac4 using 1000 Genomes Project data, Haplotype Reference Consortium data, and simulated data for 10k, 100k, 1M, and 10M reference samples. All methods produce nearly identical accuracy, but Beagle 5.0 has the lowest computation time and the best scaling of computation time with increasing reference panel size. For 10k, 100k, 1M, and 10M reference samples and 1,000 phased target samples, Beagle 5.0's computation time is 3× (10k), 12× (100k), 43× (1M), and 533× (10M) faster than the fastest alternative method. Cost data from the Amazon Elastic Compute Cloud show that Beagle 5.0 can perform genome-wide imputation from 10M reference samples into 1,000 phased target samples at a cost of less than one US cent per sample.","container-title":"American Journal of Human Genetics","DOI":"10.1016/j.ajhg.2018.07.015","ISSN":"1537-6605","issue":"3","journalAbbreviation":"Am J Hum Genet","language":"eng","note":"PMID: 30100085\nPMCID: PMC6128308","page":"338-348","source":"PubMed","title":"A One-Penny Imputed Genome from Next-Generation Reference Panels","volume":"103","author":[{"family":"Browning","given":"Brian L."},{"family":"Zhou","given":"Ying"},{"family":"Browning","given":"Sharon R."}],"issued":{"date-parts":[["2018",9,6]]}}},{"id":3815,"uris":["http://zotero.org/users/9762508/items/S7JS9KLA"],"itemData":{"id":3815,"type":"article-journal","abstract":"Whole-genome association studies present many new statistical and computational challenges due to the large quantity of data obtained. One of these challenges is haplotype inference; methods for haplotype inference designed for small data sets from candidate-gene studies do not scale well to the large number of individuals genotyped in whole-genome association studies. We present a new method and software for inference of haplotype phase and missing data that can accurately phase data from whole-genome association studies, and we present the first comparison of haplotype-inference methods for real and simulated data sets with thousands of genotyped individuals. We find that our method outperforms existing methods in terms of both speed and accuracy for large data sets with thousands of individuals and densely spaced genetic markers, and we use our method to phase a real data set of 3,002 individuals genotyped for 490,032 markers in 3.1 days of computing time, with 99% of masked alleles imputed correctly. Our method is implemented in the Beagle software package, which is freely available. © 2007 by The American Society of Human Genetics. All rights reserved.","container-title":"American Journal of Human Genetics","DOI":"10.1086/521987","issue":"5","title":"Rapid and accurate haplotype phasing and missing-data inference for whole-genome association studies by use of localized haplotype clustering","volume":"81","author":[{"family":"Browning","given":"Sharon R."},{"family":"Browning","given":"Brian L."}],"issued":{"date-parts":[["2007"]]}}}],"schema":"https://github.com/citation-style-language/schema/raw/master/csl-citation.json"} </w:instrText>
      </w:r>
      <w:r w:rsidR="002B7A8A">
        <w:fldChar w:fldCharType="separate"/>
      </w:r>
      <w:r w:rsidR="00381117" w:rsidRPr="00381117">
        <w:t>(B. L. Browning et al., 2018; S. R. Browning &amp; Browning, 2007)</w:t>
      </w:r>
      <w:r w:rsidR="002B7A8A">
        <w:fldChar w:fldCharType="end"/>
      </w:r>
      <w:r w:rsidR="002B7A8A">
        <w:t xml:space="preserve"> </w:t>
      </w:r>
      <w:r w:rsidRPr="00DD692C">
        <w:t xml:space="preserve">with effective population size </w:t>
      </w:r>
      <m:oMath>
        <m:sSub>
          <m:sSubPr>
            <m:ctrlPr>
              <w:rPr>
                <w:rFonts w:ascii="Cambria Math" w:hAnsi="Cambria Math"/>
                <w:i/>
              </w:rPr>
            </m:ctrlPr>
          </m:sSubPr>
          <m:e>
            <m:r>
              <w:rPr>
                <w:rFonts w:ascii="Cambria Math" w:hAnsi="Cambria Math"/>
              </w:rPr>
              <m:t>N</m:t>
            </m:r>
          </m:e>
          <m:sub>
            <m:r>
              <w:rPr>
                <w:rFonts w:ascii="Cambria Math" w:hAnsi="Cambria Math"/>
              </w:rPr>
              <m:t>Effective</m:t>
            </m:r>
          </m:sub>
        </m:sSub>
        <m:r>
          <w:rPr>
            <w:rFonts w:ascii="Cambria Math" w:hAnsi="Cambria Math"/>
          </w:rPr>
          <m:t>=20,000</m:t>
        </m:r>
      </m:oMath>
      <w:r w:rsidRPr="00DD692C">
        <w:t xml:space="preserve">. </w:t>
      </w:r>
      <w:r w:rsidR="00381117" w:rsidRPr="00381117">
        <w:t xml:space="preserve">As a reference, Estonian population specific imputation reference of 2297 WGS samples was used </w:t>
      </w:r>
      <w:r w:rsidR="002B7A8A">
        <w:fldChar w:fldCharType="begin"/>
      </w:r>
      <w:r w:rsidR="002B7A8A">
        <w:instrText xml:space="preserve"> ADDIN ZOTERO_ITEM CSL_CITATION {"citationID":"DSzzxxi6","properties":{"formattedCitation":"(Mitt et al., 2017)","plainCitation":"(Mitt et al., 2017)","noteIndex":0},"citationItems":[{"id":3814,"uris":["http://zotero.org/users/9762508/items/UAD5X6XN"],"itemData":{"id":3814,"type":"article-journal","abstract":"Genetic imputation is a cost-efficient way to improve the power and resolution of genome-wide association (GWA) studies. Current publicly accessible imputation reference panels accurately predict genotypes for common variants with minor allele frequency (MAF)≥5% and low-frequency variants (0.5≤MAF&lt;5%) across diverse populations, but the imputation of rare variation (MAF&lt;0.5%) is still rather limited. In the current study, we evaluate imputation accuracy achieved with reference panels from diverse populations with a population-specific high-coverage (30 ×) whole-genome sequencing (WGS) based reference panel, comprising of 2244 Estonian individuals (0.25% of adult Estonians). Although the Estonian-specific panel contains fewer haplotypes and variants, the imputation confidence and accuracy of imputed low-frequency and rare variants was significantly higher. The results indicate the utility of population-specific reference panels for human genetic studies.","container-title":"European Journal of Human Genetics","DOI":"10.1038/ejhg.2017.51","issue":"7","title":"Improved imputation accuracy of rare and low-frequency variants using population-specific high-coverage WGS-based imputation reference panel","volume":"25","author":[{"family":"Mitt","given":"Mario"},{"family":"Kals","given":"Mart"},{"family":"Pärn","given":"Kalle"},{"family":"Gabriel","given":"Stacey B."},{"family":"Lander","given":"Eric S."},{"family":"Palotie","given":"Aarno"},{"family":"Ripatti","given":"Samuli"},{"family":"Morris","given":"Andrew P."},{"family":"Metspalu","given":"Andres"},{"family":"Esko","given":"Tõnu"},{"family":"Mägi","given":"Reedik"},{"family":"Palta","given":"Priit"}],"issued":{"date-parts":[["2017"]]}}}],"schema":"https://github.com/citation-style-language/schema/raw/master/csl-citation.json"} </w:instrText>
      </w:r>
      <w:r w:rsidR="002B7A8A">
        <w:fldChar w:fldCharType="separate"/>
      </w:r>
      <w:r w:rsidR="002B7A8A" w:rsidRPr="002B7A8A">
        <w:t>(Mitt et al., 2017)</w:t>
      </w:r>
      <w:r w:rsidR="002B7A8A">
        <w:fldChar w:fldCharType="end"/>
      </w:r>
      <w:r w:rsidRPr="00DD692C">
        <w:t>.</w:t>
      </w:r>
      <w:r w:rsidR="00381117">
        <w:t xml:space="preserve"> </w:t>
      </w:r>
      <w:r w:rsidR="00381117" w:rsidRPr="00381117">
        <w:t xml:space="preserve">Further, </w:t>
      </w:r>
      <w:proofErr w:type="spellStart"/>
      <w:r w:rsidR="00381117" w:rsidRPr="00381117">
        <w:t>EstBB</w:t>
      </w:r>
      <w:proofErr w:type="spellEnd"/>
      <w:r w:rsidR="00381117" w:rsidRPr="00381117">
        <w:t xml:space="preserve"> samples were combined with the 1000 genomes phase 3 dataset for ancestry analysis. Genetic principal components were calculated using a subset of quality controlled and pruned genotyped SNPs. This was further used to identify and remove samples that deviated from the main cluster.  </w:t>
      </w:r>
    </w:p>
    <w:p w14:paraId="40877292" w14:textId="77777777" w:rsidR="00381117" w:rsidRDefault="00381117">
      <w:pPr>
        <w:spacing w:line="480" w:lineRule="auto"/>
        <w:jc w:val="both"/>
      </w:pPr>
    </w:p>
    <w:p w14:paraId="553D88C5" w14:textId="6912A822" w:rsidR="00381117" w:rsidRDefault="00381117">
      <w:pPr>
        <w:spacing w:line="480" w:lineRule="auto"/>
        <w:jc w:val="both"/>
      </w:pPr>
      <w:r w:rsidRPr="00381117">
        <w:t xml:space="preserve">For the genome-wide study of OCD, </w:t>
      </w:r>
      <w:proofErr w:type="spellStart"/>
      <w:r w:rsidRPr="00381117">
        <w:t>EstBB</w:t>
      </w:r>
      <w:proofErr w:type="spellEnd"/>
      <w:r w:rsidRPr="00381117">
        <w:t xml:space="preserve"> cases were defined as participants with F42* ICD10 diagnosis codes in their EHRs. We conducted a GWAS on individuals of European ancestry, including 772 cases and 196,079 controls. The analysis was performed with the REGENIE software (2.2.4)</w:t>
      </w:r>
      <w:r w:rsidR="00695C1F">
        <w:t xml:space="preserve"> </w:t>
      </w:r>
      <w:r w:rsidR="00695C1F">
        <w:fldChar w:fldCharType="begin"/>
      </w:r>
      <w:r w:rsidR="00695C1F">
        <w:instrText xml:space="preserve"> ADDIN ZOTERO_ITEM CSL_CITATION {"citationID":"ulRQ6jwz","properties":{"formattedCitation":"(Mbatchou et al., 2021)","plainCitation":"(Mbatchou et al., 2021)","noteIndex":0},"citationItems":[{"id":4882,"uris":["http://zotero.org/users/9762508/items/VWS73ZG2"],"itemData":{"id":4882,"type":"article-journal","abstract":"Genome-wide association analysis of cohorts with thousands of phenotypes is computationally expensive, particularly when accounting for sample relatedness or population structure. Here we present a novel machine-learning method called REGENIE for fitting a whole-genome regression model for quantitative and binary phenotypes that is substantially faster than alternatives in multi-trait analyses while maintaining statistical efficiency. The method naturally accommodates parallel analysis of multiple phenotypes and requires only local segments of the genotype matrix to be loaded in memory, in contrast to existing alternatives, which must load genome-wide matrices into memory. This results in substantial savings in compute time and memory usage. We introduce a fast, approximate Firth logistic regression test for unbalanced case–control phenotypes. The method is ideally suited to take advantage of distributed computing frameworks. We demonstrate the accuracy and computational benefits of this approach using the UK Biobank dataset with up to 407,746 individuals.","container-title":"Nature Genetics","DOI":"10.1038/s41588-021-00870-7","ISSN":"1546-1718","issue":"7","journalAbbreviation":"Nat Genet","language":"en","license":"2021 The Author(s), under exclusive licence to Springer Nature America, Inc.","note":"number: 7\npublisher: Nature Publishing Group","page":"1097-1103","source":"www.nature.com","title":"Computationally efficient whole-genome regression for quantitative and binary traits","volume":"53","author":[{"family":"Mbatchou","given":"Joelle"},{"family":"Barnard","given":"Leland"},{"family":"Backman","given":"Joshua"},{"family":"Marcketta","given":"Anthony"},{"family":"Kosmicki","given":"Jack A."},{"family":"Ziyatdinov","given":"Andrey"},{"family":"Benner","given":"Christian"},{"family":"O’Dushlaine","given":"Colm"},{"family":"Barber","given":"Mathew"},{"family":"Boutkov","given":"Boris"},{"family":"Habegger","given":"Lukas"},{"family":"Ferreira","given":"Manuel"},{"family":"Baras","given":"Aris"},{"family":"Reid","given":"Jeffrey"},{"family":"Abecasis","given":"Goncalo"},{"family":"Maxwell","given":"Evan"},{"family":"Marchini","given":"Jonathan"}],"issued":{"date-parts":[["2021",7]]}}}],"schema":"https://github.com/citation-style-language/schema/raw/master/csl-citation.json"} </w:instrText>
      </w:r>
      <w:r w:rsidR="00695C1F">
        <w:fldChar w:fldCharType="separate"/>
      </w:r>
      <w:r w:rsidR="00695C1F" w:rsidRPr="00695C1F">
        <w:t>(Mbatchou et al., 2021)</w:t>
      </w:r>
      <w:r w:rsidR="00695C1F">
        <w:fldChar w:fldCharType="end"/>
      </w:r>
      <w:r w:rsidRPr="00381117">
        <w:t xml:space="preserve"> including related individuals and adjusting for the first 10 PCs of the genotype matrix, as well as for birth year, birth year squared and sex.</w:t>
      </w:r>
    </w:p>
    <w:p w14:paraId="0000002C" w14:textId="77777777" w:rsidR="008E545C" w:rsidRPr="00DD692C" w:rsidRDefault="00000000">
      <w:pPr>
        <w:pStyle w:val="berschrift3"/>
        <w:spacing w:line="480" w:lineRule="auto"/>
        <w:jc w:val="both"/>
      </w:pPr>
      <w:bookmarkStart w:id="12" w:name="_heading=h.3rdcrjn" w:colFirst="0" w:colLast="0"/>
      <w:bookmarkEnd w:id="12"/>
      <w:proofErr w:type="spellStart"/>
      <w:r w:rsidRPr="00DD692C">
        <w:t>FinnGen</w:t>
      </w:r>
      <w:proofErr w:type="spellEnd"/>
      <w:r w:rsidRPr="00DD692C">
        <w:t xml:space="preserve"> | </w:t>
      </w:r>
      <w:proofErr w:type="spellStart"/>
      <w:r w:rsidRPr="00DD692C">
        <w:t>Kaprio</w:t>
      </w:r>
      <w:proofErr w:type="spellEnd"/>
      <w:r w:rsidRPr="00DD692C">
        <w:t xml:space="preserve">, J. A. | Finland </w:t>
      </w:r>
    </w:p>
    <w:p w14:paraId="0000002E" w14:textId="1BF7BD06" w:rsidR="008E545C" w:rsidRPr="00DD692C" w:rsidRDefault="00000000">
      <w:pPr>
        <w:spacing w:line="480" w:lineRule="auto"/>
        <w:jc w:val="both"/>
      </w:pPr>
      <w:r w:rsidRPr="00DD692C">
        <w:t xml:space="preserve">Finnish samples are population-based biobank samples collected between August 2017 and August 2019 (collection further ongoing), including legacy samples collected since the 1980s. The Ethical Review Board of the Hospital District of Helsinki and </w:t>
      </w:r>
      <w:proofErr w:type="spellStart"/>
      <w:r w:rsidRPr="00DD692C">
        <w:t>Uusimaa</w:t>
      </w:r>
      <w:proofErr w:type="spellEnd"/>
      <w:r w:rsidRPr="00DD692C">
        <w:t xml:space="preserve"> approved the </w:t>
      </w:r>
      <w:proofErr w:type="spellStart"/>
      <w:r w:rsidRPr="00DD692C">
        <w:t>FinnGen</w:t>
      </w:r>
      <w:proofErr w:type="spellEnd"/>
      <w:r w:rsidRPr="00DD692C">
        <w:t xml:space="preserve"> study protocol Nr. HUS/990/2017. The </w:t>
      </w:r>
      <w:proofErr w:type="spellStart"/>
      <w:r w:rsidRPr="00DD692C">
        <w:t>FinnGen</w:t>
      </w:r>
      <w:proofErr w:type="spellEnd"/>
      <w:r w:rsidRPr="00DD692C">
        <w:t xml:space="preserve"> project was approved by Finnish Institute for Health and Welfare (THL), approval numbers THL/2031/6.02.00/2017, amendments </w:t>
      </w:r>
      <w:r w:rsidRPr="00DD692C">
        <w:lastRenderedPageBreak/>
        <w:t>THL/341/6.02.00/2018, THL/2222/6.02.00/2018</w:t>
      </w:r>
      <w:r w:rsidR="00693630">
        <w:t>,</w:t>
      </w:r>
      <w:r w:rsidRPr="00DD692C">
        <w:t xml:space="preserve"> and THL/283/6.02.00/2019. The here included data has not been published before but a general description of the </w:t>
      </w:r>
      <w:proofErr w:type="spellStart"/>
      <w:r w:rsidRPr="00DD692C">
        <w:t>FinnGen</w:t>
      </w:r>
      <w:proofErr w:type="spellEnd"/>
      <w:r w:rsidRPr="00DD692C">
        <w:t xml:space="preserve"> study can be found elsewhere</w:t>
      </w:r>
      <w:r w:rsidR="00693630">
        <w:t xml:space="preserve"> </w:t>
      </w:r>
      <w:r w:rsidR="00693630">
        <w:fldChar w:fldCharType="begin"/>
      </w:r>
      <w:r w:rsidR="00693630">
        <w:instrText xml:space="preserve"> ADDIN ZOTERO_ITEM CSL_CITATION {"citationID":"y1RCIuPL","properties":{"formattedCitation":"(Mars et al., 2020)","plainCitation":"(Mars et al., 2020)","noteIndex":0},"citationItems":[{"id":3871,"uris":["http://zotero.org/users/9762508/items/MQYGNK8K"],"itemData":{"id":3871,"type":"article-journal","abstract":"Polygenic risk scores (PRSs) have shown promise in predicting susceptibility to common diseases1-3. We estimated their added value in clinical risk prediction of five common diseases, using large-scale biobank data (FinnGen; n = 135,300) and the FINRISK study with clinical risk factors to test genome-wide PRSs for coronary heart disease, type 2 diabetes, atrial fibrillation, breast cancer and prostate cancer. We evaluated the lifetime risk at different PRS levels, and the impact on disease onset and on prediction together with clinical risk scores. Compared to having an average PRS, having a high PRS contributed 21% to 38% higher lifetime risk, and 4 to 9 years earlier disease onset. PRSs improved model discrimination over age and sex in type 2 diabetes, atrial fibrillation, breast cancer and prostate cancer, and over clinical risk in type 2 diabetes, breast cancer and prostate cancer. In all diseases, PRSs improved reclassification over clinical thresholds, with the largest net reclassification improvements for early-onset coronary heart disease, atrial fibrillation and prostate cancer. This study provides evidence for the additional value of PRSs in clinical disease prediction. The practical applications of polygenic risk information for stratified screening or for guiding lifestyle and medical interventions in the clinical setting remain to be defined in further studies.","container-title":"Nature medicine","DOI":"10.1038/s41591-020-0800-0","issue":"4","note":"publisher: NLM (Medline)","page":"549-557","title":"Polygenic and clinical risk scores and their impact on age at onset and prediction of cardiometabolic diseases and common cancers","volume":"26","author":[{"family":"Mars","given":"Nina"},{"family":"Koskela","given":"Jukka T."},{"family":"Ripatti","given":"Pietari"},{"family":"Kiiskinen","given":"Tuomo T.J."},{"family":"Havulinna","given":"Aki S."},{"family":"Lindbohm","given":"Joni V."},{"family":"Ahola-Olli","given":"Ari"},{"family":"Kurki","given":"Mitja"},{"family":"Karjalainen","given":"Juha"},{"family":"Palta","given":"Priit"},{"family":"Neale","given":"Benjamin M."},{"family":"Daly","given":"Mark"},{"family":"Salomaa","given":"Veikko"},{"family":"Palotie","given":"Aarno"},{"family":"Widén","given":"Elisabeth"},{"family":"Ripatti","given":"Samuli"}],"issued":{"date-parts":[["2020",4]]}}}],"schema":"https://github.com/citation-style-language/schema/raw/master/csl-citation.json"} </w:instrText>
      </w:r>
      <w:r w:rsidR="00693630">
        <w:fldChar w:fldCharType="separate"/>
      </w:r>
      <w:r w:rsidR="00693630" w:rsidRPr="00693630">
        <w:t>(Mars et al., 2020)</w:t>
      </w:r>
      <w:r w:rsidR="00693630">
        <w:fldChar w:fldCharType="end"/>
      </w:r>
      <w:r w:rsidRPr="00DD692C">
        <w:t xml:space="preserve">. Cases were recruited through hospital records (inpatient and outpatients) from 1970 onwards, based on clinical diagnoses used in patient care, supplemented by cause of death diagnoses (if clinical diagnosis was underlying and/or contributing cause). Case definitions were based on a diagnosis of ICD-10 F42 and ICD-8 3003, there were no case exclusion criteria. The mean age of cases was 45.36 </w:t>
      </w:r>
      <m:oMath>
        <m:r>
          <w:rPr>
            <w:rFonts w:ascii="Cambria Math" w:hAnsi="Cambria Math"/>
          </w:rPr>
          <m:t>(SD=15.44)</m:t>
        </m:r>
      </m:oMath>
      <w:r w:rsidRPr="00DD692C">
        <w:t xml:space="preserve"> years with a minimum age of 16.5 and a maximum age of 91.4, including 330 males and 460 females. Controls were defined as all other participants in FinnGen with GWAS data. The mean age of controls was 60.02 </w:t>
      </w:r>
      <m:oMath>
        <m:r>
          <w:rPr>
            <w:rFonts w:ascii="Cambria Math" w:hAnsi="Cambria Math"/>
          </w:rPr>
          <m:t>(SD=17.28)</m:t>
        </m:r>
      </m:oMath>
      <w:r w:rsidRPr="00DD692C">
        <w:t xml:space="preserve"> years with a minimum age of 0 and a maximum age of 105.73, including 71,252 males and 90,138 females. Genotyping of cases and controls was performed in multiple batches on multiple arrays in multiple centers. For genotype quality control the following filters were applied to the data: exclusion of chromosome X, exclusion of variants with INFO score &lt; 0.95, with missingness &gt; 0.01, or with MAF &lt; 0.05. To check for population stratification, PCA was </w:t>
      </w:r>
      <w:r w:rsidR="00693630" w:rsidRPr="00DD692C">
        <w:t>performed,</w:t>
      </w:r>
      <w:r w:rsidRPr="00DD692C">
        <w:t xml:space="preserve"> and a </w:t>
      </w:r>
      <w:r w:rsidR="00DD6D2B">
        <w:t>B</w:t>
      </w:r>
      <w:r w:rsidRPr="00DD692C">
        <w:t>ayesian algorithm was used to spot outliers. Individuals were excluded if there was a mismatch between imputed sex and sex in registry data. For calculating the genetic relationship matrix, we used the genotype dataset where genotypes with GP &lt; 0.95 have been set missing. Only variants imputed with an INFO score &gt; 0.95 in all batches were used. Variants with</w:t>
      </w:r>
      <w:r w:rsidR="00693630">
        <w:t xml:space="preserve"> </w:t>
      </w:r>
      <w:r w:rsidRPr="00DD692C">
        <w:t>&gt;</w:t>
      </w:r>
      <w:r w:rsidR="00693630">
        <w:t xml:space="preserve"> </w:t>
      </w:r>
      <w:r w:rsidRPr="00DD692C">
        <w:t xml:space="preserve">3% missing genotypes were excluded as well as variants with MAF &lt; 1%. The remaining variants were LD pruned with a 1Mb window and r² threshold of 0.1. Imputation was performed using Eagle 2.4/Beagle 4.1 </w:t>
      </w:r>
      <w:r w:rsidR="00693630">
        <w:fldChar w:fldCharType="begin"/>
      </w:r>
      <w:r w:rsidR="00381117">
        <w:instrText xml:space="preserve"> ADDIN ZOTERO_ITEM CSL_CITATION {"citationID":"ceHtsNqD","properties":{"formattedCitation":"(B. L. Browning, 2017; Loh, Danecek, et al., 2016)","plainCitation":"(B. L. Browning, 2017; Loh, Danecek, et al., 2016)","noteIndex":0},"citationItems":[{"id":3307,"uris":["http://zotero.org/users/9762508/items/QLIJXATD"],"itemData":{"id":3307,"type":"article-journal","container-title":"https://faculty.washington.edu/browning/beagle/beagle_4.1_21Jan17.pdf","DOI":"10.1086/521987","title":"Beagle 4.1","URL":"www.java.com.","author":[{"family":"Browning","given":"Brian L"}],"accessed":{"date-parts":[["2022",1,31]]},"issued":{"date-parts":[["2017"]]}}},{"id":3250,"uris":["http://zotero.org/users/9762508/items/8GI5EZYY"],"itemData":{"id":3250,"type":"article-journal","abstract":"Po-Ru Loh, Alkes Price and colleagues present Eagle2, a reference-based phasing algorithm that allows for highly accurate and efficient phasing of genotypes across a broad range of cohort sizes. They demonstrate an approximately 10% improvement in accuracy and 20% improvement in speed compared to a competing method, SHAPEIT2. Haplotype phasing is a fundamental problem in medical and population genetics. Phasing is generally performed via statistical phasing in a genotyped cohort, an approach that can yield high accuracy in very large cohorts but attains lower accuracy in smaller cohorts. Here we instead explore the paradigm of reference-based phasing. We introduce a new phasing algorithm, Eagle2, that attains high accuracy across a broad range of cohort sizes by efficiently leveraging information from large external reference panels (such as the Haplotype Reference Consortium; HRC) using a new data structure based on the positional Burrows-Wheeler transform. We demonstrate that Eagle2 attains a </w:instrText>
      </w:r>
      <w:r w:rsidR="00381117">
        <w:rPr>
          <w:rFonts w:ascii="Cambria Math" w:hAnsi="Cambria Math" w:cs="Cambria Math"/>
        </w:rPr>
        <w:instrText>∼</w:instrText>
      </w:r>
      <w:r w:rsidR="00381117">
        <w:instrText xml:space="preserve">20× speedup and </w:instrText>
      </w:r>
      <w:r w:rsidR="00381117">
        <w:rPr>
          <w:rFonts w:ascii="Cambria Math" w:hAnsi="Cambria Math" w:cs="Cambria Math"/>
        </w:rPr>
        <w:instrText>∼</w:instrText>
      </w:r>
      <w:r w:rsidR="00381117">
        <w:instrText xml:space="preserve">10% increase in accuracy compared to reference-based phasing using SHAPEIT2. On European-ancestry samples, Eagle2 with the HRC panel achieves &gt;2× the accuracy of 1000 Genomes–based phasing. Eagle2 is open source and freely available for HRC-based phasing via the Sanger Imputation Service and the Michigan Imputation Server.","container-title":"Nature Genetics 2016 48:11","DOI":"10.1038/ng.3679","ISSN":"1546-1718","issue":"11","note":"PMID: 27694958\npublisher: Nature Publishing Group","page":"1443-1448","title":"Reference-based phasing using the Haplotype Reference Consortium panel","volume":"48","author":[{"family":"Loh","given":"Po Ru"},{"family":"Danecek","given":"Petr"},{"family":"Palamara","given":"Pier Francesco"},{"family":"Fuchsberger","given":"Christian"},{"family":"Reshef","given":"Yakir A."},{"family":"Finucane","given":"Hilary K."},{"family":"Schoenherr","given":"Sebastian"},{"family":"Forer","given":"Lukas"},{"family":"McCarthy","given":"Shane"},{"family":"Abecasis","given":"Goncalo R."},{"family":"Durbin","given":"Richard"},{"family":"Price","given":"Alkes L."}],"issued":{"date-parts":[["2016",10,3]]}}}],"schema":"https://github.com/citation-style-language/schema/raw/master/csl-citation.json"} </w:instrText>
      </w:r>
      <w:r w:rsidR="00693630">
        <w:fldChar w:fldCharType="separate"/>
      </w:r>
      <w:r w:rsidR="00381117" w:rsidRPr="00381117">
        <w:t>(B. L. Browning, 2017; Loh, Danecek, et al., 2016)</w:t>
      </w:r>
      <w:r w:rsidR="00693630">
        <w:fldChar w:fldCharType="end"/>
      </w:r>
      <w:r w:rsidR="00693630">
        <w:t xml:space="preserve"> </w:t>
      </w:r>
      <w:r w:rsidRPr="00DD692C">
        <w:t>using Finnish WGS (depth up to 30x) samples as reference with a total amount of 16962023 variants. GWAS was performed using SAIGE (v0.35.8.8)</w:t>
      </w:r>
      <w:r w:rsidR="00693630">
        <w:t xml:space="preserve"> </w:t>
      </w:r>
      <w:r w:rsidR="00693630">
        <w:fldChar w:fldCharType="begin"/>
      </w:r>
      <w:r w:rsidR="00693630">
        <w:instrText xml:space="preserve"> ADDIN ZOTERO_ITEM CSL_CITATION {"citationID":"eL5FyHLz","properties":{"formattedCitation":"(Zhou et al., 2018)","plainCitation":"(Zhou et al., 2018)","noteIndex":0},"citationItems":[{"id":2074,"uris":["http://zotero.org/users/9762508/items/8GN2Q29U"],"itemData":{"id":2074,"type":"article-journal","abstract":"In genome-wide association studies (GWAS) for thousands of phenotypes in large biobanks, most binary traits have substantially fewer cases than controls. Both of the widely used approaches, linear mixed model and the recently proposed logistic mixed model, perform poorly -- producing large type I error rates -- in the analysis of phenotypes with unbalanced case-control ratios. Here we propose a scalable and accurate generalized mixed model association test that uses the saddlepoint approximation (SPA) to calibrate the distribution of score test statistics. This method, SAIGE, provides accurate p-values even when case-control ratios are extremely unbalanced. It utilizes state-of-art optimization strategies to reduce computational time and memory cost of generalized mixed model. The computation cost linearly depends on sample size, and hence can be applicable to GWAS for thousands of phenotypes by large biobanks. Through the analysis of UK-Biobank data of 408,961 white British European-ancestry samples, we show that SAIGE can efficiently analyze large sample data, controlling for unbalanced case-control ratios and sample relatedness.","container-title":"Nature Genetics","DOI":"10.1038/s41588-018-0184-y","ISSN":"15461718","issue":"9","note":"publisher: Springer US","page":"1335-1341","title":"Efficiently controlling for case-control imbalance and sample relatedness in large-scale genetic association studies","volume":"50","author":[{"family":"Zhou","given":"Wei"},{"family":"Nielsen","given":"Jonas B."},{"family":"Fritsche","given":"Lars G."},{"family":"Dey","given":"Rounak"},{"family":"Gabrielsen","given":"Maiken E."},{"family":"Wolford","given":"Brooke N."},{"family":"LeFaive","given":"Jonathon"},{"family":"VandeHaar","given":"Peter"},{"family":"Gagliano","given":"Sarah A."},{"family":"Gifford","given":"Aliya"},{"family":"Bastarache","given":"Lisa A."},{"family":"Wei","given":"Wei Qi"},{"family":"Denny","given":"Joshua C."},{"family":"Lin","given":"Maoxuan"},{"family":"Hveem","given":"Kristian"},{"family":"Kang","given":"Hyun Min"},{"family":"Abecasis","given":"Goncalo R."},{"family":"Willer","given":"Cristen J."},{"family":"Lee","given":"Seunggeun"}],"issued":{"date-parts":[["2018"]]}}}],"schema":"https://github.com/citation-style-language/schema/raw/master/csl-citation.json"} </w:instrText>
      </w:r>
      <w:r w:rsidR="00693630">
        <w:fldChar w:fldCharType="separate"/>
      </w:r>
      <w:r w:rsidR="00693630" w:rsidRPr="00693630">
        <w:t>(Zhou et al., 2018)</w:t>
      </w:r>
      <w:r w:rsidR="00693630">
        <w:fldChar w:fldCharType="end"/>
      </w:r>
      <w:r w:rsidRPr="00DD692C">
        <w:t xml:space="preserve"> including age, sex, the first 10 PCs, genotyping batch and kinship matrix as covariates. </w:t>
      </w:r>
    </w:p>
    <w:p w14:paraId="0000002F" w14:textId="543BF5D4" w:rsidR="008E545C" w:rsidRPr="00F03477" w:rsidRDefault="00000000">
      <w:pPr>
        <w:pStyle w:val="berschrift3"/>
        <w:spacing w:line="480" w:lineRule="auto"/>
        <w:jc w:val="both"/>
        <w:rPr>
          <w:i w:val="0"/>
          <w:iCs/>
          <w:lang w:val="en-AU"/>
        </w:rPr>
      </w:pPr>
      <w:bookmarkStart w:id="13" w:name="_heading=h.26in1rg" w:colFirst="0" w:colLast="0"/>
      <w:bookmarkEnd w:id="13"/>
      <w:r w:rsidRPr="00DD692C">
        <w:lastRenderedPageBreak/>
        <w:t xml:space="preserve">HUNT | Zwart, J.-A. | Norway </w:t>
      </w:r>
      <w:r w:rsidR="00F03477">
        <w:t xml:space="preserve">| </w:t>
      </w:r>
      <w:r w:rsidR="00F03477" w:rsidRPr="00F03477">
        <w:t>22879362</w:t>
      </w:r>
    </w:p>
    <w:p w14:paraId="00000031" w14:textId="313C0E50" w:rsidR="008E545C" w:rsidRPr="00DD692C" w:rsidRDefault="00000000">
      <w:pPr>
        <w:spacing w:line="480" w:lineRule="auto"/>
        <w:jc w:val="both"/>
      </w:pPr>
      <w:sdt>
        <w:sdtPr>
          <w:tag w:val="goog_rdk_18"/>
          <w:id w:val="-1385253330"/>
        </w:sdtPr>
        <w:sdtContent>
          <w:r w:rsidR="00DD692C" w:rsidRPr="00DD692C">
            <w:rPr>
              <w:rFonts w:eastAsia="Arial Unicode MS"/>
            </w:rPr>
            <w:t xml:space="preserve">The </w:t>
          </w:r>
          <w:proofErr w:type="spellStart"/>
          <w:r w:rsidR="00DD692C" w:rsidRPr="00DD692C">
            <w:rPr>
              <w:rFonts w:eastAsia="Arial Unicode MS"/>
            </w:rPr>
            <w:t>Trøndelag</w:t>
          </w:r>
          <w:proofErr w:type="spellEnd"/>
          <w:r w:rsidR="00DD692C" w:rsidRPr="00DD692C">
            <w:rPr>
              <w:rFonts w:eastAsia="Arial Unicode MS"/>
            </w:rPr>
            <w:t xml:space="preserve"> Health Study (HUNT) consists of three different population-based health surveys conducted in the county of Nord-</w:t>
          </w:r>
          <w:proofErr w:type="spellStart"/>
          <w:r w:rsidR="00DD692C" w:rsidRPr="00DD692C">
            <w:rPr>
              <w:rFonts w:eastAsia="Arial Unicode MS"/>
            </w:rPr>
            <w:t>Trøndelag</w:t>
          </w:r>
          <w:proofErr w:type="spellEnd"/>
          <w:r w:rsidR="00DD692C" w:rsidRPr="00DD692C">
            <w:rPr>
              <w:rFonts w:eastAsia="Arial Unicode MS"/>
            </w:rPr>
            <w:t xml:space="preserve">, Norway over approximately 20 years (HUNT1: 1984-1986, HUNT2: 1995-1997 and HUNT3: 2006-2008). The HUNT study was approved by the Regional Committee for Medical and Health Research Ethics, Norway (2015/575). For each survey, the entire adult population (≥ 20 years) was invited to participate by completing questionnaires, attending clinical examinations and interviews. Participation rates in HUNT1, HUNT2 and HUNT3 were 89.4% (N = 77,212), 69.5% (N = 65 237) and 54.1% (N = 50 807), respectively. Taken together, the study included more than 120,000 different individuals from </w:t>
          </w:r>
          <w:proofErr w:type="spellStart"/>
          <w:r w:rsidR="00DD692C" w:rsidRPr="00DD692C">
            <w:rPr>
              <w:rFonts w:eastAsia="Arial Unicode MS"/>
            </w:rPr>
            <w:t>NordTrøndelag</w:t>
          </w:r>
          <w:proofErr w:type="spellEnd"/>
          <w:r w:rsidR="00DD692C" w:rsidRPr="00DD692C">
            <w:rPr>
              <w:rFonts w:eastAsia="Arial Unicode MS"/>
            </w:rPr>
            <w:t xml:space="preserve"> County. Biological samples including DNA have been collected for approximately 70000 participants. The entire HUNT Study has been described in more detail elsewhere </w:t>
          </w:r>
          <w:r w:rsidR="00F03477">
            <w:rPr>
              <w:rFonts w:eastAsia="Arial Unicode MS"/>
            </w:rPr>
            <w:fldChar w:fldCharType="begin"/>
          </w:r>
          <w:r w:rsidR="00F03477">
            <w:rPr>
              <w:rFonts w:eastAsia="Arial Unicode MS"/>
            </w:rPr>
            <w:instrText xml:space="preserve"> ADDIN ZOTERO_ITEM CSL_CITATION {"citationID":"mjNuvtDt","properties":{"formattedCitation":"(Krokstad et al., 2013)","plainCitation":"(Krokstad et al., 2013)","noteIndex":0},"citationItems":[{"id":3904,"uris":["http://zotero.org/users/9762508/items/3R69GH84"],"itemData":{"id":3904,"type":"article-journal","abstract":"The HUNT Study includes large total population-based cohorts from the 1980ies, covering 125 000 Norwegian participants; HUNT1 (1984- 86), HUNT2 (1995-97) and HUNT3 (2006-08). The study was primarily set up to address arterial hypertension, diabetes, screening of tuberculosis, and quality of life. However, the scope has expanded over time. In the latest survey a state of the art biobank was established, with availability of biomaterial for decades ahead. The three population based surveys now contribute to important knowledge regarding health related lifestyle, prevalence and incidence of somatic and mental illness and disease, health determinants, and associations between disease phenotypes and genotypes. Every citizen of Nord-TrØndelag County in Norway being 20 years or older, have been invited to all the surveys for adults. Participants may be linked in families and followed up longitudinally between the surveys and in several national health- and other registers covering the total population. The HUNT Study includes data from questionnaires, interviews, clinical measurements and biological samples (blood and urine). The questionnaires included questions on socioeconomic conditions, health related behaviours, symptoms, illnesses and diseases. Data from the HUNT Study are available for researchers who satisfy some basic requirements (www.ntnu.edu/hunt), whether affiliated in Norway or abroad. © The Author 2012; All rights reserved.","container-title":"International Journal of Epidemiology","DOI":"10.1093/ije/dys095","title":"Cohort profile: The HUNT study, Norway","author":[{"family":"Krokstad","given":"S."},{"family":"Langhammer","given":"A."},{"family":"Hveem","given":"K."},{"family":"Holmen","given":"T. L."},{"family":"Midthjell","given":"K."},{"family":"Stene","given":"T. R."},{"family":"Bratberg","given":"G."},{"family":"Heggland","given":"J."},{"family":"Holmen","given":"J."}],"issued":{"date-parts":[["2013"]]}}}],"schema":"https://github.com/citation-style-language/schema/raw/master/csl-citation.json"} </w:instrText>
          </w:r>
          <w:r w:rsidR="00F03477">
            <w:rPr>
              <w:rFonts w:eastAsia="Arial Unicode MS"/>
            </w:rPr>
            <w:fldChar w:fldCharType="separate"/>
          </w:r>
          <w:r w:rsidR="00F03477" w:rsidRPr="00F03477">
            <w:t>(Krokstad et al., 2013)</w:t>
          </w:r>
          <w:r w:rsidR="00F03477">
            <w:rPr>
              <w:rFonts w:eastAsia="Arial Unicode MS"/>
            </w:rPr>
            <w:fldChar w:fldCharType="end"/>
          </w:r>
        </w:sdtContent>
      </w:sdt>
      <w:r w:rsidR="00DD692C" w:rsidRPr="00DD692C">
        <w:t xml:space="preserve">. For the present study, we included participants from HUNT2 and HUNT3. Cases and controls were defined by linkage to hospital diagnostic registries from the </w:t>
      </w:r>
      <w:proofErr w:type="gramStart"/>
      <w:r w:rsidR="00DD692C" w:rsidRPr="00DD692C">
        <w:t>time period</w:t>
      </w:r>
      <w:proofErr w:type="gramEnd"/>
      <w:r w:rsidR="00DD692C" w:rsidRPr="00DD692C">
        <w:t xml:space="preserve"> 1987-2017. Cases were defined as those with a hospital diagnosis of obsessive-compulsive disorder (ICD10 code F42). Controls were defined as those without ICD10 code F42 and without ICD-9 code 300 (“anxiety, dissociative and somatoform disorders”). The study was approved by the Regional Committee for Medical and Health Research Ethics (ref. 2015/575). In total, DNA from 71,860 HUNT samples was genotyped at the Genomics Core Facility at the Norwegian University of Science and Technology using one of three different Illumina </w:t>
      </w:r>
      <w:proofErr w:type="spellStart"/>
      <w:r w:rsidR="00DD692C" w:rsidRPr="00DD692C">
        <w:t>HumanCoreExome</w:t>
      </w:r>
      <w:proofErr w:type="spellEnd"/>
      <w:r w:rsidR="00DD692C" w:rsidRPr="00DD692C">
        <w:t xml:space="preserve"> arrays (HumanCoreExome12 v1.0, HumanCoreExome12 v1.1 and UM HUNT Biobank v1.0). Samples that failed to reach a 99% call rate, had contamination &gt;2.5% as estimated with BAF Regress </w:t>
      </w:r>
      <w:r w:rsidR="00F03477">
        <w:fldChar w:fldCharType="begin"/>
      </w:r>
      <w:r w:rsidR="00F03477">
        <w:instrText xml:space="preserve"> ADDIN ZOTERO_ITEM CSL_CITATION {"citationID":"JwztjvDR","properties":{"formattedCitation":"(Jun et al., 2012)","plainCitation":"(Jun et al., 2012)","noteIndex":0},"citationItems":[{"id":3888,"uris":["http://zotero.org/users/9762508/items/T92K8GP4"],"itemData":{"id":3888,"type":"article-journal","abstract":"DNA sample contamination is a serious problem in DNA sequencing studies and may result in systematic genotype misclassification and false positive associations. Although methods exist to detect and filter out cross-species contamination, few methods to detect within-species sample contamination are available. In this paper, we describe methods to identify within-species DNA sample contamination based on (1) a combination of sequencing reads and array-based genotype data, (2) sequence reads alone, and (3) array-based genotype data alone. Analysis of sequencing reads allows contamination detection after sequence data is generated but prior to variant calling; analysis of array-based genotype data allows contamination detection prior to generation of costly sequence data. Through a combination of analysis of in silico and experimentally contaminated samples, we show that our methods can reliably detect and estimate levels of contamination as low as 1%. We evaluate the impact of DNA contamination on genotype accuracy and propose effective strategies to screen for and prevent DNA contamination in sequencing studies. © 2012 The American Society of Human Genetics.","container-title":"American Journal of Human Genetics","DOI":"10.1016/j.ajhg.2012.09.004","issue":"5","note":"publisher: Am J Hum Genet","page":"839-848","title":"Detecting and estimating contamination of human DNA samples in sequencing and array-based genotype data","volume":"91","author":[{"family":"Jun","given":"Goo"},{"family":"Flickinger","given":"Matthew"},{"family":"Hetrick","given":"Kurt N."},{"family":"Romm","given":"Jane M."},{"family":"Doheny","given":"Kimberly F."},{"family":"Abecasis","given":"Gonçalo R."},{"family":"Boehnke","given":"Michael"},{"family":"Kang","given":"Hyun Min"}],"issued":{"date-parts":[["2012",11]]}}}],"schema":"https://github.com/citation-style-language/schema/raw/master/csl-citation.json"} </w:instrText>
      </w:r>
      <w:r w:rsidR="00F03477">
        <w:fldChar w:fldCharType="separate"/>
      </w:r>
      <w:r w:rsidR="00F03477" w:rsidRPr="00F03477">
        <w:t>(Jun et al., 2012)</w:t>
      </w:r>
      <w:r w:rsidR="00F03477">
        <w:fldChar w:fldCharType="end"/>
      </w:r>
      <w:r w:rsidR="00DD692C" w:rsidRPr="00DD692C">
        <w:t xml:space="preserve">, large chromosomal copy number variants, lower call rate of a technical duplicate pair and twins, </w:t>
      </w:r>
      <w:proofErr w:type="spellStart"/>
      <w:r w:rsidR="00DD692C" w:rsidRPr="00DD692C">
        <w:t>gonosomal</w:t>
      </w:r>
      <w:proofErr w:type="spellEnd"/>
      <w:r w:rsidR="00DD692C" w:rsidRPr="00DD692C">
        <w:t xml:space="preserve"> constellations other than XX and XY, or whose inferred sex contradicted the reported gender, were excluded. Samples that passed quality control were analy</w:t>
      </w:r>
      <w:sdt>
        <w:sdtPr>
          <w:tag w:val="goog_rdk_16"/>
          <w:id w:val="1624269771"/>
        </w:sdtPr>
        <w:sdtContent>
          <w:r w:rsidR="00DD692C" w:rsidRPr="00DD692C">
            <w:t>z</w:t>
          </w:r>
        </w:sdtContent>
      </w:sdt>
      <w:r w:rsidR="00DD692C" w:rsidRPr="00DD692C">
        <w:t xml:space="preserve">ed in a second round of genotype calling following the Genome Studio quality control protocol described elsewhere </w:t>
      </w:r>
      <w:r w:rsidR="00F03477">
        <w:fldChar w:fldCharType="begin"/>
      </w:r>
      <w:r w:rsidR="00F03477">
        <w:instrText xml:space="preserve"> ADDIN ZOTERO_ITEM CSL_CITATION {"citationID":"XS4gC5Ph","properties":{"formattedCitation":"(Guo et al., 2014)","plainCitation":"(Guo et al., 2014)","noteIndex":0},"citationItems":[{"id":3901,"uris":["http://zotero.org/users/9762508/items/6X7Y33UH"],"itemData":{"id":3901,"type":"article-journal","abstract":"With the rise of high-throughput sequencing technology, traditional genotyping arrays are gradually being replaced by sequencing technology. Against this trend, Illumina has introduced an exome genotyping array that provides an alternative approach to sequencing, especially suited to large-scale genome-wide association studies (GWASs). The exome genotyping array targets the exome plus rare single-nucleotide polymorphisms (SNPs), a feature that makes it substantially more challenging to process than previous genotyping arrays that targeted common SNPs. Researchers have struggled to generate a reliable protocol for processing exome genotyping array data. The Vanderbilt Epidemiology Center, in cooperation with Vanderbilt Technologies for Advanced Genomics Analysis and Research Design (VANGARD), has developed a thorough exome chip-processing protocol. The protocol was developed during the processing of several large exome genotyping array-based studies, which included over 60,000 participants combined. The protocol described herein contains detailed clustering techniques and robust quality control procedures, and it can benefit future exome genotyping array-based GWASs.","container-title":"Nature Protocols","DOI":"10.1038/nprot.2014.174","issue":"11","note":"publisher: Nature Publishing Group","page":"2643-2662","title":"Illumina human exome genotyping array clustering and quality control","volume":"9","author":[{"family":"Guo","given":"Yan"},{"family":"He","given":"Jing"},{"family":"Zhao","given":"Shilin"},{"family":"Wu","given":"Hui"},{"family":"Zhong","given":"Xue"},{"family":"Sheng","given":"Quanhu"},{"family":"Samuels","given":"David C."},{"family":"Shyr","given":"Yu"},{"family":"Long","given":"Jirong"}],"issued":{"date-parts":[["2014",11]]}}}],"schema":"https://github.com/citation-style-language/schema/raw/master/csl-citation.json"} </w:instrText>
      </w:r>
      <w:r w:rsidR="00F03477">
        <w:fldChar w:fldCharType="separate"/>
      </w:r>
      <w:r w:rsidR="00F03477" w:rsidRPr="00F03477">
        <w:t>(Guo et al., 2014)</w:t>
      </w:r>
      <w:r w:rsidR="00F03477">
        <w:fldChar w:fldCharType="end"/>
      </w:r>
      <w:r w:rsidR="00DD692C" w:rsidRPr="00DD692C">
        <w:t xml:space="preserve">. Genomic position, strand orientation and the reference allele of genotyped variants were determined by aligning their probe sequences against </w:t>
      </w:r>
      <w:r w:rsidR="00DD692C" w:rsidRPr="00DD692C">
        <w:lastRenderedPageBreak/>
        <w:t xml:space="preserve">the human genome (Genome Reference Consortium Human genome build 37 and revised Cambridge Reference Sequence of the human mitochondrial DNA; http://genome.ucsc.edu) using BLAT </w:t>
      </w:r>
      <w:r w:rsidR="00F03477">
        <w:fldChar w:fldCharType="begin"/>
      </w:r>
      <w:r w:rsidR="00F03477">
        <w:instrText xml:space="preserve"> ADDIN ZOTERO_ITEM CSL_CITATION {"citationID":"EViNE81h","properties":{"formattedCitation":"(Dunham et al., 2012)","plainCitation":"(Dunham et al., 2012)","noteIndex":0},"citationItems":[{"id":3899,"uris":["http://zotero.org/users/9762508/items/VTJYQ4LW"],"itemData":{"id":3899,"type":"article-journal","abstract":"The human genome encodes the blueprint of life, but the function of the vast majority of its nearly three billion bases is unknown. The Encyclopedia of DNA Elements (ENCODE) project has systematically mapped regions of transcription, transcription factor association, chromatin structure and histone modification. These data enabled us to assign biochemical functions for 80% of the genome, in particular outside of the well-studied protein-coding regions. Many discovered candidate regulatory elements are physically associated with one another and with expressed genes, providing new insights into the mechanisms of gene regulation. The newly identified elements also show a statistical correspondence to sequence variants linked to human disease, and can thereby guide interpretation of this variation. Overall, the project provides new insights into the organization and regulation of our genes and genome, and is an expansive resource of functional annotations for biomedical research. © 2012 Macmillan Publishers Limited. All rights reserved.","container-title":"Nature","DOI":"10.1038/nature11247","issue":"7414","note":"publisher: Nature Publishing Group","page":"57-74","title":"An integrated encyclopedia of DNA elements in the human genome","volume":"489","author":[{"family":"Dunham","given":"Ian"},{"family":"Kundaje","given":"Anshul"},{"family":"Aldred","given":"Shelley F."},{"family":"Collins","given":"Patrick J."},{"family":"Davis","given":"Carrie A."},{"family":"Doyle","given":"Francis"},{"family":"Epstein","given":"Charles B."},{"family":"Frietze","given":"Seth"},{"family":"Harrow","given":"Jennifer"},{"family":"Kaul","given":"Rajinder"},{"family":"Khatun","given":"Jainab"},{"family":"Lajoie","given":"Bryan R."},{"family":"Landt","given":"Stephen G."},{"family":"Lee","given":"Bum Kyu"},{"family":"Pauli","given":"Florencia"},{"family":"Rosenbloom","given":"Kate R."},{"family":"Sabo","given":"Peter"},{"family":"Safi","given":"Alexias"},{"family":"Sanyal","given":"Amartya"},{"family":"Shoresh","given":"Noam"},{"family":"Simon","given":"Jeremy M."},{"family":"Song","given":"Lingyun"},{"family":"Trinklein","given":"Nathan D."},{"family":"Altshuler","given":"Robert C."},{"family":"Birney","given":"Ewan"},{"family":"Brown","given":"James B."},{"family":"Cheng","given":"Chao"},{"family":"Djebali","given":"Sarah"},{"family":"Dong","given":"Xianjun"},{"family":"Ernst","given":"Jason"},{"family":"Furey","given":"Terrence S."},{"family":"Gerstein","given":"Mark"},{"family":"Giardine","given":"Belinda"},{"family":"Greven","given":"Melissa"},{"family":"Hardison","given":"Ross C."},{"family":"Harris","given":"Robert S."},{"family":"Herrero","given":"Javier"},{"family":"Hoffman","given":"Michael M."},{"family":"Iyer","given":"Sowmya"},{"family":"Kellis","given":"Manolis"},{"family":"Kheradpour","given":"Pouya"},{"family":"Lassmann","given":"Timo"},{"family":"Li","given":"Qunhua"},{"family":"Lin","given":"Xinying"},{"family":"Marinov","given":"Georgi K."},{"family":"Merkel","given":"Angelika"},{"family":"Mortazavi","given":"Ali"},{"family":"Parker","given":"Stephen C.J."},{"family":"Reddy","given":"Timothy E."},{"family":"Rozowsky","given":"Joel"},{"family":"Schlesinger","given":"Felix"},{"family":"Thurman","given":"Robert E."},{"family":"Wang","given":"Jie"},{"family":"Ward","given":"Lucas D."},{"family":"Whitfield","given":"Troy W."},{"family":"Wilder","given":"Steven P."},{"family":"Wu","given":"Weisheng"},{"family":"Xi","given":"Hualin S."},{"family":"Yip","given":"Kevin Y."},{"family":"Zhuang","given":"Jiali"},{"family":"Bernstein","given":"Bradley E."},{"family":"Green","given":"Eric D."},{"family":"Gunter","given":"Chris"},{"family":"Snyder","given":"Michael"},{"family":"Pazin","given":"Michael J."},{"family":"Lowdon","given":"Rebecca F."},{"family":"Dillon","given":"Laura A.L."},{"family":"Adams","given":"Leslie B."},{"family":"Kelly","given":"Caroline J."},{"family":"Zhang","given":"Julia"},{"family":"Wexler","given":"Judith R."},{"family":"Good","given":"Peter J."},{"family":"Feingold","given":"Elise A."},{"family":"Crawford","given":"Gregory E."},{"family":"Dekker","given":"Job"},{"family":"Elnitski","given":"Laura"},{"family":"Farnham","given":"Peggy J."},{"family":"Giddings","given":"Morgan C."},{"family":"Gingeras","given":"Thomas R."},{"family":"Guigó","given":"Roderic"},{"family":"Hubbard","given":"Timothy J."},{"family":"Kent","given":"W. James"},{"family":"Lieb","given":"Jason D."},{"family":"Margulies","given":"Elliott H."},{"family":"Myers","given":"Richard M."},{"family":"Stamatoyannopoulos","given":"John A."},{"family":"Tenenbaum","given":"Scott A."},{"family":"Weng","given":"Zhiping"},{"family":"White","given":"Kevin P."},{"family":"Wold","given":"Barbara"},{"family":"Yu","given":"Yanbao"},{"family":"Wrobel","given":"John"},{"family":"Risk","given":"Brian A."},{"family":"Gunawardena","given":"Harsha P."},{"family":"Kuiper","given":"Heather C."},{"family":"Maier","given":"Christopher W."},{"family":"Xie","given":"Ling"},{"family":"Chen","given":"Xian"},{"family":"Mikkelsen","given":"Tarjei S."},{"family":"Gillespie","given":"Shawn"},{"family":"Goren","given":"Alon"},{"family":"Ram","given":"Oren"},{"family":"Zhang","given":"Xiaolan"},{"family":"Wang","given":"Li"},{"family":"Issner","given":"Robbyn"},{"family":"Coyne","given":"Michael J."},{"family":"Durham","given":"Timothy"},{"family":"Ku","given":"Manching"},{"family":"Truong","given":"Thanh"},{"family":"Eaton","given":"Matthew L."},{"family":"Dobin","given":"Alex"},{"family":"Tanzer","given":"Andrea"},{"family":"Lagarde","given":"Julien"},{"family":"Lin","given":"Wei"},{"family":"Xue","given":"Chenghai"},{"family":"Williams","given":"Brian A."},{"family":"Zaleski","given":"Chris"},{"family":"Röder","given":"Maik"},{"family":"Kokocinski","given":"Felix"},{"family":"Abdelhamid","given":"Rehab F."},{"family":"Alioto","given":"Tyler"},{"family":"Antoshechkin","given":"Igor"},{"family":"Baer","given":"Michael T."},{"family":"Batut","given":"Philippe"},{"family":"Bell","given":"Ian"},{"family":"Bell","given":"Kimberly"},{"family":"Chakrabortty","given":"Sudipto"},{"family":"Chrast","given":"Jacqueline"},{"family":"Curado","given":"Joao"},{"family":"Derrien","given":"Thomas"},{"family":"Drenkow","given":"Jorg"},{"family":"Dumais","given":"Erica"},{"family":"Dumais","given":"Jackie"},{"family":"Duttagupta","given":"Radha"},{"family":"Fastuca","given":"Megan"},{"family":"Fejes-Toth","given":"Kata"},{"family":"Ferreira","given":"Pedro"},{"family":"Foissac","given":"Sylvain"},{"family":"Fullwood","given":"Melissa J."},{"family":"Gao","given":"Hui"},{"family":"Gonzalez","given":"David"},{"family":"Gordon","given":"Assaf"},{"family":"Howald","given":"Cédric"},{"family":"Jha","given":"Sonali"},{"family":"Johnson","given":"Rory"},{"family":"Kapranov","given":"Philipp"},{"family":"King","given":"Brandon"},{"family":"Kingswood","given":"Colin"},{"family":"Li","given":"Guoliang"},{"family":"Luo","given":"Oscar J."},{"family":"Park","given":"Eddie"},{"family":"Preall","given":"Jonathan B."},{"family":"Presaud","given":"Kimberly"},{"family":"Ribeca","given":"Paolo"},{"family":"Robyr","given":"Daniel"},{"family":"Ruan","given":"Xiaoan"},{"family":"Sammeth","given":"Michael"},{"family":"Sandhu","given":"Kuljeet Singh"},{"family":"Schaeffer","given":"Lorain"},{"family":"See","given":"Lei Hoon"},{"family":"Shahab","given":"Atif"},{"family":"Skancke","given":"Jorgen"},{"family":"Suzuki","given":"Ana Maria"},{"family":"Takahashi","given":"Hazuki"},{"family":"Tilgner","given":"Hagen"},{"family":"Trout","given":"Diane"},{"family":"Walters","given":"Nathalie"},{"family":"Wang","given":"Huaien"},{"family":"Hayashizaki","given":"Yoshihide"},{"family":"Reymond","given":"Alexandre"},{"family":"Antonarakis","given":"Stylianos E."},{"family":"Hannon","given":"Gregory J."},{"family":"Ruan","given":"Yijun"},{"family":"Carninci","given":"Piero"},{"family":"Sloan","given":"Cricket A."},{"family":"Learned","given":"Katrina"},{"family":"Malladi","given":"Venkat S."},{"family":"Wong","given":"Matthew C."},{"family":"Barber","given":"Galt P."},{"family":"Cline","given":"Melissa S."},{"family":"Dreszer","given":"Timothy R."},{"family":"Heitner","given":"Steven G."},{"family":"Karolchik","given":"Donna"},{"family":"Kirkup","given":"Vanessa M."},{"family":"Meyer","given":"Laurence R."},{"family":"Long","given":"Jeffrey C."},{"family":"Maddren","given":"Morgan"},{"family":"Raney","given":"Brian J."},{"family":"Grasfeder","given":"Linda L."},{"family":"Giresi","given":"Paul G."},{"family":"Battenhouse","given":"Anna"},{"family":"Sheffield","given":"Nathan C."},{"family":"Showers","given":"Kimberly A."},{"family":"London","given":"Darin"},{"family":"Bhinge","given":"Akshay A."},{"family":"Shestak","given":"Christopher"},{"family":"Schaner","given":"Matthew R."},{"family":"Kim","given":"Seul Ki"},{"family":"Zhang","given":"Zhuzhu Z."},{"family":"Mieczkowski","given":"Piotr A."},{"family":"Mieczkowska","given":"Joanna O."},{"family":"Liu","given":"Zheng"},{"family":"McDaniell","given":"Ryan M."},{"family":"Ni","given":"Yunyun"},{"family":"Rashid","given":"Naim U."},{"family":"Kim","given":"Min Jae"},{"family":"Adar","given":"Sheera"},{"family":"Zhang","given":"Zhancheng"},{"family":"Wang","given":"Tianyuan"},{"family":"Winter","given":"Deborah"},{"family":"Keefe","given":"Damian"},{"family":"Iyer","given":"Vishwanath R."},{"family":"Zheng","given":"Meizhen"},{"family":"Wang","given":"Ping"},{"family":"Gertz","given":"Jason"},{"family":"Vielmetter","given":"Jost"},{"family":"Partridge","given":"E. Christopher"},{"family":"Varley","given":"Katherine E."},{"family":"Gasper","given":"Clarke"},{"family":"Bansal","given":"Anita"},{"family":"Pepke","given":"Shirley"},{"family":"Jain","given":"Preti"},{"family":"Amrhein","given":"Henry"},{"family":"Bowling","given":"Kevin M."},{"family":"Anaya","given":"Michael"},{"family":"Cross","given":"Marie K."},{"family":"Muratet","given":"Michael A."},{"family":"Newberry","given":"Kimberly M."},{"family":"McCue","given":"Kenneth"},{"family":"Nesmith","given":"Amy S."},{"family":"Fisher-Aylor","given":"Katherine I."},{"family":"Pusey","given":"Barbara"},{"family":"DeSalvo","given":"Gilberto"},{"family":"Parker","given":"Stephanie L."},{"family":"Balasubramanian","given":"Sreeram"},{"family":"Davis","given":"Nicholas S."},{"family":"Meadows","given":"Sarah K."},{"family":"Eggleston","given":"Tracy"},{"family":"Newberry","given":"J. Scott"},{"family":"Levy","given":"Shawn E."},{"family":"Absher","given":"Devin M."},{"family":"Wong","given":"Wing H."},{"family":"Blow","given":"Matthew J."},{"family":"Visel","given":"Axel"},{"family":"Pennachio","given":"Len A."},{"family":"Petrykowska","given":"Hanna M."},{"family":"Abyzov","given":"Alexej"},{"family":"Aken","given":"Bronwen"},{"family":"Barrell","given":"Daniel"},{"family":"Barson","given":"Gemma"},{"family":"Berry","given":"Andrew"},{"family":"Bignell","given":"Alexandra"},{"family":"Boychenko","given":"Veronika"},{"family":"Bussotti","given":"Giovanni"},{"family":"Davidson","given":"Claire"},{"family":"Despacio-Reyes","given":"Gloria"},{"family":"Diekhans","given":"Mark"},{"family":"Ezkurdia","given":"Iakes"},{"family":"Frankish","given":"Adam"},{"family":"Gilbert","given":"James"},{"family":"Gonzalez","given":"Jose Manuel"},{"family":"Griffiths","given":"Ed"},{"family":"Harte","given":"Rachel"},{"family":"Hendrix","given":"David A."},{"family":"Hunt","given":"Toby"},{"family":"Jungreis","given":"Irwin"},{"family":"Kay","given":"Mike"},{"family":"Khurana","given":"Ekta"},{"family":"Leng","given":"Jing"},{"family":"Lin","given":"Michael F."},{"family":"Loveland","given":"Jane"},{"family":"Lu","given":"Zhi"},{"family":"Manthravadi","given":"Deepa"},{"family":"Mariotti","given":"Marco"},{"family":"Mudge","given":"Jonathan"},{"family":"Mukherjee","given":"Gaurab"},{"family":"Notredame","given":"Cedric"},{"family":"Pei","given":"Baikang"},{"family":"Rodriguez","given":"Jose Manuel"},{"family":"Saunders","given":"Gary"},{"family":"Sboner","given":"Andrea"},{"family":"Searle","given":"Stephen"},{"family":"Sisu","given":"Cristina"},{"family":"Snow","given":"Catherine"},{"family":"Steward","given":"Charlie"},{"family":"Tapanari","given":"Electra"},{"family":"Tress","given":"Michael L."},{"family":"Van Baren","given":"Marijke J."},{"family":"Washietl","given":"Stefan"},{"family":"Wilming","given":"Laurens"},{"family":"Zadissa","given":"Amonida"},{"family":"Zhang","given":"Zhengdong"},{"family":"Brent","given":"Michael"},{"family":"Haussler","given":"David"},{"family":"Valencia","given":"Alfonso"},{"family":"Addleman","given":"Nick"},{"family":"Alexander","given":"Roger P."},{"family":"Auerbach","given":"Raymond K."},{"family":"Balasubramanian","given":"Suganthi"},{"family":"Bettinger","given":"Keith"},{"family":"Bhardwaj","given":"Nitin"},{"family":"Boyle","given":"Alan P."},{"family":"Cao","given":"Alina R."},{"family":"Cayting","given":"Philip"},{"family":"Charos","given":"Alexandra"},{"family":"Cheng","given":"Yong"},{"family":"Eastman","given":"Catharine"},{"family":"Euskirchen","given":"Ghia"},{"family":"Fleming","given":"Joseph D."},{"family":"Grubert","given":"Fabian"},{"family":"Habegger","given":"Lukas"},{"family":"Hariharan","given":"Manoj"},{"family":"Harmanci","given":"Arif"},{"family":"Iyengar","given":"Sushma"},{"family":"Jin","given":"Victor X."},{"family":"Karczewski","given":"Konrad J."},{"family":"Kasowski","given":"Maya"},{"family":"Lacroute","given":"Phil"},{"family":"Lam","given":"Hugo"},{"family":"Lamarre-Vincent","given":"Nathan"},{"family":"Lian","given":"Jin"},{"family":"Lindahl-Allen","given":"Marianne"},{"family":"Min","given":"Renqiang"},{"family":"Miotto","given":"Benoit"},{"family":"Monahan","given":"Hannah"},{"family":"Moqtaderi","given":"Zarmik"},{"family":"Mu","given":"Xinmeng J."},{"family":"O'Geen","given":"Henriette"},{"family":"Ouyang","given":"Zhengqing"},{"family":"Patacsil","given":"Dorrelyn"},{"family":"Raha","given":"Debasish"},{"family":"Ramirez","given":"Lucia"},{"family":"Reed","given":"Brian"},{"family":"Shi","given":"Minyi"},{"family":"Slifer","given":"Teri"},{"family":"Witt","given":"Heather"},{"family":"Wu","given":"Linfeng"},{"family":"Xu","given":"Xiaoqin"},{"family":"Yan","given":"Koon Kiu"},{"family":"Yang","given":"Xinqiong"},{"family":"Struhl","given":"Kevin"},{"family":"Weissman","given":"Sherman M."},{"family":"Penalva","given":"Luiz O."},{"family":"Karmakar","given":"Subhradip"},{"family":"Bhanvadia","given":"Raj R."},{"family":"Choudhury","given":"Alina"},{"family":"Domanus","given":"Marc"},{"family":"Ma","given":"Lijia"},{"family":"Moran","given":"Jennifer"},{"family":"Victorsen","given":"Alec"},{"family":"Auer","given":"Thomas"},{"family":"Centanin","given":"Lazaro"},{"family":"Eichenlaub","given":"Michael"},{"family":"Gruhl","given":"Franziska"},{"family":"Heermann","given":"Stephan"},{"family":"Hoeckendorf","given":"Burkhard"},{"family":"Inoue","given":"Daigo"},{"family":"Kellner","given":"Tanja"},{"family":"Kirchmaier","given":"Stephan"},{"family":"Mueller","given":"Claudia"},{"family":"Reinhardt","given":"Robert"},{"family":"Schertel","given":"Lea"},{"family":"Schneider","given":"Stephanie"},{"family":"Sinn","given":"Rebecca"},{"family":"Wittbrodt","given":"Beate"},{"family":"Wittbrodt","given":"Jochen"},{"family":"Jain","given":"Gaurav"},{"family":"Balasundaram","given":"Gayathri"},{"family":"Bates","given":"Daniel L."},{"family":"Byron","given":"Rachel"},{"family":"Canfield","given":"Theresa K."},{"family":"Diegel","given":"Morgan J."},{"family":"Dunn","given":"Douglas"},{"family":"Ebersol","given":"Abigail K."},{"family":"Frum","given":"Tristan"},{"family":"Garg","given":"Kavita"},{"family":"Gist","given":"Erica"},{"family":"Hansen","given":"R. Scott"},{"family":"Boatman","given":"Lisa"},{"family":"Haugen","given":"Eric"},{"family":"Humbert","given":"Richard"},{"family":"Johnson","given":"Audra K."},{"family":"Johnson","given":"Ericka M."},{"family":"Kutyavin","given":"Tattyana V."},{"family":"Lee","given":"Kristen"},{"family":"Lotakis","given":"Dimitra"},{"family":"Maurano","given":"Matthew T."},{"family":"Neph","given":"Shane J."},{"family":"Neri","given":"Fiedencio V."},{"family":"Nguyen","given":"Eric D."},{"family":"Qu","given":"Hongzhu"},{"family":"Reynolds","given":"Alex P."},{"family":"Roach","given":"Vaughn"},{"family":"Rynes","given":"Eric"},{"family":"Sanchez","given":"Minerva E."},{"family":"Sandstrom","given":"Richard S."},{"family":"Shafer","given":"Anthony O."},{"family":"Stergachis","given":"Andrew B."},{"family":"Thomas","given":"Sean"},{"family":"Vernot","given":"Benjamin"},{"family":"Vierstra","given":"Jeff"},{"family":"Vong","given":"Shinny"},{"family":"Wang","given":"Hao"},{"family":"Weaver","given":"Molly A."},{"family":"Yan","given":"Yongqi"},{"family":"Zhang","given":"Miaohua"},{"family":"Akey","given":"Joshua M."},{"family":"Bende</w:instrText>
      </w:r>
      <w:r w:rsidR="00F03477" w:rsidRPr="00810C9F">
        <w:rPr>
          <w:lang w:val="de-DE"/>
        </w:rPr>
        <w:instrText xml:space="preserve">r","given":"Michael"},{"family":"Dorschner","given":"Michael O."},{"family":"Groudine","given":"Mark"},{"family":"MacCoss","given":"Michael J."},{"family":"Navas","given":"Patrick"},{"family":"Stamatoyannopoulos","given":"George"},{"family":"Beal","given":"Kathryn"},{"family":"Brazma","given":"Alvis"},{"family":"Flicek","given":"Paul"},{"family":"Johnson","given":"Nathan"},{"family":"Lukk","given":"Margus"},{"family":"Luscombe","given":"Nicholas M."},{"family":"Sobral","given":"Daniel"},{"family":"Vaquerizas","given":"Juan M."},{"family":"Batzoglou","given":"Serafim"},{"family":"Sidow","given":"Arend"},{"family":"Hussami","given":"Nadine"},{"family":"Kyriazopoulou-Panagiotopoulou","given":"Sofia"},{"family":"Libbrecht","given":"Max W."},{"family":"Schaub","given":"Marc A."},{"family":"Miller","given":"Webb"},{"family":"Bickel","given":"Peter J."},{"family":"Banfai","given":"Balazs"},{"family":"Boley","given":"Nathan P."},{"family":"Huang","given":"Haiyan"},{"family":"Li","given":"Jingyi Jessica"},{"family":"Noble","given":"William Stafford"},{"family":"Bilmes","given":"Jeffrey A."},{"family":"Buske","given":"Orion J."},{"family":"Sahu","given":"Avinash D."},{"family":"Kharchenko","given":"Peter V."},{"family":"Park","given":"Peter J."},{"family":"Baker","given":"Dannon"},{"family":"Taylor","given":"James"},{"family":"Lochovsky","given":"Lucas"}],"issued":{"date-parts":[["2012",9]]}}}],"schema":"https://github.com/citation-style-language/schema/raw/master/csl-citation.json"} </w:instrText>
      </w:r>
      <w:r w:rsidR="00F03477">
        <w:fldChar w:fldCharType="separate"/>
      </w:r>
      <w:r w:rsidR="00F03477" w:rsidRPr="00810C9F">
        <w:rPr>
          <w:lang w:val="de-DE"/>
        </w:rPr>
        <w:t>(Dunham et al., 2012)</w:t>
      </w:r>
      <w:r w:rsidR="00F03477">
        <w:fldChar w:fldCharType="end"/>
      </w:r>
      <w:r w:rsidR="00DD692C" w:rsidRPr="00810C9F">
        <w:rPr>
          <w:lang w:val="de-DE"/>
        </w:rPr>
        <w:t>. PLINK v1.90</w:t>
      </w:r>
      <w:r w:rsidR="00F03477" w:rsidRPr="00810C9F">
        <w:rPr>
          <w:lang w:val="de-DE"/>
        </w:rPr>
        <w:t xml:space="preserve"> </w:t>
      </w:r>
      <w:r w:rsidR="00F03477">
        <w:fldChar w:fldCharType="begin"/>
      </w:r>
      <w:r w:rsidR="00F03477" w:rsidRPr="00810C9F">
        <w:rPr>
          <w:lang w:val="de-DE"/>
        </w:rPr>
        <w:instrText xml:space="preserve"> ADDIN ZOTERO_ITEM CSL_CITATION {"citationID":"rTBNfs2S","properties":{"formattedCitation":"(Purcell et al., 2007)","plainCitation":"(Purcell et al., 2007)","noteIndex":0},"citationItems":[{"id":3259,"uris":["http://zotero.org/users/9762508/items/TVXPRGS8"],"itemData":{"id":3259,"type":"article-journal","abstract":"Whole-genome association studies (WGAS) bring new computational, as well as analytic, challenges to researchers. Many existing genetic-analysis tools are not designed to handle such large data sets in a convenient manner and do not necessarily exploit the new opportunities that whole-genome data bring. To address these issues, we developed PLINK, an open-source C/C++ WGAS tool set. With PLINK, large data sets comprising hundreds of thousands of markers genotyped for thousands of individuals can be rapidly manipulated and analyzed in their entirety. As well as providing tools to make the basic analytic steps computationally efficient, PLINK also supports some novel approaches to whole-genome data that take advantage of whole-genome coverage. We introduce PLINK and describe the five main domains of function: data management, summary statistics, population stratification, association analysis, and identity-by-descent estimation. In particular, we focus on the estimation and use of identity-by-state and identity-by-descent information in the context of population-based whole-genome studies. This information can be used to detect and correct for population stratification and to identify extended chromosomal segments that are shared identical by descent between very distantly related individuals. Analysis of the patterns of segmental sharing has the potential to map disease loci that contain multiple rare variants in a population-based linkage analysis. © 2007 by The American Society of Human Genetics. All rights reserved.","container-title":"American journal of human genetics","DOI":"10.1086/519795","ISSN":"0002-9297","issue":"3","note":"PMID: 17701901\npublisher: Am J Hum Genet","page":"559-575","title":"PLINK: a tool set for whole-genome association and population-based linkage analyses","volume":"81","author":[{"family":"Purcell","given":"Shaun"},{"family":"Neale","given":"Benjamin"},{"family":"Todd-Brown","given":"Kathe"},{"family":"Thomas","given":"Lori"},{"family":"Ferreira","given":"Manuel A.R."},{"family":"Bender","given":"David"},{"family":"Maller","given":"Julian"},{"family":"Sklar","given":"Pamela"},{"family":"De Bakker","given":"Paul I.W."},{"family":"Daly","given":"Mark J."},{"family":"Sham","given":"Pak C."}],"issued":{"date-parts":[["2007"]]}}}],"schema":"https://github.com/citation-style-language/schema/raw/master/csl-citation.json"} </w:instrText>
      </w:r>
      <w:r w:rsidR="00F03477">
        <w:fldChar w:fldCharType="separate"/>
      </w:r>
      <w:r w:rsidR="00F03477" w:rsidRPr="00810C9F">
        <w:rPr>
          <w:lang w:val="de-DE"/>
        </w:rPr>
        <w:t>(Purcell et al., 2007)</w:t>
      </w:r>
      <w:r w:rsidR="00F03477">
        <w:fldChar w:fldCharType="end"/>
      </w:r>
      <w:r w:rsidR="00DD692C" w:rsidRPr="00810C9F">
        <w:rPr>
          <w:lang w:val="de-DE"/>
        </w:rPr>
        <w:t xml:space="preserve"> was </w:t>
      </w:r>
      <w:proofErr w:type="spellStart"/>
      <w:r w:rsidR="00DD692C" w:rsidRPr="00810C9F">
        <w:rPr>
          <w:lang w:val="de-DE"/>
        </w:rPr>
        <w:t>then</w:t>
      </w:r>
      <w:proofErr w:type="spellEnd"/>
      <w:r w:rsidR="00DD692C" w:rsidRPr="00810C9F">
        <w:rPr>
          <w:lang w:val="de-DE"/>
        </w:rPr>
        <w:t xml:space="preserve"> </w:t>
      </w:r>
      <w:proofErr w:type="spellStart"/>
      <w:r w:rsidR="00DD692C" w:rsidRPr="00810C9F">
        <w:rPr>
          <w:lang w:val="de-DE"/>
        </w:rPr>
        <w:t>used</w:t>
      </w:r>
      <w:proofErr w:type="spellEnd"/>
      <w:r w:rsidR="00DD692C" w:rsidRPr="00810C9F">
        <w:rPr>
          <w:lang w:val="de-DE"/>
        </w:rPr>
        <w:t xml:space="preserve"> </w:t>
      </w:r>
      <w:proofErr w:type="spellStart"/>
      <w:r w:rsidR="00DD692C" w:rsidRPr="00810C9F">
        <w:rPr>
          <w:lang w:val="de-DE"/>
        </w:rPr>
        <w:t>to</w:t>
      </w:r>
      <w:proofErr w:type="spellEnd"/>
      <w:r w:rsidR="00DD692C" w:rsidRPr="00810C9F">
        <w:rPr>
          <w:lang w:val="de-DE"/>
        </w:rPr>
        <w:t xml:space="preserve"> </w:t>
      </w:r>
      <w:proofErr w:type="spellStart"/>
      <w:r w:rsidR="00DD692C" w:rsidRPr="00810C9F">
        <w:rPr>
          <w:lang w:val="de-DE"/>
        </w:rPr>
        <w:t>exclude</w:t>
      </w:r>
      <w:proofErr w:type="spellEnd"/>
      <w:r w:rsidR="00DD692C" w:rsidRPr="00810C9F">
        <w:rPr>
          <w:lang w:val="de-DE"/>
        </w:rPr>
        <w:t xml:space="preserve"> </w:t>
      </w:r>
      <w:proofErr w:type="spellStart"/>
      <w:r w:rsidR="00DD692C" w:rsidRPr="00810C9F">
        <w:rPr>
          <w:lang w:val="de-DE"/>
        </w:rPr>
        <w:t>variants</w:t>
      </w:r>
      <w:proofErr w:type="spellEnd"/>
      <w:r w:rsidR="00DD692C" w:rsidRPr="00810C9F">
        <w:rPr>
          <w:lang w:val="de-DE"/>
        </w:rPr>
        <w:t xml:space="preserve"> </w:t>
      </w:r>
      <w:proofErr w:type="spellStart"/>
      <w:r w:rsidR="00DD692C" w:rsidRPr="00810C9F">
        <w:rPr>
          <w:lang w:val="de-DE"/>
        </w:rPr>
        <w:t>if</w:t>
      </w:r>
      <w:proofErr w:type="spellEnd"/>
      <w:r w:rsidR="00DD692C" w:rsidRPr="00810C9F">
        <w:rPr>
          <w:lang w:val="de-DE"/>
        </w:rPr>
        <w:t xml:space="preserve"> </w:t>
      </w:r>
      <w:proofErr w:type="spellStart"/>
      <w:r w:rsidR="00DD692C" w:rsidRPr="00810C9F">
        <w:rPr>
          <w:lang w:val="de-DE"/>
        </w:rPr>
        <w:t>their</w:t>
      </w:r>
      <w:proofErr w:type="spellEnd"/>
      <w:r w:rsidR="00DD692C" w:rsidRPr="00810C9F">
        <w:rPr>
          <w:lang w:val="de-DE"/>
        </w:rPr>
        <w:t xml:space="preserve"> probe </w:t>
      </w:r>
      <w:proofErr w:type="spellStart"/>
      <w:r w:rsidR="00DD692C" w:rsidRPr="00810C9F">
        <w:rPr>
          <w:lang w:val="de-DE"/>
        </w:rPr>
        <w:t>sequences</w:t>
      </w:r>
      <w:proofErr w:type="spellEnd"/>
      <w:r w:rsidR="00DD692C" w:rsidRPr="00810C9F">
        <w:rPr>
          <w:lang w:val="de-DE"/>
        </w:rPr>
        <w:t xml:space="preserve"> </w:t>
      </w:r>
      <w:proofErr w:type="spellStart"/>
      <w:r w:rsidR="00DD692C" w:rsidRPr="00810C9F">
        <w:rPr>
          <w:lang w:val="de-DE"/>
        </w:rPr>
        <w:t>could</w:t>
      </w:r>
      <w:proofErr w:type="spellEnd"/>
      <w:r w:rsidR="00DD692C" w:rsidRPr="00810C9F">
        <w:rPr>
          <w:lang w:val="de-DE"/>
        </w:rPr>
        <w:t xml:space="preserve"> not </w:t>
      </w:r>
      <w:proofErr w:type="spellStart"/>
      <w:r w:rsidR="00DD692C" w:rsidRPr="00810C9F">
        <w:rPr>
          <w:lang w:val="de-DE"/>
        </w:rPr>
        <w:t>be</w:t>
      </w:r>
      <w:proofErr w:type="spellEnd"/>
      <w:r w:rsidR="00DD692C" w:rsidRPr="00810C9F">
        <w:rPr>
          <w:lang w:val="de-DE"/>
        </w:rPr>
        <w:t xml:space="preserve"> </w:t>
      </w:r>
      <w:proofErr w:type="spellStart"/>
      <w:r w:rsidR="00DD692C" w:rsidRPr="00810C9F">
        <w:rPr>
          <w:lang w:val="de-DE"/>
        </w:rPr>
        <w:t>perfectly</w:t>
      </w:r>
      <w:proofErr w:type="spellEnd"/>
      <w:r w:rsidR="00DD692C" w:rsidRPr="00810C9F">
        <w:rPr>
          <w:lang w:val="de-DE"/>
        </w:rPr>
        <w:t xml:space="preserve"> </w:t>
      </w:r>
      <w:proofErr w:type="spellStart"/>
      <w:r w:rsidR="00DD692C" w:rsidRPr="00810C9F">
        <w:rPr>
          <w:lang w:val="de-DE"/>
        </w:rPr>
        <w:t>mapped</w:t>
      </w:r>
      <w:proofErr w:type="spellEnd"/>
      <w:r w:rsidR="00DD692C" w:rsidRPr="00810C9F">
        <w:rPr>
          <w:lang w:val="de-DE"/>
        </w:rPr>
        <w:t xml:space="preserve">, </w:t>
      </w:r>
      <w:proofErr w:type="spellStart"/>
      <w:r w:rsidR="00DD692C" w:rsidRPr="00810C9F">
        <w:rPr>
          <w:lang w:val="de-DE"/>
        </w:rPr>
        <w:t>cluster</w:t>
      </w:r>
      <w:proofErr w:type="spellEnd"/>
      <w:r w:rsidR="00DD692C" w:rsidRPr="00810C9F">
        <w:rPr>
          <w:lang w:val="de-DE"/>
        </w:rPr>
        <w:t xml:space="preserve"> </w:t>
      </w:r>
      <w:proofErr w:type="spellStart"/>
      <w:r w:rsidR="00DD692C" w:rsidRPr="00810C9F">
        <w:rPr>
          <w:lang w:val="de-DE"/>
        </w:rPr>
        <w:t>separation</w:t>
      </w:r>
      <w:proofErr w:type="spellEnd"/>
      <w:r w:rsidR="00DD692C" w:rsidRPr="00810C9F">
        <w:rPr>
          <w:lang w:val="de-DE"/>
        </w:rPr>
        <w:t xml:space="preserve"> was &lt; 0.3, </w:t>
      </w:r>
      <w:proofErr w:type="spellStart"/>
      <w:r w:rsidR="00DD692C" w:rsidRPr="00810C9F">
        <w:rPr>
          <w:lang w:val="de-DE"/>
        </w:rPr>
        <w:t>Gentrain</w:t>
      </w:r>
      <w:proofErr w:type="spellEnd"/>
      <w:r w:rsidR="00DD692C" w:rsidRPr="00810C9F">
        <w:rPr>
          <w:lang w:val="de-DE"/>
        </w:rPr>
        <w:t xml:space="preserve"> score &lt; 0.15, </w:t>
      </w:r>
      <w:proofErr w:type="spellStart"/>
      <w:r w:rsidR="00DD692C" w:rsidRPr="00810C9F">
        <w:rPr>
          <w:lang w:val="de-DE"/>
        </w:rPr>
        <w:t>showed</w:t>
      </w:r>
      <w:proofErr w:type="spellEnd"/>
      <w:r w:rsidR="00DD692C" w:rsidRPr="00810C9F">
        <w:rPr>
          <w:lang w:val="de-DE"/>
        </w:rPr>
        <w:t xml:space="preserve"> </w:t>
      </w:r>
      <w:proofErr w:type="spellStart"/>
      <w:r w:rsidR="00DD692C" w:rsidRPr="00810C9F">
        <w:rPr>
          <w:lang w:val="de-DE"/>
        </w:rPr>
        <w:t>deviations</w:t>
      </w:r>
      <w:proofErr w:type="spellEnd"/>
      <w:r w:rsidR="00DD692C" w:rsidRPr="00810C9F">
        <w:rPr>
          <w:lang w:val="de-DE"/>
        </w:rPr>
        <w:t xml:space="preserve"> </w:t>
      </w:r>
      <w:proofErr w:type="spellStart"/>
      <w:r w:rsidR="00DD692C" w:rsidRPr="00810C9F">
        <w:rPr>
          <w:lang w:val="de-DE"/>
        </w:rPr>
        <w:t>from</w:t>
      </w:r>
      <w:proofErr w:type="spellEnd"/>
      <w:r w:rsidR="00DD692C" w:rsidRPr="00810C9F">
        <w:rPr>
          <w:lang w:val="de-DE"/>
        </w:rPr>
        <w:t xml:space="preserve"> </w:t>
      </w:r>
      <w:r w:rsidR="005E689A" w:rsidRPr="00810C9F">
        <w:rPr>
          <w:lang w:val="de-DE"/>
        </w:rPr>
        <w:t>HWE</w:t>
      </w:r>
      <w:r w:rsidR="00DD692C" w:rsidRPr="00810C9F">
        <w:rPr>
          <w:lang w:val="de-DE"/>
        </w:rPr>
        <w:t xml:space="preserve"> in </w:t>
      </w:r>
      <w:proofErr w:type="spellStart"/>
      <w:r w:rsidR="00DD692C" w:rsidRPr="00810C9F">
        <w:rPr>
          <w:lang w:val="de-DE"/>
        </w:rPr>
        <w:t>unrelated</w:t>
      </w:r>
      <w:proofErr w:type="spellEnd"/>
      <w:r w:rsidR="00DD692C" w:rsidRPr="00810C9F">
        <w:rPr>
          <w:lang w:val="de-DE"/>
        </w:rPr>
        <w:t xml:space="preserve"> </w:t>
      </w:r>
      <w:proofErr w:type="spellStart"/>
      <w:r w:rsidR="00DD692C" w:rsidRPr="00810C9F">
        <w:rPr>
          <w:lang w:val="de-DE"/>
        </w:rPr>
        <w:t>samples</w:t>
      </w:r>
      <w:proofErr w:type="spellEnd"/>
      <w:r w:rsidR="00DD692C" w:rsidRPr="00810C9F">
        <w:rPr>
          <w:lang w:val="de-DE"/>
        </w:rPr>
        <w:t xml:space="preserve"> </w:t>
      </w:r>
      <w:proofErr w:type="spellStart"/>
      <w:r w:rsidR="00DD692C" w:rsidRPr="00810C9F">
        <w:rPr>
          <w:lang w:val="de-DE"/>
        </w:rPr>
        <w:t>of</w:t>
      </w:r>
      <w:proofErr w:type="spellEnd"/>
      <w:r w:rsidR="00DD692C" w:rsidRPr="00810C9F">
        <w:rPr>
          <w:lang w:val="de-DE"/>
        </w:rPr>
        <w:t xml:space="preserve"> European </w:t>
      </w:r>
      <w:proofErr w:type="spellStart"/>
      <w:r w:rsidR="00DD692C" w:rsidRPr="00810C9F">
        <w:rPr>
          <w:lang w:val="de-DE"/>
        </w:rPr>
        <w:t>ancestry</w:t>
      </w:r>
      <w:proofErr w:type="spellEnd"/>
      <w:r w:rsidR="00DD692C" w:rsidRPr="00810C9F">
        <w:rPr>
          <w:lang w:val="de-DE"/>
        </w:rPr>
        <w:t xml:space="preserve"> </w:t>
      </w:r>
      <w:proofErr w:type="spellStart"/>
      <w:r w:rsidR="00DD692C" w:rsidRPr="00810C9F">
        <w:rPr>
          <w:lang w:val="de-DE"/>
        </w:rPr>
        <w:t>with</w:t>
      </w:r>
      <w:proofErr w:type="spellEnd"/>
      <w:r w:rsidR="00DD692C" w:rsidRPr="00810C9F">
        <w:rPr>
          <w:lang w:val="de-DE"/>
        </w:rPr>
        <w:t xml:space="preserve"> p-</w:t>
      </w:r>
      <w:proofErr w:type="spellStart"/>
      <w:r w:rsidR="00DD692C" w:rsidRPr="00810C9F">
        <w:rPr>
          <w:lang w:val="de-DE"/>
        </w:rPr>
        <w:t>value</w:t>
      </w:r>
      <w:proofErr w:type="spellEnd"/>
      <w:r w:rsidR="00DD692C" w:rsidRPr="00810C9F">
        <w:rPr>
          <w:lang w:val="de-DE"/>
        </w:rPr>
        <w:t xml:space="preserve"> &lt; 0.0001), </w:t>
      </w:r>
      <w:proofErr w:type="spellStart"/>
      <w:r w:rsidR="00DD692C" w:rsidRPr="00810C9F">
        <w:rPr>
          <w:lang w:val="de-DE"/>
        </w:rPr>
        <w:t>had</w:t>
      </w:r>
      <w:proofErr w:type="spellEnd"/>
      <w:r w:rsidR="00DD692C" w:rsidRPr="00810C9F">
        <w:rPr>
          <w:lang w:val="de-DE"/>
        </w:rPr>
        <w:t xml:space="preserve"> a </w:t>
      </w:r>
      <w:proofErr w:type="spellStart"/>
      <w:r w:rsidR="00DD692C" w:rsidRPr="00810C9F">
        <w:rPr>
          <w:lang w:val="de-DE"/>
        </w:rPr>
        <w:t>call</w:t>
      </w:r>
      <w:proofErr w:type="spellEnd"/>
      <w:r w:rsidR="00DD692C" w:rsidRPr="00810C9F">
        <w:rPr>
          <w:lang w:val="de-DE"/>
        </w:rPr>
        <w:t xml:space="preserve"> rate &lt; 99%, </w:t>
      </w:r>
      <w:proofErr w:type="spellStart"/>
      <w:r w:rsidR="00DD692C" w:rsidRPr="00810C9F">
        <w:rPr>
          <w:lang w:val="de-DE"/>
        </w:rPr>
        <w:t>or</w:t>
      </w:r>
      <w:proofErr w:type="spellEnd"/>
      <w:r w:rsidR="00DD692C" w:rsidRPr="00810C9F">
        <w:rPr>
          <w:lang w:val="de-DE"/>
        </w:rPr>
        <w:t xml:space="preserve"> </w:t>
      </w:r>
      <w:proofErr w:type="spellStart"/>
      <w:r w:rsidR="00DD692C" w:rsidRPr="00810C9F">
        <w:rPr>
          <w:lang w:val="de-DE"/>
        </w:rPr>
        <w:t>another</w:t>
      </w:r>
      <w:proofErr w:type="spellEnd"/>
      <w:r w:rsidR="00DD692C" w:rsidRPr="00810C9F">
        <w:rPr>
          <w:lang w:val="de-DE"/>
        </w:rPr>
        <w:t xml:space="preserve"> </w:t>
      </w:r>
      <w:proofErr w:type="spellStart"/>
      <w:r w:rsidR="00DD692C" w:rsidRPr="00810C9F">
        <w:rPr>
          <w:lang w:val="de-DE"/>
        </w:rPr>
        <w:t>assay</w:t>
      </w:r>
      <w:proofErr w:type="spellEnd"/>
      <w:r w:rsidR="00DD692C" w:rsidRPr="00810C9F">
        <w:rPr>
          <w:lang w:val="de-DE"/>
        </w:rPr>
        <w:t xml:space="preserve"> </w:t>
      </w:r>
      <w:proofErr w:type="spellStart"/>
      <w:r w:rsidR="00DD692C" w:rsidRPr="00810C9F">
        <w:rPr>
          <w:lang w:val="de-DE"/>
        </w:rPr>
        <w:t>with</w:t>
      </w:r>
      <w:proofErr w:type="spellEnd"/>
      <w:r w:rsidR="00DD692C" w:rsidRPr="00810C9F">
        <w:rPr>
          <w:lang w:val="de-DE"/>
        </w:rPr>
        <w:t xml:space="preserve"> </w:t>
      </w:r>
      <w:proofErr w:type="spellStart"/>
      <w:r w:rsidR="00DD692C" w:rsidRPr="00810C9F">
        <w:rPr>
          <w:lang w:val="de-DE"/>
        </w:rPr>
        <w:t>higher</w:t>
      </w:r>
      <w:proofErr w:type="spellEnd"/>
      <w:r w:rsidR="00DD692C" w:rsidRPr="00810C9F">
        <w:rPr>
          <w:lang w:val="de-DE"/>
        </w:rPr>
        <w:t xml:space="preserve"> </w:t>
      </w:r>
      <w:proofErr w:type="spellStart"/>
      <w:r w:rsidR="00DD692C" w:rsidRPr="00810C9F">
        <w:rPr>
          <w:lang w:val="de-DE"/>
        </w:rPr>
        <w:t>call</w:t>
      </w:r>
      <w:proofErr w:type="spellEnd"/>
      <w:r w:rsidR="00DD692C" w:rsidRPr="00810C9F">
        <w:rPr>
          <w:lang w:val="de-DE"/>
        </w:rPr>
        <w:t xml:space="preserve"> rate </w:t>
      </w:r>
      <w:proofErr w:type="spellStart"/>
      <w:r w:rsidR="00DD692C" w:rsidRPr="00810C9F">
        <w:rPr>
          <w:lang w:val="de-DE"/>
        </w:rPr>
        <w:t>genotyped</w:t>
      </w:r>
      <w:proofErr w:type="spellEnd"/>
      <w:r w:rsidR="00DD692C" w:rsidRPr="00810C9F">
        <w:rPr>
          <w:lang w:val="de-DE"/>
        </w:rPr>
        <w:t xml:space="preserve"> </w:t>
      </w:r>
      <w:proofErr w:type="spellStart"/>
      <w:r w:rsidR="00DD692C" w:rsidRPr="00810C9F">
        <w:rPr>
          <w:lang w:val="de-DE"/>
        </w:rPr>
        <w:t>the</w:t>
      </w:r>
      <w:proofErr w:type="spellEnd"/>
      <w:r w:rsidR="00DD692C" w:rsidRPr="00810C9F">
        <w:rPr>
          <w:lang w:val="de-DE"/>
        </w:rPr>
        <w:t xml:space="preserve"> same variant. </w:t>
      </w:r>
      <w:r w:rsidR="00DD692C" w:rsidRPr="00DD692C">
        <w:t xml:space="preserve">Ancestry of all samples was inferred by projecting all genotyped samples into the space of the </w:t>
      </w:r>
      <w:r w:rsidR="00561C75">
        <w:t>PCs</w:t>
      </w:r>
      <w:r w:rsidR="00DD692C" w:rsidRPr="00DD692C">
        <w:t xml:space="preserve"> of the Human Genome Diversity Project (HGDP) reference panel (938 unrelated individuals; downloaded from </w:t>
      </w:r>
      <w:hyperlink r:id="rId10" w:history="1">
        <w:r w:rsidR="00F03477" w:rsidRPr="00F6642D">
          <w:rPr>
            <w:rStyle w:val="Hyperlink"/>
          </w:rPr>
          <w:t>http://csg.sph.umich.edu/chaolong/LASER/</w:t>
        </w:r>
      </w:hyperlink>
      <w:r w:rsidR="00DD692C" w:rsidRPr="00DD692C">
        <w:t>)</w:t>
      </w:r>
      <w:r w:rsidR="00F03477">
        <w:t xml:space="preserve"> </w:t>
      </w:r>
      <w:r w:rsidR="00F03477">
        <w:fldChar w:fldCharType="begin"/>
      </w:r>
      <w:r w:rsidR="00F03477">
        <w:instrText xml:space="preserve"> ADDIN ZOTERO_ITEM CSL_CITATION {"citationID":"HEM24hWB","properties":{"formattedCitation":"(Li et al., 2008; Wang et al., 2014)","plainCitation":"(Li et al., 2008; Wang et al., 2014)","noteIndex":0},"citationItems":[{"id":3894,"uris":["http://zotero.org/users/9762508/items/6HBQBD98"],"itemData":{"id":3894,"type":"article-journal","abstract":"Human genetic diversity is shaped by both demographic and biological factors and has fundamental implications for understanding the genetic basis of diseases. We studied 938 unrelated individuals from 51 populations of the Human Genome Diversity Panel at 650,000 common single-nucleotide polymorphism loci. Individual ancestry and population substructure were detectable with very high resolution. The relationship between haplotype heterozygosity and geography was consistent with the hypothesis of a serial founder effect with a single origin in sub-Saharan Africa. In addition, we observed a pattern of ancestral allele frequency distributions that reflects variation in population dynamics among geographic regions. This data set allows the most comprehensive characterization to date of human genetic variation.","container-title":"Science","DOI":"10.1126/science.1153717","issue":"5866","note":"publisher: Science","page":"1100-1104","title":"Worldwide human relationships inferred from genome-wide patterns of variation","volume":"319","author":[{"family":"Li","given":"Jun Z."},{"family":"Absher","given":"Devin M."},{"family":"Tang","given":"Hua"},{"family":"Southwick","given":"Audrey M."},{"family":"Casto","given":"Amanda M."},{"family":"Ramachandran","given":"Sohini"},{"family":"Cann","given":"Howard M."},{"family":"Barsh","given":"Gregory S."},{"family":"Feldman","given":"Marcus"},{"family":"Cavalli-Sforza","given":"Luigi L."},{"family":"Myers","given":"Richard M."}],"issued":{"date-parts":[["2008",2]]}}},{"id":3895,"uris":["http://zotero.org/users/9762508/items/7YD2ED82"],"itemData":{"id":3895,"type":"article-journal","abstract":"Estimating individual ancestry is important in genetic association studies where population structure leads to false positive signals, although assigning ancestry remains challenging with targeted sequence data. We propose a new method for the accurate estimation of individual genetic ancestry, based on direct analysis of off-target sequence reads, and implement our method in the publicly available LASER software. We validate the method using simulated and empirical data and show that the method can accurately infer worldwide continental ancestry when used with sequencing data sets with whole-genome shotgun coverage as low as 0.001×. For estimates of fine-scale ancestry within Europe, the method performs well with coverage of 0.1×. On an even finer scale, the method improves discrimination between exome-sequenced study participants originating from different provinces within Finland. Finally, we show that our method can be used to improve case-control matching in genetic association studies and to reduce the risk of spurious findings due to population structure. © 2014 Nature America, Inc.","container-title":"Nature Genetics","DOI":"10.1038/ng.2924","issue":"4","note":"publisher: Nature Publishing Group","page":"409-415","title":"Ancestry estimation and control of population stratification for sequence-based association studies","volume":"46","author":[{"family":"Wang","given":"Chaolong"},{"family":"Zhan","given":"Xiaowei"},{"family":"Bragg-Gresham","given":"Jennifer"},{"family":"Kang","given":"Hyun Min"},{"family":"Stambolian","given":"Dwight"},{"family":"Chew","given":"Emily Y."},{"family":"Branham","given":"Kari E."},{"family":"Heckenlively","given":"John"},{"family":"Fulton","given":"Robert"},{"family":"Wilson","given":"Richard K."},{"family":"Mardis","given":"Elaine R."},{"family":"Lin","given":"Xihong"},{"family":"Swaroop","given":"Anand"},{"family":"Zöllner","given":"Sebastian"},{"family":"Abecasis","given":"Gonçalo R."}],"issued":{"date-parts":[["2014"]]}}}],"schema":"https://github.com/citation-style-language/schema/raw/master/csl-citation.json"} </w:instrText>
      </w:r>
      <w:r w:rsidR="00F03477">
        <w:fldChar w:fldCharType="separate"/>
      </w:r>
      <w:r w:rsidR="00F03477" w:rsidRPr="00F03477">
        <w:t>(Li et al., 2008; Wang et al., 2014)</w:t>
      </w:r>
      <w:r w:rsidR="00F03477">
        <w:fldChar w:fldCharType="end"/>
      </w:r>
      <w:r w:rsidR="00DD692C" w:rsidRPr="00DD692C">
        <w:t xml:space="preserve"> using PLINK. Recent European ancestry was defined as samples that fell into an ellipsoid spanning </w:t>
      </w:r>
      <w:proofErr w:type="gramStart"/>
      <w:r w:rsidR="00DD692C" w:rsidRPr="00DD692C">
        <w:t>exclusively European populations</w:t>
      </w:r>
      <w:proofErr w:type="gramEnd"/>
      <w:r w:rsidR="00DD692C" w:rsidRPr="00DD692C">
        <w:t xml:space="preserve"> of the HGDP panel. The different arrays were harmonized by reducing to a set of overlapping variants and excluding variants that showed frequency differences &gt; 15% between data sets, or that were monomorphic in one and had MAF &gt; 1% in another data set. The resulting genotype data were phased using Eagle2 v2.3 </w:t>
      </w:r>
      <w:r w:rsidR="00693630">
        <w:fldChar w:fldCharType="begin"/>
      </w:r>
      <w:r w:rsidR="00693630">
        <w:instrText xml:space="preserve"> ADDIN ZOTERO_ITEM CSL_CITATION {"citationID":"hKUABivt","properties":{"formattedCitation":"(Loh, Danecek, et al., 2016)","plainCitation":"(Loh, Danecek, et al., 2016)","noteIndex":0},"citationItems":[{"id":3250,"uris":["http://zotero.org/users/9762508/items/8GI5EZYY"],"itemData":{"id":3250,"type":"article-journal","abstract":"Po-Ru Loh, Alkes Price and colleagues present Eagle2, a reference-based phasing algorithm that allows for highly accurate and efficient phasing of genotypes across a broad range of cohort sizes. They demonstrate an approximately 10% improvement in accuracy and 20% improvement in speed compared to a competing method, SHAPEIT2. Haplotype phasing is a fundamental problem in medical and population genetics. Phasing is generally performed via statistical phasing in a genotyped cohort, an approach that can yield high accuracy in very large cohorts but attains lower accuracy in smaller cohorts. Here we instead explore the paradigm of reference-based phasing. We introduce a new phasing algorithm, Eagle2, that attains high accuracy across a broad range of cohort sizes by efficiently leveraging information from large external reference panels (such as the Haplotype Reference Consortium; HRC) using a new data structure based on the positional Burrows-Wheeler transform. We demonstrate that Eagle2 attains a </w:instrText>
      </w:r>
      <w:r w:rsidR="00693630">
        <w:rPr>
          <w:rFonts w:ascii="Cambria Math" w:hAnsi="Cambria Math" w:cs="Cambria Math"/>
        </w:rPr>
        <w:instrText>∼</w:instrText>
      </w:r>
      <w:r w:rsidR="00693630">
        <w:instrText xml:space="preserve">20× speedup and </w:instrText>
      </w:r>
      <w:r w:rsidR="00693630">
        <w:rPr>
          <w:rFonts w:ascii="Cambria Math" w:hAnsi="Cambria Math" w:cs="Cambria Math"/>
        </w:rPr>
        <w:instrText>∼</w:instrText>
      </w:r>
      <w:r w:rsidR="00693630">
        <w:instrText xml:space="preserve">10% increase in accuracy compared to reference-based phasing using SHAPEIT2. On European-ancestry samples, Eagle2 with the HRC panel achieves &gt;2× the accuracy of 1000 Genomes–based phasing. Eagle2 is open source and freely available for HRC-based phasing via the Sanger Imputation Service and the Michigan Imputation Server.","container-title":"Nature Genetics 2016 48:11","DOI":"10.1038/ng.3679","ISSN":"1546-1718","issue":"11","note":"PMID: 27694958\npublisher: Nature Publishing Group","page":"1443-1448","title":"Reference-based phasing using the Haplotype Reference Consortium panel","volume":"48","author":[{"family":"Loh","given":"Po Ru"},{"family":"Danecek","given":"Petr"},{"family":"Palamara","given":"Pier Francesco"},{"family":"Fuchsberger","given":"Christian"},{"family":"Reshef","given":"Yakir A."},{"family":"Finucane","given":"Hilary K."},{"family":"Schoenherr","given":"Sebastian"},{"family":"Forer","given":"Lukas"},{"family":"McCarthy","given":"Shane"},{"family":"Abecasis","given":"Goncalo R."},{"family":"Durbin","given":"Richard"},{"family":"Price","given":"Alkes L."}],"issued":{"date-parts":[["2016",10,3]]}}}],"schema":"https://github.com/citation-style-language/schema/raw/master/csl-citation.json"} </w:instrText>
      </w:r>
      <w:r w:rsidR="00693630">
        <w:fldChar w:fldCharType="separate"/>
      </w:r>
      <w:r w:rsidR="00693630" w:rsidRPr="00693630">
        <w:t>(Loh, Danecek, et al., 2016)</w:t>
      </w:r>
      <w:r w:rsidR="00693630">
        <w:fldChar w:fldCharType="end"/>
      </w:r>
      <w:r w:rsidR="00DD692C" w:rsidRPr="00DD692C">
        <w:t xml:space="preserve">. Imputation was performed on the 69,716 samples of recent European ancestry using Minimac3 (v2.0.1, </w:t>
      </w:r>
      <w:hyperlink r:id="rId11">
        <w:r w:rsidR="00DD692C" w:rsidRPr="00DD692C">
          <w:rPr>
            <w:color w:val="1155CC"/>
            <w:u w:val="single"/>
          </w:rPr>
          <w:t>http://genome.sph.umich.edu/wiki/Minimac3</w:t>
        </w:r>
      </w:hyperlink>
      <w:r w:rsidR="00DD692C" w:rsidRPr="00DD692C">
        <w:t xml:space="preserve">, </w:t>
      </w:r>
      <w:hyperlink r:id="rId12">
        <w:r w:rsidR="00DD692C" w:rsidRPr="00DD692C">
          <w:t>Das et al., 2016)</w:t>
        </w:r>
      </w:hyperlink>
      <w:r w:rsidR="00DD692C" w:rsidRPr="00DD692C">
        <w:t xml:space="preserve"> with default settings (2.5 Mb reference based chunking with 500kb windows) and a customized Haplotype Reference consortium release 1.1 (HRC v1.1) for autosomal variants and HRC v1.1 for chromosome X variants </w:t>
      </w:r>
      <w:r w:rsidR="00F03477">
        <w:fldChar w:fldCharType="begin"/>
      </w:r>
      <w:r w:rsidR="00F03477">
        <w:instrText xml:space="preserve"> ADDIN ZOTERO_ITEM CSL_CITATION {"citationID":"UC14Y0rb","properties":{"formattedCitation":"(McCarthy et al., 2016)","plainCitation":"(McCarthy et al., 2016)","noteIndex":0},"citationItems":[{"id":3235,"uris":["http://zotero.org/users/9762508/items/AEQST946"],"itemData":{"id":3235,"type":"article-journal","abstract":"Jonathan Marchini, Gonçalo Abecasis, Richard Durbin and colleagues describe the construction of a reference panel of human haplotypes from whole-genome sequencing data. They are able to use this to accurately impute genotypes at low minor allele frequency and present remote server resources for use by the community. We describe a reference panel of 64,976 human haplotypes at 39,235,157 SNPs constructed using whole-genome sequence data from 20 studies of predominantly European ancestry. Using this resource leads to accurate genotype imputation at minor allele frequencies as low as 0.1% and a large increase in the number of SNPs tested in association studies, and it can help to discover and refine causal loci. We describe remote server resources that allow researchers to carry out imputation and phasing consistently and efficiently.","container-title":"Nature Genetics 2016 48:10","DOI":"10.1038/ng.3643","ISSN":"1546-1718","issue":"10","note":"PMID: 27548312\npublisher: Nature Publishing Group","page":"1279-1283","title":"A reference panel of 64,976 haplotypes for genotype imputation","volume":"48","author":[{"family":"McCarthy","given":"Shane"},{"family":"Das","given":"Sayantan"},{"family":"Kretzschmar","given":"Warren"},{"family":"Delaneau","given":"Olivier"},{"family":"Wood","given":"Andrew R."},{"family":"Teumer","given":"Alexander"},{"family":"Kang","given":"Hyun Min"},{"family":"Fuchsberger","given":"Christian"},{"family":"Danecek","given":"Petr"},{"family":"Sharp","given":"Kevin"},{"family":"Luo","given":"Yang"},{"family":"Sidore","given":"Carlo"},{"family":"Kwong","given":"Alan"},{"family":"Timpson","given":"Nicholas"},{"family":"Koskinen","given":"Seppo"},{"family":"Vrieze","given":"Scott"},{"family":"Scott","given":"Laura J."},{"family":"Zhang","given":"He"},{"family":"Mahajan","given":"Anubha"},{"family":"Veldink","given":"Jan"},{"family":"Peters","given":"Ulrike"},{"family":"Pato","given":"Carlos"},{"family":"Van Duijn","given":"Cornelia M."},{"family":"Gillies","given":"Christopher E."},{"family":"Gandin","given":"Ilaria"},{"family":"Mezzavilla","given":"Massimo"},{"family":"Gilly","given":"Arthur"},{"family":"Cocca","given":"Massimiliano"},{"family":"Traglia","given":"Michela"},{"family":"Angius","given":"Andrea"},{"family":"Barrett","given":"Jeffrey C."},{"family":"Boomsma","given":"Dorrett"},{"family":"Branham","given":"Kari"},{"family":"Breen","given":"Gerome"},{"family":"Brummett","given":"Chad M."},{"family":"Busonero","given":"Fabio"},{"family":"Campbell","given":"Harry"},{"family":"Chan","given":"Andrew"},{"family":"Chen","given":"Sai"},{"family":"Chew","given":"Emily"},{"family":"Collins","given":"Francis S."},{"family":"Corbin","given":"Laura J."},{"family":"Smith","given":"George Davey"},{"family":"Dedoussis","given":"George"},{"family":"Dorr","given":"Marcus"},{"family":"Farmaki","given":"Aliki Eleni"},{"family":"Ferrucci","given":"Luigi"},{"family":"Forer","given":"Lukas"},{"family":"Fraser","given":"Ross M."},{"family":"Gabriel","given":"Stacey"},{"family":"Levy","given":"Shawn"},{"family":"Groop","given":"Leif"},{"family":"Harrison","given":"Tabitha"},{"family":"Hattersley","given":"Andrew"},{"family":"Holmen","given":"Oddgeir L."},{"family":"Hveem","given":"Kristian"},{"family":"Kretzler","given":"Matthias"},{"family":"Lee","given":"James C."},{"family":"McGue","given":"Matt"},{"family":"Meitinger","given":"Thomas"},{"family":"Melzer","given":"David"},{"family":"Min","given":"Josine L."},{"family":"Mohlke","given":"Karen L."},{"family":"Vincent","given":"John B."},{"family":"Nauck","given":"Matthias"},{"family":"Nickerson","given":"Deborah"},{"family":"Palotie","given":"Aarno"},{"family":"Pato","given":"Michele"},{"family":"Pirastu","given":"Nicola"},{"family":"McInnis","given":"Melvin"},{"family":"Richards","given":"J. Brent"},{"family":"Sala","given":"Cinzia"},{"family":"Salomaa","given":"Veikko"},{"family":"Schlessinger","given":"David"},{"family":"Schoenherr","given":"Sebastian"},{"family":"Slagboom","given":"P. Eline"},{"family":"Small","given":"Kerrin"},{"family":"Spector","given":"Timothy"},{"family":"Stambolian","given":"Dwight"},{"family":"Tuke","given":"Marcus"},{"family":"Tuomilehto","given":"Jaakko"},{"family":"Van Den Berg","given":"Leonard H."},{"family":"Van Rheenen","given":"Wouter"},{"family":"Volker","given":"Uwe"},{"family":"Wijmenga","given":"Cisca"},{"family":"Toniolo","given":"Daniela"},{"family":"Zeggini","given":"Eleftheria"},{"family":"Gasparini","given":"Paolo"},{"family":"Sampson","given":"Matthew G."},{"family":"Wilson","given":"James F."},{"family":"Frayling","given":"Timothy"},{"family":"De Bakker","given":"Paul I.W."},{"family":"Swertz","given":"Morris A."},{"family":"McCarroll","given":"Steven"},{"family":"Kooperberg","given":"Charles"},{"family":"Dekker","given":"Annelot"},{"family":"Altshuler","given":"David"},{"family":"Willer","given":"Cristen"},{"family":"Iacono","given":"William"},{"family":"Ripatti","given":"Samuli"},{"family":"Soranzo","given":"Nicole"},{"family":"Walter","given":"Klaudia"},{"family":"Swaroop","given":"Anand"},{"family":"Cucca","given":"Francesco"},{"family":"Anderson","given":"Carl A."},{"family":"Myers","given":"Richard M."},{"family":"Boehnke","given":"Michael"},{"family":"McCarthy","given":"Mark I."},{"family":"Durbin","given":"Richard"},{"family":"Abecasis","given":"Gonçalo"},{"family":"Marchini","given":"Jonathan"}],"issued":{"date-parts":[["2016",8,22]]}}}],"schema":"https://github.com/citation-style-language/schema/raw/master/csl-citation.json"} </w:instrText>
      </w:r>
      <w:r w:rsidR="00F03477">
        <w:fldChar w:fldCharType="separate"/>
      </w:r>
      <w:r w:rsidR="00F03477" w:rsidRPr="00F03477">
        <w:t>(McCarthy et al., 2016)</w:t>
      </w:r>
      <w:r w:rsidR="00F03477">
        <w:fldChar w:fldCharType="end"/>
      </w:r>
      <w:r w:rsidR="00DD692C" w:rsidRPr="00DD692C">
        <w:t xml:space="preserve">. The customized reference panel represented the merged panel of two reciprocally imputed reference panels: (a) 2201 low-coverage whole genome sequences samples from the HUNT study and (b) HRC v1.1 with 1023 HUNT WGS samples removed before merging. We excluded imputed variants with </w:t>
      </w:r>
      <w:proofErr w:type="spellStart"/>
      <w:r w:rsidR="00DD692C" w:rsidRPr="00DD692C">
        <w:t>Rsq</w:t>
      </w:r>
      <w:proofErr w:type="spellEnd"/>
      <w:r w:rsidR="00DD692C" w:rsidRPr="00DD692C">
        <w:t xml:space="preserve"> &lt; 0.3 or minor allele count &lt; 1, resulting in 24.2 million well-imputed variants. After restricting to those with available phenotype information 66,476 individuals (284 cases and 66,192 controls) were included in the analysis. Association analyses were conducted using SAIGE </w:t>
      </w:r>
      <w:r w:rsidR="00E23A18">
        <w:fldChar w:fldCharType="begin"/>
      </w:r>
      <w:r w:rsidR="00E23A18">
        <w:instrText xml:space="preserve"> ADDIN ZOTERO_ITEM CSL_CITATION {"citationID":"C0JYr8a2","properties":{"formattedCitation":"(Zhou et al., 2018)","plainCitation":"(Zhou et al., 2018)","noteIndex":0},"citationItems":[{"id":2074,"uris":["http://zotero.org/users/9762508/items/8GN2Q29U"],"itemData":{"id":2074,"type":"article-journal","abstract":"In genome-wide association studies (GWAS) for thousands of phenotypes in large biobanks, most binary traits have substantially fewer cases than controls. Both of the widely used approaches, linear mixed model and the recently proposed logistic mixed model, perform poorly -- producing large type I error rates -- in the analysis of phenotypes with unbalanced case-control ratios. Here we propose a scalable and accurate generalized mixed model association test that uses the saddlepoint approximation (SPA) to calibrate the distribution of score test statistics. This method, SAIGE, provides accurate p-values even when case-control ratios are extremely unbalanced. It utilizes state-of-art optimization strategies to reduce computational time and memory cost of generalized mixed model. The computation cost linearly depends on sample size, and hence can be applicable to GWAS for thousands of phenotypes by large biobanks. Through the analysis of UK-Biobank data of 408,961 white British European-ancestry samples, we show that SAIGE can efficiently analyze large sample data, controlling for unbalanced case-control ratios and sample relatedness.","container-title":"Nature Genetics","DOI":"10.1038/s41588-018-0184-y","ISSN":"15461718","issue":"9","note":"publisher: Springer US","page":"1335-1341","title":"Efficiently controlling for case-control imbalance and sample relatedness in large-scale genetic association studies","volume":"50","author":[{"family":"Zhou","given":"Wei"},{"family":"Nielsen","given":"Jonas B."},{"family":"Fritsche","given":"Lars G."},{"family":"Dey","given":"Rounak"},{"family":"Gabrielsen","given":"Maiken E."},{"family":"Wolford","given":"Brooke N."},{"family":"LeFaive","given":"Jonathon"},{"family":"VandeHaar","given":"Peter"},{"family":"Gagliano","given":"Sarah A."},{"family":"Gifford","given":"Aliya"},{"family":"Bastarache","given":"Lisa A."},{"family":"Wei","given":"Wei Qi"},{"family":"Denny","given":"Joshua C."},{"family":"Lin","given":"Maoxuan"},{"family":"Hveem","given":"Kristian"},{"family":"Kang","given":"Hyun Min"},{"family":"Abecasis","given":"Goncalo R."},{"family":"Willer","given":"Cristen J."},{"family":"Lee","given":"Seunggeun"}],"issued":{"date-parts":[["2018"]]}}}],"schema":"https://github.com/citation-style-language/schema/raw/master/csl-citation.json"} </w:instrText>
      </w:r>
      <w:r w:rsidR="00E23A18">
        <w:fldChar w:fldCharType="separate"/>
      </w:r>
      <w:r w:rsidR="00E23A18" w:rsidRPr="00E23A18">
        <w:t>(Zhou et al., 2018)</w:t>
      </w:r>
      <w:r w:rsidR="00E23A18">
        <w:fldChar w:fldCharType="end"/>
      </w:r>
      <w:r w:rsidR="00DD692C" w:rsidRPr="00DD692C">
        <w:t xml:space="preserve">, a generalized mixed effects model approach, to account for cryptic population structure and relatedness when modeling the association between genotype probabilities (dosages) and OCD. </w:t>
      </w:r>
      <w:r w:rsidR="00DD692C" w:rsidRPr="00DD692C">
        <w:lastRenderedPageBreak/>
        <w:t>Models were adjusted for sex, birth year, genotyping batch and four PCs. PCs were computed using PLINK.</w:t>
      </w:r>
    </w:p>
    <w:p w14:paraId="00000032" w14:textId="77777777" w:rsidR="008E545C" w:rsidRPr="00DD692C" w:rsidRDefault="00000000">
      <w:pPr>
        <w:pStyle w:val="berschrift3"/>
        <w:spacing w:line="480" w:lineRule="auto"/>
        <w:jc w:val="both"/>
      </w:pPr>
      <w:bookmarkStart w:id="14" w:name="_heading=h.lnxbz9" w:colFirst="0" w:colLast="0"/>
      <w:bookmarkEnd w:id="14"/>
      <w:r w:rsidRPr="00DD692C">
        <w:t xml:space="preserve">IOCDF-GC and 610k_trio | Multiple | Multiple | 22889921, 28761083 </w:t>
      </w:r>
    </w:p>
    <w:p w14:paraId="00000034" w14:textId="6981EC76" w:rsidR="008E545C" w:rsidRPr="00DD692C" w:rsidRDefault="00000000">
      <w:pPr>
        <w:spacing w:line="480" w:lineRule="auto"/>
        <w:jc w:val="both"/>
      </w:pPr>
      <w:r w:rsidRPr="00DD692C">
        <w:t xml:space="preserve">The results of the International OCD Foundation-Genetics Consortium (IOCDF-GC) study was previously published </w:t>
      </w:r>
      <w:r w:rsidR="00944AFF">
        <w:fldChar w:fldCharType="begin"/>
      </w:r>
      <w:r w:rsidR="00944AFF">
        <w:instrText xml:space="preserve"> ADDIN ZOTERO_ITEM CSL_CITATION {"citationID":"FU5HeDz5","properties":{"formattedCitation":"(Arnold et al., 2018; Stewart et al., 2013)","plainCitation":"(Arnold et al., 2018; Stewart et al., 2013)","noteIndex":0},"citationItems":[{"id":3811,"uris":["http://zotero.org/users/9762508/items/I75LUSQZ"],"itemData":{"id":3811,"type":"article-journal","abstract":"Two obsessive-compulsive disorder (OCD) genome-wide association studies (GWASs) have been published by independent OCD consortia, the International Obsessive-Compulsive Disorder Foundation Genetics Collaborative (IOCDF-GC) and the OCD Collaborative Genetics Association Study (OCGAS), but many of the top-ranked signals were supported in only one study. We therefore conducted a meta-analysis from the two consortia, investigating a total of 2688 individuals of European ancestry with OCD and 7037 genomically matched controls. No single-nucleotide polymorphisms (SNPs) reached genome-wide significance. However, in comparison with the two individual GWASs, the distribution of P-values shifted toward significance. The top haplotypic blocks were tagged with rs4733767 (P=7.1 × 10 -7; odds ratio (OR)=1.21; confidence interval (CI): 1.12-1.31, CASC8/CASC11), rs1030757 (P=1.1 × 10 -6; OR=1.18; CI: 1.10-1.26, GRID2) and rs12504244 (P=1.6 × 10 -6; OR=1.18; CI: 1.11-1.27, KIT). Variants located in or near the genes ASB13, RSPO4, DLGAP1, PTPRD, GRIK2, FAIM2 and CDH20, identified in linkage peaks and the original GWASs, were among the top signals. Polygenic risk scores for each individual study predicted case-control status in the other by explaining 0.9% (P=0.003) and 0.3% (P=0.0009) of the phenotypic variance in OCGAS and the European IOCDF-GC target samples, respectively. The common SNP heritability in the combined OCGAS and IOCDF-GC sample was estimated to be 0.28 (s.e.=0.04). Strikingly, </w:instrText>
      </w:r>
      <w:r w:rsidR="00944AFF">
        <w:rPr>
          <w:rFonts w:ascii="Cambria Math" w:hAnsi="Cambria Math" w:cs="Cambria Math"/>
        </w:rPr>
        <w:instrText>∼</w:instrText>
      </w:r>
      <w:r w:rsidR="00944AFF">
        <w:instrText xml:space="preserve">65% of the SNP-based heritability in the OCGAS sample was accounted for by SNPs with minor allele frequencies of ≥40%. This joint analysis constituting the largest single OCD genome-wide study to date represents a major integrative step in elucidating the genetic causes of OCD.","container-title":"Molecular Psychiatry","DOI":"10.1038/mp.2017.154","issue":"5","title":"Revealing the complex genetic architecture of obsessive-compulsive disorder using meta-analysis","volume":"23","author":[{"family":"Arnold","given":"Paul D."},{"family":"Askland","given":"Kathleen D."},{"family":"Barlassina","given":"Cristina"},{"family":"Bellodi","given":"Laura"},{"family":"Bienvenu","given":"O. J."},{"family":"Black","given":"Donald"},{"family":"Bloch","given":"Michael"},{"family":"Brentani","given":"Helena"},{"family":"Burton","given":"Christie L."},{"family":"Camarena","given":"Beatriz"},{"family":"Cappi","given":"Carolina"},{"family":"Cath","given":"Danielle"},{"family":"Cavallini","given":"Maria"},{"family":"Conti","given":"David"},{"family":"Cook","given":"Edwin"},{"family":"Coric","given":"Vladimir"},{"family":"Cullen","given":"Bernadette A."},{"family":"Cusi","given":"Danielle"},{"family":"Davis","given":"Lea K."},{"family":"Delorme","given":"Richard"},{"family":"Denys","given":"Damiaan"},{"family":"Derks","given":"Eske"},{"family":"Eapen","given":"Valsamma"},{"family":"Edlund","given":"Christopher"},{"family":"Erdman","given":"Lauren"},{"family":"Falkai","given":"Peter"},{"family":"Figee","given":"Martijn"},{"family":"Fyer","given":"Abigail J."},{"family":"Geller","given":"Daniel A."},{"family":"Goes","given":"Fernando S."},{"family":"Grabe","given":"Hans"},{"family":"Grados","given":"Marcos A."},{"family":"Greenberg","given":"Benjamin D."},{"family":"Grünblatt","given":"Edna"},{"family":"Guo","given":"Wei"},{"family":"Hanna","given":"Gregory L."},{"family":"Hemmings","given":"Sian"},{"family":"Hounie","given":"Ana G."},{"family":"Jenicke","given":"Michael"},{"family":"Keenan","given":"Clare"},{"family":"Kennedy","given":"James"},{"family":"Khramtsova","given":"Ekaterina A."},{"family":"Konkashbaev","given":"Anuar"},{"family":"Knowles","given":"James A."},{"family":"Krasnow","given":"Janice"},{"family":"Lange","given":"Cristophe"},{"family":"Lanzagorta","given":"Nuria"},{"family":"Leboyer","given":"Marion"},{"family":"Lennertz","given":"Leonhard"},{"family":"Li","given":"Bingbin"},{"family":"Liang","given":"K. Y."},{"family":"Lochner","given":"Christine"},{"family":"Macciardi","given":"Fabio"},{"family":"Maher","given":"Brion"},{"family":"Maier","given":"Wolfgang"},{"family":"Marconi","given":"Maurizio"},{"family":"Mathews","given":"Carol A."},{"family":"Matthesien","given":"Manuel"},{"family":"McCracken","given":"James T."},{"family":"McLaughlin","given":"Nicole C."},{"family":"Miguel","given":"Euripedes C."},{"family":"Moessner","given":"Rainald"},{"family":"Murphy","given":"Dennis L."},{"family":"Neale","given":"Benjamin"},{"family":"Nestadt","given":"Gerald"},{"family":"Nestadt","given":"Paul"},{"family":"Nicolini","given":"Humberto"},{"family":"Nurmi","given":"Ericka"},{"family":"Osiecki","given":"Lisa"},{"family":"Pauls","given":"David L."},{"family":"Piacentini","given":"John"},{"family":"Posthuma","given":"Danielle"},{"family":"Pulver","given":"Ann E."},{"family":"Qin","given":"H. D."},{"family":"Rasmussen","given":"Steven A."},{"family":"Rauch","given":"Scott"},{"family":"Richter","given":"Margaret A."},{"family":"Riddle","given":"Mark A."},{"family":"Ripke","given":"Stephan"},{"family":"Ruhrmann","given":"Stephan"},{"family":"Sampaio","given":"Aline S."},{"family":"Samuels","given":"Jack F."},{"family":"Scharf","given":"Jeremiah M."},{"family":"Shugart","given":"Yin Yao"},{"family":"Smit","given":"Jan"},{"family":"Stein","given":"Daniel"},{"family":"Stewart","given":"S. Evelyn"},{"family":"Turiel","given":"Maurizio"},{"family":"Vallada","given":"Homero"},{"family":"Veenstra-VanderWeele","given":"Jeremy"},{"family":"Wagner","given":"Michael"},{"family":"Walitza","given":"Susanne"},{"family":"Wang","given":"Y."},{"family":"Wendland","given":"Jens"},{"family":"Vulink","given":"Nienke"},{"family":"Yu","given":"Dongmei"},{"family":"Zai","given":"Gwyneth"}],"issued":{"date-parts":[["2018"]]}}},{"id":633,"uris":["http://zotero.org/users/9762508/items/6TTCITBC"],"itemData":{"id":633,"type":"article-journal","abstract":"The neuronal glutamate transporter gene SLC1A1 is a candidate gene for obsessive-compulsive disorder (OCD) based on linkage studies and convergent evidence implicating glutamate in OCD etiology. The 3' end of SLC1A1 is the only genomic region with consistently demonstrated OCD association, especially when analyzing male-only probands. However, specific allele associations have not been consistently replicated, and recent OCD genome-wide association and meta-analysis studies have not incorporated all previously associated SLC1A1 SNPs. To clarify the nature of association between SLC1A1 and OCD, pooled analysis was performed on all available relevant raw study data, comprising a final sample of 815 trios, 306 cases and 634 controls. This revealed weak association between OCD and one of nine tested SLC1A1 polymorphisms (rs301443; uncorrected P = 0.046; non-significant corrected P). Secondary analyses of male-affecteds only (N = 358 trios and 133 cases) demonstrated modest association between OCD and a different SNP (rs12682807; uncorrected P = 0.012; non-significant corrected P). Findings of this meta-analysis are consistent with the trend of previous candidate gene studies in psychiatry and do not clarify the putative role of SLC1A1 in OCD pathophysiology. Nonetheless, it may be important to further examine the potential associations demonstrated in this amalgamated sample, especially since the SNPs with modest associations were not included in the more highly powered recent GWAS or in a past meta-analysis including five SLC1A1 polymorphisms. This study underscores the need for much larger sample sizes in future genetic association studies and suggests that next-generation sequencing may be beneficial in examining the potential role of rare variants in OCD.","container-title":"American Journal of Medical Genetics, Part B: Neuropsychiatric Genetics","DOI":"10.1002/ajmg.b.32137","ISSN":"15524841","issue":"4","note":"PMID: 23606572\nISBN: 1552-485X (Electronic)\\r1552-4841 (Linking)","page":"367-379","title":"Meta-analysis of association between obsessive-compulsive disorder and the 3′ region of neuronal glutamate transporter gene SLC1A1","volume":"162","author":[{"family":"Stewart","given":"S. E."},{"family":"Mayerfeld","given":"C."},{"family":"Arnold","given":"P. D."},{"family":"Crane","given":"J. R."},{"family":"O'Dushlaine","given":"C."},{"family":"Fagerness","given":"J. A."},{"family":"Yu","given":"D."},{"family":"Scharf","given":"J. M."},{"family":"Chan","given":"E."},{"family":"Kassam","given":"F."},{"family":"Moya","given":"P. R."},{"family":"Wendland","given":"J. R."},{"family":"Delorme","given":"R."},{"family":"Richter","given":"M. A."},{"family":"Kennedy","given":"J. L."},{"family":"Veenstra-Vanderweele","given":"J."},{"family":"Samuels","given":"J."},{"family":"Greenberg","given":"B. D."},{"family":"Mccracken","given":"J. T."},{"family":"Knowles","given":"J. A."},{"family":"Fyer","given":"A. J."},{"family":"Rauch","given":"S. L."},{"family":"Riddle","given":"M. A."},{"family":"Grados","given":"M. A."},{"family":"Bienvenu","given":"O. J."},{"family":"Cullen","given":"B."},{"family":"Wang","given":"Y."},{"family":"Shugart","given":"Y. Y."},{"family":"Piacentini","given":"J."},{"family":"Rasmussen","given":"S."},{"family":"Nestadt","given":"G."},{"family":"Murphy","given":"D. L."},{"family":"Jenike","given":"M. A."},{"family":"Cook","given":"E. H."},{"family":"Pauls","given":"D. L."},{"family":"Hanna","given":"G. L."},{"family":"Mathews","given":"C. A."}],"issued":{"date-parts":[["2013"]]}}}],"schema":"https://github.com/citation-style-language/schema/raw/master/csl-citation.json"} </w:instrText>
      </w:r>
      <w:r w:rsidR="00944AFF">
        <w:fldChar w:fldCharType="separate"/>
      </w:r>
      <w:r w:rsidR="00944AFF" w:rsidRPr="00944AFF">
        <w:t>(Arnold et al., 2018; Stewart et al., 2013)</w:t>
      </w:r>
      <w:r w:rsidR="00944AFF">
        <w:fldChar w:fldCharType="end"/>
      </w:r>
      <w:r w:rsidRPr="00DD692C">
        <w:t xml:space="preserve">. </w:t>
      </w:r>
      <w:r w:rsidR="00944AFF">
        <w:t xml:space="preserve">The </w:t>
      </w:r>
      <w:r w:rsidRPr="00DD692C">
        <w:t xml:space="preserve">IOCDF-GC case-control cohort (IOCDF-GC) consists of 1519 European ancestry cases and 3541 matching controls from IOCDF-GC and three cohorts previously genotyped, including the Alzheimer’s Disease Genetics Initiative </w:t>
      </w:r>
      <w:r w:rsidR="00944AFF">
        <w:fldChar w:fldCharType="begin"/>
      </w:r>
      <w:r w:rsidR="00944AFF">
        <w:instrText xml:space="preserve"> ADDIN ZOTERO_ITEM CSL_CITATION {"citationID":"zYb3BXLy","properties":{"formattedCitation":"(Lee et al., 2008)","plainCitation":"(Lee et al., 2008)","noteIndex":0},"citationItems":[{"id":3869,"uris":["http://zotero.org/users/9762508/items/8L4GJSSG"],"itemData":{"id":3869,"type":"article-journal","abstract":"Objective: To identify putative genetic loci related to the risk of late-onset Alzheimer disease (LOAD). Design: Linkage analysis and family-based and casecontrol association analyses from a genomewide scan using approximately 6000 single-nucleotide polymorphic markers at an average intermarker distance of 0.65 cM. Setting: The National Institute on Aging Genetics Initiative for Late-Onset Alzheimer's Disease (NIA-LOAD) was created to expand the resources for studies to identify additional genes contributing to the risk for LOAD. Participants:Weinvestigated 1902 individuals from 328 families with LOAD and 236 unrelated control subjects. Main Outcome Measures: Clinical diagnosis of LOAD. Results: Thestrongest overall finding was atchromosome 19q13.32,confirming the effect of the apolipoprotein E gene on LOAD risk in the family-based and case-control analyses. However, single-nucleotide polymorphisms at the following loci were also statistically significant in 1 or more of the analyses performed: 7p22.2, 7p21.3, and 16q21 in the linkage analyses;17q21.31and22q11. 21inthefamily-based association analysis; and 7q31.1 and 22q12.3 in the case-control analysis. Positive associations at 7q31.1 and 20q13.33 were also significant in the meta-analysis results in a publicly available database. Conclusions: Several additional loci may harbor genetic variants associated with LOAD. This data set provides a wealth of phenotypic and genotypic information for use as a resource in discovery and confirmatory research. ©2008 American Medical Association. All rights reserved.","container-title":"Archives of Neurology","DOI":"10.1001/archneur.65.11.1518","issue":"11","note":"publisher: Arch Neurol","page":"1518-1526","title":"Analyses of the national institute on aging late-onset Alzheimer's disease family study: Implication of additional loci","volume":"65","author":[{"family":"Lee","given":"Joseph H."},{"family":"Cheng","given":"Rong"},{"family":"Graff-Radford","given":"Neill"},{"family":"Foroud","given":"Tatiana"},{"family":"Mayeux","given":"Richard"}],"issued":{"date-parts":[["2008",11]]}}}],"schema":"https://github.com/citation-style-language/schema/raw/master/csl-citation.json"} </w:instrText>
      </w:r>
      <w:r w:rsidR="00944AFF">
        <w:fldChar w:fldCharType="separate"/>
      </w:r>
      <w:r w:rsidR="00944AFF" w:rsidRPr="00944AFF">
        <w:t>(Lee et al., 2008)</w:t>
      </w:r>
      <w:r w:rsidR="00944AFF">
        <w:fldChar w:fldCharType="end"/>
      </w:r>
      <w:r w:rsidRPr="00DD692C">
        <w:t xml:space="preserve">, the Center for Applied Genomics (CAG) at Children’s Hospital of Philadelphia (CHOP) </w:t>
      </w:r>
      <w:r w:rsidR="00944AFF">
        <w:fldChar w:fldCharType="begin"/>
      </w:r>
      <w:r w:rsidR="00944AFF">
        <w:instrText xml:space="preserve"> ADDIN ZOTERO_ITEM CSL_CITATION {"citationID":"7CuwaFtT","properties":{"formattedCitation":"(Gur et al., 2012)","plainCitation":"(Gur et al., 2012)","noteIndex":0},"citationItems":[{"id":3868,"uris":["http://zotero.org/users/9762508/items/YGGQXPLQ"],"itemData":{"id":3868,"type":"article-journal","abstract":"Objective: Examine age group effects and sex differences by applying a comprehensive computerized battery of identical behavioral measures linked to brain systems in youths that were already genotyped. Such information is needed to incorporate behavioral data as neuropsychological \"biomarkers\" in large-scale genomic studies. Method: We developed and applied a brief computerized neurocognitive battery that provides measures of performance accuracy and response time for executive-control, episodic memory, complex cognition, social cognition, and sensorimotor speed domains. We tested a population-based sample of 3,500 genotyped youths ages 8 -21 years. Results: Substantial improvement with age occurred for both accuracy and speed, but the rates varied by domain. The most pronounced improvement was noted in executive control functions, specifically attention, and in motor speed, with some effect sizes exceeding 1.8 standard deviation units. The least pronounced age group effect was in memory, where only face memory showed a large effect size on improved accuracy. Sex differences had much smaller effect sizes but were evident, with females outperforming males on attention, word and face memory, reasoning speed, and all social cognition tests and males outperforming females in spatial processing and sensorimotor and motor speed. These sex differences in most domains were seen already at the youngest age groups, and age group X sex interactions indicated divergence at the oldest groups with females becoming faster but less accurate than males. Conclusions: The results indicate that cognitive performance improves substantially in this age span, with large effect sizes that differ by domain. The more pronounced improvement for executive and reasoning domains than for memory suggests that memory capacities have reached their apex before age 8. Performance was sexually modulated and most sex differences were apparent by early adolescence. © 2012 American Psychological Association.","container-title":"Neuropsychology","DOI":"10.1037/a0026712","issue":"2","note":"publisher: Neuropsychology","page":"251-265","title":"Age group and sex differences in performance on a computerized neurocognitive battery in children age 8-21","volume":"26","author":[{"family":"Gur","given":"Ruben C."},{"family":"Richard","given":"Jan"},{"family":"Calkins","given":"Monica E."},{"family":"Chiavacci","given":"Rosetta"},{"family":"Hansen","given":"John A."},{"family":"Bilker","given":"Warren B."},{"family":"Loughead","given":"James"},{"family":"Connolly","given":"John J."},{"family":"Qiu","given":"Haijun"},{"family":"Mentch","given":"Frank D."},{"family":"Abou-Sleiman","given":"Patrick M."},{"family":"Hakonarson","given":"Hakon"},{"family":"Gur","given":"Raquel E."}],"issued":{"date-parts":[["2012"]]}}}],"schema":"https://github.com/citation-style-language/schema/raw/master/csl-citation.json"} </w:instrText>
      </w:r>
      <w:r w:rsidR="00944AFF">
        <w:fldChar w:fldCharType="separate"/>
      </w:r>
      <w:r w:rsidR="00944AFF" w:rsidRPr="00944AFF">
        <w:t>(Gur et al., 2012)</w:t>
      </w:r>
      <w:r w:rsidR="00944AFF">
        <w:fldChar w:fldCharType="end"/>
      </w:r>
      <w:r w:rsidRPr="00DD692C">
        <w:t xml:space="preserve">, and the Breast and Prostate Cancer Cohort Consortium (BPC3; </w:t>
      </w:r>
      <w:r w:rsidR="00944AFF">
        <w:fldChar w:fldCharType="begin"/>
      </w:r>
      <w:r w:rsidR="00944AFF">
        <w:instrText xml:space="preserve"> ADDIN ZOTERO_ITEM CSL_CITATION {"citationID":"7RLIqbT4","properties":{"formattedCitation":"(Schumacher et al., 2011)","plainCitation":"(Schumacher et al., 2011)","noteIndex":0},"citationItems":[{"id":3861,"uris":["http://zotero.org/users/9762508/items/WE2XFLH8"],"itemData":{"id":3861,"type":"article-journal","abstract":"Prostate cancer (PrCa) is the most common non-skin cancer diagnosed among males in developed countries and the second leading cause of cancer mortality, yet little is known regarding its etiology and factors that influence clinical outcome. Genome-wide association studies (GWAS) of PrCa have identified at least 30 distinct loci associated with small differences in risk. We conducted a GWAS in 2782 advanced PrCa cases (Gleason grade ≥ 8 or tumor stage C/D) and 4458 controls with 571 243 single nucleotide polymorphisms (SNPs). Based on in silico replication of 4679 SNPs (Stage 1, P &lt; 0.02) in two published GWAS with 7358 PrCa cases and 6732 controls, we identified a new susceptibility locus associated with overall PrCa risk at 2q37.3 (rs2292884, P = 4.3 × 10 -8). We also confirmed a locus suggested by an earlier GWAS at 12q13 (rs902774, P = 8.6 × 10 -9). The estimated per-allele odds ratios for these loci (1.14 for rs2292884 and 1.17 for rs902774) did not differ between advanced and non-advanced PrCa (case-only test for heterogeneity P 5 0.72 and P 5 0.61, respectively). Further studies will be needed to assess whether these or other loci are differentially associated with PrCa subtypes. © The Author 2011. Published by Oxford University Press. All rights reserved.","container-title":"Human Molecular Genetics","DOI":"10.1093/hmg/ddr295","issue":"19","page":"3867-3875","title":"Genome-wide association study identifies new prostate cancer susceptibility loci","volume":"20","author":[{"family":"Schumacher","given":"Fredrick R."},{"family":"Berndt","given":"Sonja I."},{"family":"Siddiq","given":"Afshan"},{"family":"Jacobs","given":"Kevin B."},{"family":"Wang","given":"Zhaoming"},{"family":"Lindstrom","given":"Sara"},{"family":"Stevens","given":"Victoria L."},{"family":"Chen","given":"Constance"},{"family":"Mondul","given":"Alison M."},{"family":"Travis","given":"Ruth C."},{"family":"Stram","given":"Daniel O."},{"family":"Eeles","given":"Rosalind A."},{"family":"Easton","given":"Douglas F."},{"family":"Giles","given":"Graham"},{"family":"Hopper","given":"John L."},{"family":"Neal","given":"David E."},{"family":"Hamdy","given":"Freddie C."},{"family":"Donovan","given":"Jenny L."},{"family":"Muir","given":"Kenneth"},{"family":"Al Olama","given":"Ali Amin"},{"family":"Kote-Jarai","given":"Zsofia"},{"family":"Guy","given":"Michelle"},{"family":"Severi","given":"Gianluca"},{"family":"Grönberg","given":"Henrik"},{"family":"Isaacs","given":"William B."},{"family":"Karlsson","given":"Robert"},{"family":"Wiklund","given":"Fredrik"},{"family":"Xu","given":"Jianfeng"},{"family":"Allen","given":"Naomi E."},{"family":"Andriole","given":"Gerald L."},{"family":"Barricarte","given":"Aurelio"},{"family":"Boeing","given":"Heiner"},{"family":"Bueno-de-Mesquita","given":"H. Bas"},{"family":"Crawford","given":"E. David"},{"family":"Diver","given":"W. Ryan"},{"family":"Gonzalez","given":"Carlos A."},{"family":"Gaziano","given":"J. Michael"},{"family":"Giovannucci","given":"Edward L."},{"family":"Johansson","given":"Mattias"},{"family":"Le Marchand","given":"Loic"},{"family":"Ma","given":"Jing"},{"family":"Sieri","given":"Sabina"},{"family":"Stattin","given":"Pär"},{"family":"Stampfer","given":"Meir J."},{"family":"Tjonneland","given":"Anne"},{"family":"Vineis","given":"Paolo"},{"family":"Virtamo","given":"Jarmo"},{"family":"Vogel","given":"Ulla"},{"family":"Weinstein","given":"Stephanie J."},{"family":"Yeager","given":"Meredith"},{"family":"Thun","given":"Michael J."},{"family":"Kolonel","given":"Laurence N."},{"family":"Henderson","given":"Brian E."},{"family":"Albanes","given":"Demetrius"},{"family":"Hayes","given":"Richard B."},{"family":"Feigelson","given":"Heather Spencer"},{"family":"Riboli","given":"Elio"},{"family":"Hunter","given":"David J."},{"family":"Chanock","given":"Stephen J."},{"family":"Haiman","given":"Christopher A."},{"family":"Kraft","given":"Peter"}],"issued":{"date-parts":[["2011",10]]}}}],"schema":"https://github.com/citation-style-language/schema/raw/master/csl-citation.json"} </w:instrText>
      </w:r>
      <w:r w:rsidR="00944AFF">
        <w:fldChar w:fldCharType="separate"/>
      </w:r>
      <w:r w:rsidR="00944AFF" w:rsidRPr="00944AFF">
        <w:t>(Schumacher et al., 2011)</w:t>
      </w:r>
      <w:r w:rsidR="00944AFF">
        <w:fldChar w:fldCharType="end"/>
      </w:r>
      <w:r w:rsidR="00944AFF">
        <w:t>)</w:t>
      </w:r>
      <w:r w:rsidRPr="00DD692C">
        <w:t xml:space="preserve"> The IOCDF-GC trio sample (610k_trio) consists of 323 European ancestry complete trios. All cases and trios were recruited predominantly from OCD specialty clinics, and controls were recruited from Bonn, Germany and from </w:t>
      </w:r>
      <w:sdt>
        <w:sdtPr>
          <w:tag w:val="goog_rdk_19"/>
          <w:id w:val="432178535"/>
        </w:sdtPr>
        <w:sdtContent>
          <w:r w:rsidRPr="00DD692C">
            <w:t>Cape Town</w:t>
          </w:r>
        </w:sdtContent>
      </w:sdt>
      <w:r w:rsidRPr="00DD692C">
        <w:t xml:space="preserve">, South Africa. This work was approved by the relevant IRBs at all participating sites, and all participants provided written informed consent. For study inclusion, all cases and trio probands were required to have a DSM-IV diagnosis of OCD. The controls from Bonn had an absent lifetime history of all </w:t>
      </w:r>
      <w:proofErr w:type="gramStart"/>
      <w:r w:rsidRPr="00DD692C">
        <w:t>axis</w:t>
      </w:r>
      <w:proofErr w:type="gramEnd"/>
      <w:r w:rsidRPr="00DD692C">
        <w:t xml:space="preserve"> I disorders and the South African controls were diagnostically unscreened. The sample description of the three cohorts refer to the primary article. All samples were genotyped on Illumina Human610-Quadv1_B SNP array (Illumina, San Diego, CA, USA). Standard quality control (QC) protocol was conducted with PLINK</w:t>
      </w:r>
      <w:r w:rsidR="00944AFF">
        <w:t xml:space="preserve"> </w:t>
      </w:r>
      <w:r w:rsidR="00944AFF">
        <w:fldChar w:fldCharType="begin"/>
      </w:r>
      <w:r w:rsidR="00944AFF">
        <w:instrText xml:space="preserve"> ADDIN ZOTERO_ITEM CSL_CITATION {"citationID":"0rWpoAt0","properties":{"formattedCitation":"(Purcell et al., 2007)","plainCitation":"(Purcell et al., 2007)","noteIndex":0},"citationItems":[{"id":3259,"uris":["http://zotero.org/users/9762508/items/TVXPRGS8"],"itemData":{"id":3259,"type":"article-journal","abstract":"Whole-genome association studies (WGAS) bring new computational, as well as analytic, challenges to researchers. Many existing genetic-analysis tools are not designed to handle such large data sets in a convenient manner and do not necessarily exploit the new opportunities that whole-genome data bring. To address these issues, we developed PLINK, an open-source C/C++ WGAS tool set. With PLINK, large data sets comprising hundreds of thousands of markers genotyped for thousands of individuals can be rapidly manipulated and analyzed in their entirety. As well as providing tools to make the basic analytic steps computationally efficient, PLINK also supports some novel approaches to whole-genome data that take advantage of whole-genome coverage. We introduce PLINK and describe the five main domains of function: data management, summary statistics, population stratification, association analysis, and identity-by-descent estimation. In particular, we focus on the estimation and use of identity-by-state and identity-by-descent information in the context of population-based whole-genome studies. This information can be used to detect and correct for population stratification and to identify extended chromosomal segments that are shared identical by descent between very distantly related individuals. Analysis of the patterns of segmental sharing has the potential to map disease loci that contain multiple rare variants in a population-based linkage analysis. © 2007 by The American Society of Human Genetics. All rights reserved.","container-title":"American journal of human genetics","DOI":"10.1086/519795","ISSN":"0002-9297","issue":"3","note":"PMID: 17701901\npublisher: Am J Hum Genet","page":"559-575","title":"PLINK: a tool set for whole-genome association and population-based linkage analyses","volume":"81","author":[{"family":"Purcell","given":"Shaun"},{"family":"Neale","given":"Benjamin"},{"family":"Todd-Brown","given":"Kathe"},{"family":"Thomas","given":"Lori"},{"family":"Ferreira","given":"Manuel A.R."},{"family":"Bender","given":"David"},{"family":"Maller","given":"Julian"},{"family":"Sklar","given":"Pamela"},{"family":"De Bakker","given":"Paul I.W."},{"family":"Daly","given":"Mark J."},{"family":"Sham","given":"Pak C."}],"issued":{"date-parts":[["2007"]]}}}],"schema":"https://github.com/citation-style-language/schema/raw/master/csl-citation.json"} </w:instrText>
      </w:r>
      <w:r w:rsidR="00944AFF">
        <w:fldChar w:fldCharType="separate"/>
      </w:r>
      <w:r w:rsidR="00944AFF" w:rsidRPr="00944AFF">
        <w:t>(Purcell et al., 2007)</w:t>
      </w:r>
      <w:r w:rsidR="00944AFF">
        <w:fldChar w:fldCharType="end"/>
      </w:r>
      <w:r w:rsidRPr="00DD692C">
        <w:t xml:space="preserve">. Samples were removed for call rates &lt; 98%, sex discrepancy and ambiguous genomic sex, related samples with </w:t>
      </w:r>
      <w:proofErr w:type="spellStart"/>
      <w:r w:rsidRPr="00DD692C">
        <w:t>pihat</w:t>
      </w:r>
      <w:proofErr w:type="spellEnd"/>
      <w:r w:rsidRPr="00DD692C">
        <w:t xml:space="preserve"> &gt; 0.2. SNP QC included removing monomorphic SNPs, CNV-targeted SNP probes, SNPs with genotyping rate &lt; 98%, SNPs with MAF &lt; 0.01, strand-ambiguous SNPs with significant allele frequency differences or aberrant LD correlations with adjacent SNPs based on the entire HapMap2 reference panel, SNPs with </w:t>
      </w:r>
      <m:oMath>
        <m:r>
          <w:rPr>
            <w:rFonts w:ascii="Cambria Math" w:hAnsi="Cambria Math"/>
          </w:rPr>
          <m:t>P&lt; 1x1</m:t>
        </m:r>
        <m:sSup>
          <m:sSupPr>
            <m:ctrlPr>
              <w:rPr>
                <w:rFonts w:ascii="Cambria Math" w:hAnsi="Cambria Math"/>
              </w:rPr>
            </m:ctrlPr>
          </m:sSupPr>
          <m:e>
            <m:r>
              <w:rPr>
                <w:rFonts w:ascii="Cambria Math" w:hAnsi="Cambria Math"/>
              </w:rPr>
              <m:t>0</m:t>
            </m:r>
          </m:e>
          <m:sup>
            <m:r>
              <w:rPr>
                <w:rFonts w:ascii="Cambria Math" w:hAnsi="Cambria Math"/>
              </w:rPr>
              <m:t>-06</m:t>
            </m:r>
          </m:sup>
        </m:sSup>
      </m:oMath>
      <w:r w:rsidRPr="00DD692C">
        <w:t xml:space="preserve"> in HWE test among controls or </w:t>
      </w:r>
      <m:oMath>
        <m:r>
          <w:rPr>
            <w:rFonts w:ascii="Cambria Math" w:hAnsi="Cambria Math"/>
          </w:rPr>
          <m:t>P&lt;1x1</m:t>
        </m:r>
        <m:sSup>
          <m:sSupPr>
            <m:ctrlPr>
              <w:rPr>
                <w:rFonts w:ascii="Cambria Math" w:hAnsi="Cambria Math"/>
              </w:rPr>
            </m:ctrlPr>
          </m:sSupPr>
          <m:e>
            <m:r>
              <w:rPr>
                <w:rFonts w:ascii="Cambria Math" w:hAnsi="Cambria Math"/>
              </w:rPr>
              <m:t>0</m:t>
            </m:r>
          </m:e>
          <m:sup>
            <m:r>
              <w:rPr>
                <w:rFonts w:ascii="Cambria Math" w:hAnsi="Cambria Math"/>
              </w:rPr>
              <m:t>-10</m:t>
            </m:r>
          </m:sup>
        </m:sSup>
      </m:oMath>
      <w:r w:rsidRPr="00DD692C">
        <w:t xml:space="preserve"> among cases, SNPs with differential missing rate between cases and controls (&gt; 0.02), and SNPs with batch effect (</w:t>
      </w:r>
      <m:oMath>
        <m:r>
          <w:rPr>
            <w:rFonts w:ascii="Cambria Math" w:hAnsi="Cambria Math"/>
          </w:rPr>
          <m:t>P&lt;1x1</m:t>
        </m:r>
        <m:sSup>
          <m:sSupPr>
            <m:ctrlPr>
              <w:rPr>
                <w:rFonts w:ascii="Cambria Math" w:hAnsi="Cambria Math"/>
              </w:rPr>
            </m:ctrlPr>
          </m:sSupPr>
          <m:e>
            <m:r>
              <w:rPr>
                <w:rFonts w:ascii="Cambria Math" w:hAnsi="Cambria Math"/>
              </w:rPr>
              <m:t>0</m:t>
            </m:r>
          </m:e>
          <m:sup>
            <m:r>
              <w:rPr>
                <w:rFonts w:ascii="Cambria Math" w:hAnsi="Cambria Math"/>
              </w:rPr>
              <m:t>-05</m:t>
            </m:r>
          </m:sup>
        </m:sSup>
      </m:oMath>
      <w:r w:rsidRPr="00DD692C">
        <w:t xml:space="preserve">) between different control cohorts. Multidimensional scaling (MDS) analyses were </w:t>
      </w:r>
      <w:r w:rsidRPr="00DD692C">
        <w:lastRenderedPageBreak/>
        <w:t xml:space="preserve">performed in PLINK2 </w:t>
      </w:r>
      <w:r w:rsidR="005E689A">
        <w:fldChar w:fldCharType="begin"/>
      </w:r>
      <w:r w:rsidR="005E689A">
        <w:instrText xml:space="preserve"> ADDIN ZOTERO_ITEM CSL_CITATION {"citationID":"czDhuFAH","properties":{"formattedCitation":"(Chang et al., 2015)","plainCitation":"(Chang et al., 2015)","noteIndex":0},"citationItems":[{"id":3253,"uris":["http://zotero.org/users/9762508/items/IX89LDBQ"],"itemData":{"id":3253,"type":"article-journal","abstract":"Background: PLINK 1 is a widely used open-source C/C++ toolset for genome-wide association studies (GWAS) and research in population genetics. However, the steady accumulation of data from imputation and whole-genome sequencing studies has exposed a strong need for faster and scalable implementations of key functions, such as logistic regression, linkage disequilibrium estimation, and genomic distance evaluation. In addition, GWAS and population-genetic data now frequently contain genotype likelihoods, phase information, and/or multiallelic variants, none of which can be represented by PLINK 1's primary data format. Findings: To address these issues, we are developing a second-generation codebase for PLINK. The first major release from this codebase, PLINK 1.9, introduces extensive use of bit-level parallelism, O(√n)-time/constant-space Hardy-Weinberg equilibrium and Fisher's exact tests, and many other algorithmic improvements. In combination, these changes accelerate most operations by 1-4 orders of magnitude, and allow the program to handle datasets too large to fit in RAM. We have also developed an extension to the data format which adds low-overhead support for genotype likelihoods, phase, multiallelic variants, and reference vs. alternate alleles, which is the basis of our planned second release (PLINK 2.0). Conclusions: The second-generation versions of PLINK will offer dramatic improvements in performance and compatibility. For the first time, users without access to high-end computing resources can perform several essential analyses of the feature-rich and very large genetic datasets coming into use.","container-title":"GigaScience","DOI":"10.1186/S13742-015-0047-8/2707533","ISSN":"2047217X","issue":"1","note":"PMID: 25722852\narXiv: 1410.4803\npublisher: BioMed Central Ltd.","page":"7","title":"Second-generation PLINK: Rising to the challenge of larger and richer datasets","volume":"4","author":[{"family":"Chang","given":"Christopher C."},{"family":"Chow","given":"Carson C."},{"family":"Tellier","given":"Laurent C.A.M."},{"family":"Vattikuti","given":"Shashaank"},{"family":"Purcell","given":"Shaun M."},{"family":"Lee","given":"James J."}],"issued":{"date-parts":[["2015",2,25]]}}}],"schema":"https://github.com/citation-style-language/schema/raw/master/csl-citation.json"} </w:instrText>
      </w:r>
      <w:r w:rsidR="005E689A">
        <w:fldChar w:fldCharType="separate"/>
      </w:r>
      <w:r w:rsidR="005E689A" w:rsidRPr="005E689A">
        <w:t>(Chang et al., 2015)</w:t>
      </w:r>
      <w:r w:rsidR="005E689A">
        <w:fldChar w:fldCharType="end"/>
      </w:r>
      <w:r w:rsidR="005E689A">
        <w:t xml:space="preserve"> </w:t>
      </w:r>
      <w:r w:rsidRPr="00DD692C">
        <w:t xml:space="preserve">and samples were removed when they were significant outliers in the first five MDS dimensions or when there were no matching cases or controls on these MDS dimensions. The genotyped data were phased by SHAPEIT2 </w:t>
      </w:r>
      <w:r w:rsidR="001D0F65">
        <w:fldChar w:fldCharType="begin"/>
      </w:r>
      <w:r w:rsidR="001D0F65">
        <w:instrText xml:space="preserve"> ADDIN ZOTERO_ITEM CSL_CITATION {"citationID":"SlXQYiwB","properties":{"formattedCitation":"(Delaneau et al., 2013)","plainCitation":"(Delaneau et al., 2013)","noteIndex":0},"citationItems":[{"id":3639,"uris":["http://zotero.org/users/9762508/items/YLN2PAQD"],"itemData":{"id":3639,"type":"article-journal","container-title":"Nature Methods","DOI":"10.1038/nmeth.2307","ISSN":"1548-7105","issue":"1","journalAbbreviation":"Nat Methods","language":"en","license":"2013 Nature Publishing Group, a division of Macmillan Publishers Limited. All Rights Reserved.","note":"number: 1\npublisher: Nature Publishing Group","page":"5-6","source":"www.nature.com","title":"Improved whole-chromosome phasing for disease and population genetic studies","volume":"10","author":[{"family":"Delaneau","given":"Olivier"},{"family":"Zagury","given":"Jean-Francois"},{"family":"Marchini","given":"Jonathan"}],"issued":{"date-parts":[["2013",1]]}}}],"schema":"https://github.com/citation-style-language/schema/raw/master/csl-citation.json"} </w:instrText>
      </w:r>
      <w:r w:rsidR="001D0F65">
        <w:fldChar w:fldCharType="separate"/>
      </w:r>
      <w:r w:rsidR="001D0F65" w:rsidRPr="001D0F65">
        <w:t>(Delaneau et al., 2013)</w:t>
      </w:r>
      <w:r w:rsidR="001D0F65">
        <w:fldChar w:fldCharType="end"/>
      </w:r>
      <w:r w:rsidRPr="00DD692C">
        <w:t xml:space="preserve"> and imputed by Minimac3 </w:t>
      </w:r>
      <w:r w:rsidR="005E689A">
        <w:fldChar w:fldCharType="begin"/>
      </w:r>
      <w:r w:rsidR="005E689A">
        <w:instrText xml:space="preserve"> ADDIN ZOTERO_ITEM CSL_CITATION {"citationID":"E1h3XPj6","properties":{"formattedCitation":"(Das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5E689A">
        <w:fldChar w:fldCharType="separate"/>
      </w:r>
      <w:r w:rsidR="005E689A" w:rsidRPr="005E689A">
        <w:t>(Das et al., 2016)</w:t>
      </w:r>
      <w:r w:rsidR="005E689A">
        <w:fldChar w:fldCharType="end"/>
      </w:r>
      <w:r w:rsidRPr="00DD692C">
        <w:t xml:space="preserve"> using the HRC </w:t>
      </w:r>
      <w:r w:rsidR="005E689A">
        <w:fldChar w:fldCharType="begin"/>
      </w:r>
      <w:r w:rsidR="005E689A">
        <w:instrText xml:space="preserve"> ADDIN ZOTERO_ITEM CSL_CITATION {"citationID":"rmmEdCAc","properties":{"formattedCitation":"(McCarthy et al., 2016)","plainCitation":"(McCarthy et al., 2016)","noteIndex":0},"citationItems":[{"id":3235,"uris":["http://zotero.org/users/9762508/items/AEQST946"],"itemData":{"id":3235,"type":"article-journal","abstract":"Jonathan Marchini, Gonçalo Abecasis, Richard Durbin and colleagues describe the construction of a reference panel of human haplotypes from whole-genome sequencing data. They are able to use this to accurately impute genotypes at low minor allele frequency and present remote server resources for use by the community. We describe a reference panel of 64,976 human haplotypes at 39,235,157 SNPs constructed using whole-genome sequence data from 20 studies of predominantly European ancestry. Using this resource leads to accurate genotype imputation at minor allele frequencies as low as 0.1% and a large increase in the number of SNPs tested in association studies, and it can help to discover and refine causal loci. We describe remote server resources that allow researchers to carry out imputation and phasing consistently and efficiently.","container-title":"Nature Genetics 2016 48:10","DOI":"10.1038/ng.3643","ISSN":"1546-1718","issue":"10","note":"PMID: 27548312\npublisher: Nature Publishing Group","page":"1279-1283","title":"A reference panel of 64,976 haplotypes for genotype imputation","volume":"48","author":[{"family":"McCarthy","given":"Shane"},{"family":"Das","given":"Sayantan"},{"family":"Kretzschmar","given":"Warren"},{"family":"Delaneau","given":"Olivier"},{"family":"Wood","given":"Andrew R."},{"family":"Teumer","given":"Alexander"},{"family":"Kang","given":"Hyun Min"},{"family":"Fuchsberger","given":"Christian"},{"family":"Danecek","given":"Petr"},{"family":"Sharp","given":"Kevin"},{"family":"Luo","given":"Yang"},{"family":"Sidore","given":"Carlo"},{"family":"Kwong","given":"Alan"},{"family":"Timpson","given":"Nicholas"},{"family":"Koskinen","given":"Seppo"},{"family":"Vrieze","given":"Scott"},{"family":"Scott","given":"Laura J."},{"family":"Zhang","given":"He"},{"family":"Mahajan","given":"Anubha"},{"family":"Veldink","given":"Jan"},{"family":"Peters","given":"Ulrike"},{"family":"Pato","given":"Carlos"},{"family":"Van Duijn","given":"Cornelia M."},{"family":"Gillies","given":"Christopher E."},{"family":"Gandin","given":"Ilaria"},{"family":"Mezzavilla","given":"Massimo"},{"family":"Gilly","given":"Arthur"},{"family":"Cocca","given":"Massimiliano"},{"family":"Traglia","given":"Michela"},{"family":"Angius","given":"Andrea"},{"family":"Barrett","given":"Jeffrey C."},{"family":"Boomsma","given":"Dorrett"},{"family":"Branham","given":"Kari"},{"family":"Breen","given":"Gerome"},{"family":"Brummett","given":"Chad M."},{"family":"Busonero","given":"Fabio"},{"family":"Campbell","given":"Harry"},{"family":"Chan","given":"Andrew"},{"family":"Chen","given":"Sai"},{"family":"Chew","given":"Emily"},{"family":"Collins","given":"Francis S."},{"family":"Corbin","given":"Laura J."},{"family":"Smith","given":"George Davey"},{"family":"Dedoussis","given":"George"},{"family":"Dorr","given":"Marcus"},{"family":"Farmaki","given":"Aliki Eleni"},{"family":"Ferrucci","given":"Luigi"},{"family":"Forer","given":"Lukas"},{"family":"Fraser","given":"Ross M."},{"family":"Gabriel","given":"Stacey"},{"family":"Levy","given":"Shawn"},{"family":"Groop","given":"Leif"},{"family":"Harrison","given":"Tabitha"},{"family":"Hattersley","given":"Andrew"},{"family":"Holmen","given":"Oddgeir L."},{"family":"Hveem","given":"Kristian"},{"family":"Kretzler","given":"Matthias"},{"family":"Lee","given":"James C."},{"family":"McGue","given":"Matt"},{"family":"Meitinger","given":"Thomas"},{"family":"Melzer","given":"David"},{"family":"Min","given":"Josine L."},{"family":"Mohlke","given":"Karen L."},{"family":"Vincent","given":"John B."},{"family":"Nauck","given":"Matthias"},{"family":"Nickerson","given":"Deborah"},{"family":"Palotie","given":"Aarno"},{"family":"Pato","given":"Michele"},{"family":"Pirastu","given":"Nicola"},{"family":"McInnis","given":"Melvin"},{"family":"Richards","given":"J. Brent"},{"family":"Sala","given":"Cinzia"},{"family":"Salomaa","given":"Veikko"},{"family":"Schlessinger","given":"David"},{"family":"Schoenherr","given":"Sebastian"},{"family":"Slagboom","given":"P. Eline"},{"family":"Small","given":"Kerrin"},{"family":"Spector","given":"Timothy"},{"family":"Stambolian","given":"Dwight"},{"family":"Tuke","given":"Marcus"},{"family":"Tuomilehto","given":"Jaakko"},{"family":"Van Den Berg","given":"Leonard H."},{"family":"Van Rheenen","given":"Wouter"},{"family":"Volker","given":"Uwe"},{"family":"Wijmenga","given":"Cisca"},{"family":"Toniolo","given":"Daniela"},{"family":"Zeggini","given":"Eleftheria"},{"family":"Gasparini","given":"Paolo"},{"family":"Sampson","given":"Matthew G."},{"family":"Wilson","given":"James F."},{"family":"Frayling","given":"Timothy"},{"family":"De Bakker","given":"Paul I.W."},{"family":"Swertz","given":"Morris A."},{"family":"McCarroll","given":"Steven"},{"family":"Kooperberg","given":"Charles"},{"family":"Dekker","given":"Annelot"},{"family":"Altshuler","given":"David"},{"family":"Willer","given":"Cristen"},{"family":"Iacono","given":"William"},{"family":"Ripatti","given":"Samuli"},{"family":"Soranzo","given":"Nicole"},{"family":"Walter","given":"Klaudia"},{"family":"Swaroop","given":"Anand"},{"family":"Cucca","given":"Francesco"},{"family":"Anderson","given":"Carl A."},{"family":"Myers","given":"Richard M."},{"family":"Boehnke","given":"Michael"},{"family":"McCarthy","given":"Mark I."},{"family":"Durbin","given":"Richard"},{"family":"Abecasis","given":"Gonçalo"},{"family":"Marchini","given":"Jonathan"}],"issued":{"date-parts":[["2016",8,22]]}}}],"schema":"https://github.com/citation-style-language/schema/raw/master/csl-citation.json"} </w:instrText>
      </w:r>
      <w:r w:rsidR="005E689A">
        <w:fldChar w:fldCharType="separate"/>
      </w:r>
      <w:r w:rsidR="005E689A" w:rsidRPr="005E689A">
        <w:t>(McCarthy et al., 2016)</w:t>
      </w:r>
      <w:r w:rsidR="005E689A">
        <w:fldChar w:fldCharType="end"/>
      </w:r>
      <w:r w:rsidRPr="00DD692C">
        <w:t xml:space="preserve"> release 1.1 as the reference panel. GWAS was performed on SNPs with INFO score &gt; 0.8 and MAF &gt; 0.01, using a logistic regression model in PLINK2 </w:t>
      </w:r>
      <w:r w:rsidR="005E689A">
        <w:fldChar w:fldCharType="begin"/>
      </w:r>
      <w:r w:rsidR="005E689A">
        <w:instrText xml:space="preserve"> ADDIN ZOTERO_ITEM CSL_CITATION {"citationID":"cH0fTkrD","properties":{"formattedCitation":"(Chang et al., 2015)","plainCitation":"(Chang et al., 2015)","noteIndex":0},"citationItems":[{"id":3253,"uris":["http://zotero.org/users/9762508/items/IX89LDBQ"],"itemData":{"id":3253,"type":"article-journal","abstract":"Background: PLINK 1 is a widely used open-source C/C++ toolset for genome-wide association studies (GWAS) and research in population genetics. However, the steady accumulation of data from imputation and whole-genome sequencing studies has exposed a strong need for faster and scalable implementations of key functions, such as logistic regression, linkage disequilibrium estimation, and genomic distance evaluation. In addition, GWAS and population-genetic data now frequently contain genotype likelihoods, phase information, and/or multiallelic variants, none of which can be represented by PLINK 1's primary data format. Findings: To address these issues, we are developing a second-generation codebase for PLINK. The first major release from this codebase, PLINK 1.9, introduces extensive use of bit-level parallelism, O(√n)-time/constant-space Hardy-Weinberg equilibrium and Fisher's exact tests, and many other algorithmic improvements. In combination, these changes accelerate most operations by 1-4 orders of magnitude, and allow the program to handle datasets too large to fit in RAM. We have also developed an extension to the data format which adds low-overhead support for genotype likelihoods, phase, multiallelic variants, and reference vs. alternate alleles, which is the basis of our planned second release (PLINK 2.0). Conclusions: The second-generation versions of PLINK will offer dramatic improvements in performance and compatibility. For the first time, users without access to high-end computing resources can perform several essential analyses of the feature-rich and very large genetic datasets coming into use.","container-title":"GigaScience","DOI":"10.1186/S13742-015-0047-8/2707533","ISSN":"2047217X","issue":"1","note":"PMID: 25722852\narXiv: 1410.4803\npublisher: BioMed Central Ltd.","page":"7","title":"Second-generation PLINK: Rising to the challenge of larger and richer datasets","volume":"4","author":[{"family":"Chang","given":"Christopher C."},{"family":"Chow","given":"Carson C."},{"family":"Tellier","given":"Laurent C.A.M."},{"family":"Vattikuti","given":"Shashaank"},{"family":"Purcell","given":"Shaun M."},{"family":"Lee","given":"James J."}],"issued":{"date-parts":[["2015",2,25]]}}}],"schema":"https://github.com/citation-style-language/schema/raw/master/csl-citation.json"} </w:instrText>
      </w:r>
      <w:r w:rsidR="005E689A">
        <w:fldChar w:fldCharType="separate"/>
      </w:r>
      <w:r w:rsidR="005E689A" w:rsidRPr="005E689A">
        <w:t>(Chang et al., 2015)</w:t>
      </w:r>
      <w:r w:rsidR="005E689A">
        <w:fldChar w:fldCharType="end"/>
      </w:r>
      <w:r w:rsidRPr="00DD692C">
        <w:t xml:space="preserve"> with the first five and the 7th MDS components as covariates. Same QC was conducted on the 323 trios, with an additional filter of removing SNPs with Mendelian errors. In each trio, the transmitted alleles and </w:t>
      </w:r>
      <w:proofErr w:type="spellStart"/>
      <w:r w:rsidRPr="00DD692C">
        <w:t>untransmitted</w:t>
      </w:r>
      <w:proofErr w:type="spellEnd"/>
      <w:r w:rsidRPr="00DD692C">
        <w:t xml:space="preserve"> alleles were converted into one case and one pseudo-control. Phasing and imputation were conducted on the cases and pseudo-controls in the same way as the case-control cohort. GWAS was performed without covariates. </w:t>
      </w:r>
    </w:p>
    <w:p w14:paraId="00000035" w14:textId="77777777" w:rsidR="008E545C" w:rsidRPr="00DD692C" w:rsidRDefault="00000000">
      <w:pPr>
        <w:pStyle w:val="berschrift3"/>
        <w:spacing w:line="480" w:lineRule="auto"/>
        <w:jc w:val="both"/>
      </w:pPr>
      <w:bookmarkStart w:id="15" w:name="_heading=h.35nkun2" w:colFirst="0" w:colLast="0"/>
      <w:bookmarkEnd w:id="15"/>
      <w:proofErr w:type="spellStart"/>
      <w:r w:rsidRPr="00DD692C">
        <w:t>iPSYCH</w:t>
      </w:r>
      <w:proofErr w:type="spellEnd"/>
      <w:r w:rsidRPr="00DD692C">
        <w:t xml:space="preserve"> | Borglum, A.D.; Mors, O.; Mattheisen, M. | Denmark</w:t>
      </w:r>
    </w:p>
    <w:p w14:paraId="76F35136" w14:textId="550F1AA4" w:rsidR="00302EE6" w:rsidRDefault="00000000" w:rsidP="00465EFC">
      <w:pPr>
        <w:spacing w:line="480" w:lineRule="auto"/>
        <w:jc w:val="both"/>
      </w:pPr>
      <w:r w:rsidRPr="00DD692C">
        <w:t>In the scope of the Danish OCD and Tourette Study (DOTS) within The Lundbeck Foundation Initiative for Integrative Psychiatric Research (</w:t>
      </w:r>
      <w:proofErr w:type="spellStart"/>
      <w:r w:rsidRPr="00DD692C">
        <w:t>iPSYCH</w:t>
      </w:r>
      <w:proofErr w:type="spellEnd"/>
      <w:r w:rsidRPr="00DD692C">
        <w:t xml:space="preserve">), Danish nation-wide population-based case-cohort samples were collected and genotyped. The study was approved by the Regional Scientific Ethics Committee in Denmark and the Danish Data Protection Agency. All analyses of the samples were performed on the secured national GenomeDK high performance computing cluster in Denmark (https://genome.au.dk). </w:t>
      </w:r>
      <w:r w:rsidR="00302EE6" w:rsidRPr="00302EE6">
        <w:t>Samples stem from the newly updated baseline cohort iPSYCH2015 including singletons born between 1981 and 2008 who were born to a known mother and resided in Denmark on their first birthday</w:t>
      </w:r>
      <w:r w:rsidR="00302EE6">
        <w:t>.</w:t>
      </w:r>
      <w:r w:rsidRPr="00DD692C">
        <w:t xml:space="preserve"> Genetic information was obtained by the </w:t>
      </w:r>
      <w:proofErr w:type="spellStart"/>
      <w:r w:rsidRPr="00DD692C">
        <w:t>Statens</w:t>
      </w:r>
      <w:proofErr w:type="spellEnd"/>
      <w:r w:rsidRPr="00DD692C">
        <w:t xml:space="preserve"> Serum </w:t>
      </w:r>
      <w:proofErr w:type="spellStart"/>
      <w:r w:rsidRPr="00DD692C">
        <w:t>Institut</w:t>
      </w:r>
      <w:proofErr w:type="spellEnd"/>
      <w:r w:rsidRPr="00DD692C">
        <w:t xml:space="preserve"> (SSI) at the Danish Neonatal Screening Biobank (DNSB) from heel prick blood samples that had been collected from all newborn babies in Denmark. </w:t>
      </w:r>
      <w:r w:rsidR="00302EE6" w:rsidRPr="00302EE6">
        <w:t>The genetic information was linked with the Danish Civil Registration System and thereby coupled with the Danish Psychiatric Central Research Register which collects patient data of individuals treated in psychiatric hospitals (from 1969 onwards) or in outpatient psychiatric clinics (from 1995 onwards).</w:t>
      </w:r>
      <w:r w:rsidR="00302EE6">
        <w:t xml:space="preserve"> </w:t>
      </w:r>
      <w:r w:rsidR="00302EE6" w:rsidRPr="00DD692C">
        <w:t xml:space="preserve">See </w:t>
      </w:r>
      <w:r w:rsidR="00302EE6">
        <w:fldChar w:fldCharType="begin"/>
      </w:r>
      <w:r w:rsidR="00302EE6">
        <w:instrText xml:space="preserve"> ADDIN ZOTERO_ITEM CSL_CITATION {"citationID":"42oSm576","properties":{"formattedCitation":"(Bybjerg-Grauholm et al., 2020; C. B. Pedersen et al., 2018)","plainCitation":"(Bybjerg-Grauholm et al., 2020; C. B. Pedersen et al., 2018)","noteIndex":0},"citationItems":[{"id":3601,"uris":["http://zotero.org/users/9762508/items/L4FT73UH"],"itemData":{"id":3601,"type":"article","abstract":"The Lundbeck Foundation Integrative Psychiatric Research (iPSYCH) consortium has almost doubled its Danish population-based Case–Cohort sample (iPSYCH2012). The newly updated cohort, named iPSYCH2015, expands the study base with 56,233 samples, to a combined total of 141,265 samples. The cohort is nested within the Danish population born between 1981 and 2008 and is a Case-Cohort design including 50,615 population controls. We added more cases to the existing phenotypes identified with, schizophrenia (Nnew=4,131/Ntotal=8,113), autism (Nnew=8,056 / Ntotal=24,975), attention-deficit/hyperactivity disorder (Nnew=10,026/Ntotal=29,668) and affective disorder (Nnew=13,999/Ntotal=40,482) of which a subset has bipolar affective disorder (N-new=1,656/Ntotal=3,819). We also added two additional focus phenotypes, schizophrenia spectrum disorder (N=16,008) and post-partum disorder (N=3,421). In total, the expanded iPSYCH2015 sample consists of 93,608 unique individuals in the case groups and 50,615 population controls. For the sample expansion, DNA was extracted and amplified from dried blood spots samples stored within the Danish Neonatal Screening Biobank and genotyped using the Illumina Global Screening Array. The Biobank sample retrieval rate was 95%, and the genotyping success rate was 92% (97% of retrieved). We expanded the follow-up period by three years, including data such as longitudinal information on health, prescribed medicine, social and socioeconomic information.","DOI":"10.1101/2020.11.30.20237768","language":"en","license":"© 2020, Posted by Cold Spring Harbor Laboratory. This pre-print is available under a Creative Commons License (Attribution-NonCommercial-NoDerivs 4.0 International), CC BY-NC-ND 4.0, as described at http://creativecommons.org/licenses/by-nc-nd/4.0/","note":"page: 2020.11.30.20237768","publisher":"medRxiv","source":"medRxiv","title":"The iPSYCH2015 Case-Cohort sample: updated directions for unravelling genetic and environmental architectures of severe mental disorders","title-short":"The iPSYCH2015 Case-Cohort sample","URL":"https://www.medrxiv.org/content/10.1101/2020.11.30.20237768v1","author":[{"family":"Bybjerg-Grauholm","given":"Jonas"},{"family":"Pedersen","given":"Carsten Bøcker"},{"family":"Bækvad-Hansen","given":"Marie"},{"family":"Pedersen","given":"Marianne Giørtz"},{"family":"Adamsen","given":"Dea"},{"family":"Hansen","given":"Christine Søholm"},{"family":"Agerbo","given":"Esben"},{"family":"Grove","given":"Jakob"},{"family":"Als","given":"Thomas Damm"},{"family":"Schork","given":"Andrew Joseph"},{"family":"Buil","given":"Alfonso"},{"family":"Mors","given":"Ole"},{"family":"Nordentoft","given":"Merete"},{"family":"Werge","given":"Thomas"},{"family":"Børglum","given":"Anders Dupont"},{"family":"Hougaard","given":"David Michael"},{"family":"Mortensen","given":"Preben Bo"}],"accessed":{"date-parts":[["2022",10,7]]},"issued":{"date-parts":[["2020",12,2]]}}},{"id":1775,"uris":["http://zotero.org/users/9762508/items/4SV6IB22"],"itemData":{"id":1775,"type":"article-journal","abstract":"The Integrative Psychiatric Research (iPSYCH) consortium has established a large Danish population-based Case-Cohort sample (iPSYCH2012) aimed at unravelling the genetic and environmental architecture of severe mental disorders. The iPSYCH2012 sample is nested within the entire Danish population born between 1981 and 2005, including 1472762 persons. This paper introduces the iPSYCH2012 sample and outlines key future research directions. Cases were identified as persons with schizophrenia (N=3540), autism (N=16146), attention-deficit/hyperactivity disorder (N=18726) and affective disorder (N=26380), of which 1928 had bipolar affective disorder. Controls were randomly sampled individuals (N=30000). Within the sample of 86189 individuals, a total of 57377 individuals had at least one major mental disorder. DNA was extracted from the neonatal dried blood spot samples obtained from the Danish Neonatal Screening Biobank and genotyped using the Illumina PsychChip. Genotyping was successful for 90% of the sample. The assessments of exome sequencing, methylation profiling, metabolome profiling, vitamin-D, inflammatory and neurotrophic factors are in progress. For each individual, the iPSYCH2012 sample also includes longitudinal information on health, prescribed medicine, social and socioeconomic information, and analogous information among relatives. To the best of our knowledge, the iPSYCH2012 sample is the largest and most comprehensive data source for the combined study of genetic and environmental aetiologies of severe mental disorders.","container-title":"Mol Psychiatry","DOI":"10.1038/mp.2017.196","ISSN":"14765578","issue":"1","note":"PMID: 28924187\npublisher: Nature Publishing Group\nISBN: 1476-5578","page":"6-14","title":"The iPSYCH2012 case-cohort sample: New directions for unravelling genetic and environmental architectures of severe mental disorders","volume":"23","author":[{"family":"Pedersen","given":"C. B."},{"family":"Bybjerg-Grauholm","given":"J."},{"family":"Pedersen","given":"M. G."},{"family":"Grove","given":"J."},{"family":"Agerbo","given":"E."},{"family":"Bækvad-Hansen","given":"M."},{"family":"Poulsen","given":"J. B."},{"family":"Hansen","given":"C. S."},{"family":"McGrath","given":"J. J."},{"family":"Als","given":"T. D."},{"family":"Goldstein","given":"J. I."},{"family":"Neale","given":"B. M."},{"family":"Daly","given":"M. J."},{"family":"Hougaard","given":"D. M."},{"family":"Mors","given":"O."},{"family":"Nordentoft","given":"M."},{"family":"Børglum","given":"A. D."},{"family":"Werge","given":"T."},{"family":"Mortensen","given":"P. B."}],"issued":{"date-parts":[["2018"]]}}}],"schema":"https://github.com/citation-style-language/schema/raw/master/csl-citation.json"} </w:instrText>
      </w:r>
      <w:r w:rsidR="00302EE6">
        <w:fldChar w:fldCharType="separate"/>
      </w:r>
      <w:r w:rsidR="00381117" w:rsidRPr="00381117">
        <w:t>(Bybjerg-Grauholm et al., 2020; C. B. Pedersen et al., 2018)</w:t>
      </w:r>
      <w:r w:rsidR="00302EE6">
        <w:fldChar w:fldCharType="end"/>
      </w:r>
      <w:r w:rsidR="00302EE6">
        <w:t xml:space="preserve"> </w:t>
      </w:r>
      <w:r w:rsidR="00302EE6" w:rsidRPr="00DD692C">
        <w:t>for a detailed description of the overall cohort, array genotyping and quality control.</w:t>
      </w:r>
      <w:r w:rsidR="00302EE6">
        <w:t xml:space="preserve"> </w:t>
      </w:r>
      <w:r w:rsidR="00302EE6" w:rsidRPr="00302EE6">
        <w:t xml:space="preserve">Cases included in the present study were not </w:t>
      </w:r>
      <w:r w:rsidR="00302EE6" w:rsidRPr="00302EE6">
        <w:lastRenderedPageBreak/>
        <w:t xml:space="preserve">primarily ascertained for </w:t>
      </w:r>
      <w:r w:rsidR="00302EE6">
        <w:t>OCD</w:t>
      </w:r>
      <w:r w:rsidR="00302EE6" w:rsidRPr="00302EE6">
        <w:t xml:space="preserve">; </w:t>
      </w:r>
      <w:r w:rsidR="00302EE6">
        <w:t>OCD</w:t>
      </w:r>
      <w:r w:rsidR="00302EE6" w:rsidRPr="00302EE6">
        <w:t xml:space="preserve"> cases were drawn from cases that also presented a diagnosis of one of the core disorders </w:t>
      </w:r>
      <w:proofErr w:type="spellStart"/>
      <w:r w:rsidR="00302EE6" w:rsidRPr="00302EE6">
        <w:t>iPSYCH</w:t>
      </w:r>
      <w:proofErr w:type="spellEnd"/>
      <w:r w:rsidR="00302EE6" w:rsidRPr="00302EE6">
        <w:t xml:space="preserve"> primarily collected for and from randomly ascertained population “controls” with a diagnosis of </w:t>
      </w:r>
      <w:r w:rsidR="00302EE6">
        <w:t>OCD</w:t>
      </w:r>
      <w:r w:rsidR="00302EE6" w:rsidRPr="00302EE6">
        <w:t xml:space="preserve">. </w:t>
      </w:r>
      <w:r w:rsidR="00302EE6">
        <w:t>OCD</w:t>
      </w:r>
      <w:r w:rsidR="00302EE6" w:rsidRPr="00302EE6">
        <w:t xml:space="preserve"> cases were diagnosed by a healthcare professional and met ICD10 (</w:t>
      </w:r>
      <w:r w:rsidR="00302EE6">
        <w:t>F42</w:t>
      </w:r>
      <w:r w:rsidR="00302EE6" w:rsidRPr="00302EE6">
        <w:t>) criteria, controls were randomly from the controls and excluded individuals with an F</w:t>
      </w:r>
      <w:r w:rsidR="00302EE6">
        <w:t>42</w:t>
      </w:r>
      <w:r w:rsidR="00302EE6" w:rsidRPr="00302EE6">
        <w:t xml:space="preserve"> diagnosis.</w:t>
      </w:r>
      <w:r w:rsidR="00465EFC">
        <w:t xml:space="preserve"> Samples for iPSYCH2012 were genotyped on the </w:t>
      </w:r>
      <w:proofErr w:type="spellStart"/>
      <w:r w:rsidR="00465EFC">
        <w:t>PsychChip</w:t>
      </w:r>
      <w:proofErr w:type="spellEnd"/>
      <w:r w:rsidR="00465EFC">
        <w:t xml:space="preserve"> v 1.0 array (Illumina, San Diego, CA, USA), while samples for iPSYCH2015i were genotyped on the Illumina Global Screening (GSA) v2 Array, both at the Broad Institute of MIT and Harvard (Cambridge, MA, USA). Genotype calling of markers with MAF &gt; 0.01 was performed by merging call sets from </w:t>
      </w:r>
      <w:proofErr w:type="spellStart"/>
      <w:r w:rsidR="00465EFC">
        <w:t>GenCal</w:t>
      </w:r>
      <w:proofErr w:type="spellEnd"/>
      <w:r w:rsidR="00465EFC">
        <w:t xml:space="preserve"> (Illumina: Illumina </w:t>
      </w:r>
      <w:proofErr w:type="spellStart"/>
      <w:r w:rsidR="00465EFC">
        <w:t>GenCall</w:t>
      </w:r>
      <w:proofErr w:type="spellEnd"/>
      <w:r w:rsidR="00465EFC">
        <w:t xml:space="preserve"> Data Analysis Software) and Birdseed </w:t>
      </w:r>
      <w:r w:rsidR="00465EFC">
        <w:fldChar w:fldCharType="begin"/>
      </w:r>
      <w:r w:rsidR="00465EFC">
        <w:instrText xml:space="preserve"> ADDIN ZOTERO_ITEM CSL_CITATION {"citationID":"NqUAIei1","properties":{"formattedCitation":"(Korn et al., 2008)","plainCitation":"(Korn et al., 2008)","noteIndex":0},"citationItems":[{"id":3627,"uris":["http://zotero.org/users/9762508/items/IXIJZKKK"],"itemData":{"id":3627,"type":"article-journal","abstract":"David Altshuler and colleagues describe analysis for integrating genotype calling of SNPs, common copy number polymorphisms and rare CNVs, implemented in a suite of software programs collectively named Birdsuite.","container-title":"Nature Genetics","DOI":"10.1038/ng.237","ISSN":"1546-1718","issue":"10","journalAbbreviation":"Nat Genet","language":"en","license":"2008 Nature Publishing Group","note":"number: 10\npublisher: Nature Publishing Group","page":"1253-1260","source":"www.nature.com","title":"Integrated genotype calling and association analysis of SNPs, common copy number polymorphisms and rare CNVs","volume":"40","author":[{"family":"Korn","given":"Joshua M."},{"family":"Kuruvilla","given":"Finny G."},{"family":"McCarroll","given":"Steven A."},{"family":"Wysoker","given":"Alec"},{"family":"Nemesh","given":"James"},{"family":"Cawley","given":"Simon"},{"family":"Hubbell","given":"Earl"},{"family":"Veitch","given":"Jim"},{"family":"Collins","given":"Patrick J."},{"family":"Darvishi","given":"Katayoon"},{"family":"Lee","given":"Charles"},{"family":"Nizzari","given":"Marcia M."},{"family":"Gabriel","given":"Stacey B."},{"family":"Purcell","given":"Shaun"},{"family":"Daly","given":"Mark J."},{"family":"Altshuler","given":"David"}],"issued":{"date-parts":[["2008",10]]}}}],"schema":"https://github.com/citation-style-language/schema/raw/master/csl-citation.json"} </w:instrText>
      </w:r>
      <w:r w:rsidR="00465EFC">
        <w:fldChar w:fldCharType="separate"/>
      </w:r>
      <w:r w:rsidR="00465EFC" w:rsidRPr="00465EFC">
        <w:t>(Korn et al., 2008)</w:t>
      </w:r>
      <w:r w:rsidR="00465EFC">
        <w:fldChar w:fldCharType="end"/>
      </w:r>
      <w:r w:rsidR="00465EFC">
        <w:t xml:space="preserve">, and less frequent variants were called with </w:t>
      </w:r>
      <w:proofErr w:type="spellStart"/>
      <w:r w:rsidR="00465EFC">
        <w:t>zCall</w:t>
      </w:r>
      <w:proofErr w:type="spellEnd"/>
      <w:r w:rsidR="00465EFC">
        <w:t xml:space="preserve"> </w:t>
      </w:r>
      <w:r w:rsidR="00465EFC">
        <w:fldChar w:fldCharType="begin"/>
      </w:r>
      <w:r w:rsidR="00465EFC">
        <w:instrText xml:space="preserve"> ADDIN ZOTERO_ITEM CSL_CITATION {"citationID":"pobRFZEc","properties":{"formattedCitation":"(Goldstein et al., 2012)","plainCitation":"(Goldstein et al., 2012)","noteIndex":0},"citationItems":[{"id":3632,"uris":["http://zotero.org/users/9762508/items/S23436UV"],"itemData":{"id":3632,"type":"article-journal","abstract":"SUMMARY: zCall is a variant caller specifically designed for calling rare single-nucleotide polymorphisms from array-based technology. This caller is implemented as a post-processing step after a default calling algorithm has been applied. The algorithm uses the intensity profile of the common allele homozygote cluster to define the location of the other two genotype clusters. We demonstrate improved detection of rare alleles when applying zCall to samples that have both Illumina Infinium HumanExome BeadChip and exome sequencing data available.\nAVAILABILITY: http://atguweb.mgh.harvard.edu/apps/zcall.\nCONTACT: bneale@broadinstitute.org\nSUPPLEMENTARY INFORMATION: Supplementary data are available at Bioinformatics online.","container-title":"Bioinformatics (Oxford, England)","DOI":"10.1093/bioinformatics/bts479","ISSN":"1367-4811","issue":"19","journalAbbreviation":"Bioinformatics","language":"eng","note":"PMID: 22843986\nPMCID: PMC3463112","page":"2543-2545","source":"PubMed","title":"zCall: a rare variant caller for array-based genotyping: genetics and population analysis","title-short":"zCall","volume":"28","author":[{"family":"Goldstein","given":"Jacqueline I."},{"family":"Crenshaw","given":"Andrew"},{"family":"Carey","given":"Jason"},{"family":"Grant","given":"George B."},{"family":"Maguire","given":"Jared"},{"family":"Fromer","given":"Menachem"},{"family":"O'Dushlaine","given":"Colm"},{"family":"Moran","given":"Jennifer L."},{"family":"Chambert","given":"Kimberly"},{"family":"Stevens","given":"Christine"},{"literal":"Swedish Schizophrenia Consortium"},{"literal":"ARRA Autism Sequencing Consortium"},{"family":"Sklar","given":"Pamela"},{"family":"Hultman","given":"Christina M."},{"family":"Purcell","given":"Shaun"},{"family":"McCarroll","given":"Steven A."},{"family":"Sullivan","given":"Patrick F."},{"family":"Daly","given":"Mark J."},{"family":"Neale","given":"Benjamin M."}],"issued":{"date-parts":[["2012",10,1]]}}}],"schema":"https://github.com/citation-style-language/schema/raw/master/csl-citation.json"} </w:instrText>
      </w:r>
      <w:r w:rsidR="00465EFC">
        <w:fldChar w:fldCharType="separate"/>
      </w:r>
      <w:r w:rsidR="00465EFC" w:rsidRPr="00465EFC">
        <w:t>(Goldstein et al., 2012)</w:t>
      </w:r>
      <w:r w:rsidR="00465EFC">
        <w:fldChar w:fldCharType="end"/>
      </w:r>
      <w:r w:rsidR="00465EFC">
        <w:t xml:space="preserve">. Genotyping and data analysis was performed in 23 waves. Genotype data were processed using </w:t>
      </w:r>
      <w:r w:rsidR="00662D24">
        <w:t xml:space="preserve">the </w:t>
      </w:r>
      <w:r w:rsidR="00662D24" w:rsidRPr="00662D24">
        <w:t xml:space="preserve">Rapid Imputation and </w:t>
      </w:r>
      <w:proofErr w:type="spellStart"/>
      <w:r w:rsidR="00662D24" w:rsidRPr="00662D24">
        <w:t>COmputational</w:t>
      </w:r>
      <w:proofErr w:type="spellEnd"/>
      <w:r w:rsidR="00662D24" w:rsidRPr="00662D24">
        <w:t xml:space="preserve"> </w:t>
      </w:r>
      <w:proofErr w:type="spellStart"/>
      <w:r w:rsidR="00662D24" w:rsidRPr="00662D24">
        <w:t>PIpeLIne</w:t>
      </w:r>
      <w:proofErr w:type="spellEnd"/>
      <w:r w:rsidR="00662D24" w:rsidRPr="00662D24">
        <w:t xml:space="preserve"> for Genome-Wide Association Studies </w:t>
      </w:r>
      <w:r w:rsidR="00662D24">
        <w:t>(RICOPILI;</w:t>
      </w:r>
      <w:r w:rsidR="00465EFC">
        <w:t xml:space="preserve"> </w:t>
      </w:r>
      <w:r w:rsidR="00465EFC">
        <w:fldChar w:fldCharType="begin"/>
      </w:r>
      <w:r w:rsidR="00465EFC">
        <w:instrText xml:space="preserve"> ADDIN ZOTERO_ITEM CSL_CITATION {"citationID":"LtPG51Cg","properties":{"formattedCitation":"(Lam et al., 2020)","plainCitation":"(Lam et al., 2020)","noteIndex":0},"citationItems":[{"id":2660,"uris":["http://zotero.org/users/9762508/items/WB2BXSK8"],"itemData":{"id":2660,"type":"article-journal","abstract":"Genome-wide association study (GWAS) analyses, at sufficient sample sizes and power, have successfully revealed biological insights for several complex traits. RICOPILI, an open-sourced Perl-based pipeline was developed to address the challenges of rapidly processing large-scale multi-cohort GWAS studies including quality control (QC), imputation and downstream analyses. The pipeline is computationally efficient with portability to a wide range of high-performance computing environments. RICOPILI was created as the Psychiatric Genomics Consortium pipeline for GWAS and adopted by other users. The pipeline features (i) technical and genomic QC in case-control and trio cohorts, (ii) genome-wide phasing and imputation, (iv) association analysis, (v) meta-analysis, (vi) polygenic risk scoring and (vii) replication analysis. Notably, a major differentiator from other GWAS pipelines, RICOPILI leverages on automated parallelization and cluster job management approaches for rapid production of imputed genome-wide data. A comprehensive meta-analysis of simulated GWAS data has been incorporated demonstrating each step of the pipeline. This includes all the associated visualization plots, to allow ease of data interpretation and manuscript preparation. Simulated GWAS datasets are also packaged with the pipeline for user training tutorials and developer work.","container-title":"Bioinformatics","DOI":"10.1093/bioinformatics/btz633","ISSN":"14602059","issue":"3","note":"PMID: 31393554\npublisher: Oxford University Press","page":"930-933","title":"RICOPILI: Rapid Imputation for COnsortias PIpeLIne","volume":"36","author":[{"family":"Lam","given":"Max"},{"family":"Awasthi","given":"Swapnil"},{"family":"Watson","given":"Hunna J."},{"family":"Goldstein","given":"Jackie"},{"family":"Panagiotaropoulou","given":"Georgia"},{"family":"Trubetskoy","given":"Vassily"},{"family":"Karlsson","given":"Robert"},{"family":"Frei","given":"Oleksander"},{"family":"Fan","given":"Chun Chieh"},{"family":"De Witte","given":"Ward"},{"family":"Mota","given":"Nina R."},{"family":"Mullins","given":"Niamh"},{"family":"Brügger","given":"Kim"},{"family":"Hong Lee","given":"S."},{"family":"Wray","given":"Naomi R."},{"family":"Skarabis","given":"Nora"},{"family":"Huang","given":"Hailiang"},{"family":"Neale","given":"Benjamin"},{"family":"Daly","given":"Mark J."},{"family":"Mattheisen","given":"Manuel"},{"family":"Walters","given":"Raymond"},{"family":"Ripke","given":"Stephan"}],"issued":{"date-parts":[["2020",2,1]]}}}],"schema":"https://github.com/citation-style-language/schema/raw/master/csl-citation.json"} </w:instrText>
      </w:r>
      <w:r w:rsidR="00465EFC">
        <w:fldChar w:fldCharType="separate"/>
      </w:r>
      <w:r w:rsidR="00381117" w:rsidRPr="00381117">
        <w:t>(Lam et al., 2020)</w:t>
      </w:r>
      <w:r w:rsidR="00465EFC">
        <w:fldChar w:fldCharType="end"/>
      </w:r>
      <w:r w:rsidR="00465EFC">
        <w:t xml:space="preserve"> to perform stringent QC, imputation, PC analysis, and primary association analysis. SHAPEIT </w:t>
      </w:r>
      <w:r w:rsidR="00465EFC">
        <w:fldChar w:fldCharType="begin"/>
      </w:r>
      <w:r w:rsidR="00465EFC">
        <w:instrText xml:space="preserve"> ADDIN ZOTERO_ITEM CSL_CITATION {"citationID":"3sRya3Lw","properties":{"formattedCitation":"(Delaneau et al., 2011)","plainCitation":"(Delaneau et al., 2011)","noteIndex":0},"citationItems":[{"id":3271,"uris":["http://zotero.org/users/9762508/items/QA633W75"],"itemData":{"id":3271,"type":"article-journal","abstract":"An efficient haplotype-estimation algorithm that features linear complexity allows the rapid and accurate phasing of diploid genomes from trios, duos and unrelated samples. Human-disease etiology can be better understood with phase information about diploid sequences. We present a method for estimating haplotypes, using genotype data from unrelated samples or small nuclear families, that leads to improved accuracy and speed compared to several widely used methods. The method, segmented haplotype estimation and imputation tool (SHAPEIT), scales linearly with the number of haplotypes used in each iteration and can be run efficiently on whole chromosomes.","container-title":"Nature Methods 2011 9:2","DOI":"10.1038/nmeth.1785","ISSN":"1548-7105","issue":"2","note":"PMID: 22138821\npublisher: Nature Publishing Group","page":"179-181","title":"A linear complexity phasing method for thousands of genomes","volume":"9","author":[{"family":"Delaneau","given":"Olivier"},{"family":"Marchini","given":"Jonathan"},{"family":"Zagury","given":"Jean François"}],"issued":{"date-parts":[["2011",12,4]]}}}],"schema":"https://github.com/citation-style-language/schema/raw/master/csl-citation.json"} </w:instrText>
      </w:r>
      <w:r w:rsidR="00465EFC">
        <w:fldChar w:fldCharType="separate"/>
      </w:r>
      <w:r w:rsidR="00465EFC" w:rsidRPr="00465EFC">
        <w:t>(Delaneau et al., 2011)</w:t>
      </w:r>
      <w:r w:rsidR="00465EFC">
        <w:fldChar w:fldCharType="end"/>
      </w:r>
      <w:r w:rsidR="00465EFC">
        <w:t xml:space="preserve"> was used for phasing, imputation was conducted with IMPUTE2 </w:t>
      </w:r>
      <w:r w:rsidR="00465EFC">
        <w:fldChar w:fldCharType="begin"/>
      </w:r>
      <w:r w:rsidR="00465EFC">
        <w:instrText xml:space="preserve"> ADDIN ZOTERO_ITEM CSL_CITATION {"citationID":"W4haGjyk","properties":{"formattedCitation":"(Howie et al., 2009)","plainCitation":"(Howie et al., 2009)","noteIndex":0},"citationItems":[{"id":3642,"uris":["http://zotero.org/users/9762508/items/B93KIXHY"],"itemData":{"id":3642,"type":"article-journal","abstract":"Genotype imputation methods are now being widely used in the analysis of genome-wide association studies. Most imputation analyses to date have used the HapMap as a reference dataset, but new reference panels (such as controls genotyped on multiple SNP chips and densely typed samples from the 1,000 Genomes Project) will soon allow a broader range of SNPs to be imputed with higher accuracy, thereby increasing power. We describe a genotype imputation method (IMPUTE version 2) that is designed to address the challenges presented by these new datasets. The main innovation of our approach is a flexible modelling framework that increases accuracy and combines information across multiple reference panels while remaining computationally feasible. We find that IMPUTE v2 attains higher accuracy than other methods when the HapMap provides the sole reference panel, but that the size of the panel constrains the improvements that can be made. We also find that imputation accuracy can be greatly enhanced by expanding the reference panel to contain thousands of chromosomes and that IMPUTE v2 outperforms other methods in this setting at both rare and common SNPs, with overall error rates that are 15%–20% lower than those of the closest competing method. One particularly challenging aspect of next-generation association studies is to integrate information across multiple reference panels genotyped on different sets of SNPs; we show that our approach to this problem has practical advantages over other suggested solutions.","container-title":"PLOS Genetics","DOI":"10.1371/journal.pgen.1000529","ISSN":"1553-7404","issue":"6","journalAbbreviation":"PLOS Genetics","language":"en","note":"publisher: Public Library of Science","page":"e1000529","source":"PLoS Journals","title":"A Flexible and Accurate Genotype Imputation Method for the Next Generation of Genome-Wide Association Studies","volume":"5","author":[{"family":"Howie","given":"Bryan N."},{"family":"Donnelly","given":"Peter"},{"family":"Marchini","given":"Jonathan"}],"issued":{"date-parts":[["2009",6,19]]}}}],"schema":"https://github.com/citation-style-language/schema/raw/master/csl-citation.json"} </w:instrText>
      </w:r>
      <w:r w:rsidR="00465EFC">
        <w:fldChar w:fldCharType="separate"/>
      </w:r>
      <w:r w:rsidR="00465EFC" w:rsidRPr="00465EFC">
        <w:t>(Howie et al., 2009)</w:t>
      </w:r>
      <w:r w:rsidR="00465EFC">
        <w:fldChar w:fldCharType="end"/>
      </w:r>
      <w:r w:rsidR="00465EFC">
        <w:t>, using the HRC as a reference panel (McCarthy et al., 2016). We removed samples with a call rate below 95%, with a sex mismatch, between the sex obtained from genotype data and from the register data, as well as related individuals. PC analysis was used to exclude ancestral outliers of non-European descent, excluding all individuals exceeding eight standard deviations from the mean on the first three PCs.</w:t>
      </w:r>
      <w:r w:rsidR="00662D24">
        <w:t xml:space="preserve"> The GWAS was performed using RICOPILI and included 10 PCs as covariates. </w:t>
      </w:r>
      <w:r w:rsidR="00465EFC">
        <w:t>The final dataset included 4509 OCD cases and 38,392 controls</w:t>
      </w:r>
      <w:r w:rsidR="00662D24">
        <w:t>, 7,544,427 SNPs, had a Lambda of 1.074 and a Lambda1000 of 1.009.</w:t>
      </w:r>
    </w:p>
    <w:p w14:paraId="00000038" w14:textId="542AE3E1" w:rsidR="008E545C" w:rsidRPr="00DD692C" w:rsidRDefault="00000000">
      <w:pPr>
        <w:pStyle w:val="berschrift3"/>
        <w:spacing w:line="480" w:lineRule="auto"/>
        <w:rPr>
          <w:shd w:val="clear" w:color="auto" w:fill="FCE5CD"/>
        </w:rPr>
      </w:pPr>
      <w:bookmarkStart w:id="16" w:name="_heading=h.1ksv4uv" w:colFirst="0" w:colLast="0"/>
      <w:bookmarkEnd w:id="16"/>
      <w:r w:rsidRPr="00DD692C">
        <w:t xml:space="preserve">Michigan/Toronto OCD Imaging Genomics Study | Noam </w:t>
      </w:r>
      <w:proofErr w:type="spellStart"/>
      <w:r w:rsidRPr="00DD692C">
        <w:t>Soreni</w:t>
      </w:r>
      <w:proofErr w:type="spellEnd"/>
      <w:r w:rsidRPr="00DD692C">
        <w:t>; Gregory L. Hanna; Kate D. Fitzgerald; David Rosenberg; Paul D. Arnold</w:t>
      </w:r>
      <w:r w:rsidR="00E419DC">
        <w:t xml:space="preserve"> </w:t>
      </w:r>
      <w:r w:rsidRPr="00DD692C">
        <w:t>| USA and Canada |</w:t>
      </w:r>
    </w:p>
    <w:p w14:paraId="00000039" w14:textId="0D485128" w:rsidR="008E545C" w:rsidRPr="00DD692C" w:rsidRDefault="00000000">
      <w:pPr>
        <w:spacing w:before="240" w:after="240" w:line="480" w:lineRule="auto"/>
        <w:jc w:val="both"/>
      </w:pPr>
      <w:r w:rsidRPr="00DD692C">
        <w:t>Individuals</w:t>
      </w:r>
      <w:r w:rsidR="001D3CF9">
        <w:t xml:space="preserve"> from the Michigan/Toronto OCD Imaging Genomics Study (Michigan/Toronto IGS)</w:t>
      </w:r>
      <w:r w:rsidRPr="00DD692C">
        <w:t xml:space="preserve"> were recruited from four different academic child psychiatry sites: The Hospital for Sick Children, </w:t>
      </w:r>
      <w:r w:rsidRPr="00DD692C">
        <w:lastRenderedPageBreak/>
        <w:t>McMaster University, University of Michigan, and Wayne State University</w:t>
      </w:r>
      <w:r w:rsidR="00301158">
        <w:t xml:space="preserve"> </w:t>
      </w:r>
      <w:r w:rsidR="00301158">
        <w:fldChar w:fldCharType="begin"/>
      </w:r>
      <w:r w:rsidR="00301158">
        <w:instrText xml:space="preserve"> ADDIN ZOTERO_ITEM CSL_CITATION {"citationID":"UcxNDNUR","properties":{"formattedCitation":"(Gazzellone et al., 2016)","plainCitation":"(Gazzellone et al., 2016)","noteIndex":0},"citationItems":[{"id":599,"uris":["http://zotero.org/users/9762508/items/CUWJESLH"],"itemData":{"id":599,"type":"article-journal","abstract":"Obsessive-compulsive disorder (OCD) is a heterogeneous neuropsychiatric condition, thought to have a significant genetic component. When onset occurs in childhood, affected individuals generally exhibit different characteristics from adult-onset OCD, including higher prevalence in males and increased heritability. Since neuropsychiatric conditions are associated with copy number variations (CNVs), we considered their potential role in the etiology of OCD. We genotyped 307 unrelated pediatric probands with idiopathic OCD (including 174 that were part of complete parent-child trios) and compared their genotypes with those of 3861 population controls, to identify rare CNVs (&lt;0.5 % frequency) of at least 15 kb in size that might contribute to OCD. We uncovered de novo CNVs in 4/174 probands (2.3 %). Our case cohort was enriched for CNVs in genes that encode targets of the fragile X mental retardation protein (nominal p = 1.85 × 10−03; FDR=0.09), similar to previous findings in autism and schizophrenia. These results also identified deletions or duplications of exons in genes involved in neuronal migration (ASTN2), synapse formation (NLGN1 and PTPRD), and postsynaptic scaffolding (DLGAP1 and DLGAP2), which may be relevant to the pathogenesis of OCD. Four cases had CNVs involving known genomic disorder loci (1q21.1-21.2, 15q11.2-q13.1, 16p13.11, and 17p12). Further, we identified BTBD9 as a candidate gene for OCD. We also sequenced exomes of ten “CNV positive” trios and identified in one an additional plausibly relevant mutation: a 13 bp exonic deletion in DRD4. Our findings suggest that rare CNVs may contribute to the etiology of OCD.","container-title":"Journal of Neurodevelopmental Disorders","DOI":"10.1186/s11689-016-9170-9","ISSN":"18661956","issue":"1","note":"PMID: 27777633\npublisher: Journal of Neurodevelopmental Disorders\nISBN: 1168901691709","page":"1-10","title":"Uncovering obsessive-compulsive disorder risk genes in a pediatric cohort by high-resolution analysis of copy number variation","volume":"8","author":[{"family":"Gazzellone","given":"Matthew J."},{"family":"Zarrei","given":"Mehdi"},{"family":"Burton","given":"Christie L."},{"family":"Walker","given":"Susan"},{"family":"Uddin","given":"Mohammed"},{"family":"Shaheen","given":"S. M."},{"family":"Coste","given":"Julie"},{"family":"Rajendram","given":"Rageen"},{"family":"Schachter","given":"Reva J."},{"family":"Colasanto","given":"Marlena"},{"family":"Hanna","given":"Gregory L."},{"family":"Rosenberg","given":"David R."},{"family":"Soreni","given":"Noam"},{"family":"Fitzgerald","given":"Kate D."},{"family":"Marshall","given":"Christian R."},{"family":"Buchanan","given":"Janet A."},{"family":"Merico","given":"Daniele"},{"family":"Arnold","given":"Paul D."},{"family":"Scherer","given":"Stephen W."}],"issued":{"date-parts":[["2016"]]}}}],"schema":"https://github.com/citation-style-language/schema/raw/master/csl-citation.json"} </w:instrText>
      </w:r>
      <w:r w:rsidR="00301158">
        <w:fldChar w:fldCharType="separate"/>
      </w:r>
      <w:r w:rsidR="00301158" w:rsidRPr="00301158">
        <w:t>(Gazzellone et al., 2016)</w:t>
      </w:r>
      <w:r w:rsidR="00301158">
        <w:fldChar w:fldCharType="end"/>
      </w:r>
      <w:r w:rsidRPr="00DD692C">
        <w:t xml:space="preserve">. Cases were defined by a clinical investigator according to DSM-IV criteria. Samples were genotyped using three different arrays: </w:t>
      </w:r>
      <w:proofErr w:type="spellStart"/>
      <w:r w:rsidRPr="00DD692C">
        <w:t>HumanCoreExome</w:t>
      </w:r>
      <w:proofErr w:type="spellEnd"/>
      <w:r w:rsidRPr="00DD692C">
        <w:t xml:space="preserve">, </w:t>
      </w:r>
      <w:proofErr w:type="spellStart"/>
      <w:r w:rsidRPr="00DD692C">
        <w:t>PsychArray</w:t>
      </w:r>
      <w:proofErr w:type="spellEnd"/>
      <w:r w:rsidRPr="00DD692C">
        <w:t xml:space="preserve"> and Omni2.5. Each genotyping array was processed separately; then imputed data from all arrays were combined. As previously described</w:t>
      </w:r>
      <w:r w:rsidR="00196A4E">
        <w:t xml:space="preserve"> </w:t>
      </w:r>
      <w:r w:rsidR="00196A4E">
        <w:fldChar w:fldCharType="begin"/>
      </w:r>
      <w:r w:rsidR="00325EA1">
        <w:instrText xml:space="preserve"> ADDIN ZOTERO_ITEM CSL_CITATION {"citationID":"KVTErbqB","properties":{"formattedCitation":"(Burton et al., 2021)","plainCitation":"(Burton et al., 2021)","noteIndex":0},"citationItems":[{"id":3229,"uris":["http://zotero.org/users/9762508/items/BPVB7UGW"],"itemData":{"id":3229,"type":"article-journal","abstract":"Using a novel trait-based measure, we examined genetic variants associated with obsessive-compulsive (OC) traits and tested whether OC traits and obsessive-compulsive disorder (OCD) shared genetic risk. We conducted a genome-wide association analysis (GWAS) of OC traits using the Toronto Obsessive-Compulsive Scale (TOCS) in 5018 unrelated Caucasian children and adolescents from the community (Spit for Science sample). We tested the hypothesis that genetic variants associated with OC traits from the community would be associated with clinical OCD using a meta-analysis of all currently available OCD cases. Shared genetic risk was examined between OC traits and OCD in the respective samples using polygenic risk score and genetic correlation analyses. A locus tagged by rs7856850 in an intron of PTPRD (protein tyrosine phosphatase δ) was significantly associated with OC traits at the genome-wide significance level (p = 2.48 × 10−8). rs7856850 was also associated with OCD in a meta-analysis of OCD case/control genome-wide datasets (p = 0.0069). The direction of effect was the same as in the community sample. Polygenic risk scores from OC traits were significantly associated with OCD in case/control datasets and vice versa (p’s &lt; 0.01). OC traits were highly, but not significantly, genetically correlated with OCD (rg = 0.71, p = 0.062). We report the first validated genome-wide significant variant for OC traits in PTPRD, downstream of the most significant locus in a previous OCD GWAS. OC traits measured in the community sample shared genetic risk with OCD case/control status. Our results demonstrate the feasibility and power of using trait-based approaches in community samples for genetic discovery.","container-title":"Translational Psychiatry 2021 11:1","DOI":"10.1038/s41398-020-01121-9","ISSN":"2158-3188","issue":"1","note":"PMID: 33531474\npublisher: Nature Publishing Group","page":"1-10","title":"Genome-wide association study of pediatric obsessive-compulsive traits: shared genetic risk between traits and disorder","volume":"11","author":[{"family":"Burton","given":"Christie L."},{"family":"Lemire","given":"Mathieu"},{"family":"Xiao","given":"Bowei"},{"family":"Corfield","given":"Elizabeth C."},{"family":"Erdman","given":"Lauren"},{"family":"Bralten","given":"Janita"},{"family":"Poelmans","given":"Geert"},{"family":"Yu","given":"Dongmei"},{"family":"Shaheen","given":"S. M."},{"family":"Goodale","given":"Tara"},{"family":"Sinopoli","given":"Vanessa M."},{"family":"Askland","given":"Kathleen D."},{"family":"Barlassina","given":"Cristina"},{"family":"Bienvenu","given":"O. Joseph"},{"family":"Black","given":"Donald"},{"family":"Bloch","given":"Michael"},{"family":"Brentani","given":"Helena"},{"family":"Camarena","given":"Beatriz"},{"family":"Cappi","given":"Carolina"},{"family":"Cath","given":"Danielle"},{"family":"Cavallini","given":"M. Cristina"},{"family":"Ciullo","given":"Valentina"},{"family":"Conti","given":"David"},{"family":"Cook","given":"Edwin H."},{"family":"Coric","given":"Vladimir"},{"family":"Cullen","given":"Bernadette A."},{"family":"Cusi","given":"Danielle"},{"family":"Davis","given":"Lea K."},{"family":"Delorme","given":"Richard"},{"family":"Denys","given":"Damiaan"},{"family":"Derks","given":"Eske"},{"family":"Eapen","given":"Valsamma"},{"family":"Edlund","given":"Christopher"},{"family":"Falkai","given":"Peter"},{"family":"Fyer","given":"Abby J."},{"family":"Geller","given":"Daniel A."},{"family":"Goes","given":"Fernando S."},{"family":"Grabe","given":"Hans J."},{"family":"Grados","given":"Marco A."},{"family":"Greenberg","given":"Benjamin D."},{"family":"Grünblatt","given":"Edna"},{"family":"Guo","given":"Wei"},{"family":"Hounie","given":"Ana G."},{"family":"Jenike","given":"Michael"},{"family":"Keenan","given":"Clare L."},{"family":"Kennedy","given":"James L."},{"family":"Khramtsova","given":"Ekaterina A."},{"family":"Knowles","given":"James A."},{"family":"Krasnow","given":"Janice"},{"family":"Lange","given":"Cristoph"},{"family":"Lanzagorta","given":"Nuria"},{"family":"Leboyer","given":"Marion"},{"family":"Liang","given":"Kung Yee"},{"family":"Lochner","given":"Christine"},{"family":"Macciardi","given":"Fabio"},{"family":"Maher","given":"Brion"},{"family":"Mathews","given":"Carol A."},{"family":"Mattheisen","given":"Manuel"},{"family":"McCracken","given":"James T."},{"family":"McGregor","given":"Nathaniel"},{"family":"McLaughlin","given":"Nicole C.R."},{"family":"Miguel","given":"Euripedes","dropping-particle":"c."},{"family":"Neale","given":"Benjamin"},{"family":"Nestadt","given":"Gerald"},{"family":"Nestadt","given":"Paul S."},{"family":"Nicolini","given":"Humberto"},{"family":"Nurmi","given":"Erika L."},{"family":"Osiecki","given":"Lisa"},{"family":"Piacentini","given":"John"},{"family":"Pittenger","given":"Christopher"},{"family":"Posthuma","given":"Danielle"},{"family":"Pulver","given":"Ann E."},{"family":"Rasmussen","given":"Steven A."},{"family":"Rauch","given":"Scott"},{"family":"Richter","given":"Margaret A."},{"family":"Riddle","given":"Mark A."},{"family":"Ripke","given":"Stephan"},{"family":"Ruhrmann","given":"Stephan"},{"family":"Sampaio","given":"Aline S."},{"family":"Samuels","given":"Jack F."},{"family":"Scharf","given":"Jeremiah M."},{"family":"Shugart","given":"Yin Yao"},{"family":"Smit","given":"Jan H."},{"family":"Stein","given":"Dan J."},{"family":"Stewart","given":"S. Evelyn"},{"family":"Turiel","given":"Maurizio"},{"family":"Vallada","given":"Homero"},{"family":"Veenstra-VanderWeele","given":"Jeremy"},{"family":"Vulink","given":"Nienke"},{"family":"Wagner","given":"Michael"},{"family":"Walitza","given":"Susanne"},{"family":"Wang","given":"Ying"},{"family":"Wendland","given":"Jens"},{"family":"Zai","given":"Gwyneth"},{"family":"Soreni","given":"Noam"},{"family":"Hanna","given":"Gregory L."},{"family":"Fitzgerald","given":"Kate D."},{"family":"Rosenberg","given":"David"},{"family":"Nestadt","given":"Gerald"},{"family":"Paterson","given":"Andrew D."},{"family":"Strug","given":"Lisa J."},{"family":"Schachar","given":"Russell J."},{"family":"Crosbie","given":"Jennifer"},{"family":"Arnold","given":"Paul D."}],"issued":{"date-parts":[["2021",2,2]]}}}],"schema":"https://github.com/citation-style-language/schema/raw/master/csl-citation.json"} </w:instrText>
      </w:r>
      <w:r w:rsidR="00196A4E">
        <w:fldChar w:fldCharType="separate"/>
      </w:r>
      <w:r w:rsidR="00325EA1" w:rsidRPr="00325EA1">
        <w:t>(Burton et al., 2021)</w:t>
      </w:r>
      <w:r w:rsidR="00196A4E">
        <w:fldChar w:fldCharType="end"/>
      </w:r>
      <w:r w:rsidRPr="00DD692C">
        <w:t>, QC filtering was done using standard methods including removing SNPs with</w:t>
      </w:r>
      <w:r w:rsidR="005E689A">
        <w:t xml:space="preserve"> MAF</w:t>
      </w:r>
      <w:r w:rsidRPr="00DD692C">
        <w:t xml:space="preserve"> &lt; 0.01, and imputation quality &lt; 0.6. The GWAS was conducted using R (v3.5.1) with a logistic regression and using age, sex, and 3 PC</w:t>
      </w:r>
      <w:r w:rsidR="00196A4E">
        <w:t>s</w:t>
      </w:r>
      <w:r w:rsidRPr="00DD692C">
        <w:t xml:space="preserve"> as covariates.</w:t>
      </w:r>
    </w:p>
    <w:p w14:paraId="0000003A" w14:textId="77777777" w:rsidR="008E545C" w:rsidRPr="00DD692C" w:rsidRDefault="00000000">
      <w:pPr>
        <w:pStyle w:val="berschrift3"/>
        <w:spacing w:line="480" w:lineRule="auto"/>
        <w:jc w:val="both"/>
        <w:rPr>
          <w:lang w:val="de-DE"/>
        </w:rPr>
      </w:pPr>
      <w:bookmarkStart w:id="17" w:name="_heading=h.44sinio" w:colFirst="0" w:colLast="0"/>
      <w:bookmarkEnd w:id="17"/>
      <w:r w:rsidRPr="00DD692C">
        <w:rPr>
          <w:lang w:val="de-DE"/>
        </w:rPr>
        <w:t xml:space="preserve">Million Veteran </w:t>
      </w:r>
      <w:proofErr w:type="spellStart"/>
      <w:r w:rsidRPr="00DD692C">
        <w:rPr>
          <w:lang w:val="de-DE"/>
        </w:rPr>
        <w:t>Program</w:t>
      </w:r>
      <w:proofErr w:type="spellEnd"/>
      <w:r w:rsidRPr="00DD692C">
        <w:rPr>
          <w:lang w:val="de-DE"/>
        </w:rPr>
        <w:t xml:space="preserve"> | Stein, M.B.; Gelernter, J. | USA | </w:t>
      </w:r>
      <w:r w:rsidRPr="00DD692C">
        <w:rPr>
          <w:rFonts w:eastAsia="Roboto"/>
          <w:color w:val="212121"/>
          <w:sz w:val="24"/>
          <w:szCs w:val="24"/>
          <w:lang w:val="de-DE"/>
        </w:rPr>
        <w:t>26441289</w:t>
      </w:r>
    </w:p>
    <w:p w14:paraId="0000003C" w14:textId="06E7C494" w:rsidR="008E545C" w:rsidRPr="00DD692C" w:rsidRDefault="00000000">
      <w:pPr>
        <w:spacing w:line="480" w:lineRule="auto"/>
        <w:jc w:val="both"/>
      </w:pPr>
      <w:r w:rsidRPr="00DD692C">
        <w:t xml:space="preserve">The U.S. Department of Veterans Affairs (VA) Million Veteran Program (MVP) is collecting genetic and electronic health record (EHR) data in the U.S with ethical approval given by the Central VA Institutional Review Board (IRB) and site-specific IRBs </w:t>
      </w:r>
      <w:r w:rsidR="00196A4E">
        <w:fldChar w:fldCharType="begin"/>
      </w:r>
      <w:r w:rsidR="00196A4E">
        <w:instrText xml:space="preserve"> ADDIN ZOTERO_ITEM CSL_CITATION {"citationID":"snZ1pLSG","properties":{"formattedCitation":"(Gaziano et al., 2016; Harrington et al., 2019)","plainCitation":"(Gaziano et al., 2016; Harrington et al., 2019)","noteIndex":0},"citationItems":[{"id":3954,"uris":["http://zotero.org/users/9762508/items/6CLYJ874"],"itemData":{"id":3954,"type":"article-journal","abstract":"OBJECTIVE: To describe the design and ongoing conduct of the Million Veteran Program (MVP), as an observational cohort study and mega-biobank in the Department of Veterans Affairs (VA) health care system.\nSTUDY DESIGN AND SETTING: Data are being collected from participants using questionnaires, the VA electronic health record, and a blood sample for genomic and other testing. Several ongoing projects are linked to MVP, both as peer-reviewed research studies and as activities to help develop an infrastructure for future, broad-based research uses.\nRESULTS: Formal planning for MVP commenced in 2009; the protocol was approved in 2010, and enrollment began in 2011. As of August 3, 2015, and with a steady state of ≈50 recruiting sites nationwide, N = 397,104 veterans have been enrolled. Among N = 199,348 with currently available genotyping data, most participants (as expected) are male (92.0%) between the ages of 50 and 69 years (55.0%). On the basis of self-reported race, white (77.2%) and African American (13.5%) populations are well represented.\nCONCLUSIONS: By helping to promote the future integration of genetic testing in health care delivery, including clinical decision making, the MVP is designed to contribute to the development of precision medicine.","container-title":"Journal of Clinical Epidemiology","DOI":"10.1016/j.jclinepi.2015.09.016","ISSN":"1878-5921","journalAbbreviation":"J Clin Epidemiol","language":"eng","note":"PMID: 26441289","page":"214-223","source":"PubMed","title":"Million Veteran Program: A mega-biobank to study genetic influences on health and disease","title-short":"Million Veteran Program","volume":"70","author":[{"family":"Gaziano","given":"John Michael"},{"family":"Concato","given":"John"},{"family":"Brophy","given":"Mary"},{"family":"Fiore","given":"Louis"},{"family":"Pyarajan","given":"Saiju"},{"family":"Breeling","given":"James"},{"family":"Whitbourne","given":"Stacey"},{"family":"Deen","given":"Jennifer"},{"family":"Shannon","given":"Colleen"},{"family":"Humphries","given":"Donald"},{"family":"Guarino","given":"Peter"},{"family":"Aslan","given":"Mihaela"},{"family":"Anderson","given":"Daniel"},{"family":"LaFleur","given":"Rene"},{"family":"Hammond","given":"Timothy"},{"family":"Schaa","given":"Kendra"},{"family":"Moser","given":"Jennifer"},{"family":"Huang","given":"Grant"},{"family":"Muralidhar","given":"Sumitra"},{"family":"Przygodzki","given":"Ronald"},{"family":"O'Leary","given":"Timothy J."}],"issued":{"date-parts":[["2016",2]]}}},{"id":3957,"uris":["http://zotero.org/users/9762508/items/36J5IGGN"],"itemData":{"id":3957,"type":"article-journal","abstract":"BACKGROUND: The Department of Veterans Affairs Million Veteran Program (MVP) is the largest ongoing cohort program of its kind, with 654,903 enrollees as of June 2018. The objectives of this study were to examine gender differences in the MVP cohort with respect to response and enrollment rates; demographic, health, and health care characteristics; and prevalence of self-reported health conditions.\nMETHODS: The MVP Baseline Survey was completed by 415,694 veterans (8% women), providing self-report measures of demographic characteristics, health status, and medical history.\nRESULTS: Relative to men, women demonstrated a higher positive responder rate (23.0% vs. 16.0%), slightly higher enrollment rate (13.5% vs. 12.9%), and, among enrollees, a lower survey completion rate (59.7% vs. 63.8%). Women were younger, more racially diverse, had higher educational attainment, and were less likely to be married or cohabitating with a partner than men. Women were more likely to report good to excellent health status but poorer physical fitness, and less likely to report lifetime smoking and drinking than men. Compared with men, women veterans showed an increased prevalence of musculoskeletal conditions, thyroid problems, gastrointestinal conditions, migraine headaches, and mental health disorders, as well as a decreased prevalence of gout, cardiovascular diseases, high cholesterol, diabetes, and hearing problems.\nCONCLUSIONS: These results revealed some substantial gender differences in the research participation rates, demographic profile, health characteristics, and prevalence of health conditions for veterans in the MVP cohort. Findings highlight the need for tailoring recruitment efforts to ensure representation of the increasing women veteran population receiving care through the Veterans Health Administration.","container-title":"Women's Health Issues: Official Publication of the Jacobs Institute of Women's Health","DOI":"10.1016/j.whi.2019.04.012","ISSN":"1878-4321","journalAbbreviation":"Womens Health Issues","language":"eng","note":"PMID: 31253243\nPMCID: PMC7061933","page":"S56-S66","source":"PubMed","title":"Gender Differences in Demographic and Health Characteristics of the Million Veteran Program Cohort","volume":"29 Suppl 1","author":[{"family":"Harrington","given":"Kelly M."},{"family":"Nguyen","given":"Xuan-Mai T."},{"family":"Song","given":"Rebecca J."},{"family":"Hannagan","given":"Keri"},{"family":"Quaden","given":"Rachel"},{"family":"Gagnon","given":"David R."},{"family":"Cho","given":"Kelly"},{"family":"Deen","given":"Jennifer E."},{"family":"Muralidhar","given":"Sumitra"},{"family":"O'Leary","given":"Timothy J."},{"family":"Gaziano","given":"John Michael"},{"family":"Whitbourne","given":"Stacey B."},{"literal":"VA Million Veteran Program"}],"issued":{"date-parts":[["2019",6,25]]}}}],"schema":"https://github.com/citation-style-language/schema/raw/master/csl-citation.json"} </w:instrText>
      </w:r>
      <w:r w:rsidR="00196A4E">
        <w:fldChar w:fldCharType="separate"/>
      </w:r>
      <w:r w:rsidR="00196A4E" w:rsidRPr="00196A4E">
        <w:t>(Gaziano et al., 2016; Harrington et al., 2019)</w:t>
      </w:r>
      <w:r w:rsidR="00196A4E">
        <w:fldChar w:fldCharType="end"/>
      </w:r>
      <w:r w:rsidRPr="00DD692C">
        <w:t>. All relevant ethical regulations for work with human subjects were followed in the conduct of the study, and informed consent was obtained from all participants. We used data release version 4; briefly, genotyping was performed with Affymetrix Axiom Biobank Array and quality control</w:t>
      </w:r>
      <w:r w:rsidR="00196A4E">
        <w:t xml:space="preserve"> </w:t>
      </w:r>
      <w:r w:rsidR="00196A4E">
        <w:fldChar w:fldCharType="begin"/>
      </w:r>
      <w:r w:rsidR="00196A4E">
        <w:instrText xml:space="preserve"> ADDIN ZOTERO_ITEM CSL_CITATION {"citationID":"KMBFQLQT","properties":{"formattedCitation":"(Hunter-Zinck et al., 2020)","plainCitation":"(Hunter-Zinck et al., 2020)","noteIndex":0},"citationItems":[{"id":3960,"uris":["http://zotero.org/users/9762508/items/MFU8THY2"],"itemData":{"id":3960,"type":"article-journal","abstract":"The Million Veteran Program (MVP), initiated by the Department of Veterans Affairs (VA), aims to collect biosamples with consent from at least one million veterans. Presently, blood samples have been collected from over 800,000 enrolled participants. The size and diversity of the MVP cohort, as well as the availability of extensive VA electronic health records, make it a promising resource for precision medicine. MVP is conducting array-based genotyping to provide a genome-wide scan of the entire cohort, in parallel with whole-genome sequencing, methylation, and other 'omics assays. Here, we present the design and performance of the MVP 1.0 custom Axiom array, which was designed and developed as a single assay to be used across the multi-ethnic MVP cohort. A unified genetic quality-control analysis was developed and conducted on an initial tranche of 485,856 individuals, leading to a high-quality dataset of 459,777 unique individuals. 668,418 genetic markers passed quality control and showed high-quality genotypes not only on common variants but also on rare variants. We confirmed that, with non-European individuals making up nearly 30%, MVP's substantial ancestral diversity surpasses that of other large biobanks. We also demonstrated the quality of the MVP dataset by replicating established genetic associations with height in European Americans and African Americans ancestries. This current dataset has been made available to approved MVP researchers for genome-wide association studies and other downstream analyses. Further data releases will be available for analysis as recruitment at the VA continues and the cohort expands both in size and diversity.","container-title":"American Journal of Human Genetics","DOI":"10.1016/j.ajhg.2020.03.004","ISSN":"1537-6605","issue":"4","journalAbbreviation":"Am J Hum Genet","language":"eng","note":"PMID: 32243820\nPMCID: PMC7118558","page":"535-548","source":"PubMed","title":"Genotyping Array Design and Data Quality Control in the Million Veteran Program","volume":"106","author":[{"family":"Hunter-Zinck","given":"Haley"},{"family":"Shi","given":"Yunling"},{"family":"Li","given":"Man"},{"family":"Gorman","given":"Bryan R."},{"family":"Ji","given":"Sun-Gou"},{"family":"Sun","given":"Ning"},{"family":"Webster","given":"Teresa"},{"family":"Liem","given":"Andrew"},{"family":"Hsieh","given":"Paul"},{"family":"Devineni","given":"Poornima"},{"family":"Karnam","given":"Purushotham"},{"family":"Gong","given":"Xin"},{"family":"Radhakrishnan","given":"Lakshmi"},{"family":"Schmidt","given":"Jeanette"},{"family":"Assimes","given":"Themistocles L."},{"family":"Huang","given":"Jie"},{"family":"Pan","given":"Cuiping"},{"family":"Humphries","given":"Donald"},{"family":"Brophy","given":"Mary"},{"family":"Moser","given":"Jennifer"},{"family":"Muralidhar","given":"Sumitra"},{"family":"Huang","given":"Grant D."},{"family":"Przygodzki","given":"Ronald"},{"family":"Concato","given":"John"},{"family":"Gaziano","given":"John M."},{"family":"Gelernter","given":"Joel"},{"family":"O'Donnell","given":"Christopher J."},{"family":"Hauser","given":"Elizabeth R."},{"family":"Zhao","given":"Hongyu"},{"family":"O'Leary","given":"Timothy J."},{"literal":"VA Million Veteran Program"},{"family":"Tsao","given":"Philip S."},{"family":"Pyarajan","given":"Saiju"}],"issued":{"date-parts":[["2020",4,2]]}}}],"schema":"https://github.com/citation-style-language/schema/raw/master/csl-citation.json"} </w:instrText>
      </w:r>
      <w:r w:rsidR="00196A4E">
        <w:fldChar w:fldCharType="separate"/>
      </w:r>
      <w:r w:rsidR="00196A4E" w:rsidRPr="00196A4E">
        <w:t>(Hunter-Zinck et al., 2020)</w:t>
      </w:r>
      <w:r w:rsidR="00196A4E">
        <w:fldChar w:fldCharType="end"/>
      </w:r>
      <w:r w:rsidRPr="00DD692C">
        <w:t xml:space="preserve">, phasing chromosomes with EAGLE2 </w:t>
      </w:r>
      <w:r w:rsidR="00693630">
        <w:fldChar w:fldCharType="begin"/>
      </w:r>
      <w:r w:rsidR="00693630">
        <w:instrText xml:space="preserve"> ADDIN ZOTERO_ITEM CSL_CITATION {"citationID":"R8tDhbFV","properties":{"formattedCitation":"(Loh, Danecek, et al., 2016)","plainCitation":"(Loh, Danecek, et al., 2016)","noteIndex":0},"citationItems":[{"id":3250,"uris":["http://zotero.org/users/9762508/items/8GI5EZYY"],"itemData":{"id":3250,"type":"article-journal","abstract":"Po-Ru Loh, Alkes Price and colleagues present Eagle2, a reference-based phasing algorithm that allows for highly accurate and efficient phasing of genotypes across a broad range of cohort sizes. They demonstrate an approximately 10% improvement in accuracy and 20% improvement in speed compared to a competing method, SHAPEIT2. Haplotype phasing is a fundamental problem in medical and population genetics. Phasing is generally performed via statistical phasing in a genotyped cohort, an approach that can yield high accuracy in very large cohorts but attains lower accuracy in smaller cohorts. Here we instead explore the paradigm of reference-based phasing. We introduce a new phasing algorithm, Eagle2, that attains high accuracy across a broad range of cohort sizes by efficiently leveraging information from large external reference panels (such as the Haplotype Reference Consortium; HRC) using a new data structure based on the positional Burrows-Wheeler transform. We demonstrate that Eagle2 attains a </w:instrText>
      </w:r>
      <w:r w:rsidR="00693630">
        <w:rPr>
          <w:rFonts w:ascii="Cambria Math" w:hAnsi="Cambria Math" w:cs="Cambria Math"/>
        </w:rPr>
        <w:instrText>∼</w:instrText>
      </w:r>
      <w:r w:rsidR="00693630">
        <w:instrText xml:space="preserve">20× speedup and </w:instrText>
      </w:r>
      <w:r w:rsidR="00693630">
        <w:rPr>
          <w:rFonts w:ascii="Cambria Math" w:hAnsi="Cambria Math" w:cs="Cambria Math"/>
        </w:rPr>
        <w:instrText>∼</w:instrText>
      </w:r>
      <w:r w:rsidR="00693630">
        <w:instrText xml:space="preserve">10% increase in accuracy compared to reference-based phasing using SHAPEIT2. On European-ancestry samples, Eagle2 with the HRC panel achieves &gt;2× the accuracy of 1000 Genomes–based phasing. Eagle2 is open source and freely available for HRC-based phasing via the Sanger Imputation Service and the Michigan Imputation Server.","container-title":"Nature Genetics 2016 48:11","DOI":"10.1038/ng.3679","ISSN":"1546-1718","issue":"11","note":"PMID: 27694958\npublisher: Nature Publishing Group","page":"1443-1448","title":"Reference-based phasing using the Haplotype Reference Consortium panel","volume":"48","author":[{"family":"Loh","given":"Po Ru"},{"family":"Danecek","given":"Petr"},{"family":"Palamara","given":"Pier Francesco"},{"family":"Fuchsberger","given":"Christian"},{"family":"Reshef","given":"Yakir A."},{"family":"Finucane","given":"Hilary K."},{"family":"Schoenherr","given":"Sebastian"},{"family":"Forer","given":"Lukas"},{"family":"McCarthy","given":"Shane"},{"family":"Abecasis","given":"Goncalo R."},{"family":"Durbin","given":"Richard"},{"family":"Price","given":"Alkes L."}],"issued":{"date-parts":[["2016",10,3]]}}}],"schema":"https://github.com/citation-style-language/schema/raw/master/csl-citation.json"} </w:instrText>
      </w:r>
      <w:r w:rsidR="00693630">
        <w:fldChar w:fldCharType="separate"/>
      </w:r>
      <w:r w:rsidR="00381117" w:rsidRPr="00381117">
        <w:t>(Loh, Danecek, et al., 2016)</w:t>
      </w:r>
      <w:r w:rsidR="00693630">
        <w:fldChar w:fldCharType="end"/>
      </w:r>
      <w:r w:rsidRPr="00DD692C">
        <w:t xml:space="preserve"> and imputation with Minimac3</w:t>
      </w:r>
      <w:r w:rsidR="00196A4E">
        <w:t xml:space="preserve"> </w:t>
      </w:r>
      <w:r w:rsidR="00196A4E">
        <w:fldChar w:fldCharType="begin"/>
      </w:r>
      <w:r w:rsidR="00196A4E">
        <w:instrText xml:space="preserve"> ADDIN ZOTERO_ITEM CSL_CITATION {"citationID":"38tXYcV9","properties":{"formattedCitation":"(Das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196A4E">
        <w:fldChar w:fldCharType="separate"/>
      </w:r>
      <w:r w:rsidR="00196A4E" w:rsidRPr="00196A4E">
        <w:t>(Das et al., 2016)</w:t>
      </w:r>
      <w:r w:rsidR="00196A4E">
        <w:fldChar w:fldCharType="end"/>
      </w:r>
      <w:r w:rsidRPr="00DD692C">
        <w:t>, using the 1000 Genomes Project reference panel, phase 3</w:t>
      </w:r>
      <w:r w:rsidR="00196A4E">
        <w:t xml:space="preserve"> </w:t>
      </w:r>
      <w:r w:rsidR="00196A4E">
        <w:fldChar w:fldCharType="begin"/>
      </w:r>
      <w:r w:rsidR="00325EA1">
        <w:instrText xml:space="preserve"> ADDIN ZOTERO_ITEM CSL_CITATION {"citationID":"QxHSmb5o","properties":{"formattedCitation":"(The 1000 Genomes Project Consortium, 2015)","plainCitation":"(The 1000 Genomes Project Consortium, 2015)","noteIndex":0},"citationItems":[{"id":1789,"uris":["http://zotero.org/users/9762508/items/STD52SJI"],"itemData":{"id":1789,"type":"article-journal","abstract":"The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studies.","container-title":"Nature","DOI":"10.1038/nature15393","ISSN":"14764687","issue":"7571","note":"PMID: 26432245\narXiv: 15334406\nCitation Key: 1000genome\nISBN: 9781137332875","page":"68-74","title":"A global reference for human genetic variation","volume":"526","author":[{"literal":"The 1000 Genomes Project Consortium"}],"issued":{"date-parts":[["2015"]]}},"label":"page"}],"schema":"https://github.com/citation-style-language/schema/raw/master/csl-citation.json"} </w:instrText>
      </w:r>
      <w:r w:rsidR="00196A4E">
        <w:fldChar w:fldCharType="separate"/>
      </w:r>
      <w:r w:rsidR="00325EA1" w:rsidRPr="00325EA1">
        <w:t>(The 1000 Genomes Project Consortium, 2015)</w:t>
      </w:r>
      <w:r w:rsidR="00196A4E">
        <w:fldChar w:fldCharType="end"/>
      </w:r>
      <w:r w:rsidRPr="00DD692C">
        <w:t>. We selected European (EUR) ancestry data which were defined using PCA</w:t>
      </w:r>
      <w:r w:rsidR="00196A4E">
        <w:t xml:space="preserve"> </w:t>
      </w:r>
      <w:r w:rsidR="00196A4E">
        <w:fldChar w:fldCharType="begin"/>
      </w:r>
      <w:r w:rsidR="00196A4E">
        <w:instrText xml:space="preserve"> ADDIN ZOTERO_ITEM CSL_CITATION {"citationID":"MAy1gryW","properties":{"formattedCitation":"(Gaziano et al., 2016)","plainCitation":"(Gaziano et al., 2016)","noteIndex":0},"citationItems":[{"id":3954,"uris":["http://zotero.org/users/9762508/items/6CLYJ874"],"itemData":{"id":3954,"type":"article-journal","abstract":"OBJECTIVE: To describe the design and ongoing conduct of the Million Veteran Program (MVP), as an observational cohort study and mega-biobank in the Department of Veterans Affairs (VA) health care system.\nSTUDY DESIGN AND SETTING: Data are being collected from participants using questionnaires, the VA electronic health record, and a blood sample for genomic and other testing. Several ongoing projects are linked to MVP, both as peer-reviewed research studies and as activities to help develop an infrastructure for future, broad-based research uses.\nRESULTS: Formal planning for MVP commenced in 2009; the protocol was approved in 2010, and enrollment began in 2011. As of August 3, 2015, and with a steady state of ≈50 recruiting sites nationwide, N = 397,104 veterans have been enrolled. Among N = 199,348 with currently available genotyping data, most participants (as expected) are male (92.0%) between the ages of 50 and 69 years (55.0%). On the basis of self-reported race, white (77.2%) and African American (13.5%) populations are well represented.\nCONCLUSIONS: By helping to promote the future integration of genetic testing in health care delivery, including clinical decision making, the MVP is designed to contribute to the development of precision medicine.","container-title":"Journal of Clinical Epidemiology","DOI":"10.1016/j.jclinepi.2015.09.016","ISSN":"1878-5921","journalAbbreviation":"J Clin Epidemiol","language":"eng","note":"PMID: 26441289","page":"214-223","source":"PubMed","title":"Million Veteran Program: A mega-biobank to study genetic influences on health and disease","title-short":"Million Veteran Program","volume":"70","author":[{"family":"Gaziano","given":"John Michael"},{"family":"Concato","given":"John"},{"family":"Brophy","given":"Mary"},{"family":"Fiore","given":"Louis"},{"family":"Pyarajan","given":"Saiju"},{"family":"Breeling","given":"James"},{"family":"Whitbourne","given":"Stacey"},{"family":"Deen","given":"Jennifer"},{"family":"Shannon","given":"Colleen"},{"family":"Humphries","given":"Donald"},{"family":"Guarino","given":"Peter"},{"family":"Aslan","given":"Mihaela"},{"family":"Anderson","given":"Daniel"},{"family":"LaFleur","given":"Rene"},{"family":"Hammond","given":"Timothy"},{"family":"Schaa","given":"Kendra"},{"family":"Moser","given":"Jennifer"},{"family":"Huang","given":"Grant"},{"family":"Muralidhar","given":"Sumitra"},{"family":"Przygodzki","given":"Ronald"},{"family":"O'Leary","given":"Timothy J."}],"issued":{"date-parts":[["2016",2]]}}}],"schema":"https://github.com/citation-style-language/schema/raw/master/csl-citation.json"} </w:instrText>
      </w:r>
      <w:r w:rsidR="00196A4E">
        <w:fldChar w:fldCharType="separate"/>
      </w:r>
      <w:r w:rsidR="00196A4E" w:rsidRPr="00196A4E">
        <w:t>(Gaziano et al., 2016)</w:t>
      </w:r>
      <w:r w:rsidR="00196A4E">
        <w:fldChar w:fldCharType="end"/>
      </w:r>
      <w:r w:rsidRPr="00DD692C">
        <w:t>. For QC filtering, we set up imputation quality scores</w:t>
      </w:r>
      <w:r w:rsidR="005E689A">
        <w:t xml:space="preserve"> </w:t>
      </w:r>
      <w:r w:rsidRPr="00DD692C">
        <w:t>&gt;</w:t>
      </w:r>
      <w:r w:rsidR="005E689A">
        <w:t xml:space="preserve"> </w:t>
      </w:r>
      <w:r w:rsidRPr="00DD692C">
        <w:t xml:space="preserve">0.6, </w:t>
      </w:r>
      <w:r w:rsidR="005E689A">
        <w:t>HWE</w:t>
      </w:r>
      <w:r w:rsidRPr="00DD692C">
        <w:t xml:space="preserve"> filtering </w:t>
      </w:r>
      <m:oMath>
        <m:r>
          <w:rPr>
            <w:rFonts w:ascii="Cambria Math" w:hAnsi="Cambria Math"/>
          </w:rPr>
          <m:t>&gt;5x1</m:t>
        </m:r>
        <m:sSup>
          <m:sSupPr>
            <m:ctrlPr>
              <w:rPr>
                <w:rFonts w:ascii="Cambria Math" w:hAnsi="Cambria Math"/>
              </w:rPr>
            </m:ctrlPr>
          </m:sSupPr>
          <m:e>
            <m:r>
              <w:rPr>
                <w:rFonts w:ascii="Cambria Math" w:hAnsi="Cambria Math"/>
              </w:rPr>
              <m:t>0</m:t>
            </m:r>
          </m:e>
          <m:sup>
            <m:r>
              <w:rPr>
                <w:rFonts w:ascii="Cambria Math" w:hAnsi="Cambria Math"/>
              </w:rPr>
              <m:t>-05</m:t>
            </m:r>
          </m:sup>
        </m:sSup>
      </m:oMath>
      <w:r w:rsidRPr="00DD692C">
        <w:t xml:space="preserve">, </w:t>
      </w:r>
      <w:r w:rsidR="005E689A">
        <w:t xml:space="preserve">MAF </w:t>
      </w:r>
      <w:r w:rsidRPr="00DD692C">
        <w:t xml:space="preserve">&gt; 0.001, missing call rates for variants &lt; 0.1, and missing call rates for samples &lt; 0.1. Data were aligned to the GRCh37 reference genome. Cases were defined having at least one International Classification of Disease (ICD) outpatient code for OCD (ICD-9: 300.3; ICD-10: F42.2, F42.3, F42.8, F42.9) by any provider, excluding individuals suffering </w:t>
      </w:r>
      <w:r w:rsidR="00196A4E">
        <w:t>from</w:t>
      </w:r>
      <w:r w:rsidRPr="00DD692C">
        <w:t xml:space="preserve"> schizophrenia. To optimize the number of cases to keep when removing individuals with kinship, which was calculated by KING</w:t>
      </w:r>
      <w:r w:rsidR="00196A4E">
        <w:t xml:space="preserve"> </w:t>
      </w:r>
      <w:r w:rsidR="00196A4E">
        <w:fldChar w:fldCharType="begin"/>
      </w:r>
      <w:r w:rsidR="00196A4E">
        <w:instrText xml:space="preserve"> ADDIN ZOTERO_ITEM CSL_CITATION {"citationID":"Cj1zzNx9","properties":{"formattedCitation":"(Manichaikul et al., 2010)","plainCitation":"(Manichaikul et al., 2010)","noteIndex":0},"citationItems":[{"id":3257,"uris":["http://zotero.org/users/9762508/items/XPH9C8Y9"],"itemData":{"id":3257,"type":"article-journal","abstract":"Motivation: Genome-wide association studies (GWASs) have been widely used to map loci contributing to variation in complex traits and risk of diseases in humans. Accurate specification of familial relationships is crucial for family-based GWAS, as well as in population-based GWAS with unknown (or unrecognized) family structure. The family structure in a GWAS should be routinely investigated using the SNP data prior to the analysis of population structure or phenotype. Existing algorithms for relationship inference have a major weakness of estimating allele frequencies at each SNP from the entire sample, under a strong assumption of homogeneous population structure. This assumption is often untenable. Results: Here, we present a rapid algorithm for relationship inference using high-throughput genotype data typical of GWAS that allows the presence of unknown population substructure. The relationship of any pair of individuals can be precisely inferred by robust estimation of their kinship coefficient, independent of sample composition or population structure (sample invariance). We present simulation experiments to demonstrate that the algorithm has sufficient power to provide reliable inference on millions of unrelated pairs and thousands of relative pairs (up to 3rd-degree relationships). Application of our robust algorithm to HapMap and GWAS datasets demonstrates that it performs properly even under extreme population stratification, while algorithms assuming a homogeneous population give systematically biased results. Our extremely efficient implementation performs relationship inference on millions of pairs of individuals in a matter of minutes, dozens of times faster than the most efficient existing algorithm known to us. © The Author 2010. Published by Oxford University Press. All rights reserved.","container-title":"Bioinformatics","DOI":"10.1093/BIOINFORMATICS/BTQ559","ISSN":"1367-4803","issue":"22","note":"PMID: 20926424\npublisher: Oxford Academic","page":"2867-2873","title":"Robust relationship inference in genome-wide association studies","volume":"26","author":[{"family":"Manichaikul","given":"Ani"},{"family":"Mychaleckyj","given":"Josyf C."},{"family":"Rich","given":"Stephen S."},{"family":"Daly","given":"Kathy"},{"family":"Sale","given":"Michèle"},{"family":"Chen","given":"Wei Min"}],"issued":{"date-parts":[["2010",11,15]]}}}],"schema":"https://github.com/citation-style-language/schema/raw/master/csl-citation.json"} </w:instrText>
      </w:r>
      <w:r w:rsidR="00196A4E">
        <w:fldChar w:fldCharType="separate"/>
      </w:r>
      <w:r w:rsidR="00196A4E" w:rsidRPr="00196A4E">
        <w:t>(Manichaikul et al., 2010)</w:t>
      </w:r>
      <w:r w:rsidR="00196A4E">
        <w:fldChar w:fldCharType="end"/>
      </w:r>
      <w:r w:rsidRPr="00DD692C">
        <w:t xml:space="preserve"> for a minimum threshold of 0.0884 corresponding to a second-degree relationship, we implemented the following algorithm where cases have priority compared to controls: between a case and a control, we remove the individual as control; if there is relatedness between two cases, </w:t>
      </w:r>
      <w:r w:rsidRPr="00DD692C">
        <w:lastRenderedPageBreak/>
        <w:t xml:space="preserve">we remove the one that has the highest number of relationships with other individuals; we do the same between two controls. In conclusion, we obtained 5129 cases and 422,860 controls. GWAS was performed using PLINK 2.0 </w:t>
      </w:r>
      <w:r w:rsidR="00196A4E">
        <w:fldChar w:fldCharType="begin"/>
      </w:r>
      <w:r w:rsidR="00196A4E">
        <w:instrText xml:space="preserve"> ADDIN ZOTERO_ITEM CSL_CITATION {"citationID":"SJhCMpeP","properties":{"formattedCitation":"(Chang et al., 2015)","plainCitation":"(Chang et al., 2015)","noteIndex":0},"citationItems":[{"id":3253,"uris":["http://zotero.org/users/9762508/items/IX89LDBQ"],"itemData":{"id":3253,"type":"article-journal","abstract":"Background: PLINK 1 is a widely used open-source C/C++ toolset for genome-wide association studies (GWAS) and research in population genetics. However, the steady accumulation of data from imputation and whole-genome sequencing studies has exposed a strong need for faster and scalable implementations of key functions, such as logistic regression, linkage disequilibrium estimation, and genomic distance evaluation. In addition, GWAS and population-genetic data now frequently contain genotype likelihoods, phase information, and/or multiallelic variants, none of which can be represented by PLINK 1's primary data format. Findings: To address these issues, we are developing a second-generation codebase for PLINK. The first major release from this codebase, PLINK 1.9, introduces extensive use of bit-level parallelism, O(√n)-time/constant-space Hardy-Weinberg equilibrium and Fisher's exact tests, and many other algorithmic improvements. In combination, these changes accelerate most operations by 1-4 orders of magnitude, and allow the program to handle datasets too large to fit in RAM. We have also developed an extension to the data format which adds low-overhead support for genotype likelihoods, phase, multiallelic variants, and reference vs. alternate alleles, which is the basis of our planned second release (PLINK 2.0). Conclusions: The second-generation versions of PLINK will offer dramatic improvements in performance and compatibility. For the first time, users without access to high-end computing resources can perform several essential analyses of the feature-rich and very large genetic datasets coming into use.","container-title":"GigaScience","DOI":"10.1186/S13742-015-0047-8/2707533","ISSN":"2047217X","issue":"1","note":"PMID: 25722852\narXiv: 1410.4803\npublisher: BioMed Central Ltd.","page":"7","title":"Second-generation PLINK: Rising to the challenge of larger and richer datasets","volume":"4","author":[{"family":"Chang","given":"Christopher C."},{"family":"Chow","given":"Carson C."},{"family":"Tellier","given":"Laurent C.A.M."},{"family":"Vattikuti","given":"Shashaank"},{"family":"Purcell","given":"Shaun M."},{"family":"Lee","given":"James J."}],"issued":{"date-parts":[["2015",2,25]]}}}],"schema":"https://github.com/citation-style-language/schema/raw/master/csl-citation.json"} </w:instrText>
      </w:r>
      <w:r w:rsidR="00196A4E">
        <w:fldChar w:fldCharType="separate"/>
      </w:r>
      <w:r w:rsidR="00196A4E" w:rsidRPr="00196A4E">
        <w:t>(Chang et al., 2015)</w:t>
      </w:r>
      <w:r w:rsidR="00196A4E">
        <w:fldChar w:fldCharType="end"/>
      </w:r>
      <w:r w:rsidRPr="00DD692C">
        <w:t xml:space="preserve"> setting age, sex, and the first ten PC</w:t>
      </w:r>
      <w:r w:rsidR="00561C75">
        <w:t>s</w:t>
      </w:r>
      <w:r w:rsidRPr="00DD692C">
        <w:t xml:space="preserve"> scores as covariates. </w:t>
      </w:r>
    </w:p>
    <w:p w14:paraId="0000003D" w14:textId="77777777" w:rsidR="008E545C" w:rsidRPr="00DD692C" w:rsidRDefault="00000000">
      <w:pPr>
        <w:pStyle w:val="berschrift3"/>
        <w:spacing w:line="480" w:lineRule="auto"/>
        <w:jc w:val="both"/>
      </w:pPr>
      <w:bookmarkStart w:id="18" w:name="_heading=h.2jxsxqh" w:colFirst="0" w:colLast="0"/>
      <w:bookmarkEnd w:id="18"/>
      <w:proofErr w:type="spellStart"/>
      <w:r w:rsidRPr="00DD692C">
        <w:t>MoBa</w:t>
      </w:r>
      <w:proofErr w:type="spellEnd"/>
      <w:r w:rsidRPr="00DD692C">
        <w:t xml:space="preserve"> | Ask, H. | Norway | </w:t>
      </w:r>
      <w:proofErr w:type="gramStart"/>
      <w:r w:rsidRPr="00DD692C">
        <w:t>27063603</w:t>
      </w:r>
      <w:proofErr w:type="gramEnd"/>
      <w:r w:rsidRPr="00DD692C">
        <w:t xml:space="preserve"> </w:t>
      </w:r>
    </w:p>
    <w:p w14:paraId="0000003F" w14:textId="75F51641" w:rsidR="008E545C" w:rsidRPr="00DD692C" w:rsidRDefault="00000000">
      <w:pPr>
        <w:spacing w:line="480" w:lineRule="auto"/>
        <w:jc w:val="both"/>
      </w:pPr>
      <w:r w:rsidRPr="00DD692C">
        <w:rPr>
          <w:rFonts w:eastAsia="Arimo"/>
        </w:rPr>
        <w:t xml:space="preserve">The Norwegian </w:t>
      </w:r>
      <w:r w:rsidR="00196A4E">
        <w:rPr>
          <w:rFonts w:eastAsia="Arimo"/>
        </w:rPr>
        <w:t>mo</w:t>
      </w:r>
      <w:r w:rsidRPr="00DD692C">
        <w:rPr>
          <w:rFonts w:eastAsia="Arimo"/>
        </w:rPr>
        <w:t xml:space="preserve">ther, </w:t>
      </w:r>
      <w:proofErr w:type="gramStart"/>
      <w:r w:rsidR="00196A4E">
        <w:rPr>
          <w:rFonts w:eastAsia="Arimo"/>
        </w:rPr>
        <w:t>f</w:t>
      </w:r>
      <w:r w:rsidRPr="00DD692C">
        <w:rPr>
          <w:rFonts w:eastAsia="Arimo"/>
        </w:rPr>
        <w:t>ather</w:t>
      </w:r>
      <w:proofErr w:type="gramEnd"/>
      <w:r w:rsidRPr="00DD692C">
        <w:rPr>
          <w:rFonts w:eastAsia="Arimo"/>
        </w:rPr>
        <w:t xml:space="preserve"> and </w:t>
      </w:r>
      <w:r w:rsidR="00196A4E">
        <w:rPr>
          <w:rFonts w:eastAsia="Arimo"/>
        </w:rPr>
        <w:t>c</w:t>
      </w:r>
      <w:r w:rsidRPr="00DD692C">
        <w:rPr>
          <w:rFonts w:eastAsia="Arimo"/>
        </w:rPr>
        <w:t xml:space="preserve">hild </w:t>
      </w:r>
      <w:r w:rsidR="00196A4E">
        <w:rPr>
          <w:rFonts w:eastAsia="Arimo"/>
        </w:rPr>
        <w:t>c</w:t>
      </w:r>
      <w:r w:rsidRPr="00DD692C">
        <w:rPr>
          <w:rFonts w:eastAsia="Arimo"/>
        </w:rPr>
        <w:t xml:space="preserve">ohort </w:t>
      </w:r>
      <w:r w:rsidR="00196A4E">
        <w:rPr>
          <w:rFonts w:eastAsia="Arimo"/>
        </w:rPr>
        <w:t>s</w:t>
      </w:r>
      <w:r w:rsidRPr="00DD692C">
        <w:rPr>
          <w:rFonts w:eastAsia="Arimo"/>
        </w:rPr>
        <w:t>tudy (</w:t>
      </w:r>
      <w:proofErr w:type="spellStart"/>
      <w:r w:rsidRPr="00DD692C">
        <w:rPr>
          <w:rFonts w:eastAsia="Arimo"/>
        </w:rPr>
        <w:t>MoBa</w:t>
      </w:r>
      <w:proofErr w:type="spellEnd"/>
      <w:r w:rsidRPr="00DD692C">
        <w:rPr>
          <w:rFonts w:eastAsia="Arimo"/>
        </w:rPr>
        <w:t>) is a population</w:t>
      </w:r>
      <w:r w:rsidR="000E2493">
        <w:rPr>
          <w:rFonts w:eastAsia="Arimo"/>
        </w:rPr>
        <w:t>-</w:t>
      </w:r>
      <w:r w:rsidRPr="00DD692C">
        <w:rPr>
          <w:rFonts w:eastAsia="Arimo"/>
        </w:rPr>
        <w:t xml:space="preserve">based pregnancy cohort study conducted by the Norwegian Institute of Public Health. The establishment of </w:t>
      </w:r>
      <w:proofErr w:type="spellStart"/>
      <w:r w:rsidRPr="00DD692C">
        <w:rPr>
          <w:rFonts w:eastAsia="Arimo"/>
        </w:rPr>
        <w:t>MoBa</w:t>
      </w:r>
      <w:proofErr w:type="spellEnd"/>
      <w:r w:rsidRPr="00DD692C">
        <w:rPr>
          <w:rFonts w:eastAsia="Arimo"/>
        </w:rPr>
        <w:t xml:space="preserve"> and initial data collection was based on a license from the Norwegian Data Protection Agency and approval from The Regional Committees for Medical and Health Research Ethics. The </w:t>
      </w:r>
      <w:proofErr w:type="spellStart"/>
      <w:r w:rsidRPr="00DD692C">
        <w:rPr>
          <w:rFonts w:eastAsia="Arimo"/>
        </w:rPr>
        <w:t>MoBa</w:t>
      </w:r>
      <w:proofErr w:type="spellEnd"/>
      <w:r w:rsidRPr="00DD692C">
        <w:rPr>
          <w:rFonts w:eastAsia="Arimo"/>
        </w:rPr>
        <w:t xml:space="preserve"> cohort is now based on regulations related to the Norwegian Health Registry Act. Participants were recruited from all over Norway between 1999 and 2008. The women consented to participation in 41% of the pregnancies. The cohort now includes 114,500 children, 95,200 mothers and 75,200 fathers. Blood samples were obtained from the mothers and fathers at 17–18 weeks of gestation and from mothers and children (umbilical cord) at birth. For the current study we </w:t>
      </w:r>
      <w:r w:rsidR="000E2493" w:rsidRPr="00DD692C">
        <w:rPr>
          <w:rFonts w:eastAsia="Arimo"/>
        </w:rPr>
        <w:t>used genotype</w:t>
      </w:r>
      <w:r w:rsidRPr="00DD692C">
        <w:rPr>
          <w:rFonts w:eastAsia="Arimo"/>
        </w:rPr>
        <w:t xml:space="preserve"> data from 17,000 randomly selected trios, genotyped in three batches on three different arrays (harvest12: Illumina HumanCoreExome12v1.1, harvest24: Illumina HumanCoreExome24v1.0, rotterdam1: Illumina Global Screening Array MD v.1.0.). harvest12 and harvest24 were genotyped at the Genomics core facility in Trondheim, Norway while the rotterdam1 samples were genotyped at ERASMUS MC, Rotterdam, Netherlands. PLINK version 1.90 beta 3.365 </w:t>
      </w:r>
      <w:r w:rsidR="00196A4E">
        <w:rPr>
          <w:rFonts w:eastAsia="Arimo"/>
        </w:rPr>
        <w:fldChar w:fldCharType="begin"/>
      </w:r>
      <w:r w:rsidR="00196A4E">
        <w:rPr>
          <w:rFonts w:eastAsia="Arimo"/>
        </w:rPr>
        <w:instrText xml:space="preserve"> ADDIN ZOTERO_ITEM CSL_CITATION {"citationID":"gIwU0XkF","properties":{"formattedCitation":"(Purcell et al., 2007)","plainCitation":"(Purcell et al., 2007)","noteIndex":0},"citationItems":[{"id":3259,"uris":["http://zotero.org/users/9762508/items/TVXPRGS8"],"itemData":{"id":3259,"type":"article-journal","abstract":"Whole-genome association studies (WGAS) bring new computational, as well as analytic, challenges to researchers. Many existing genetic-analysis tools are not designed to handle such large data sets in a convenient manner and do not necessarily exploit the new opportunities that whole-genome data bring. To address these issues, we developed PLINK, an open-source C/C++ WGAS tool set. With PLINK, large data sets comprising hundreds of thousands of markers genotyped for thousands of individuals can be rapidly manipulated and analyzed in their entirety. As well as providing tools to make the basic analytic steps computationally efficient, PLINK also supports some novel approaches to whole-genome data that take advantage of whole-genome coverage. We introduce PLINK and describe the five main domains of function: data management, summary statistics, population stratification, association analysis, and identity-by-descent estimation. In particular, we focus on the estimation and use of identity-by-state and identity-by-descent information in the context of population-based whole-genome studies. This information can be used to detect and correct for population stratification and to identify extended chromosomal segments that are shared identical by descent between very distantly related individuals. Analysis of the patterns of segmental sharing has the potential to map disease loci that contain multiple rare variants in a population-based linkage analysis. © 2007 by The American Society of Human Genetics. All rights reserved.","container-title":"American journal of human genetics","DOI":"10.1086/519795","ISSN":"0002-9297","issue":"3","note":"PMID: 17701901\npublisher: Am J Hum Genet","page":"559-575","title":"PLINK: a tool set for whole-genome association and population-based linkage analyses","volume":"81","author":[{"family":"Purcell","given":"Shaun"},{"family":"Neale","given":"Benjamin"},{"family":"Todd-Brown","given":"Kathe"},{"family":"Thomas","given":"Lori"},{"family":"Ferreira","given":"Manuel A.R."},{"family":"Bender","given":"David"},{"family":"Maller","given":"Julian"},{"family":"Sklar","given":"Pamela"},{"family":"De Bakker","given":"Paul I.W."},{"family":"Daly","given":"Mark J."},{"family":"Sham","given":"Pak C."}],"issued":{"date-parts":[["2007"]]}}}],"schema":"https://github.com/citation-style-language/schema/raw/master/csl-citation.json"} </w:instrText>
      </w:r>
      <w:r w:rsidR="00196A4E">
        <w:rPr>
          <w:rFonts w:eastAsia="Arimo"/>
        </w:rPr>
        <w:fldChar w:fldCharType="separate"/>
      </w:r>
      <w:r w:rsidR="00196A4E" w:rsidRPr="00196A4E">
        <w:t>(Purcell et al., 2007)</w:t>
      </w:r>
      <w:r w:rsidR="00196A4E">
        <w:rPr>
          <w:rFonts w:eastAsia="Arimo"/>
        </w:rPr>
        <w:fldChar w:fldCharType="end"/>
      </w:r>
      <w:r w:rsidR="00196A4E">
        <w:rPr>
          <w:rFonts w:eastAsia="Arimo"/>
        </w:rPr>
        <w:t xml:space="preserve"> </w:t>
      </w:r>
      <w:r w:rsidRPr="00DD692C">
        <w:rPr>
          <w:rFonts w:eastAsia="Arimo"/>
        </w:rPr>
        <w:t xml:space="preserve">was used to conduct quality control, details of QC have been previously described </w:t>
      </w:r>
      <w:r w:rsidRPr="00196A4E">
        <w:rPr>
          <w:rFonts w:eastAsia="Arimo"/>
        </w:rPr>
        <w:t>by Helgeland et al</w:t>
      </w:r>
      <w:r w:rsidR="00196A4E" w:rsidRPr="00196A4E">
        <w:rPr>
          <w:rFonts w:eastAsia="Arimo"/>
        </w:rPr>
        <w:t xml:space="preserve">. </w:t>
      </w:r>
      <w:r w:rsidR="00196A4E" w:rsidRPr="00196A4E">
        <w:rPr>
          <w:rFonts w:eastAsia="Arimo"/>
        </w:rPr>
        <w:fldChar w:fldCharType="begin"/>
      </w:r>
      <w:r w:rsidR="00196A4E" w:rsidRPr="00196A4E">
        <w:rPr>
          <w:rFonts w:eastAsia="Arimo"/>
        </w:rPr>
        <w:instrText xml:space="preserve"> ADDIN ZOTERO_ITEM CSL_CITATION {"citationID":"jkwgyrK5","properties":{"formattedCitation":"(Helgeland et al., 2019)","plainCitation":"(Helgeland et al., 2019)","noteIndex":0},"citationItems":[{"id":3905,"uris":["http://zotero.org/users/9762508/items/ZJ3R8RMD"],"itemData":{"id":3905,"type":"article-journal","abstract":"Infant and childhood growth are dynamic processes with large changes in BMI during development. By performing genome-wide association studies of BMI at 12 time points from birth to eight years (9286 children, 74,105 measurements) in the Norwegian Mother, Father, and Child Cohort Study, replicated in 5235 children, we identify a transient effect in the leptin receptor (LEPR) locus: no effect at birth, increasing effect in infancy, peaking at 6–12 months (rs2767486, P6m = 2.0 × 10−21, β6m = 0.16 sd-BMI), and little effect after age five. We identify a similar transient effect near the leptin gene (LEP), peaking at 1.5 years (rs10487505, P1.5y = 1.3 × 10−8, β1.5y = 0.079 sd-BMI). Both signals are protein quantitative trait loci for soluble-LEPR and LEP in plasma in adults independent from adult traits mapped to the respective genes, suggesting key roles of common variation in the leptin signaling pathway for healthy infant growth.","container-title":"Nature Communications","DOI":"10.1038/s41467-019-12308-0","issue":"1","note":"publisher: Nature Publishing Group","page":"1-10","title":"Genome-wide association study reveals dynamic role of genetic variation in infant and early childhood growth","volume":"10","author":[{"family":"Helgeland","given":"Øyvind"},{"family":"Vaudel","given":"Marc"},{"family":"Juliusson","given":"Petur B."},{"family":"Lingaas Holmen","given":"Oddgeir"},{"family":"Juodakis","given":"Julius"},{"family":"Bacelis","given":"Jonas"},{"family":"Jacobsson","given":"Bo"},{"family":"Lindekleiv","given":"Haakon"},{"family":"Hveem","given":"Kristian"},{"family":"Lie","given":"Rolv Terje"},{"family":"Knudsen","given":"Gun Peggy"},{"family":"Stoltenberg","given":"Camilla"},{"family":"Magnus","given":"Per"},{"family":"Sagen","given":"Jørn V."},{"family":"Molven","given":"Anders"},{"family":"Johansson","given":"Stefan"},{"family":"Njølstad","given":"Pål Rasmus"}],"issued":{"date-parts":[["2019",12]]}}}],"schema":"https://github.com/citation-style-language/schema/raw/master/csl-citation.json"} </w:instrText>
      </w:r>
      <w:r w:rsidR="00196A4E" w:rsidRPr="00196A4E">
        <w:rPr>
          <w:rFonts w:eastAsia="Arimo"/>
        </w:rPr>
        <w:fldChar w:fldCharType="separate"/>
      </w:r>
      <w:r w:rsidR="00196A4E" w:rsidRPr="00196A4E">
        <w:t>(Helgeland et al., 2019)</w:t>
      </w:r>
      <w:r w:rsidR="00196A4E" w:rsidRPr="00196A4E">
        <w:rPr>
          <w:rFonts w:eastAsia="Arimo"/>
        </w:rPr>
        <w:fldChar w:fldCharType="end"/>
      </w:r>
      <w:sdt>
        <w:sdtPr>
          <w:tag w:val="goog_rdk_30"/>
          <w:id w:val="-513145627"/>
        </w:sdtPr>
        <w:sdtContent>
          <w:r w:rsidRPr="00196A4E">
            <w:rPr>
              <w:rFonts w:eastAsia="Arial Unicode MS"/>
            </w:rPr>
            <w:t xml:space="preserve">. Individuals were excluded if they had a genotyping call rate below 95% or autosomal heterozygosity greater than four standard deviations from the sample mean. SNPs were excluded if they were ambiguous (A/T and C/G), had a genotyping call rate below 98%, </w:t>
          </w:r>
          <w:r w:rsidR="005E689A" w:rsidRPr="00196A4E">
            <w:rPr>
              <w:rFonts w:eastAsia="Arial Unicode MS"/>
            </w:rPr>
            <w:t>MAF</w:t>
          </w:r>
          <w:r w:rsidRPr="00196A4E">
            <w:rPr>
              <w:rFonts w:eastAsia="Arial Unicode MS"/>
            </w:rPr>
            <w:t xml:space="preserve"> of less than 1%, or </w:t>
          </w:r>
          <w:r w:rsidR="005E689A" w:rsidRPr="00196A4E">
            <w:rPr>
              <w:rFonts w:eastAsia="Arial Unicode MS"/>
            </w:rPr>
            <w:t>HWE</w:t>
          </w:r>
          <w:r w:rsidRPr="00196A4E">
            <w:rPr>
              <w:rFonts w:eastAsia="Arial Unicode MS"/>
            </w:rPr>
            <w:t xml:space="preserve"> P-value less than</w:t>
          </w:r>
          <w:r w:rsidR="00DD692C" w:rsidRPr="00196A4E">
            <w:rPr>
              <w:rFonts w:eastAsia="Arial Unicode MS"/>
            </w:rPr>
            <w:t xml:space="preserve"> </w:t>
          </w:r>
          <m:oMath>
            <m:r>
              <w:rPr>
                <w:rFonts w:ascii="Cambria Math" w:eastAsia="Arial Unicode MS" w:hAnsi="Cambria Math"/>
              </w:rPr>
              <m:t>1x</m:t>
            </m:r>
            <m:sSup>
              <m:sSupPr>
                <m:ctrlPr>
                  <w:rPr>
                    <w:rFonts w:ascii="Cambria Math" w:eastAsia="Arial Unicode MS" w:hAnsi="Cambria Math"/>
                    <w:i/>
                  </w:rPr>
                </m:ctrlPr>
              </m:sSupPr>
              <m:e>
                <m:r>
                  <w:rPr>
                    <w:rFonts w:ascii="Cambria Math" w:eastAsia="Arial Unicode MS" w:hAnsi="Cambria Math"/>
                  </w:rPr>
                  <m:t>10</m:t>
                </m:r>
              </m:e>
              <m:sup>
                <m:r>
                  <w:rPr>
                    <w:rFonts w:ascii="Cambria Math" w:eastAsia="Arial Unicode MS" w:hAnsi="Cambria Math"/>
                  </w:rPr>
                  <m:t>-06</m:t>
                </m:r>
              </m:sup>
            </m:sSup>
          </m:oMath>
          <w:r w:rsidRPr="00196A4E">
            <w:rPr>
              <w:rFonts w:eastAsia="Arial Unicode MS"/>
            </w:rPr>
            <w:t xml:space="preserve">. Population stratification was assessed using the HapMap phase 3 release 3 as a reference, by </w:t>
          </w:r>
          <w:r w:rsidR="00561C75" w:rsidRPr="00196A4E">
            <w:rPr>
              <w:rFonts w:eastAsia="Arial Unicode MS"/>
            </w:rPr>
            <w:t xml:space="preserve">PCA </w:t>
          </w:r>
          <w:r w:rsidRPr="00196A4E">
            <w:rPr>
              <w:rFonts w:eastAsia="Arial Unicode MS"/>
            </w:rPr>
            <w:t xml:space="preserve">using EIGENSTRAT </w:t>
          </w:r>
          <w:r w:rsidR="001D0F65" w:rsidRPr="00196A4E">
            <w:rPr>
              <w:rFonts w:eastAsia="Arial Unicode MS"/>
            </w:rPr>
            <w:fldChar w:fldCharType="begin"/>
          </w:r>
          <w:r w:rsidR="001D0F65" w:rsidRPr="00196A4E">
            <w:rPr>
              <w:rFonts w:eastAsia="Arial Unicode MS"/>
            </w:rPr>
            <w:instrText xml:space="preserve"> ADDIN ZOTERO_ITEM CSL_CITATION {"citationID":"wXa9lcSn","properties":{"formattedCitation":"(Price et al., 2006)","plainCitation":"(Price et al., 2006)","noteIndex":0},"citationItems":[{"id":3266,"uris":["http://zotero.org/users/9762508/items/P5PLR8V2"],"itemData":{"id":3266,"type":"article-journal","abstract":"Population stratification - allele frequency differences between cases and controls due to systematic ancestry differences - can cause spurious associations in disease studies. We describe a method that enables explicit detection and correction of population stratification on a genome-wide scale. Our method uses principal components analysis to explicitly model ancestry differences between cases and controls. The resulting correction is specific to a candidate marker's variation in frequency across ancestral populations, minimizing spurious associations while maximizing power to detect true associations. Our simple, efficient approach can easily be applied to disease studies with hundreds of thousands of markers. © 2006 Nature Publishing Group.","container-title":"Nature genetics","DOI":"10.1038/NG1847","ISSN":"1061-4036","issue":"8","note":"PMID: 16862161\npublisher: Nat Genet","page":"904-909","title":"Principal components analysis corrects for stratification in genome-wide association studies","volume":"38","author":[{"family":"Price","given":"Alkes L."},{"family":"Patterson","given":"Nick J."},{"family":"Plenge","given":"Robert M."},{"family":"Weinblatt","given":"Michael E."},{"family":"Shadick","given":"Nancy A."},{"family":"Reich","given":"David"}],"issued":{"date-parts":[["2006",8]]}}}],"schema":"https://github.com/citation-style-language/schema/raw/master/csl-citation.json"} </w:instrText>
          </w:r>
          <w:r w:rsidR="001D0F65" w:rsidRPr="00196A4E">
            <w:rPr>
              <w:rFonts w:eastAsia="Arial Unicode MS"/>
            </w:rPr>
            <w:fldChar w:fldCharType="separate"/>
          </w:r>
          <w:r w:rsidR="001D0F65" w:rsidRPr="00196A4E">
            <w:t>(Price et al., 2006)</w:t>
          </w:r>
          <w:r w:rsidR="001D0F65" w:rsidRPr="00196A4E">
            <w:rPr>
              <w:rFonts w:eastAsia="Arial Unicode MS"/>
            </w:rPr>
            <w:fldChar w:fldCharType="end"/>
          </w:r>
          <w:r w:rsidR="001D0F65" w:rsidRPr="00196A4E">
            <w:rPr>
              <w:rFonts w:eastAsia="Arial Unicode MS"/>
            </w:rPr>
            <w:t xml:space="preserve"> </w:t>
          </w:r>
          <w:r w:rsidRPr="00196A4E">
            <w:rPr>
              <w:rFonts w:eastAsia="Arial Unicode MS"/>
            </w:rPr>
            <w:t xml:space="preserve">version 6.1.4. Visual inspection identified a homogenous population of European ethnicity and individuals of non-European ethnicity were </w:t>
          </w:r>
          <w:r w:rsidRPr="00196A4E">
            <w:rPr>
              <w:rFonts w:eastAsia="Arial Unicode MS"/>
            </w:rPr>
            <w:lastRenderedPageBreak/>
            <w:t xml:space="preserve">removed. Phasing was conducted using </w:t>
          </w:r>
          <w:proofErr w:type="spellStart"/>
          <w:r w:rsidRPr="00196A4E">
            <w:rPr>
              <w:rFonts w:eastAsia="Arial Unicode MS"/>
            </w:rPr>
            <w:t>Shapeit</w:t>
          </w:r>
          <w:proofErr w:type="spellEnd"/>
          <w:r w:rsidRPr="00196A4E">
            <w:rPr>
              <w:rFonts w:eastAsia="Arial Unicode MS"/>
            </w:rPr>
            <w:t xml:space="preserve"> </w:t>
          </w:r>
          <w:r w:rsidR="001D0F65" w:rsidRPr="00196A4E">
            <w:rPr>
              <w:rFonts w:eastAsia="Arial Unicode MS"/>
            </w:rPr>
            <w:fldChar w:fldCharType="begin"/>
          </w:r>
          <w:r w:rsidR="001D0F65" w:rsidRPr="00196A4E">
            <w:rPr>
              <w:rFonts w:eastAsia="Arial Unicode MS"/>
            </w:rPr>
            <w:instrText xml:space="preserve"> ADDIN ZOTERO_ITEM CSL_CITATION {"citationID":"0Z7Svrzu","properties":{"formattedCitation":"(Delaneau et al., 2013)","plainCitation":"(Delaneau et al., 2013)","noteIndex":0},"citationItems":[{"id":3639,"uris":["http://zotero.org/users/9762508/items/YLN2PAQD"],"itemData":{"id":3639,"type":"article-journal","container-title":"Nature Methods","DOI":"10.1038/nmeth.2307","ISSN":"1548-7105","issue":"1","journalAbbreviation":"Nat Methods","language":"en","license":"2013 Nature Publishing Group, a division of Macmillan Publishers Limited. All Rights Reserved.","note":"number: 1\npublisher: Nature Publishing Group","page":"5-6","source":"www.nature.com","title":"Improved whole-chromosome phasing for disease and population genetic studies","volume":"10","author":[{"family":"Delaneau","given":"Olivier"},{"family":"Zagury","given":"Jean-Francois"},{"family":"Marchini","given":"Jonathan"}],"issued":{"date-parts":[["2013",1]]}}}],"schema":"https://github.com/citation-style-language/schema/raw/master/csl-citation.json"} </w:instrText>
          </w:r>
          <w:r w:rsidR="001D0F65" w:rsidRPr="00196A4E">
            <w:rPr>
              <w:rFonts w:eastAsia="Arial Unicode MS"/>
            </w:rPr>
            <w:fldChar w:fldCharType="separate"/>
          </w:r>
          <w:r w:rsidR="001D0F65" w:rsidRPr="00196A4E">
            <w:t>(</w:t>
          </w:r>
          <w:proofErr w:type="spellStart"/>
          <w:r w:rsidR="001D0F65" w:rsidRPr="00196A4E">
            <w:t>Delaneau</w:t>
          </w:r>
          <w:proofErr w:type="spellEnd"/>
          <w:r w:rsidR="001D0F65" w:rsidRPr="00196A4E">
            <w:t xml:space="preserve"> et al., 2013)</w:t>
          </w:r>
          <w:r w:rsidR="001D0F65" w:rsidRPr="00196A4E">
            <w:rPr>
              <w:rFonts w:eastAsia="Arial Unicode MS"/>
            </w:rPr>
            <w:fldChar w:fldCharType="end"/>
          </w:r>
          <w:r w:rsidRPr="00196A4E">
            <w:rPr>
              <w:rFonts w:eastAsia="Arial Unicode MS"/>
            </w:rPr>
            <w:t xml:space="preserve"> release 837 and the </w:t>
          </w:r>
          <w:proofErr w:type="spellStart"/>
          <w:r w:rsidRPr="00196A4E">
            <w:rPr>
              <w:rFonts w:eastAsia="Arial Unicode MS"/>
            </w:rPr>
            <w:t>duoHMM</w:t>
          </w:r>
          <w:proofErr w:type="spellEnd"/>
          <w:r w:rsidRPr="00196A4E">
            <w:rPr>
              <w:rFonts w:eastAsia="Arial Unicode MS"/>
            </w:rPr>
            <w:t xml:space="preserve"> approach was used to account for the pedigree structure. Imputation was conducted using the Haplotype reference consortium (HRC) release 1-1 as the genetic reference panel. The Sanger Imputation Server was used to perform the imputation with the Positional Burrows</w:t>
          </w:r>
          <w:r w:rsidR="00DD692C" w:rsidRPr="00196A4E">
            <w:rPr>
              <w:rFonts w:eastAsia="Arial Unicode MS"/>
            </w:rPr>
            <w:t xml:space="preserve"> </w:t>
          </w:r>
          <w:r w:rsidRPr="00196A4E">
            <w:rPr>
              <w:rFonts w:eastAsia="Arial Unicode MS"/>
            </w:rPr>
            <w:t xml:space="preserve">Wheeler Transform (PBWT). The phasing and imputation were conducted separately for each genotyping batch. A core homogeneous sample of European ethnicity across all batches and arrays were available for use in analysis (totals prior to analysis-specific exclusions for relatedness: </w:t>
          </w:r>
          <m:oMath>
            <m:sSub>
              <m:sSubPr>
                <m:ctrlPr>
                  <w:rPr>
                    <w:rFonts w:ascii="Cambria Math" w:eastAsia="Arial Unicode MS" w:hAnsi="Cambria Math"/>
                    <w:i/>
                  </w:rPr>
                </m:ctrlPr>
              </m:sSubPr>
              <m:e>
                <m:r>
                  <w:rPr>
                    <w:rFonts w:ascii="Cambria Math" w:eastAsia="Arial Unicode MS" w:hAnsi="Cambria Math"/>
                  </w:rPr>
                  <m:t>N</m:t>
                </m:r>
              </m:e>
              <m:sub>
                <m:r>
                  <w:rPr>
                    <w:rFonts w:ascii="Cambria Math" w:eastAsia="Arial Unicode MS" w:hAnsi="Cambria Math"/>
                  </w:rPr>
                  <m:t>Mothers</m:t>
                </m:r>
              </m:sub>
            </m:sSub>
            <m:r>
              <w:rPr>
                <w:rFonts w:ascii="Cambria Math" w:eastAsia="Arial Unicode MS" w:hAnsi="Cambria Math"/>
              </w:rPr>
              <m:t>=14,804</m:t>
            </m:r>
          </m:oMath>
          <w:r w:rsidRPr="00196A4E">
            <w:rPr>
              <w:rFonts w:eastAsia="Arial Unicode MS"/>
            </w:rPr>
            <w:t>;</w:t>
          </w:r>
          <w:r w:rsidR="00DD692C" w:rsidRPr="00196A4E">
            <w:rPr>
              <w:rFonts w:eastAsia="Arial Unicode MS"/>
            </w:rPr>
            <w:t xml:space="preserve"> </w:t>
          </w:r>
          <m:oMath>
            <m:sSub>
              <m:sSubPr>
                <m:ctrlPr>
                  <w:rPr>
                    <w:rFonts w:ascii="Cambria Math" w:eastAsia="Arial Unicode MS" w:hAnsi="Cambria Math"/>
                    <w:i/>
                  </w:rPr>
                </m:ctrlPr>
              </m:sSubPr>
              <m:e>
                <m:r>
                  <w:rPr>
                    <w:rFonts w:ascii="Cambria Math" w:eastAsia="Arial Unicode MS" w:hAnsi="Cambria Math"/>
                  </w:rPr>
                  <m:t>N</m:t>
                </m:r>
              </m:e>
              <m:sub>
                <m:r>
                  <w:rPr>
                    <w:rFonts w:ascii="Cambria Math" w:eastAsia="Arial Unicode MS" w:hAnsi="Cambria Math"/>
                  </w:rPr>
                  <m:t>Fathers</m:t>
                </m:r>
              </m:sub>
            </m:sSub>
            <m:r>
              <w:rPr>
                <w:rFonts w:ascii="Cambria Math" w:eastAsia="Arial Unicode MS" w:hAnsi="Cambria Math"/>
              </w:rPr>
              <m:t>=15,198</m:t>
            </m:r>
          </m:oMath>
          <w:r w:rsidRPr="00196A4E">
            <w:rPr>
              <w:rFonts w:eastAsia="Arial Unicode MS"/>
            </w:rPr>
            <w:t>). OCD diagnosis was ascertained through linkage to the Norwegian Patient Registry (ICD-10 codes from specialist health care registered from 2008-2018). Case inclusion criteria were ICD-10 code F42 diagnosed at least once. Control inclusion criteria were no F-diagnosis. Control individuals were excluded if they were related to any of the cases (pihat</w:t>
          </w:r>
          <w:r w:rsidR="00196A4E">
            <w:rPr>
              <w:rFonts w:eastAsia="Arial Unicode MS"/>
            </w:rPr>
            <w:t xml:space="preserve"> </w:t>
          </w:r>
          <w:r w:rsidRPr="00196A4E">
            <w:rPr>
              <w:rFonts w:eastAsia="Arial Unicode MS"/>
            </w:rPr>
            <w:t>&gt;</w:t>
          </w:r>
          <w:r w:rsidR="00196A4E">
            <w:rPr>
              <w:rFonts w:eastAsia="Arial Unicode MS"/>
            </w:rPr>
            <w:t xml:space="preserve"> </w:t>
          </w:r>
          <w:r w:rsidRPr="00196A4E">
            <w:rPr>
              <w:rFonts w:eastAsia="Arial Unicode MS"/>
            </w:rPr>
            <w:t>0.2). Sex ratio in the cases was 40:60 (</w:t>
          </w:r>
          <w:proofErr w:type="spellStart"/>
          <w:proofErr w:type="gramStart"/>
          <w:r w:rsidRPr="00196A4E">
            <w:rPr>
              <w:rFonts w:eastAsia="Arial Unicode MS"/>
            </w:rPr>
            <w:t>male:female</w:t>
          </w:r>
          <w:proofErr w:type="spellEnd"/>
          <w:proofErr w:type="gramEnd"/>
          <w:r w:rsidRPr="00196A4E">
            <w:rPr>
              <w:rFonts w:eastAsia="Arial Unicode MS"/>
            </w:rPr>
            <w:t>) and in the controls 50:50. GWA analysis was based on 104 cases and 2193 controls. GWAS was performed using SAIGE</w:t>
          </w:r>
          <w:r w:rsidR="00E23A18" w:rsidRPr="00196A4E">
            <w:rPr>
              <w:rFonts w:eastAsia="Arial Unicode MS"/>
            </w:rPr>
            <w:t xml:space="preserve"> </w:t>
          </w:r>
          <w:r w:rsidR="00E23A18" w:rsidRPr="00196A4E">
            <w:rPr>
              <w:rFonts w:eastAsia="Arial Unicode MS"/>
            </w:rPr>
            <w:fldChar w:fldCharType="begin"/>
          </w:r>
          <w:r w:rsidR="00E23A18" w:rsidRPr="00196A4E">
            <w:rPr>
              <w:rFonts w:eastAsia="Arial Unicode MS"/>
            </w:rPr>
            <w:instrText xml:space="preserve"> ADDIN ZOTERO_ITEM CSL_CITATION {"citationID":"WAGKr1cU","properties":{"formattedCitation":"(Zhou et al., 2018)","plainCitation":"(Zhou et al., 2018)","noteIndex":0},"citationItems":[{"id":2074,"uris":["http://zotero.org/users/9762508/items/8GN2Q29U"],"itemData":{"id":2074,"type":"article-journal","abstract":"In genome-wide association studies (GWAS) for thousands of phenotypes in large biobanks, most binary traits have substantially fewer cases than controls. Both of the widely used approaches, linear mixed model and the recently proposed logistic mixed model, perform poorly -- producing large type I error rates -- in the analysis of phenotypes with unbalanced case-control ratios. Here we propose a scalable and accurate generalized mixed model association test that uses the saddlepoint approximation (SPA) to calibrate the distribution of score test statistics. This method, SAIGE, provides accurate p-values even when case-control ratios are extremely unbalanced. It utilizes state-of-art optimization strategies to reduce computational time and memory cost of generalized mixed model. The computation cost linearly depends on sample size, and hence can be applicable to GWAS for thousands of phenotypes by large biobanks. Through the analysis of UK-Biobank data of 408,961 white British European-ancestry samples, we show that SAIGE can efficiently analyze large sample data, controlling for unbalanced case-control ratios and sample relatedness.","container-title":"Nature Genetics","DOI":"10.1038/s41588-018-0184-y","ISSN":"15461718","issue":"9","note":"publisher: Springer US","page":"1335-1341","title":"Efficiently controlling for case-control imbalance and sample relatedness in large-scale genetic association studies","volume":"50","author":[{"family":"Zhou","given":"Wei"},{"family":"Nielsen","given":"Jonas B."},{"family":"Fritsche","given":"Lars G."},{"family":"Dey","given":"Rounak"},{"family":"Gabrielsen","given":"Maiken E."},{"family":"Wolford","given":"Brooke N."},{"family":"LeFaive","given":"Jonathon"},{"family":"VandeHaar","given":"Peter"},{"family":"Gagliano","given":"Sarah A."},{"family":"Gifford","given":"Aliya"},{"family":"Bastarache","given":"Lisa A."},{"family":"Wei","given":"Wei Qi"},{"family":"Denny","given":"Joshua C."},{"family":"Lin","given":"Maoxuan"},{"family":"Hveem","given":"Kristian"},{"family":"Kang","given":"Hyun Min"},{"family":"Abecasis","given":"Goncalo R."},{"family":"Willer","given":"Cristen J."},{"family":"Lee","given":"Seunggeun"}],"issued":{"date-parts":[["2018"]]}}}],"schema":"https://github.com/citation-style-language/schema/raw/master/csl-citation.json"} </w:instrText>
          </w:r>
          <w:r w:rsidR="00E23A18" w:rsidRPr="00196A4E">
            <w:rPr>
              <w:rFonts w:eastAsia="Arial Unicode MS"/>
            </w:rPr>
            <w:fldChar w:fldCharType="separate"/>
          </w:r>
          <w:r w:rsidR="00E23A18" w:rsidRPr="00196A4E">
            <w:t>(Zhou et al., 2018)</w:t>
          </w:r>
          <w:r w:rsidR="00E23A18" w:rsidRPr="00196A4E">
            <w:rPr>
              <w:rFonts w:eastAsia="Arial Unicode MS"/>
            </w:rPr>
            <w:fldChar w:fldCharType="end"/>
          </w:r>
          <w:r w:rsidRPr="00196A4E">
            <w:rPr>
              <w:rFonts w:eastAsia="Arial Unicode MS"/>
            </w:rPr>
            <w:t>, including the first 10 PCs and genotyping batch as covariates.</w:t>
          </w:r>
        </w:sdtContent>
      </w:sdt>
    </w:p>
    <w:p w14:paraId="00000040" w14:textId="77777777" w:rsidR="008E545C" w:rsidRPr="00DD692C" w:rsidRDefault="00000000">
      <w:pPr>
        <w:pStyle w:val="berschrift3"/>
        <w:spacing w:line="480" w:lineRule="auto"/>
        <w:jc w:val="both"/>
      </w:pPr>
      <w:bookmarkStart w:id="19" w:name="_heading=h.z337ya" w:colFirst="0" w:colLast="0"/>
      <w:bookmarkEnd w:id="19"/>
      <w:proofErr w:type="spellStart"/>
      <w:r w:rsidRPr="00DD692C">
        <w:t>NORDiC</w:t>
      </w:r>
      <w:proofErr w:type="spellEnd"/>
      <w:r w:rsidRPr="00DD692C">
        <w:t xml:space="preserve">-SWE | Crowley, J; </w:t>
      </w:r>
      <w:proofErr w:type="spellStart"/>
      <w:r w:rsidRPr="00DD692C">
        <w:t>Mataix</w:t>
      </w:r>
      <w:proofErr w:type="spellEnd"/>
      <w:r w:rsidRPr="00DD692C">
        <w:t xml:space="preserve">-Cols, D.; </w:t>
      </w:r>
      <w:proofErr w:type="spellStart"/>
      <w:r w:rsidRPr="00DD692C">
        <w:t>Rück</w:t>
      </w:r>
      <w:proofErr w:type="spellEnd"/>
      <w:r w:rsidRPr="00DD692C">
        <w:t xml:space="preserve">, C. | Sweden | 31424634 </w:t>
      </w:r>
    </w:p>
    <w:p w14:paraId="00000042" w14:textId="36C6F24E" w:rsidR="008E545C" w:rsidRPr="00DD692C" w:rsidRDefault="00000000">
      <w:pPr>
        <w:spacing w:line="480" w:lineRule="auto"/>
        <w:jc w:val="both"/>
      </w:pPr>
      <w:r w:rsidRPr="00DD692C">
        <w:rPr>
          <w:rFonts w:eastAsia="Arimo"/>
        </w:rPr>
        <w:t>A paper describing the rationale, design</w:t>
      </w:r>
      <w:r w:rsidR="000E2493">
        <w:rPr>
          <w:rFonts w:eastAsia="Arimo"/>
        </w:rPr>
        <w:t>,</w:t>
      </w:r>
      <w:r w:rsidRPr="00DD692C">
        <w:rPr>
          <w:rFonts w:eastAsia="Arimo"/>
        </w:rPr>
        <w:t xml:space="preserve"> and methods of the </w:t>
      </w:r>
      <w:proofErr w:type="spellStart"/>
      <w:r w:rsidRPr="00DD692C">
        <w:rPr>
          <w:rFonts w:eastAsia="Arimo"/>
        </w:rPr>
        <w:t>NORDiC</w:t>
      </w:r>
      <w:proofErr w:type="spellEnd"/>
      <w:r w:rsidRPr="00DD692C">
        <w:rPr>
          <w:rFonts w:eastAsia="Arimo"/>
        </w:rPr>
        <w:t xml:space="preserve"> study has been published previously</w:t>
      </w:r>
      <w:r w:rsidR="00196A4E">
        <w:rPr>
          <w:rFonts w:eastAsia="Arimo"/>
        </w:rPr>
        <w:t xml:space="preserve"> </w:t>
      </w:r>
      <w:r w:rsidR="00196A4E">
        <w:rPr>
          <w:rFonts w:eastAsia="Arimo"/>
        </w:rPr>
        <w:fldChar w:fldCharType="begin"/>
      </w:r>
      <w:r w:rsidR="00196A4E">
        <w:rPr>
          <w:rFonts w:eastAsia="Arimo"/>
        </w:rPr>
        <w:instrText xml:space="preserve"> ADDIN ZOTERO_ITEM CSL_CITATION {"citationID":"PsASKMWG","properties":{"formattedCitation":"(Mataix-Cols et al., 2020)","plainCitation":"(Mataix-Cols et al., 2020)","noteIndex":0},"citationItems":[{"id":3999,"uris":["http://zotero.org/users/9762508/items/GQKDWFMN"],"itemData":{"id":3999,"type":"article-journal","abstract":"Obsessive-compulsive disorder (OCD) is a debilitating psychiatric disorder, yet its etiology is unknown and treatment outcomes could be improved if biological targets could be identified. Unfortunately, genetic findings for OCD are lagging behind other psychiatric disorders. Thus, there is a pressing need to understand the causal mechanisms implicated in OCD in order to improve clinical outcomes and to reduce morbidity and societal costs. Specifically, there is a need for a large-scale, etiologically informative genetic study integrating genetic and environmental factors that presumably interact to cause the condition. The Nordic countries provide fertile ground for such a study, given their detailed population registers, national healthcare systems and active specialist clinics for OCD. We thus formed the Nordic OCD and Related Disorders Consortium (NORDiC, www.crowleylab.org/nordic), and with the support of NIMH and the Swedish Research Council, have begun to collect a large, richly phenotyped and genotyped sample of OCD cases. Our specific aims are geared toward answering a number of key questions regarding the biology, etiology, and treatment of OCD. This article describes and discusses the rationale, design, and methodology of NORDiC, including details on clinical measures and planned genomic analyses.","container-title":"American Journal of Medical Genetics. Part B, Neuropsychiatric Genetics: The Official Publication of the International Society of Psychiatric Genetics","DOI":"10.1002/ajmg.b.32756","ISSN":"1552-485X","issue":"1","journalAbbreviation":"Am J Med Genet B Neuropsychiatr Genet","language":"eng","note":"PMID: 31424634\nPMCID: PMC6898732","page":"38-50","source":"PubMed","title":"Nordic OCD &amp; Related Disorders Consortium: Rationale, design, and methods","title-short":"Nordic OCD &amp; Related Disorders Consortium","volume":"183","author":[{"family":"Mataix-Cols","given":"David"},{"family":"Hansen","given":"Bjarne"},{"family":"Mattheisen","given":"Manuel"},{"family":"Karlsson","given":"Elinor K."},{"family":"Addington","given":"Anjené M."},{"family":"Boberg","given":"Julia"},{"family":"Djurfeldt","given":"Diana R."},{"family":"Halvorsen","given":"Matthew"},{"family":"Lichtenstein","given":"Paul"},{"family":"Solem","given":"Stian"},{"family":"Lindblad-Toh","given":"Kerstin"},{"literal":"Nordic OCD and Related Disorders Consortium (NORDiC)"},{"family":"Haavik","given":"Jan"},{"family":"Kvale","given":"Gerd"},{"family":"Rück","given":"Christian"},{"family":"Crowley","given":"James J."}],"issued":{"date-parts":[["2020",1]]}}}],"schema":"https://github.com/citation-style-language/schema/raw/master/csl-citation.json"} </w:instrText>
      </w:r>
      <w:r w:rsidR="00196A4E">
        <w:rPr>
          <w:rFonts w:eastAsia="Arimo"/>
        </w:rPr>
        <w:fldChar w:fldCharType="separate"/>
      </w:r>
      <w:r w:rsidR="00196A4E" w:rsidRPr="00196A4E">
        <w:t>(Mataix-Cols et al., 2020)</w:t>
      </w:r>
      <w:r w:rsidR="00196A4E">
        <w:rPr>
          <w:rFonts w:eastAsia="Arimo"/>
        </w:rPr>
        <w:fldChar w:fldCharType="end"/>
      </w:r>
      <w:r w:rsidRPr="00DD692C">
        <w:rPr>
          <w:rFonts w:eastAsia="Arimo"/>
        </w:rPr>
        <w:t xml:space="preserve">. </w:t>
      </w:r>
      <w:proofErr w:type="spellStart"/>
      <w:r w:rsidRPr="00DD692C">
        <w:rPr>
          <w:rFonts w:eastAsia="Arimo"/>
        </w:rPr>
        <w:t>NORDiC</w:t>
      </w:r>
      <w:proofErr w:type="spellEnd"/>
      <w:r w:rsidR="00196A4E">
        <w:rPr>
          <w:rFonts w:eastAsia="Arimo"/>
        </w:rPr>
        <w:t>-</w:t>
      </w:r>
      <w:r w:rsidRPr="00DD692C">
        <w:rPr>
          <w:rFonts w:eastAsia="Arimo"/>
        </w:rPr>
        <w:t xml:space="preserve">SWE is the Swedish case-control arm of the </w:t>
      </w:r>
      <w:r w:rsidR="00D4634B" w:rsidRPr="00DD692C">
        <w:rPr>
          <w:rFonts w:eastAsia="Arimo"/>
        </w:rPr>
        <w:t>study,</w:t>
      </w:r>
      <w:r w:rsidRPr="00DD692C">
        <w:rPr>
          <w:rFonts w:eastAsia="Arimo"/>
        </w:rPr>
        <w:t xml:space="preserve"> and all samples were collected in Sweden between 2015 and 2019. </w:t>
      </w:r>
      <w:r w:rsidR="00042F2D">
        <w:rPr>
          <w:rFonts w:eastAsia="Arial Unicode MS"/>
        </w:rPr>
        <w:t>This</w:t>
      </w:r>
      <w:r w:rsidR="00042F2D" w:rsidRPr="00DD692C">
        <w:rPr>
          <w:rFonts w:eastAsia="Arial Unicode MS"/>
        </w:rPr>
        <w:t xml:space="preserve"> study was approved by the Regional Ethics Committee, Stockholm (EPN Stockholm) and the Institutional Review Board (IRB) at the University of North Carolina at Chapel Hill</w:t>
      </w:r>
      <w:r w:rsidR="00042F2D" w:rsidRPr="00DD692C">
        <w:rPr>
          <w:rFonts w:eastAsia="Arimo"/>
        </w:rPr>
        <w:t xml:space="preserve"> </w:t>
      </w:r>
      <w:r w:rsidRPr="00DD692C">
        <w:rPr>
          <w:rFonts w:eastAsia="Arimo"/>
        </w:rPr>
        <w:t xml:space="preserve">and all subjects provided informed consent. OCD </w:t>
      </w:r>
      <w:r w:rsidR="000E2493">
        <w:rPr>
          <w:rFonts w:eastAsia="Arimo"/>
        </w:rPr>
        <w:t>c</w:t>
      </w:r>
      <w:r w:rsidRPr="00DD692C">
        <w:rPr>
          <w:rFonts w:eastAsia="Arimo"/>
        </w:rPr>
        <w:t xml:space="preserve">ases have a primary ICD-10 and/or DSM-5 diagnosis of OCD from a multidisciplinary specialist OCD team (established with a semi-structured instrument such as the MINI or the SCID). All patients </w:t>
      </w:r>
      <w:r w:rsidR="00065EA0">
        <w:rPr>
          <w:rFonts w:eastAsia="Arimo"/>
        </w:rPr>
        <w:t>were</w:t>
      </w:r>
      <w:r w:rsidRPr="00DD692C">
        <w:rPr>
          <w:rFonts w:eastAsia="Arimo"/>
        </w:rPr>
        <w:t xml:space="preserve"> included in the study regardless of psychiatric comorbidity, </w:t>
      </w:r>
      <w:proofErr w:type="gramStart"/>
      <w:r w:rsidRPr="00DD692C">
        <w:rPr>
          <w:rFonts w:eastAsia="Arimo"/>
        </w:rPr>
        <w:t>as long as</w:t>
      </w:r>
      <w:proofErr w:type="gramEnd"/>
      <w:r w:rsidRPr="00DD692C">
        <w:rPr>
          <w:rFonts w:eastAsia="Arimo"/>
        </w:rPr>
        <w:t xml:space="preserve"> they fulfill</w:t>
      </w:r>
      <w:r w:rsidR="00065EA0">
        <w:rPr>
          <w:rFonts w:eastAsia="Arimo"/>
        </w:rPr>
        <w:t>ed</w:t>
      </w:r>
      <w:r w:rsidRPr="00DD692C">
        <w:rPr>
          <w:rFonts w:eastAsia="Arimo"/>
        </w:rPr>
        <w:t xml:space="preserve"> strict diagnostic criteria for OCD. Patients </w:t>
      </w:r>
      <w:r w:rsidR="00065EA0">
        <w:rPr>
          <w:rFonts w:eastAsia="Arimo"/>
        </w:rPr>
        <w:t>were</w:t>
      </w:r>
      <w:r w:rsidRPr="00DD692C">
        <w:rPr>
          <w:rFonts w:eastAsia="Arimo"/>
        </w:rPr>
        <w:t xml:space="preserve"> excluded in cases of diagnostic uncertainty, such as OCD secondary to a neurological disorder or CNS insult, or where the differential diagnosis between OCD and an alternative condition </w:t>
      </w:r>
      <w:r w:rsidR="00065EA0">
        <w:rPr>
          <w:rFonts w:eastAsia="Arimo"/>
        </w:rPr>
        <w:t>was</w:t>
      </w:r>
      <w:r w:rsidRPr="00DD692C">
        <w:rPr>
          <w:rFonts w:eastAsia="Arimo"/>
        </w:rPr>
        <w:t xml:space="preserve"> unclear. Our cases had a mean age at symptom debut of 12.1 years and 59% were female. Approximately 58% of patients </w:t>
      </w:r>
      <w:r w:rsidRPr="00DD692C">
        <w:rPr>
          <w:rFonts w:eastAsia="Arimo"/>
        </w:rPr>
        <w:lastRenderedPageBreak/>
        <w:t xml:space="preserve">had a documented psychiatric comorbidity. Controls were unrelated to any OCD case to the third degree and unaffected with OCD. Controls were excluded if they had a lifetime history of anorexia nervosa (controls were inherited from an anorexia GWAS). The controls included 95% females. The </w:t>
      </w:r>
      <w:proofErr w:type="spellStart"/>
      <w:r w:rsidRPr="00DD692C">
        <w:rPr>
          <w:rFonts w:eastAsia="Arimo"/>
        </w:rPr>
        <w:t>NORDiC</w:t>
      </w:r>
      <w:proofErr w:type="spellEnd"/>
      <w:r w:rsidRPr="00DD692C">
        <w:rPr>
          <w:rFonts w:eastAsia="Arimo"/>
        </w:rPr>
        <w:t>-SWE cohort consists of 971 OCD cases and 2735 controls (LIFEGENE control batch 1</w:t>
      </w:r>
      <w:r w:rsidR="00561C75">
        <w:rPr>
          <w:rFonts w:eastAsia="Arimo"/>
        </w:rPr>
        <w:t>:</w:t>
      </w:r>
      <w:r w:rsidRPr="00DD692C">
        <w:rPr>
          <w:rFonts w:eastAsia="Arimo"/>
        </w:rPr>
        <w:t xml:space="preserve"> N = 1026 and LIFEGENE control batch 2</w:t>
      </w:r>
      <w:r w:rsidR="00561C75">
        <w:rPr>
          <w:rFonts w:eastAsia="Arimo"/>
        </w:rPr>
        <w:t xml:space="preserve">: </w:t>
      </w:r>
      <w:r w:rsidRPr="00DD692C">
        <w:rPr>
          <w:rFonts w:eastAsia="Arimo"/>
        </w:rPr>
        <w:t xml:space="preserve">N = 1389). Subjects provided either blood or saliva for DNA extraction. All samples were genotyped on the Illumina Global Screening Array </w:t>
      </w:r>
      <w:r w:rsidR="00561C75">
        <w:rPr>
          <w:rFonts w:eastAsia="Arimo"/>
        </w:rPr>
        <w:t xml:space="preserve">(GSA) </w:t>
      </w:r>
      <w:r w:rsidRPr="00DD692C">
        <w:rPr>
          <w:rFonts w:eastAsia="Arimo"/>
        </w:rPr>
        <w:t xml:space="preserve">at LIFE&amp;BRAIN in Bonn, Germany. </w:t>
      </w:r>
      <w:sdt>
        <w:sdtPr>
          <w:tag w:val="goog_rdk_35"/>
          <w:id w:val="1605609511"/>
        </w:sdtPr>
        <w:sdtContent>
          <w:r w:rsidR="00561C75">
            <w:t>S</w:t>
          </w:r>
          <w:r w:rsidRPr="00DD692C">
            <w:rPr>
              <w:rFonts w:eastAsia="Arial Unicode MS"/>
            </w:rPr>
            <w:t>amples were filtered for duplicates (</w:t>
          </w:r>
          <m:oMath>
            <m:sSub>
              <m:sSubPr>
                <m:ctrlPr>
                  <w:rPr>
                    <w:rFonts w:ascii="Cambria Math" w:eastAsia="Arial Unicode MS" w:hAnsi="Cambria Math"/>
                    <w:i/>
                  </w:rPr>
                </m:ctrlPr>
              </m:sSubPr>
              <m:e>
                <m:r>
                  <w:rPr>
                    <w:rFonts w:ascii="Cambria Math" w:eastAsia="Arial Unicode MS" w:hAnsi="Cambria Math"/>
                  </w:rPr>
                  <m:t>pi</m:t>
                </m:r>
              </m:e>
              <m:sub>
                <m:r>
                  <w:rPr>
                    <w:rFonts w:ascii="Cambria Math" w:eastAsia="Arial Unicode MS" w:hAnsi="Cambria Math"/>
                  </w:rPr>
                  <m:t>hat</m:t>
                </m:r>
              </m:sub>
            </m:sSub>
          </m:oMath>
          <w:r w:rsidRPr="00DD692C">
            <w:rPr>
              <w:rFonts w:eastAsia="Arial Unicode MS"/>
            </w:rPr>
            <w:t xml:space="preserve"> ≥ 0.95) and cryptic relatedness (</w:t>
          </w:r>
          <m:oMath>
            <m:sSub>
              <m:sSubPr>
                <m:ctrlPr>
                  <w:rPr>
                    <w:rFonts w:ascii="Cambria Math" w:eastAsia="Arial Unicode MS" w:hAnsi="Cambria Math"/>
                    <w:i/>
                  </w:rPr>
                </m:ctrlPr>
              </m:sSubPr>
              <m:e>
                <m:r>
                  <w:rPr>
                    <w:rFonts w:ascii="Cambria Math" w:eastAsia="Arial Unicode MS" w:hAnsi="Cambria Math"/>
                  </w:rPr>
                  <m:t>pi</m:t>
                </m:r>
              </m:e>
              <m:sub>
                <m:r>
                  <w:rPr>
                    <w:rFonts w:ascii="Cambria Math" w:eastAsia="Arial Unicode MS" w:hAnsi="Cambria Math"/>
                  </w:rPr>
                  <m:t>hat</m:t>
                </m:r>
              </m:sub>
            </m:sSub>
          </m:oMath>
          <w:r w:rsidR="00D4634B">
            <w:rPr>
              <w:rFonts w:eastAsia="Arial Unicode MS"/>
            </w:rPr>
            <w:t xml:space="preserve"> </w:t>
          </w:r>
          <w:r w:rsidRPr="00DD692C">
            <w:rPr>
              <w:rFonts w:eastAsia="Arial Unicode MS"/>
            </w:rPr>
            <w:t xml:space="preserve">≥ 0.2). We selected individuals of European ancestry using </w:t>
          </w:r>
          <w:r w:rsidR="00561C75">
            <w:rPr>
              <w:rFonts w:eastAsia="Arial Unicode MS"/>
            </w:rPr>
            <w:t>PCA</w:t>
          </w:r>
          <w:r w:rsidRPr="00DD692C">
            <w:rPr>
              <w:rFonts w:eastAsia="Arial Unicode MS"/>
            </w:rPr>
            <w:t xml:space="preserve"> implemented in PEDDY v0.4.3</w:t>
          </w:r>
          <w:r w:rsidR="00065EA0">
            <w:rPr>
              <w:rFonts w:eastAsia="Arial Unicode MS"/>
            </w:rPr>
            <w:t xml:space="preserve"> </w:t>
          </w:r>
          <w:r w:rsidR="00065EA0">
            <w:rPr>
              <w:rFonts w:eastAsia="Arial Unicode MS"/>
            </w:rPr>
            <w:fldChar w:fldCharType="begin"/>
          </w:r>
          <w:r w:rsidR="00381117">
            <w:rPr>
              <w:rFonts w:eastAsia="Arial Unicode MS"/>
            </w:rPr>
            <w:instrText xml:space="preserve"> ADDIN ZOTERO_ITEM CSL_CITATION {"citationID":"GumiNJW0","properties":{"formattedCitation":"(B. S. Pedersen &amp; Quinlan, 2017)","plainCitation":"(B. S. Pedersen &amp; Quinlan, 2017)","noteIndex":0},"citationItems":[{"id":4630,"uris":["http://zotero.org/users/9762508/items/3K2CX3HU"],"itemData":{"id":4630,"type":"article-journal","container-title":"The American Journal of Human Genetics","DOI":"10.1016/j.ajhg.2017.01.017","ISSN":"0002-9297, 1537-6605","issue":"3","journalAbbreviation":"The American Journal of Human Genetics","language":"English","note":"publisher: Elsevier\nPMID: 28190455","page":"406-413","source":"www.cell.com","title":"Who’s Who? Detecting and Resolving Sample Anomalies in Human DNA Sequencing Studies with Peddy","title-short":"Who’s Who?","volume":"100","author":[{"family":"Pedersen","given":"Brent S."},{"family":"Quinlan","given":"Aaron R."}],"issued":{"date-parts":[["2017",3,2]]}}}],"schema":"https://github.com/citation-style-language/schema/raw/master/csl-citation.json"} </w:instrText>
          </w:r>
          <w:r w:rsidR="00065EA0">
            <w:rPr>
              <w:rFonts w:eastAsia="Arial Unicode MS"/>
            </w:rPr>
            <w:fldChar w:fldCharType="separate"/>
          </w:r>
          <w:r w:rsidR="00381117" w:rsidRPr="00381117">
            <w:t>(B. S. Pedersen &amp; Quinlan, 2017)</w:t>
          </w:r>
          <w:r w:rsidR="00065EA0">
            <w:rPr>
              <w:rFonts w:eastAsia="Arial Unicode MS"/>
            </w:rPr>
            <w:fldChar w:fldCharType="end"/>
          </w:r>
          <w:r w:rsidR="00042F2D">
            <w:rPr>
              <w:rFonts w:eastAsia="Arial Unicode MS"/>
            </w:rPr>
            <w:t xml:space="preserve">. </w:t>
          </w:r>
          <w:r w:rsidRPr="00DD692C">
            <w:rPr>
              <w:rFonts w:eastAsia="Arial Unicode MS"/>
            </w:rPr>
            <w:t>We defined variants as QC-failing if they met one of the following criteria: 1) maximum genotype missingness in a cohort &gt; 0.02; 2) allele frequency &lt; 0.001 in at least one cohort; 3) max – min allele frequency &gt; 0.1 across all five cohorts; 4) max – min allele frequency &gt; 0.03 across all three control cohorts; 5) genome-wide significant in a control vs. control synthetic GWAS. A total of 154</w:t>
          </w:r>
          <w:r w:rsidR="00065EA0">
            <w:rPr>
              <w:rFonts w:eastAsia="Arial Unicode MS"/>
            </w:rPr>
            <w:t>,</w:t>
          </w:r>
          <w:r w:rsidRPr="00DD692C">
            <w:rPr>
              <w:rFonts w:eastAsia="Arial Unicode MS"/>
            </w:rPr>
            <w:t xml:space="preserve">791 variants that met at least one of these criteria were excluded. We used the </w:t>
          </w:r>
          <w:r w:rsidR="00D4634B">
            <w:rPr>
              <w:rFonts w:eastAsia="Arial Unicode MS"/>
            </w:rPr>
            <w:t>RICOPILI</w:t>
          </w:r>
          <w:r w:rsidRPr="00DD692C">
            <w:rPr>
              <w:rFonts w:eastAsia="Arial Unicode MS"/>
            </w:rPr>
            <w:t xml:space="preserve"> v2018_Dec_7.001</w:t>
          </w:r>
          <w:r w:rsidR="00065EA0">
            <w:rPr>
              <w:rFonts w:eastAsia="Arial Unicode MS"/>
            </w:rPr>
            <w:t xml:space="preserve"> </w:t>
          </w:r>
          <w:r w:rsidR="00065EA0">
            <w:rPr>
              <w:rFonts w:eastAsia="Arial Unicode MS"/>
            </w:rPr>
            <w:fldChar w:fldCharType="begin"/>
          </w:r>
          <w:r w:rsidR="00065EA0">
            <w:rPr>
              <w:rFonts w:eastAsia="Arial Unicode MS"/>
            </w:rPr>
            <w:instrText xml:space="preserve"> ADDIN ZOTERO_ITEM CSL_CITATION {"citationID":"sK1rbous","properties":{"formattedCitation":"(Lam et al., 2020)","plainCitation":"(Lam et al., 2020)","noteIndex":0},"citationItems":[{"id":2660,"uris":["http://zotero.org/users/9762508/items/WB2BXSK8"],"itemData":{"id":2660,"type":"article-journal","abstract":"Genome-wide association study (GWAS) analyses, at sufficient sample sizes and power, have successfully revealed biological insights for several complex traits. RICOPILI, an open-sourced Perl-based pipeline was developed to address the challenges of rapidly processing large-scale multi-cohort GWAS studies including quality control (QC), imputation and downstream analyses. The pipeline is computationally efficient with portability to a wide range of high-performance computing environments. RICOPILI was created as the Psychiatric Genomics Consortium pipeline for GWAS and adopted by other users. The pipeline features (i) technical and genomic QC in case-control and trio cohorts, (ii) genome-wide phasing and imputation, (iv) association analysis, (v) meta-analysis, (vi) polygenic risk scoring and (vii) replication analysis. Notably, a major differentiator from other GWAS pipelines, RICOPILI leverages on automated parallelization and cluster job management approaches for rapid production of imputed genome-wide data. A comprehensive meta-analysis of simulated GWAS data has been incorporated demonstrating each step of the pipeline. This includes all the associated visualization plots, to allow ease of data interpretation and manuscript preparation. Simulated GWAS datasets are also packaged with the pipeline for user training tutorials and developer work.","container-title":"Bioinformatics","DOI":"10.1093/bioinformatics/btz633","ISSN":"14602059","issue":"3","note":"PMID: 31393554\npublisher: Oxford University Press","page":"930-933","title":"RICOPILI: Rapid Imputation for COnsortias PIpeLIne","volume":"36","author":[{"family":"Lam","given":"Max"},{"family":"Awasthi","given":"Swapnil"},{"family":"Watson","given":"Hunna J."},{"family":"Goldstein","given":"Jackie"},{"family":"Panagiotaropoulou","given":"Georgia"},{"family":"Trubetskoy","given":"Vassily"},{"family":"Karlsson","given":"Robert"},{"family":"Frei","given":"Oleksander"},{"family":"Fan","given":"Chun Chieh"},{"family":"De Witte","given":"Ward"},{"family":"Mota","given":"Nina R."},{"family":"Mullins","given":"Niamh"},{"family":"Brügger","given":"Kim"},{"family":"Hong Lee","given":"S."},{"family":"Wray","given":"Naomi R."},{"family":"Skarabis","given":"Nora"},{"family":"Huang","given":"Hailiang"},{"family":"Neale","given":"Benjamin"},{"family":"Daly","given":"Mark J."},{"family":"Mattheisen","given":"Manuel"},{"family":"Walters","given":"Raymond"},{"family":"Ripke","given":"Stephan"}],"issued":{"date-parts":[["2020",2,1]]}}}],"schema":"https://github.com/citation-style-language/schema/raw/master/csl-citation.json"} </w:instrText>
          </w:r>
          <w:r w:rsidR="00065EA0">
            <w:rPr>
              <w:rFonts w:eastAsia="Arial Unicode MS"/>
            </w:rPr>
            <w:fldChar w:fldCharType="separate"/>
          </w:r>
          <w:r w:rsidR="00065EA0" w:rsidRPr="00065EA0">
            <w:t>(Lam et al., 2020)</w:t>
          </w:r>
          <w:r w:rsidR="00065EA0">
            <w:rPr>
              <w:rFonts w:eastAsia="Arial Unicode MS"/>
            </w:rPr>
            <w:fldChar w:fldCharType="end"/>
          </w:r>
          <w:r w:rsidRPr="00DD692C">
            <w:rPr>
              <w:rFonts w:eastAsia="Arial Unicode MS"/>
            </w:rPr>
            <w:t xml:space="preserve"> pipeline to run an automated round of pre-imputation QC. The pre-imputation QC step involved a series of hard filters on variant and sample level data, including removing variants with pre-sample pruning call rate &lt; 0.95, samples with call rate &lt; 0.98, FHET outside of ± 0.20, samples with discrepancies between reported and derived sex, and post sample-pruning variants that meet any of the following : 1) call rate &lt; 0.98, 2) missing difference &gt; 0.02, 3) invariant positions, 4) MAF &gt; 0.01, 5) HWE </w:t>
          </w:r>
          <m:oMath>
            <m:r>
              <w:rPr>
                <w:rFonts w:ascii="Cambria Math" w:eastAsia="Arial Unicode MS" w:hAnsi="Cambria Math"/>
              </w:rPr>
              <m:t>p&lt;1x</m:t>
            </m:r>
            <m:sSup>
              <m:sSupPr>
                <m:ctrlPr>
                  <w:rPr>
                    <w:rFonts w:ascii="Cambria Math" w:eastAsia="Arial Unicode MS" w:hAnsi="Cambria Math"/>
                    <w:i/>
                  </w:rPr>
                </m:ctrlPr>
              </m:sSupPr>
              <m:e>
                <m:r>
                  <w:rPr>
                    <w:rFonts w:ascii="Cambria Math" w:eastAsia="Arial Unicode MS" w:hAnsi="Cambria Math"/>
                  </w:rPr>
                  <m:t>10</m:t>
                </m:r>
              </m:e>
              <m:sup>
                <m:r>
                  <w:rPr>
                    <w:rFonts w:ascii="Cambria Math" w:eastAsia="Arial Unicode MS" w:hAnsi="Cambria Math"/>
                  </w:rPr>
                  <m:t>-06</m:t>
                </m:r>
              </m:sup>
            </m:sSup>
          </m:oMath>
          <w:r w:rsidRPr="00DD692C">
            <w:rPr>
              <w:rFonts w:eastAsia="Arial Unicode MS"/>
            </w:rPr>
            <w:t xml:space="preserve"> in controls, and 6) HWE </w:t>
          </w:r>
          <m:oMath>
            <m:r>
              <w:rPr>
                <w:rFonts w:ascii="Cambria Math" w:eastAsia="Arial Unicode MS" w:hAnsi="Cambria Math"/>
              </w:rPr>
              <m:t>p&lt;1x</m:t>
            </m:r>
            <m:sSup>
              <m:sSupPr>
                <m:ctrlPr>
                  <w:rPr>
                    <w:rFonts w:ascii="Cambria Math" w:eastAsia="Arial Unicode MS" w:hAnsi="Cambria Math"/>
                    <w:i/>
                  </w:rPr>
                </m:ctrlPr>
              </m:sSupPr>
              <m:e>
                <m:r>
                  <w:rPr>
                    <w:rFonts w:ascii="Cambria Math" w:eastAsia="Arial Unicode MS" w:hAnsi="Cambria Math"/>
                  </w:rPr>
                  <m:t>10</m:t>
                </m:r>
              </m:e>
              <m:sup>
                <m:r>
                  <w:rPr>
                    <w:rFonts w:ascii="Cambria Math" w:eastAsia="Arial Unicode MS" w:hAnsi="Cambria Math"/>
                  </w:rPr>
                  <m:t>-10</m:t>
                </m:r>
              </m:sup>
            </m:sSup>
          </m:oMath>
          <w:r w:rsidRPr="00DD692C">
            <w:rPr>
              <w:rFonts w:eastAsia="Arial Unicode MS"/>
            </w:rPr>
            <w:t xml:space="preserve"> in cases. The final dataset consisted of 647,335 variant calls across a total of 1997 cases and 3943 controls. </w:t>
          </w:r>
          <w:r w:rsidR="00D4634B">
            <w:rPr>
              <w:rFonts w:eastAsia="Arial Unicode MS"/>
            </w:rPr>
            <w:t>RICOPILI’s</w:t>
          </w:r>
          <w:r w:rsidRPr="00DD692C">
            <w:rPr>
              <w:rFonts w:eastAsia="Arial Unicode MS"/>
            </w:rPr>
            <w:t xml:space="preserve"> </w:t>
          </w:r>
          <w:proofErr w:type="spellStart"/>
          <w:r w:rsidRPr="00DD692C">
            <w:rPr>
              <w:rFonts w:eastAsia="Arial Unicode MS"/>
            </w:rPr>
            <w:t>impute_dirsub</w:t>
          </w:r>
          <w:proofErr w:type="spellEnd"/>
          <w:r w:rsidRPr="00DD692C">
            <w:rPr>
              <w:rFonts w:eastAsia="Arial Unicode MS"/>
            </w:rPr>
            <w:t xml:space="preserve"> module was used to conduct imputation using the Haplotype Reference Consortium (HRC) reference panel. In our imputation run we used </w:t>
          </w:r>
          <w:r w:rsidR="00693630">
            <w:rPr>
              <w:rFonts w:eastAsia="Arial Unicode MS"/>
            </w:rPr>
            <w:t>EAGLE</w:t>
          </w:r>
          <w:r w:rsidRPr="00DD692C">
            <w:rPr>
              <w:rFonts w:eastAsia="Arial Unicode MS"/>
            </w:rPr>
            <w:t xml:space="preserve"> v2.3.5</w:t>
          </w:r>
          <w:r w:rsidR="00693630">
            <w:rPr>
              <w:rFonts w:eastAsia="Arial Unicode MS"/>
            </w:rPr>
            <w:t xml:space="preserve"> </w:t>
          </w:r>
          <w:r w:rsidR="00693630">
            <w:rPr>
              <w:rFonts w:eastAsia="Arial Unicode MS"/>
            </w:rPr>
            <w:fldChar w:fldCharType="begin"/>
          </w:r>
          <w:r w:rsidR="00693630">
            <w:rPr>
              <w:rFonts w:eastAsia="Arial Unicode MS"/>
            </w:rPr>
            <w:instrText xml:space="preserve"> ADDIN ZOTERO_ITEM CSL_CITATION {"citationID":"BZAHVm7i","properties":{"formattedCitation":"(Loh, Danecek, et al., 2016)","plainCitation":"(Loh, Danecek, et al., 2016)","noteIndex":0},"citationItems":[{"id":3250,"uris":["http://zotero.org/users/9762508/items/8GI5EZYY"],"itemData":{"id":3250,"type":"article-journal","abstract":"Po-Ru Loh, Alkes Price and colleagues present Eagle2, a reference-based phasing algorithm that allows for highly accurate and efficient phasing of genotypes across a broad range of cohort sizes. They demonstrate an approximately 10% improvement in accuracy and 20% improvement in speed compared to a competing method, SHAPEIT2. Haplotype phasing is a fundamental problem in medical and population genetics. Phasing is generally performed via statistical phasing in a genotyped cohort, an approach that can yield high accuracy in very large cohorts but attains lower accuracy in smaller cohorts. Here we instead explore the paradigm of reference-based phasing. We introduce a new phasing algorithm, Eagle2, that attains high accuracy across a broad range of cohort sizes by efficiently leveraging information from large external reference panels (such as the Haplotype Reference Consortium; HRC) using a new data structure based on the positional Burrows-Wheeler transform. We demonstrate that Eagle2 attains a </w:instrText>
          </w:r>
          <w:r w:rsidR="00693630">
            <w:rPr>
              <w:rFonts w:ascii="Cambria Math" w:eastAsia="Arial Unicode MS" w:hAnsi="Cambria Math" w:cs="Cambria Math"/>
            </w:rPr>
            <w:instrText>∼</w:instrText>
          </w:r>
          <w:r w:rsidR="00693630">
            <w:rPr>
              <w:rFonts w:eastAsia="Arial Unicode MS"/>
            </w:rPr>
            <w:instrText xml:space="preserve">20× speedup and </w:instrText>
          </w:r>
          <w:r w:rsidR="00693630">
            <w:rPr>
              <w:rFonts w:ascii="Cambria Math" w:eastAsia="Arial Unicode MS" w:hAnsi="Cambria Math" w:cs="Cambria Math"/>
            </w:rPr>
            <w:instrText>∼</w:instrText>
          </w:r>
          <w:r w:rsidR="00693630">
            <w:rPr>
              <w:rFonts w:eastAsia="Arial Unicode MS"/>
            </w:rPr>
            <w:instrText xml:space="preserve">10% increase in accuracy compared to reference-based phasing using SHAPEIT2. On European-ancestry samples, Eagle2 with the HRC panel achieves &gt;2× the accuracy of 1000 Genomes–based phasing. Eagle2 is open source and freely available for HRC-based phasing via the Sanger Imputation Service and the Michigan Imputation Server.","container-title":"Nature Genetics 2016 48:11","DOI":"10.1038/ng.3679","ISSN":"1546-1718","issue":"11","note":"PMID: 27694958\npublisher: Nature Publishing Group","page":"1443-1448","title":"Reference-based phasing using the Haplotype Reference Consortium panel","volume":"48","author":[{"family":"Loh","given":"Po Ru"},{"family":"Danecek","given":"Petr"},{"family":"Palamara","given":"Pier Francesco"},{"family":"Fuchsberger","given":"Christian"},{"family":"Reshef","given":"Yakir A."},{"family":"Finucane","given":"Hilary K."},{"family":"Schoenherr","given":"Sebastian"},{"family":"Forer","given":"Lukas"},{"family":"McCarthy","given":"Shane"},{"family":"Abecasis","given":"Goncalo R."},{"family":"Durbin","given":"Richard"},{"family":"Price","given":"Alkes L."}],"issued":{"date-parts":[["2016",10,3]]}}}],"schema":"https://github.com/citation-style-language/schema/raw/master/csl-citation.json"} </w:instrText>
          </w:r>
          <w:r w:rsidR="00693630">
            <w:rPr>
              <w:rFonts w:eastAsia="Arial Unicode MS"/>
            </w:rPr>
            <w:fldChar w:fldCharType="separate"/>
          </w:r>
          <w:r w:rsidR="00693630" w:rsidRPr="00693630">
            <w:t>(Loh, Danecek, et al., 2016)</w:t>
          </w:r>
          <w:r w:rsidR="00693630">
            <w:rPr>
              <w:rFonts w:eastAsia="Arial Unicode MS"/>
            </w:rPr>
            <w:fldChar w:fldCharType="end"/>
          </w:r>
          <w:r w:rsidRPr="00DD692C">
            <w:rPr>
              <w:rFonts w:eastAsia="Arial Unicode MS"/>
            </w:rPr>
            <w:t xml:space="preserve"> for pre-phasing, and minimac3 v2.0.1</w:t>
          </w:r>
          <w:r w:rsidR="00065EA0">
            <w:rPr>
              <w:rFonts w:eastAsia="Arial Unicode MS"/>
            </w:rPr>
            <w:t xml:space="preserve"> </w:t>
          </w:r>
          <w:r w:rsidR="00065EA0">
            <w:rPr>
              <w:rFonts w:eastAsia="Arial Unicode MS"/>
            </w:rPr>
            <w:fldChar w:fldCharType="begin"/>
          </w:r>
          <w:r w:rsidR="00065EA0">
            <w:rPr>
              <w:rFonts w:eastAsia="Arial Unicode MS"/>
            </w:rPr>
            <w:instrText xml:space="preserve"> ADDIN ZOTERO_ITEM CSL_CITATION {"citationID":"oatydtSp","properties":{"formattedCitation":"(Das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065EA0">
            <w:rPr>
              <w:rFonts w:eastAsia="Arial Unicode MS"/>
            </w:rPr>
            <w:fldChar w:fldCharType="separate"/>
          </w:r>
          <w:r w:rsidR="00065EA0" w:rsidRPr="00065EA0">
            <w:t>(Das et al., 2016)</w:t>
          </w:r>
          <w:r w:rsidR="00065EA0">
            <w:rPr>
              <w:rFonts w:eastAsia="Arial Unicode MS"/>
            </w:rPr>
            <w:fldChar w:fldCharType="end"/>
          </w:r>
          <w:r w:rsidRPr="00DD692C">
            <w:rPr>
              <w:rFonts w:eastAsia="Arial Unicode MS"/>
            </w:rPr>
            <w:t xml:space="preserve"> for imputation. We derived 3 different imputed </w:t>
          </w:r>
          <w:proofErr w:type="spellStart"/>
          <w:r w:rsidRPr="00DD692C">
            <w:rPr>
              <w:rFonts w:eastAsia="Arial Unicode MS"/>
            </w:rPr>
            <w:t>callsets</w:t>
          </w:r>
          <w:proofErr w:type="spellEnd"/>
          <w:r w:rsidRPr="00DD692C">
            <w:rPr>
              <w:rFonts w:eastAsia="Arial Unicode MS"/>
            </w:rPr>
            <w:t xml:space="preserve"> from this process: 1) a set of high confidence imputed genotypes (2</w:t>
          </w:r>
          <w:r w:rsidR="00D4634B">
            <w:rPr>
              <w:rFonts w:eastAsia="Arial Unicode MS"/>
            </w:rPr>
            <w:t>,</w:t>
          </w:r>
          <w:r w:rsidRPr="00DD692C">
            <w:rPr>
              <w:rFonts w:eastAsia="Arial Unicode MS"/>
            </w:rPr>
            <w:t>771</w:t>
          </w:r>
          <w:r w:rsidR="00D4634B">
            <w:rPr>
              <w:rFonts w:eastAsia="Arial Unicode MS"/>
            </w:rPr>
            <w:t>,</w:t>
          </w:r>
          <w:r w:rsidRPr="00DD692C">
            <w:rPr>
              <w:rFonts w:eastAsia="Arial Unicode MS"/>
            </w:rPr>
            <w:t>425 SNPs), 2) 7</w:t>
          </w:r>
          <w:r w:rsidR="00D4634B">
            <w:rPr>
              <w:rFonts w:eastAsia="Arial Unicode MS"/>
            </w:rPr>
            <w:t>,</w:t>
          </w:r>
          <w:r w:rsidRPr="00DD692C">
            <w:rPr>
              <w:rFonts w:eastAsia="Arial Unicode MS"/>
            </w:rPr>
            <w:t>112</w:t>
          </w:r>
          <w:r w:rsidR="00D4634B">
            <w:rPr>
              <w:rFonts w:eastAsia="Arial Unicode MS"/>
            </w:rPr>
            <w:t>,</w:t>
          </w:r>
          <w:r w:rsidRPr="00DD692C">
            <w:rPr>
              <w:rFonts w:eastAsia="Arial Unicode MS"/>
            </w:rPr>
            <w:t xml:space="preserve">906 imputed best-guess genotypes with medium level accuracy, and 3) genotypes for variants where imputation accuracy is lowered </w:t>
          </w:r>
          <w:proofErr w:type="gramStart"/>
          <w:r w:rsidRPr="00DD692C">
            <w:rPr>
              <w:rFonts w:eastAsia="Arial Unicode MS"/>
            </w:rPr>
            <w:t>in order to</w:t>
          </w:r>
          <w:proofErr w:type="gramEnd"/>
          <w:r w:rsidRPr="00DD692C">
            <w:rPr>
              <w:rFonts w:eastAsia="Arial Unicode MS"/>
            </w:rPr>
            <w:t xml:space="preserve"> increase </w:t>
          </w:r>
          <w:r w:rsidRPr="00DD692C">
            <w:rPr>
              <w:rFonts w:eastAsia="Arial Unicode MS"/>
            </w:rPr>
            <w:lastRenderedPageBreak/>
            <w:t>the total number of variants included in the imputation (resulting in 8</w:t>
          </w:r>
          <w:r w:rsidR="00D4634B">
            <w:rPr>
              <w:rFonts w:eastAsia="Arial Unicode MS"/>
            </w:rPr>
            <w:t>,</w:t>
          </w:r>
          <w:r w:rsidRPr="00DD692C">
            <w:rPr>
              <w:rFonts w:eastAsia="Arial Unicode MS"/>
            </w:rPr>
            <w:t>995</w:t>
          </w:r>
          <w:r w:rsidR="00D4634B">
            <w:rPr>
              <w:rFonts w:eastAsia="Arial Unicode MS"/>
            </w:rPr>
            <w:t>,</w:t>
          </w:r>
          <w:r w:rsidRPr="00DD692C">
            <w:rPr>
              <w:rFonts w:eastAsia="Arial Unicode MS"/>
            </w:rPr>
            <w:t xml:space="preserve">398 SNPs). We elected to run our GWAS across the largest dataset of imputed variants that were generated during the imputation process on a subset of samples that were of European ancestry. We conducted PCA on these samples across high-confidence imputed genotypes using the </w:t>
          </w:r>
          <w:proofErr w:type="spellStart"/>
          <w:r w:rsidRPr="00DD692C">
            <w:rPr>
              <w:rFonts w:eastAsia="Arial Unicode MS"/>
            </w:rPr>
            <w:t>pacer_sub</w:t>
          </w:r>
          <w:proofErr w:type="spellEnd"/>
          <w:r w:rsidRPr="00DD692C">
            <w:rPr>
              <w:rFonts w:eastAsia="Arial Unicode MS"/>
            </w:rPr>
            <w:t xml:space="preserve"> </w:t>
          </w:r>
          <w:r w:rsidR="00D4634B">
            <w:rPr>
              <w:rFonts w:eastAsia="Arial Unicode MS"/>
            </w:rPr>
            <w:t>RICOPILI</w:t>
          </w:r>
          <w:r w:rsidRPr="00DD692C">
            <w:rPr>
              <w:rFonts w:eastAsia="Arial Unicode MS"/>
            </w:rPr>
            <w:t xml:space="preserve"> module and tested the first 20 PCs for significant association with sample case/control status (significant = p-value &lt; 0.05/20). We identified PCs 1, 3 and 14 as significant predictors and used them as covariates in the GWAS analysis. We used </w:t>
          </w:r>
          <w:r w:rsidR="00D4634B">
            <w:rPr>
              <w:rFonts w:eastAsia="Arial Unicode MS"/>
            </w:rPr>
            <w:t>RICOPILI’s</w:t>
          </w:r>
          <w:r w:rsidRPr="00DD692C">
            <w:rPr>
              <w:rFonts w:eastAsia="Arial Unicode MS"/>
            </w:rPr>
            <w:t xml:space="preserve"> </w:t>
          </w:r>
          <w:proofErr w:type="spellStart"/>
          <w:r w:rsidRPr="00DD692C">
            <w:rPr>
              <w:rFonts w:eastAsia="Arial Unicode MS"/>
            </w:rPr>
            <w:t>postimp_navi</w:t>
          </w:r>
          <w:proofErr w:type="spellEnd"/>
          <w:r w:rsidRPr="00DD692C">
            <w:rPr>
              <w:rFonts w:eastAsia="Arial Unicode MS"/>
            </w:rPr>
            <w:t xml:space="preserve"> module to conduct the final GWAS. Summary statistics were well controlled across the separate GWAS. We noted a lambda of 1.01 and a lambda1000 of 1.01 across a total of 7</w:t>
          </w:r>
          <w:r w:rsidR="00D4634B">
            <w:rPr>
              <w:rFonts w:eastAsia="Arial Unicode MS"/>
            </w:rPr>
            <w:t>,</w:t>
          </w:r>
          <w:r w:rsidRPr="00DD692C">
            <w:rPr>
              <w:rFonts w:eastAsia="Arial Unicode MS"/>
            </w:rPr>
            <w:t>679</w:t>
          </w:r>
          <w:r w:rsidR="00D4634B">
            <w:rPr>
              <w:rFonts w:eastAsia="Arial Unicode MS"/>
            </w:rPr>
            <w:t>,</w:t>
          </w:r>
          <w:r w:rsidRPr="00DD692C">
            <w:rPr>
              <w:rFonts w:eastAsia="Arial Unicode MS"/>
            </w:rPr>
            <w:t>714 tested SNPs.</w:t>
          </w:r>
        </w:sdtContent>
      </w:sdt>
      <w:r w:rsidRPr="00DD692C">
        <w:rPr>
          <w:rFonts w:eastAsia="Arial Unicode MS"/>
        </w:rPr>
        <w:t xml:space="preserve"> </w:t>
      </w:r>
    </w:p>
    <w:p w14:paraId="00000043" w14:textId="77777777" w:rsidR="008E545C" w:rsidRPr="00DD692C" w:rsidRDefault="00000000">
      <w:pPr>
        <w:pStyle w:val="berschrift3"/>
        <w:spacing w:line="480" w:lineRule="auto"/>
        <w:jc w:val="both"/>
      </w:pPr>
      <w:bookmarkStart w:id="20" w:name="_heading=h.3j2qqm3" w:colFirst="0" w:colLast="0"/>
      <w:bookmarkEnd w:id="20"/>
      <w:proofErr w:type="spellStart"/>
      <w:r w:rsidRPr="00DD692C">
        <w:t>NORDiC</w:t>
      </w:r>
      <w:proofErr w:type="spellEnd"/>
      <w:r w:rsidRPr="00DD692C">
        <w:t xml:space="preserve">-NOR | Crowley, J.; Kvale, G.; Hansen, S. | Norway | 31424634 </w:t>
      </w:r>
    </w:p>
    <w:p w14:paraId="00000045" w14:textId="7333CEB6" w:rsidR="008E545C" w:rsidRPr="00DD692C" w:rsidRDefault="00000000">
      <w:pPr>
        <w:spacing w:line="480" w:lineRule="auto"/>
        <w:jc w:val="both"/>
      </w:pPr>
      <w:proofErr w:type="spellStart"/>
      <w:r w:rsidRPr="00DD692C">
        <w:rPr>
          <w:rFonts w:eastAsia="Arimo"/>
        </w:rPr>
        <w:t>NORDiC</w:t>
      </w:r>
      <w:proofErr w:type="spellEnd"/>
      <w:r w:rsidRPr="00DD692C">
        <w:rPr>
          <w:rFonts w:eastAsia="Arimo"/>
        </w:rPr>
        <w:t xml:space="preserve">-NOR is the Norwegian case-control arm of the </w:t>
      </w:r>
      <w:proofErr w:type="spellStart"/>
      <w:r w:rsidRPr="00DD692C">
        <w:rPr>
          <w:rFonts w:eastAsia="Arimo"/>
        </w:rPr>
        <w:t>NORDiC</w:t>
      </w:r>
      <w:proofErr w:type="spellEnd"/>
      <w:r w:rsidRPr="00DD692C">
        <w:rPr>
          <w:rFonts w:eastAsia="Arimo"/>
        </w:rPr>
        <w:t xml:space="preserve"> study and all samples were collected in Norway between 2016 and 2019. </w:t>
      </w:r>
      <w:r w:rsidR="00441BB3" w:rsidRPr="00DD692C">
        <w:rPr>
          <w:rFonts w:eastAsia="Arial Unicode MS"/>
        </w:rPr>
        <w:t xml:space="preserve">The </w:t>
      </w:r>
      <w:proofErr w:type="spellStart"/>
      <w:r w:rsidR="00441BB3" w:rsidRPr="00DD692C">
        <w:rPr>
          <w:rFonts w:eastAsia="Arial Unicode MS"/>
        </w:rPr>
        <w:t>NORD</w:t>
      </w:r>
      <w:r w:rsidR="00441BB3">
        <w:rPr>
          <w:rFonts w:eastAsia="Arial Unicode MS"/>
        </w:rPr>
        <w:t>i</w:t>
      </w:r>
      <w:r w:rsidR="00441BB3" w:rsidRPr="00DD692C">
        <w:rPr>
          <w:rFonts w:eastAsia="Arial Unicode MS"/>
        </w:rPr>
        <w:t>C</w:t>
      </w:r>
      <w:proofErr w:type="spellEnd"/>
      <w:r w:rsidR="00441BB3">
        <w:rPr>
          <w:rFonts w:eastAsia="Arial Unicode MS"/>
        </w:rPr>
        <w:t>-</w:t>
      </w:r>
      <w:r w:rsidR="00441BB3" w:rsidRPr="00DD692C">
        <w:rPr>
          <w:rFonts w:eastAsia="Arial Unicode MS"/>
        </w:rPr>
        <w:t>NOR study was approved by the Norwegian Regional Committee for Medical and Health Research Ethics (</w:t>
      </w:r>
      <w:sdt>
        <w:sdtPr>
          <w:tag w:val="goog_rdk_54"/>
          <w:id w:val="-223135532"/>
        </w:sdtPr>
        <w:sdtContent>
          <w:r w:rsidR="00441BB3" w:rsidRPr="00DD692C">
            <w:rPr>
              <w:rFonts w:eastAsia="Arimo"/>
            </w:rPr>
            <w:t>IRB00001872 REK West</w:t>
          </w:r>
        </w:sdtContent>
      </w:sdt>
      <w:r w:rsidR="00441BB3" w:rsidRPr="00DD692C">
        <w:rPr>
          <w:rFonts w:eastAsia="Arimo"/>
        </w:rPr>
        <w:t xml:space="preserve">) under project number 2018/52 </w:t>
      </w:r>
      <w:proofErr w:type="spellStart"/>
      <w:r w:rsidR="00441BB3" w:rsidRPr="00DD692C">
        <w:rPr>
          <w:rFonts w:eastAsia="Arimo"/>
        </w:rPr>
        <w:t>REKVest</w:t>
      </w:r>
      <w:proofErr w:type="spellEnd"/>
      <w:r w:rsidR="00441BB3" w:rsidRPr="00DD692C">
        <w:rPr>
          <w:rFonts w:eastAsia="Arimo"/>
        </w:rPr>
        <w:t xml:space="preserve"> (PI</w:t>
      </w:r>
      <w:r w:rsidR="00441BB3">
        <w:rPr>
          <w:rFonts w:eastAsia="Arimo"/>
        </w:rPr>
        <w:t>:</w:t>
      </w:r>
      <w:r w:rsidR="00441BB3" w:rsidRPr="00DD692C">
        <w:rPr>
          <w:rFonts w:eastAsia="Arimo"/>
        </w:rPr>
        <w:t xml:space="preserve"> Bjarne Hansen) and project number: 2014/75 </w:t>
      </w:r>
      <w:proofErr w:type="spellStart"/>
      <w:r w:rsidR="00441BB3" w:rsidRPr="00DD692C">
        <w:rPr>
          <w:rFonts w:eastAsia="Arimo"/>
        </w:rPr>
        <w:t>REKVest</w:t>
      </w:r>
      <w:proofErr w:type="spellEnd"/>
      <w:r w:rsidR="00441BB3" w:rsidRPr="00DD692C">
        <w:rPr>
          <w:rFonts w:eastAsia="Arimo"/>
        </w:rPr>
        <w:t xml:space="preserve"> (PI: Jan Haavik)</w:t>
      </w:r>
      <w:r w:rsidR="00441BB3">
        <w:rPr>
          <w:rFonts w:eastAsia="Arimo"/>
        </w:rPr>
        <w:t xml:space="preserve"> </w:t>
      </w:r>
      <w:r w:rsidRPr="00DD692C">
        <w:rPr>
          <w:rFonts w:eastAsia="Arimo"/>
        </w:rPr>
        <w:t xml:space="preserve">and all subjects provided informed consent. OCD Cases have a primary ICD-10 and/or DSM-5 diagnosis of OCD from a multidisciplinary specialist OCD team (established with a semi-structured instrument such as the MINI or the SCID). All patients </w:t>
      </w:r>
      <w:sdt>
        <w:sdtPr>
          <w:tag w:val="goog_rdk_37"/>
          <w:id w:val="220337416"/>
        </w:sdtPr>
        <w:sdtContent>
          <w:sdt>
            <w:sdtPr>
              <w:tag w:val="goog_rdk_38"/>
              <w:id w:val="-355036928"/>
            </w:sdtPr>
            <w:sdtContent/>
          </w:sdt>
        </w:sdtContent>
      </w:sdt>
      <w:sdt>
        <w:sdtPr>
          <w:tag w:val="goog_rdk_39"/>
          <w:id w:val="1167826406"/>
        </w:sdtPr>
        <w:sdtContent>
          <w:r w:rsidRPr="00DD692C">
            <w:rPr>
              <w:rFonts w:eastAsia="Arimo"/>
            </w:rPr>
            <w:t>were</w:t>
          </w:r>
        </w:sdtContent>
      </w:sdt>
      <w:r w:rsidRPr="00DD692C">
        <w:rPr>
          <w:rFonts w:eastAsia="Arimo"/>
        </w:rPr>
        <w:t xml:space="preserve"> included in the study regardless of psychiatric comorbidity, </w:t>
      </w:r>
      <w:proofErr w:type="gramStart"/>
      <w:r w:rsidRPr="00DD692C">
        <w:rPr>
          <w:rFonts w:eastAsia="Arimo"/>
        </w:rPr>
        <w:t>as long as</w:t>
      </w:r>
      <w:proofErr w:type="gramEnd"/>
      <w:r w:rsidRPr="00DD692C">
        <w:rPr>
          <w:rFonts w:eastAsia="Arimo"/>
        </w:rPr>
        <w:t xml:space="preserve"> they fulfill</w:t>
      </w:r>
      <w:sdt>
        <w:sdtPr>
          <w:tag w:val="goog_rdk_40"/>
          <w:id w:val="-209728907"/>
        </w:sdtPr>
        <w:sdtContent>
          <w:r w:rsidRPr="00DD692C">
            <w:rPr>
              <w:rFonts w:eastAsia="Arimo"/>
            </w:rPr>
            <w:t>ed</w:t>
          </w:r>
        </w:sdtContent>
      </w:sdt>
      <w:r w:rsidRPr="00DD692C">
        <w:rPr>
          <w:rFonts w:eastAsia="Arimo"/>
        </w:rPr>
        <w:t xml:space="preserve"> strict diagnostic criteria for OCD. Patients </w:t>
      </w:r>
      <w:sdt>
        <w:sdtPr>
          <w:tag w:val="goog_rdk_41"/>
          <w:id w:val="1180617017"/>
        </w:sdtPr>
        <w:sdtContent>
          <w:r w:rsidRPr="00DD692C">
            <w:rPr>
              <w:rFonts w:eastAsia="Arimo"/>
            </w:rPr>
            <w:t xml:space="preserve">were </w:t>
          </w:r>
        </w:sdtContent>
      </w:sdt>
      <w:r w:rsidRPr="00DD692C">
        <w:rPr>
          <w:rFonts w:eastAsia="Arimo"/>
        </w:rPr>
        <w:t xml:space="preserve">excluded in cases of diagnostic uncertainty, such as OCD secondary to a neurological disorder or CNS insult, or where the differential diagnosis between OCD and an alternative condition </w:t>
      </w:r>
      <w:sdt>
        <w:sdtPr>
          <w:tag w:val="goog_rdk_44"/>
          <w:id w:val="-196003050"/>
        </w:sdtPr>
        <w:sdtContent>
          <w:r w:rsidRPr="00DD692C">
            <w:rPr>
              <w:rFonts w:eastAsia="Arimo"/>
            </w:rPr>
            <w:t>was</w:t>
          </w:r>
        </w:sdtContent>
      </w:sdt>
      <w:r w:rsidRPr="00DD692C">
        <w:rPr>
          <w:rFonts w:eastAsia="Arimo"/>
        </w:rPr>
        <w:t xml:space="preserve"> unclear. </w:t>
      </w:r>
      <w:sdt>
        <w:sdtPr>
          <w:tag w:val="goog_rdk_46"/>
          <w:id w:val="1192730484"/>
        </w:sdtPr>
        <w:sdtContent>
          <w:r w:rsidRPr="00DD692C">
            <w:rPr>
              <w:rFonts w:eastAsia="Arimo"/>
            </w:rPr>
            <w:t xml:space="preserve">The </w:t>
          </w:r>
        </w:sdtContent>
      </w:sdt>
      <w:r w:rsidRPr="00DD692C">
        <w:rPr>
          <w:rFonts w:eastAsia="Arimo"/>
        </w:rPr>
        <w:t xml:space="preserve">mean age at symptom debut </w:t>
      </w:r>
      <w:sdt>
        <w:sdtPr>
          <w:tag w:val="goog_rdk_48"/>
          <w:id w:val="-706330147"/>
        </w:sdtPr>
        <w:sdtContent>
          <w:r w:rsidRPr="00DD692C">
            <w:rPr>
              <w:rFonts w:eastAsia="Arimo"/>
            </w:rPr>
            <w:t>was</w:t>
          </w:r>
        </w:sdtContent>
      </w:sdt>
      <w:r w:rsidRPr="00DD692C">
        <w:rPr>
          <w:rFonts w:eastAsia="Arimo"/>
        </w:rPr>
        <w:t xml:space="preserve"> 17 years and 65% were female. Approximately 51% of patients had a documented psychiatric comorbidity. Controls </w:t>
      </w:r>
      <w:sdt>
        <w:sdtPr>
          <w:tag w:val="goog_rdk_49"/>
          <w:id w:val="-43443941"/>
        </w:sdtPr>
        <w:sdtContent>
          <w:r w:rsidRPr="00DD692C">
            <w:rPr>
              <w:rFonts w:eastAsia="Arimo"/>
            </w:rPr>
            <w:t xml:space="preserve">reported no OCD or </w:t>
          </w:r>
          <w:r w:rsidR="00AD62FC" w:rsidRPr="00DD692C">
            <w:rPr>
              <w:rFonts w:eastAsia="Arimo"/>
            </w:rPr>
            <w:t>first-degree</w:t>
          </w:r>
          <w:r w:rsidRPr="00DD692C">
            <w:rPr>
              <w:rFonts w:eastAsia="Arimo"/>
            </w:rPr>
            <w:t xml:space="preserve"> family members with </w:t>
          </w:r>
        </w:sdtContent>
      </w:sdt>
      <w:r w:rsidRPr="00DD692C">
        <w:rPr>
          <w:rFonts w:eastAsia="Arimo"/>
        </w:rPr>
        <w:t>OCD</w:t>
      </w:r>
      <w:sdt>
        <w:sdtPr>
          <w:tag w:val="goog_rdk_52"/>
          <w:id w:val="624121402"/>
        </w:sdtPr>
        <w:sdtContent>
          <w:r w:rsidRPr="00DD692C">
            <w:rPr>
              <w:rFonts w:eastAsia="Arimo"/>
            </w:rPr>
            <w:t>.</w:t>
          </w:r>
        </w:sdtContent>
      </w:sdt>
      <w:r w:rsidRPr="00DD692C">
        <w:rPr>
          <w:rFonts w:eastAsia="Arimo"/>
        </w:rPr>
        <w:t xml:space="preserve"> Among the controls, 50% were female. Subjects provided either blood or saliva for DNA extraction. All samples were genotyped on the Illumina Global Screening Array at LIFE&amp;BRAIN in Bonn, Germany. The pre-GWAS QC applied to the </w:t>
      </w:r>
      <w:proofErr w:type="spellStart"/>
      <w:r w:rsidRPr="00DD692C">
        <w:rPr>
          <w:rFonts w:eastAsia="Arimo"/>
        </w:rPr>
        <w:t>NORDiC</w:t>
      </w:r>
      <w:proofErr w:type="spellEnd"/>
      <w:r w:rsidRPr="00DD692C">
        <w:rPr>
          <w:rFonts w:eastAsia="Arimo"/>
        </w:rPr>
        <w:t xml:space="preserve">-NOR dataset (482 cases, 343 controls in the raw data) </w:t>
      </w:r>
      <w:proofErr w:type="gramStart"/>
      <w:r w:rsidRPr="00DD692C">
        <w:rPr>
          <w:rFonts w:eastAsia="Arimo"/>
        </w:rPr>
        <w:t>was</w:t>
      </w:r>
      <w:proofErr w:type="gramEnd"/>
      <w:r w:rsidRPr="00DD692C">
        <w:rPr>
          <w:rFonts w:eastAsia="Arimo"/>
        </w:rPr>
        <w:t xml:space="preserve"> nearly identical to that applied to NORDIC-SWE data after </w:t>
      </w:r>
      <w:sdt>
        <w:sdtPr>
          <w:tag w:val="goog_rdk_56"/>
          <w:id w:val="131525531"/>
        </w:sdtPr>
        <w:sdtContent>
          <w:r w:rsidRPr="00DD692C">
            <w:rPr>
              <w:rFonts w:eastAsia="Arial Unicode MS"/>
            </w:rPr>
            <w:t xml:space="preserve">merging of separate genotype data, </w:t>
          </w:r>
          <w:r w:rsidRPr="00DD692C">
            <w:rPr>
              <w:rFonts w:eastAsia="Arial Unicode MS"/>
            </w:rPr>
            <w:lastRenderedPageBreak/>
            <w:t>consisting of pruning of cryptic relatedness, marking of samples that are of likely European ancestry and pruning of the dataset for single variants where there was suggestive evidence of technical biases or batch effects. In our cryptic relatedness QC step</w:t>
          </w:r>
          <w:r w:rsidR="00AD62FC">
            <w:rPr>
              <w:rFonts w:eastAsia="Arial Unicode MS"/>
            </w:rPr>
            <w:t>,</w:t>
          </w:r>
          <w:r w:rsidRPr="00DD692C">
            <w:rPr>
              <w:rFonts w:eastAsia="Arial Unicode MS"/>
            </w:rPr>
            <w:t xml:space="preserve"> we identified 4 samples that had a mean </w:t>
          </w:r>
          <m:oMath>
            <m:r>
              <w:rPr>
                <w:rFonts w:ascii="Cambria Math" w:eastAsia="Arial Unicode MS" w:hAnsi="Cambria Math"/>
              </w:rPr>
              <m:t>p</m:t>
            </m:r>
            <m:sSub>
              <m:sSubPr>
                <m:ctrlPr>
                  <w:rPr>
                    <w:rFonts w:ascii="Cambria Math" w:eastAsia="Arial Unicode MS" w:hAnsi="Cambria Math"/>
                    <w:i/>
                  </w:rPr>
                </m:ctrlPr>
              </m:sSubPr>
              <m:e>
                <m:r>
                  <w:rPr>
                    <w:rFonts w:ascii="Cambria Math" w:eastAsia="Arial Unicode MS" w:hAnsi="Cambria Math"/>
                  </w:rPr>
                  <m:t>i</m:t>
                </m:r>
              </m:e>
              <m:sub>
                <m:r>
                  <w:rPr>
                    <w:rFonts w:ascii="Cambria Math" w:eastAsia="Arial Unicode MS" w:hAnsi="Cambria Math"/>
                  </w:rPr>
                  <m:t>hat</m:t>
                </m:r>
              </m:sub>
            </m:sSub>
          </m:oMath>
          <w:r w:rsidRPr="00DD692C">
            <w:rPr>
              <w:rFonts w:eastAsia="Arial Unicode MS"/>
            </w:rPr>
            <w:t xml:space="preserve"> with other samples</w:t>
          </w:r>
          <w:r w:rsidR="00065EA0">
            <w:rPr>
              <w:rFonts w:eastAsia="Arial Unicode MS"/>
            </w:rPr>
            <w:t xml:space="preserve"> of</w:t>
          </w:r>
          <w:r w:rsidRPr="00DD692C">
            <w:rPr>
              <w:rFonts w:eastAsia="Arial Unicode MS"/>
            </w:rPr>
            <w:t xml:space="preserve"> ≥ 0.1, 74 samples that had evidence of being a sample duplicate (</w:t>
          </w:r>
          <m:oMath>
            <m:r>
              <w:rPr>
                <w:rFonts w:ascii="Cambria Math" w:eastAsia="Arial Unicode MS" w:hAnsi="Cambria Math"/>
              </w:rPr>
              <m:t>p</m:t>
            </m:r>
            <m:sSub>
              <m:sSubPr>
                <m:ctrlPr>
                  <w:rPr>
                    <w:rFonts w:ascii="Cambria Math" w:eastAsia="Arial Unicode MS" w:hAnsi="Cambria Math"/>
                    <w:i/>
                  </w:rPr>
                </m:ctrlPr>
              </m:sSubPr>
              <m:e>
                <m:r>
                  <w:rPr>
                    <w:rFonts w:ascii="Cambria Math" w:eastAsia="Arial Unicode MS" w:hAnsi="Cambria Math"/>
                  </w:rPr>
                  <m:t>i</m:t>
                </m:r>
              </m:e>
              <m:sub>
                <m:r>
                  <w:rPr>
                    <w:rFonts w:ascii="Cambria Math" w:eastAsia="Arial Unicode MS" w:hAnsi="Cambria Math"/>
                  </w:rPr>
                  <m:t>hat</m:t>
                </m:r>
              </m:sub>
            </m:sSub>
          </m:oMath>
          <w:r w:rsidRPr="00DD692C">
            <w:rPr>
              <w:rFonts w:eastAsia="Arial Unicode MS"/>
            </w:rPr>
            <w:t xml:space="preserve"> ≥ 0.95) and 8 samples from the remaining cohort with evidence of cryptic relatedness (</w:t>
          </w:r>
          <m:oMath>
            <m:r>
              <w:rPr>
                <w:rFonts w:ascii="Cambria Math" w:eastAsia="Arial Unicode MS" w:hAnsi="Cambria Math"/>
              </w:rPr>
              <m:t>p</m:t>
            </m:r>
            <m:sSub>
              <m:sSubPr>
                <m:ctrlPr>
                  <w:rPr>
                    <w:rFonts w:ascii="Cambria Math" w:eastAsia="Arial Unicode MS" w:hAnsi="Cambria Math"/>
                    <w:i/>
                  </w:rPr>
                </m:ctrlPr>
              </m:sSubPr>
              <m:e>
                <m:r>
                  <w:rPr>
                    <w:rFonts w:ascii="Cambria Math" w:eastAsia="Arial Unicode MS" w:hAnsi="Cambria Math"/>
                  </w:rPr>
                  <m:t>i</m:t>
                </m:r>
              </m:e>
              <m:sub>
                <m:r>
                  <w:rPr>
                    <w:rFonts w:ascii="Cambria Math" w:eastAsia="Arial Unicode MS" w:hAnsi="Cambria Math"/>
                  </w:rPr>
                  <m:t>hat</m:t>
                </m:r>
              </m:sub>
            </m:sSub>
            <m:r>
              <w:rPr>
                <w:rFonts w:ascii="Cambria Math" w:eastAsia="Arial Unicode MS" w:hAnsi="Cambria Math"/>
              </w:rPr>
              <m:t xml:space="preserve"> </m:t>
            </m:r>
          </m:oMath>
          <w:r w:rsidRPr="00DD692C">
            <w:rPr>
              <w:rFonts w:eastAsia="Arial Unicode MS"/>
            </w:rPr>
            <w:t>≥ 0.2). We found a total of 6263 variants overlapped between the merged PLINK fileset and the 1000 genomes data included in PEDDY</w:t>
          </w:r>
          <w:r w:rsidR="00065EA0">
            <w:rPr>
              <w:rFonts w:eastAsia="Arial Unicode MS"/>
            </w:rPr>
            <w:t xml:space="preserve"> </w:t>
          </w:r>
          <w:r w:rsidR="00065EA0">
            <w:rPr>
              <w:rFonts w:eastAsia="Arial Unicode MS"/>
            </w:rPr>
            <w:fldChar w:fldCharType="begin"/>
          </w:r>
          <w:r w:rsidR="00381117">
            <w:rPr>
              <w:rFonts w:eastAsia="Arial Unicode MS"/>
            </w:rPr>
            <w:instrText xml:space="preserve"> ADDIN ZOTERO_ITEM CSL_CITATION {"citationID":"qu2sLwNs","properties":{"formattedCitation":"(B. S. Pedersen &amp; Quinlan, 2017)","plainCitation":"(B. S. Pedersen &amp; Quinlan, 2017)","noteIndex":0},"citationItems":[{"id":4630,"uris":["http://zotero.org/users/9762508/items/3K2CX3HU"],"itemData":{"id":4630,"type":"article-journal","container-title":"The American Journal of Human Genetics","DOI":"10.1016/j.ajhg.2017.01.017","ISSN":"0002-9297, 1537-6605","issue":"3","journalAbbreviation":"The American Journal of Human Genetics","language":"English","note":"publisher: Elsevier\nPMID: 28190455","page":"406-413","source":"www.cell.com","title":"Who’s Who? Detecting and Resolving Sample Anomalies in Human DNA Sequencing Studies with Peddy","title-short":"Who’s Who?","volume":"100","author":[{"family":"Pedersen","given":"Brent S."},{"family":"Quinlan","given":"Aaron R."}],"issued":{"date-parts":[["2017",3,2]]}}}],"schema":"https://github.com/citation-style-language/schema/raw/master/csl-citation.json"} </w:instrText>
          </w:r>
          <w:r w:rsidR="00065EA0">
            <w:rPr>
              <w:rFonts w:eastAsia="Arial Unicode MS"/>
            </w:rPr>
            <w:fldChar w:fldCharType="separate"/>
          </w:r>
          <w:r w:rsidR="00381117" w:rsidRPr="00381117">
            <w:t>(B. S. Pedersen &amp; Quinlan, 2017)</w:t>
          </w:r>
          <w:r w:rsidR="00065EA0">
            <w:rPr>
              <w:rFonts w:eastAsia="Arial Unicode MS"/>
            </w:rPr>
            <w:fldChar w:fldCharType="end"/>
          </w:r>
          <w:r w:rsidRPr="00DD692C">
            <w:rPr>
              <w:rFonts w:eastAsia="Arial Unicode MS"/>
            </w:rPr>
            <w:t xml:space="preserve"> and identified a total of 368 cases and 315 controls with likely European ancestry. We performed variant-level QC on a PC-pruned subset of 340 cases and 307 controls, defining variants as failing if they met one of the following criteria: 1) maximum genotype missingness in a cohort &gt; 0.02; 2) allele frequency of 0 in at least one cohort; 3) max – min allele frequency &gt; 0.1. A total of 136,525 variants that met at least one of these criteria were excluded, leaving us with a final case/control dataset consisting of genotype calls across 479,358 variants. We used </w:t>
          </w:r>
          <w:proofErr w:type="gramStart"/>
          <w:r w:rsidRPr="00DD692C">
            <w:rPr>
              <w:rFonts w:eastAsia="Arial Unicode MS"/>
            </w:rPr>
            <w:t>calls</w:t>
          </w:r>
          <w:proofErr w:type="gramEnd"/>
          <w:r w:rsidRPr="00DD692C">
            <w:rPr>
              <w:rFonts w:eastAsia="Arial Unicode MS"/>
            </w:rPr>
            <w:t xml:space="preserve"> across these variants in samples that had been pruned for relatedness issues (not including standard pairwise relatedness issues as </w:t>
          </w:r>
          <w:r w:rsidR="00AD62FC">
            <w:rPr>
              <w:rFonts w:eastAsia="Arial Unicode MS"/>
            </w:rPr>
            <w:t>RICOPILI</w:t>
          </w:r>
          <w:r w:rsidRPr="00DD692C">
            <w:rPr>
              <w:rFonts w:eastAsia="Arial Unicode MS"/>
            </w:rPr>
            <w:t xml:space="preserve"> can detect these) as input for the GWAS (407 cases, 340 controls). Imputation and GWAS was performed analogously to the </w:t>
          </w:r>
          <w:proofErr w:type="spellStart"/>
          <w:r w:rsidRPr="00DD692C">
            <w:rPr>
              <w:rFonts w:eastAsia="Arial Unicode MS"/>
            </w:rPr>
            <w:t>NORDiC</w:t>
          </w:r>
          <w:proofErr w:type="spellEnd"/>
          <w:r w:rsidRPr="00DD692C">
            <w:rPr>
              <w:rFonts w:eastAsia="Arial Unicode MS"/>
            </w:rPr>
            <w:t xml:space="preserve">-SWE and EGOS analysis. The final data set consisted of 365 cases and 315 controls. Imputed </w:t>
          </w:r>
          <w:proofErr w:type="spellStart"/>
          <w:r w:rsidRPr="00DD692C">
            <w:rPr>
              <w:rFonts w:eastAsia="Arial Unicode MS"/>
            </w:rPr>
            <w:t>callsets</w:t>
          </w:r>
          <w:proofErr w:type="spellEnd"/>
          <w:r w:rsidRPr="00DD692C">
            <w:rPr>
              <w:rFonts w:eastAsia="Arial Unicode MS"/>
            </w:rPr>
            <w:t xml:space="preserve"> resulted in 1) 3</w:t>
          </w:r>
          <w:r w:rsidR="00441BB3">
            <w:rPr>
              <w:rFonts w:eastAsia="Arial Unicode MS"/>
            </w:rPr>
            <w:t>,</w:t>
          </w:r>
          <w:r w:rsidRPr="00DD692C">
            <w:rPr>
              <w:rFonts w:eastAsia="Arial Unicode MS"/>
            </w:rPr>
            <w:t>043</w:t>
          </w:r>
          <w:r w:rsidR="00441BB3">
            <w:rPr>
              <w:rFonts w:eastAsia="Arial Unicode MS"/>
            </w:rPr>
            <w:t>,</w:t>
          </w:r>
          <w:r w:rsidRPr="00DD692C">
            <w:rPr>
              <w:rFonts w:eastAsia="Arial Unicode MS"/>
            </w:rPr>
            <w:t>464 high confidence imputed genotypes 2) 7</w:t>
          </w:r>
          <w:r w:rsidR="00441BB3">
            <w:rPr>
              <w:rFonts w:eastAsia="Arial Unicode MS"/>
            </w:rPr>
            <w:t>,</w:t>
          </w:r>
          <w:r w:rsidRPr="00DD692C">
            <w:rPr>
              <w:rFonts w:eastAsia="Arial Unicode MS"/>
            </w:rPr>
            <w:t>277</w:t>
          </w:r>
          <w:r w:rsidR="00441BB3">
            <w:rPr>
              <w:rFonts w:eastAsia="Arial Unicode MS"/>
            </w:rPr>
            <w:t>,</w:t>
          </w:r>
          <w:r w:rsidRPr="00DD692C">
            <w:rPr>
              <w:rFonts w:eastAsia="Arial Unicode MS"/>
            </w:rPr>
            <w:t>174 genotypes with medium level, and 3) 8</w:t>
          </w:r>
          <w:r w:rsidR="00441BB3">
            <w:rPr>
              <w:rFonts w:eastAsia="Arial Unicode MS"/>
            </w:rPr>
            <w:t>,</w:t>
          </w:r>
          <w:r w:rsidRPr="00DD692C">
            <w:rPr>
              <w:rFonts w:eastAsia="Arial Unicode MS"/>
            </w:rPr>
            <w:t>964</w:t>
          </w:r>
          <w:r w:rsidR="00441BB3">
            <w:rPr>
              <w:rFonts w:eastAsia="Arial Unicode MS"/>
            </w:rPr>
            <w:t>,</w:t>
          </w:r>
          <w:r w:rsidRPr="00DD692C">
            <w:rPr>
              <w:rFonts w:eastAsia="Arial Unicode MS"/>
            </w:rPr>
            <w:t xml:space="preserve">589 genotypes with a low imputation accuracy. We identified PCs 1, 2, 3 and 4 as significant predictors and used them as covariates in the </w:t>
          </w:r>
          <w:proofErr w:type="spellStart"/>
          <w:r w:rsidRPr="00DD692C">
            <w:rPr>
              <w:rFonts w:eastAsia="Arial Unicode MS"/>
            </w:rPr>
            <w:t>NORD</w:t>
          </w:r>
          <w:r w:rsidR="00441BB3">
            <w:rPr>
              <w:rFonts w:eastAsia="Arial Unicode MS"/>
            </w:rPr>
            <w:t>i</w:t>
          </w:r>
          <w:r w:rsidRPr="00DD692C">
            <w:rPr>
              <w:rFonts w:eastAsia="Arial Unicode MS"/>
            </w:rPr>
            <w:t>C</w:t>
          </w:r>
          <w:proofErr w:type="spellEnd"/>
          <w:r w:rsidRPr="00DD692C">
            <w:rPr>
              <w:rFonts w:eastAsia="Arial Unicode MS"/>
            </w:rPr>
            <w:t>-NOR GWAS. The analysis resulted in a lambda of 1.00 and a lambda1000 of 1.01 across a total of 7</w:t>
          </w:r>
          <w:r w:rsidR="00441BB3">
            <w:rPr>
              <w:rFonts w:eastAsia="Arial Unicode MS"/>
            </w:rPr>
            <w:t>,</w:t>
          </w:r>
          <w:r w:rsidRPr="00DD692C">
            <w:rPr>
              <w:rFonts w:eastAsia="Arial Unicode MS"/>
            </w:rPr>
            <w:t>518</w:t>
          </w:r>
          <w:r w:rsidR="00441BB3">
            <w:rPr>
              <w:rFonts w:eastAsia="Arial Unicode MS"/>
            </w:rPr>
            <w:t>,</w:t>
          </w:r>
          <w:r w:rsidRPr="00DD692C">
            <w:rPr>
              <w:rFonts w:eastAsia="Arial Unicode MS"/>
            </w:rPr>
            <w:t>582 tested SNPs.</w:t>
          </w:r>
        </w:sdtContent>
      </w:sdt>
      <w:r w:rsidRPr="00DD692C">
        <w:rPr>
          <w:rFonts w:eastAsia="Arial Unicode MS"/>
        </w:rPr>
        <w:t xml:space="preserve"> </w:t>
      </w:r>
    </w:p>
    <w:p w14:paraId="00000046" w14:textId="77777777" w:rsidR="008E545C" w:rsidRPr="00DD692C" w:rsidRDefault="00000000">
      <w:pPr>
        <w:pStyle w:val="berschrift3"/>
        <w:spacing w:line="480" w:lineRule="auto"/>
        <w:jc w:val="both"/>
      </w:pPr>
      <w:bookmarkStart w:id="21" w:name="_heading=h.1y810tw" w:colFirst="0" w:colLast="0"/>
      <w:bookmarkEnd w:id="21"/>
      <w:proofErr w:type="spellStart"/>
      <w:r w:rsidRPr="00DD692C">
        <w:t>OCGAS_all</w:t>
      </w:r>
      <w:proofErr w:type="spellEnd"/>
      <w:r w:rsidRPr="00DD692C">
        <w:t xml:space="preserve"> | Multiple | USA | 22889921 </w:t>
      </w:r>
    </w:p>
    <w:p w14:paraId="00000048" w14:textId="7C8F5DFB" w:rsidR="008E545C" w:rsidRPr="00DD692C" w:rsidRDefault="00000000">
      <w:pPr>
        <w:spacing w:line="480" w:lineRule="auto"/>
        <w:jc w:val="both"/>
      </w:pPr>
      <w:r w:rsidRPr="00DD692C">
        <w:t>Results of The OCD Collaborative Genetics Association Study (OCGAS) have been published previously</w:t>
      </w:r>
      <w:sdt>
        <w:sdtPr>
          <w:tag w:val="goog_rdk_57"/>
          <w:id w:val="460304642"/>
        </w:sdtPr>
        <w:sdtContent>
          <w:r w:rsidRPr="00441BB3">
            <w:rPr>
              <w:color w:val="212121"/>
            </w:rPr>
            <w:t xml:space="preserve"> </w:t>
          </w:r>
        </w:sdtContent>
      </w:sdt>
      <w:hyperlink r:id="rId13">
        <w:r w:rsidR="009444A4">
          <w:fldChar w:fldCharType="begin"/>
        </w:r>
        <w:r w:rsidR="009444A4">
          <w:instrText xml:space="preserve"> ADDIN ZOTERO_ITEM CSL_CITATION {"citationID":"yXoXGzBU","properties":{"formattedCitation":"(Mattheisen et al., 2015)","plainCitation":"(Mattheisen et al., 2015)","noteIndex":0},"citationItems":[{"id":877,"uris":["http://zotero.org/users/9762508/items/MPU43MHI"],"itemData":{"id":877,"type":"article-journal","abstract":"Obsessive-compulsive disorder (OCD) is a psychiatric condition characterized by intrusive thoughts and urges and repetitive, intentional behaviors that cause significant distress and impair functioning. The OCD Collaborative Genetics Association Study (OCGAS) is comprised of comprehensively assessed OCD patients with an early age of OCD onset. After application of a stringent quality control protocol, a total of 1065 families (containing 1406 patients with OCD), combined with population-based samples (resulting in a total sample of 5061 individuals), were studied. An integrative analyses pipeline was utilized, involving association testing at single-nucleotide polymorphism (SNP) and gene levels (via a hybrid approach that allowed for combined analyses of the family- and population-based data). The smallest P-value was observed for a marker on chromosome 9 (near PTPRD, P=4.13 × 10(-)(7)). Pre-synaptic PTPRD promotes the differentiation of glutamatergic synapses and interacts with SLITRK3. Together, both proteins selectively regulate the development of inhibitory GABAergic synapses. Although no SNPs were identified as associated with OCD at genome-wide significance level, follow-up analyses of genome-wide association study (GWAS) signals from a previously published OCD study identified significant enrichment (P=0.0176). Secondary analyses of high-confidence interaction partners of DLGAP1 and GRIK2 (both showing evidence for association in our follow-up and the original GWAS study) revealed a trend of association (P=0.075) for a set of genes such as NEUROD6, SV2A, GRIA4, SLC1A2 and PTPRD. Analyses at the gene level revealed association of IQCK and C16orf88 (both P&lt;1 × 10(-)(6), experiment-wide significant), as well as OFCC1 (P=6.29 × 10(-)(5)). The suggestive findings in this study await replication in larger samples.","container-title":"Molecular Psychiatry","DOI":"10.1038/mp.2014.43","ISSN":"14765578","issue":"3","note":"PMID: 24821223\npublisher: Nature Publishing Group\nISBN: 1359-4184","page":"337-344","title":"Genome-wide association study in obsessive-compulsive disorder: Results from the OCGAS","volume":"20","author":[{"family":"Mattheisen","given":"M."},{"family":"Samuels","given":"J. F."},{"family":"Wang","given":"Y."},{"family":"Greenberg","given":"B. D."},{"family":"Fyer","given":"A. J."},{"family":"Mccracken","given":"J. T."},{"family":"Geller","given":"D. A."},{"family":"Murphy","given":"D. L."},{"family":"Knowles","given":"J. A."},{"family":"Grados","given":"M. A."},{"family":"Riddle","given":"M. A."},{"family":"Rasmussen","given":"S. A."},{"family":"Mclaughlin","given":"N. C."},{"family":"Nurmi","given":"E. L."},{"family":"Askland","given":"K. D."},{"family":"Qin","given":"H. D."},{"family":"Cullen","given":"B. A."},{"family":"Piacentini","given":"J."},{"family":"Pauls","given":"D. L."},{"family":"Bienvenu","given":"O. J."},{"family":"Stewart","given":"S. E."},{"family":"Liang","given":"K. Y."},{"family":"Goes","given":"F. S."},{"family":"Maher","given":"B."},{"family":"Pulver","given":"A. E."},{"family":"Shugart","given":"Y. Y."},{"family":"Valle","given":"D."},{"family":"Lange","given":"C."},{"family":"Nestadt","given":"G."}],"issued":{"date-parts":[["2015"]]}}}],"schema":"https://github.com/citation-style-language/schema/raw/master/csl-citation.json"} </w:instrText>
        </w:r>
        <w:r w:rsidR="009444A4">
          <w:fldChar w:fldCharType="separate"/>
        </w:r>
        <w:r w:rsidR="009444A4" w:rsidRPr="009444A4">
          <w:t>(Mattheisen et al., 2015)</w:t>
        </w:r>
        <w:r w:rsidR="009444A4">
          <w:fldChar w:fldCharType="end"/>
        </w:r>
      </w:hyperlink>
      <w:r w:rsidRPr="00DD692C">
        <w:t xml:space="preserve">. For detailed sample- and analysis description refer to the primary article. In brief: The OCGAS sample consists of 986 cases from OCGAS, a family based sample, and 1023 controls from the Genomic Psychiatry Cohort (GPC; </w:t>
      </w:r>
      <w:r w:rsidR="00065EA0">
        <w:fldChar w:fldCharType="begin"/>
      </w:r>
      <w:r w:rsidR="009444A4">
        <w:instrText xml:space="preserve"> ADDIN ZOTERO_ITEM CSL_CITATION {"citationID":"hl09i81q","properties":{"formattedCitation":"(Pato et al., 2013)","plainCitation":"(Pato et al., 2013)","noteIndex":0},"citationItems":[{"id":3653,"uris":["http://zotero.org/users/9762508/items/CEWTF65R"],"itemData":{"id":3653,"type":"article-journal","abstract":"The Genomic Psychiatry Cohort (GPC) is a longitudinal resource designed to provide the necessary population-based sample for large-scale genomic studies, studies focusing on Research Domain Criteria (RDoC) and/or other alternate phenotype constructs, clinical and interventional studies, nested case-control studies, long-term disease course studies, and genomic variant-to-phenotype studies. We provide and will continue to encourage access to the GPC as an international resource. DNA and other biological samples and diagnostic data are available through the National Institute of Mental Health (NIMH) Repository. After appropriate review and approval by an advisory board, investigators are able to collaborate in, propose, and co-lead studies involving cohort participants.","container-title":"American Journal of Medical Genetics. Part B, Neuropsychiatric Genetics: The Official Publication of the International Society of Psychiatric Genetics","DOI":"10.1002/ajmg.b.32160","ISSN":"1552-485X","issue":"4","journalAbbreviation":"Am J Med Genet B Neuropsychiatr Genet","language":"eng","note":"PMID: 23650244\nPMCID: PMC3729260","page":"306-312","source":"PubMed","title":"The genomic psychiatry cohort: partners in discovery","title-short":"The genomic psychiatry cohort","volume":"162B","author":[{"family":"Pato","given":"Michele T."},{"family":"Sobell","given":"Janet L."},{"family":"Medeiros","given":"Helena"},{"family":"Abbott","given":"Colony"},{"family":"Sklar","given":"Brooke M."},{"family":"Buckley","given":"Peter F."},{"family":"Bromet","given":"Evelyn J."},{"family":"Escamilla","given":"Michael A."},{"family":"Fanous","given":"Ayman H."},{"family":"Lehrer","given":"Douglas S."},{"family":"Macciardi","given":"Fabio"},{"family":"Malaspina","given":"Dolores"},{"family":"McCarroll","given":"Steve A."},{"family":"Marder","given":"Stephen R."},{"family":"Moran","given":"Jennifer"},{"family":"Morley","given":"Christopher P."},{"family":"Nicolini","given":"Humberto"},{"family":"Perkins","given":"Diana O."},{"family":"Purcell","given":"Shaun M."},{"family":"Rapaport","given":"Mark H."},{"family":"Sklar","given":"Pamela"},{"family":"Smoller","given":"Jordan W."},{"family":"Knowles","given":"James A."},{"literal":"Genomic Psychiatry Cohort Consortium"},{"family":"Pato","given":"Carlos N."}],"issued":{"date-parts":[["2013",6]]}}}],"schema":"https://github.com/citation-style-language/schema/raw/master/csl-citation.json"} </w:instrText>
      </w:r>
      <w:r w:rsidR="00065EA0">
        <w:fldChar w:fldCharType="separate"/>
      </w:r>
      <w:r w:rsidR="009444A4" w:rsidRPr="009444A4">
        <w:t>(Pato et al., 2013)</w:t>
      </w:r>
      <w:r w:rsidR="00065EA0">
        <w:fldChar w:fldCharType="end"/>
      </w:r>
      <w:r w:rsidR="009444A4">
        <w:t>)</w:t>
      </w:r>
      <w:r w:rsidRPr="00DD692C">
        <w:t xml:space="preserve">, a </w:t>
      </w:r>
      <w:r w:rsidRPr="00DD692C">
        <w:lastRenderedPageBreak/>
        <w:t>population based sample. The inclusion of control samples was slightly altered in this publication compared to the original study. For study inclusion, probands were required to meet DSM-IV criteria for OCD with onset of obsessions and/or compulsions before the age of 18 years (mean = 9.4 years; SD = 6.35), as evaluated by a PhD-level clinical psychologist using the Structured Clinical Interview for DSM-IV modified and extended to include additional symptom an</w:t>
      </w:r>
      <w:r w:rsidR="009444A4">
        <w:t>d</w:t>
      </w:r>
      <w:r w:rsidRPr="00DD692C">
        <w:t xml:space="preserve"> diagnostic information. Several mental- and brain disorders were reasons for exclusion. Genotyping was performed at the Johns Hopkins SNP Center using Illumina’s </w:t>
      </w:r>
      <w:proofErr w:type="spellStart"/>
      <w:r w:rsidRPr="00DD692C">
        <w:t>HumanOmniExpress</w:t>
      </w:r>
      <w:proofErr w:type="spellEnd"/>
      <w:r w:rsidRPr="00DD692C">
        <w:t xml:space="preserve"> bead chips (Illumina, San Diego, CA, USA). A stringent quality control protocol was followed, including checking the relatedness of samples, sex</w:t>
      </w:r>
      <w:r w:rsidR="00C05F4F">
        <w:t xml:space="preserve"> </w:t>
      </w:r>
      <w:r w:rsidRPr="00DD692C">
        <w:t xml:space="preserve">comparison, Mendelian inconsistencies etc. One sample was removed per related pair with </w:t>
      </w:r>
      <w:proofErr w:type="spellStart"/>
      <w:r w:rsidRPr="00DD692C">
        <w:t>pihat</w:t>
      </w:r>
      <w:proofErr w:type="spellEnd"/>
      <w:r w:rsidRPr="00DD692C">
        <w:t xml:space="preserve"> &gt; 0.2. Multidimensional scaling analyses were performed on singleton OCD cases and unselected controls, as implemented in PLINK</w:t>
      </w:r>
      <w:r w:rsidR="001D0F65">
        <w:t xml:space="preserve"> </w:t>
      </w:r>
      <w:r w:rsidR="001D0F65">
        <w:fldChar w:fldCharType="begin"/>
      </w:r>
      <w:r w:rsidR="001D0F65">
        <w:instrText xml:space="preserve"> ADDIN ZOTERO_ITEM CSL_CITATION {"citationID":"vUO7rTm2","properties":{"formattedCitation":"(Purcell et al., 2007)","plainCitation":"(Purcell et al., 2007)","noteIndex":0},"citationItems":[{"id":3259,"uris":["http://zotero.org/users/9762508/items/TVXPRGS8"],"itemData":{"id":3259,"type":"article-journal","abstract":"Whole-genome association studies (WGAS) bring new computational, as well as analytic, challenges to researchers. Many existing genetic-analysis tools are not designed to handle such large data sets in a convenient manner and do not necessarily exploit the new opportunities that whole-genome data bring. To address these issues, we developed PLINK, an open-source C/C++ WGAS tool set. With PLINK, large data sets comprising hundreds of thousands of markers genotyped for thousands of individuals can be rapidly manipulated and analyzed in their entirety. As well as providing tools to make the basic analytic steps computationally efficient, PLINK also supports some novel approaches to whole-genome data that take advantage of whole-genome coverage. We introduce PLINK and describe the five main domains of function: data management, summary statistics, population stratification, association analysis, and identity-by-descent estimation. In particular, we focus on the estimation and use of identity-by-state and identity-by-descent information in the context of population-based whole-genome studies. This information can be used to detect and correct for population stratification and to identify extended chromosomal segments that are shared identical by descent between very distantly related individuals. Analysis of the patterns of segmental sharing has the potential to map disease loci that contain multiple rare variants in a population-based linkage analysis. © 2007 by The American Society of Human Genetics. All rights reserved.","container-title":"American journal of human genetics","DOI":"10.1086/519795","ISSN":"0002-9297","issue":"3","note":"PMID: 17701901\npublisher: Am J Hum Genet","page":"559-575","title":"PLINK: a tool set for whole-genome association and population-based linkage analyses","volume":"81","author":[{"family":"Purcell","given":"Shaun"},{"family":"Neale","given":"Benjamin"},{"family":"Todd-Brown","given":"Kathe"},{"family":"Thomas","given":"Lori"},{"family":"Ferreira","given":"Manuel A.R."},{"family":"Bender","given":"David"},{"family":"Maller","given":"Julian"},{"family":"Sklar","given":"Pamela"},{"family":"De Bakker","given":"Paul I.W."},{"family":"Daly","given":"Mark J."},{"family":"Sham","given":"Pak C."}],"issued":{"date-parts":[["2007"]]}}}],"schema":"https://github.com/citation-style-language/schema/raw/master/csl-citation.json"} </w:instrText>
      </w:r>
      <w:r w:rsidR="001D0F65">
        <w:fldChar w:fldCharType="separate"/>
      </w:r>
      <w:r w:rsidR="001D0F65" w:rsidRPr="001D0F65">
        <w:t>(Purcell et al., 2007)</w:t>
      </w:r>
      <w:r w:rsidR="001D0F65">
        <w:fldChar w:fldCharType="end"/>
      </w:r>
      <w:r w:rsidRPr="00DD692C">
        <w:t xml:space="preserve">. Samples were removed when they significantly deviated in the first two multi- dimensional scaling dimensions (&gt; 4 SD from the mean). The genotyped data were phased by SHAPEIT2 </w:t>
      </w:r>
      <w:r w:rsidR="001D0F65">
        <w:fldChar w:fldCharType="begin"/>
      </w:r>
      <w:r w:rsidR="001D0F65">
        <w:instrText xml:space="preserve"> ADDIN ZOTERO_ITEM CSL_CITATION {"citationID":"CXGe9WOF","properties":{"formattedCitation":"(Delaneau et al., 2013)","plainCitation":"(Delaneau et al., 2013)","noteIndex":0},"citationItems":[{"id":3639,"uris":["http://zotero.org/users/9762508/items/YLN2PAQD"],"itemData":{"id":3639,"type":"article-journal","container-title":"Nature Methods","DOI":"10.1038/nmeth.2307","ISSN":"1548-7105","issue":"1","journalAbbreviation":"Nat Methods","language":"en","license":"2013 Nature Publishing Group, a division of Macmillan Publishers Limited. All Rights Reserved.","note":"number: 1\npublisher: Nature Publishing Group","page":"5-6","source":"www.nature.com","title":"Improved whole-chromosome phasing for disease and population genetic studies","volume":"10","author":[{"family":"Delaneau","given":"Olivier"},{"family":"Zagury","given":"Jean-Francois"},{"family":"Marchini","given":"Jonathan"}],"issued":{"date-parts":[["2013",1]]}}}],"schema":"https://github.com/citation-style-language/schema/raw/master/csl-citation.json"} </w:instrText>
      </w:r>
      <w:r w:rsidR="001D0F65">
        <w:fldChar w:fldCharType="separate"/>
      </w:r>
      <w:r w:rsidR="001D0F65" w:rsidRPr="001D0F65">
        <w:t>(Delaneau et al., 2013)</w:t>
      </w:r>
      <w:r w:rsidR="001D0F65">
        <w:fldChar w:fldCharType="end"/>
      </w:r>
      <w:r w:rsidRPr="00DD692C">
        <w:t xml:space="preserve"> and imputed by Minimac3 </w:t>
      </w:r>
      <w:r w:rsidR="00065EA0">
        <w:fldChar w:fldCharType="begin"/>
      </w:r>
      <w:r w:rsidR="00065EA0">
        <w:instrText xml:space="preserve"> ADDIN ZOTERO_ITEM CSL_CITATION {"citationID":"EJCRCj1D","properties":{"formattedCitation":"(Das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065EA0">
        <w:fldChar w:fldCharType="separate"/>
      </w:r>
      <w:r w:rsidR="00065EA0" w:rsidRPr="00065EA0">
        <w:t>(Das et al., 2016)</w:t>
      </w:r>
      <w:r w:rsidR="00065EA0">
        <w:fldChar w:fldCharType="end"/>
      </w:r>
      <w:r w:rsidRPr="00DD692C">
        <w:t xml:space="preserve"> using the HRC</w:t>
      </w:r>
      <w:sdt>
        <w:sdtPr>
          <w:tag w:val="goog_rdk_62"/>
          <w:id w:val="-2085297406"/>
        </w:sdtPr>
        <w:sdtContent>
          <w:r w:rsidRPr="00441BB3">
            <w:rPr>
              <w:color w:val="212121"/>
            </w:rPr>
            <w:t xml:space="preserve"> </w:t>
          </w:r>
        </w:sdtContent>
      </w:sdt>
      <w:hyperlink r:id="rId14"/>
      <w:r w:rsidRPr="00DD692C">
        <w:t xml:space="preserve"> release 1.1 </w:t>
      </w:r>
      <w:r w:rsidR="00C05F4F">
        <w:fldChar w:fldCharType="begin"/>
      </w:r>
      <w:r w:rsidR="00C05F4F">
        <w:instrText xml:space="preserve"> ADDIN ZOTERO_ITEM CSL_CITATION {"citationID":"MmDeEYPZ","properties":{"formattedCitation":"(McCarthy et al., 2016)","plainCitation":"(McCarthy et al., 2016)","noteIndex":0},"citationItems":[{"id":3235,"uris":["http://zotero.org/users/9762508/items/AEQST946"],"itemData":{"id":3235,"type":"article-journal","abstract":"Jonathan Marchini, Gonçalo Abecasis, Richard Durbin and colleagues describe the construction of a reference panel of human haplotypes from whole-genome sequencing data. They are able to use this to accurately impute genotypes at low minor allele frequency and present remote server resources for use by the community. We describe a reference panel of 64,976 human haplotypes at 39,235,157 SNPs constructed using whole-genome sequence data from 20 studies of predominantly European ancestry. Using this resource leads to accurate genotype imputation at minor allele frequencies as low as 0.1% and a large increase in the number of SNPs tested in association studies, and it can help to discover and refine causal loci. We describe remote server resources that allow researchers to carry out imputation and phasing consistently and efficiently.","container-title":"Nature Genetics 2016 48:10","DOI":"10.1038/ng.3643","ISSN":"1546-1718","issue":"10","note":"PMID: 27548312\npublisher: Nature Publishing Group","page":"1279-1283","title":"A reference panel of 64,976 haplotypes for genotype imputation","volume":"48","author":[{"family":"McCarthy","given":"Shane"},{"family":"Das","given":"Sayantan"},{"family":"Kretzschmar","given":"Warren"},{"family":"Delaneau","given":"Olivier"},{"family":"Wood","given":"Andrew R."},{"family":"Teumer","given":"Alexander"},{"family":"Kang","given":"Hyun Min"},{"family":"Fuchsberger","given":"Christian"},{"family":"Danecek","given":"Petr"},{"family":"Sharp","given":"Kevin"},{"family":"Luo","given":"Yang"},{"family":"Sidore","given":"Carlo"},{"family":"Kwong","given":"Alan"},{"family":"Timpson","given":"Nicholas"},{"family":"Koskinen","given":"Seppo"},{"family":"Vrieze","given":"Scott"},{"family":"Scott","given":"Laura J."},{"family":"Zhang","given":"He"},{"family":"Mahajan","given":"Anubha"},{"family":"Veldink","given":"Jan"},{"family":"Peters","given":"Ulrike"},{"family":"Pato","given":"Carlos"},{"family":"Van Duijn","given":"Cornelia M."},{"family":"Gillies","given":"Christopher E."},{"family":"Gandin","given":"Ilaria"},{"family":"Mezzavilla","given":"Massimo"},{"family":"Gilly","given":"Arthur"},{"family":"Cocca","given":"Massimiliano"},{"family":"Traglia","given":"Michela"},{"family":"Angius","given":"Andrea"},{"family":"Barrett","given":"Jeffrey C."},{"family":"Boomsma","given":"Dorrett"},{"family":"Branham","given":"Kari"},{"family":"Breen","given":"Gerome"},{"family":"Brummett","given":"Chad M."},{"family":"Busonero","given":"Fabio"},{"family":"Campbell","given":"Harry"},{"family":"Chan","given":"Andrew"},{"family":"Chen","given":"Sai"},{"family":"Chew","given":"Emily"},{"family":"Collins","given":"Francis S."},{"family":"Corbin","given":"Laura J."},{"family":"Smith","given":"George Davey"},{"family":"Dedoussis","given":"George"},{"family":"Dorr","given":"Marcus"},{"family":"Farmaki","given":"Aliki Eleni"},{"family":"Ferrucci","given":"Luigi"},{"family":"Forer","given":"Lukas"},{"family":"Fraser","given":"Ross M."},{"family":"Gabriel","given":"Stacey"},{"family":"Levy","given":"Shawn"},{"family":"Groop","given":"Leif"},{"family":"Harrison","given":"Tabitha"},{"family":"Hattersley","given":"Andrew"},{"family":"Holmen","given":"Oddgeir L."},{"family":"Hveem","given":"Kristian"},{"family":"Kretzler","given":"Matthias"},{"family":"Lee","given":"James C."},{"family":"McGue","given":"Matt"},{"family":"Meitinger","given":"Thomas"},{"family":"Melzer","given":"David"},{"family":"Min","given":"Josine L."},{"family":"Mohlke","given":"Karen L."},{"family":"Vincent","given":"John B."},{"family":"Nauck","given":"Matthias"},{"family":"Nickerson","given":"Deborah"},{"family":"Palotie","given":"Aarno"},{"family":"Pato","given":"Michele"},{"family":"Pirastu","given":"Nicola"},{"family":"McInnis","given":"Melvin"},{"family":"Richards","given":"J. Brent"},{"family":"Sala","given":"Cinzia"},{"family":"Salomaa","given":"Veikko"},{"family":"Schlessinger","given":"David"},{"family":"Schoenherr","given":"Sebastian"},{"family":"Slagboom","given":"P. Eline"},{"family":"Small","given":"Kerrin"},{"family":"Spector","given":"Timothy"},{"family":"Stambolian","given":"Dwight"},{"family":"Tuke","given":"Marcus"},{"family":"Tuomilehto","given":"Jaakko"},{"family":"Van Den Berg","given":"Leonard H."},{"family":"Van Rheenen","given":"Wouter"},{"family":"Volker","given":"Uwe"},{"family":"Wijmenga","given":"Cisca"},{"family":"Toniolo","given":"Daniela"},{"family":"Zeggini","given":"Eleftheria"},{"family":"Gasparini","given":"Paolo"},{"family":"Sampson","given":"Matthew G."},{"family":"Wilson","given":"James F."},{"family":"Frayling","given":"Timothy"},{"family":"De Bakker","given":"Paul I.W."},{"family":"Swertz","given":"Morris A."},{"family":"McCarroll","given":"Steven"},{"family":"Kooperberg","given":"Charles"},{"family":"Dekker","given":"Annelot"},{"family":"Altshuler","given":"David"},{"family":"Willer","given":"Cristen"},{"family":"Iacono","given":"William"},{"family":"Ripatti","given":"Samuli"},{"family":"Soranzo","given":"Nicole"},{"family":"Walter","given":"Klaudia"},{"family":"Swaroop","given":"Anand"},{"family":"Cucca","given":"Francesco"},{"family":"Anderson","given":"Carl A."},{"family":"Myers","given":"Richard M."},{"family":"Boehnke","given":"Michael"},{"family":"McCarthy","given":"Mark I."},{"family":"Durbin","given":"Richard"},{"family":"Abecasis","given":"Gonçalo"},{"family":"Marchini","given":"Jonathan"}],"issued":{"date-parts":[["2016",8,22]]}}}],"schema":"https://github.com/citation-style-language/schema/raw/master/csl-citation.json"} </w:instrText>
      </w:r>
      <w:r w:rsidR="00C05F4F">
        <w:fldChar w:fldCharType="separate"/>
      </w:r>
      <w:r w:rsidR="00C05F4F" w:rsidRPr="00C05F4F">
        <w:t>(McCarthy et al., 2016)</w:t>
      </w:r>
      <w:r w:rsidR="00C05F4F">
        <w:fldChar w:fldCharType="end"/>
      </w:r>
      <w:r w:rsidR="00C05F4F">
        <w:t xml:space="preserve"> </w:t>
      </w:r>
      <w:r w:rsidRPr="00DD692C">
        <w:t>as the reference panel. GWAS was performed on SNPs with info score &gt; 0.8 and MAF &gt; 0.01, using logistic regression model in PLINK2</w:t>
      </w:r>
      <w:r w:rsidR="00065EA0">
        <w:t xml:space="preserve"> </w:t>
      </w:r>
      <w:r w:rsidR="00065EA0">
        <w:fldChar w:fldCharType="begin"/>
      </w:r>
      <w:r w:rsidR="00065EA0">
        <w:instrText xml:space="preserve"> ADDIN ZOTERO_ITEM CSL_CITATION {"citationID":"lW5z1fpt","properties":{"formattedCitation":"(Chang et al., 2015)","plainCitation":"(Chang et al., 2015)","noteIndex":0},"citationItems":[{"id":3253,"uris":["http://zotero.org/users/9762508/items/IX89LDBQ"],"itemData":{"id":3253,"type":"article-journal","abstract":"Background: PLINK 1 is a widely used open-source C/C++ toolset for genome-wide association studies (GWAS) and research in population genetics. However, the steady accumulation of data from imputation and whole-genome sequencing studies has exposed a strong need for faster and scalable implementations of key functions, such as logistic regression, linkage disequilibrium estimation, and genomic distance evaluation. In addition, GWAS and population-genetic data now frequently contain genotype likelihoods, phase information, and/or multiallelic variants, none of which can be represented by PLINK 1's primary data format. Findings: To address these issues, we are developing a second-generation codebase for PLINK. The first major release from this codebase, PLINK 1.9, introduces extensive use of bit-level parallelism, O(√n)-time/constant-space Hardy-Weinberg equilibrium and Fisher's exact tests, and many other algorithmic improvements. In combination, these changes accelerate most operations by 1-4 orders of magnitude, and allow the program to handle datasets too large to fit in RAM. We have also developed an extension to the data format which adds low-overhead support for genotype likelihoods, phase, multiallelic variants, and reference vs. alternate alleles, which is the basis of our planned second release (PLINK 2.0). Conclusions: The second-generation versions of PLINK will offer dramatic improvements in performance and compatibility. For the first time, users without access to high-end computing resources can perform several essential analyses of the feature-rich and very large genetic datasets coming into use.","container-title":"GigaScience","DOI":"10.1186/S13742-015-0047-8/2707533","ISSN":"2047217X","issue":"1","note":"PMID: 25722852\narXiv: 1410.4803\npublisher: BioMed Central Ltd.","page":"7","title":"Second-generation PLINK: Rising to the challenge of larger and richer datasets","volume":"4","author":[{"family":"Chang","given":"Christopher C."},{"family":"Chow","given":"Carson C."},{"family":"Tellier","given":"Laurent C.A.M."},{"family":"Vattikuti","given":"Shashaank"},{"family":"Purcell","given":"Shaun M."},{"family":"Lee","given":"James J."}],"issued":{"date-parts":[["2015",2,25]]}}}],"schema":"https://github.com/citation-style-language/schema/raw/master/csl-citation.json"} </w:instrText>
      </w:r>
      <w:r w:rsidR="00065EA0">
        <w:fldChar w:fldCharType="separate"/>
      </w:r>
      <w:r w:rsidR="00065EA0" w:rsidRPr="00065EA0">
        <w:t>(Chang et al., 2015)</w:t>
      </w:r>
      <w:r w:rsidR="00065EA0">
        <w:fldChar w:fldCharType="end"/>
      </w:r>
      <w:r w:rsidRPr="00DD692C">
        <w:t xml:space="preserve"> with the first four and the 9th MDS components as covariates. Ethics approvals for the OCGAS study were obtained from the Hopkins Medicine Institutional Review Boards, the Butler Institutional Review Board, the UCLA Institutional Review Boards, the Mass General Brigham Human Research Committee, the Columbia University Institutional Review Boards, and the National Institutes of Health Institutional Review Board (NIH IRB). </w:t>
      </w:r>
    </w:p>
    <w:p w14:paraId="00000049" w14:textId="77777777" w:rsidR="008E545C" w:rsidRPr="00DD692C" w:rsidRDefault="00000000">
      <w:pPr>
        <w:pStyle w:val="berschrift3"/>
        <w:spacing w:line="480" w:lineRule="auto"/>
        <w:jc w:val="both"/>
        <w:rPr>
          <w:lang w:val="de-DE"/>
        </w:rPr>
      </w:pPr>
      <w:bookmarkStart w:id="22" w:name="_heading=h.4i7ojhp" w:colFirst="0" w:colLast="0"/>
      <w:bookmarkEnd w:id="22"/>
      <w:r w:rsidRPr="00DD692C">
        <w:rPr>
          <w:lang w:val="de-DE"/>
        </w:rPr>
        <w:t>OCGAS-</w:t>
      </w:r>
      <w:proofErr w:type="spellStart"/>
      <w:r w:rsidRPr="00DD692C">
        <w:rPr>
          <w:lang w:val="de-DE"/>
        </w:rPr>
        <w:t>nestadt</w:t>
      </w:r>
      <w:proofErr w:type="spellEnd"/>
      <w:r w:rsidRPr="00DD692C">
        <w:rPr>
          <w:lang w:val="de-DE"/>
        </w:rPr>
        <w:t xml:space="preserve"> | </w:t>
      </w:r>
      <w:proofErr w:type="spellStart"/>
      <w:r w:rsidRPr="00DD692C">
        <w:rPr>
          <w:lang w:val="de-DE"/>
        </w:rPr>
        <w:t>Nestadt</w:t>
      </w:r>
      <w:proofErr w:type="spellEnd"/>
      <w:r w:rsidRPr="00DD692C">
        <w:rPr>
          <w:lang w:val="de-DE"/>
        </w:rPr>
        <w:t xml:space="preserve"> G., OCGAS </w:t>
      </w:r>
      <w:proofErr w:type="spellStart"/>
      <w:r w:rsidRPr="00DD692C">
        <w:rPr>
          <w:lang w:val="de-DE"/>
        </w:rPr>
        <w:t>Consortium</w:t>
      </w:r>
      <w:proofErr w:type="spellEnd"/>
      <w:r w:rsidRPr="00DD692C">
        <w:rPr>
          <w:lang w:val="de-DE"/>
        </w:rPr>
        <w:t xml:space="preserve"> | USA </w:t>
      </w:r>
    </w:p>
    <w:p w14:paraId="0000004B" w14:textId="2C8058DF" w:rsidR="008E545C" w:rsidRPr="00DD692C" w:rsidRDefault="00000000">
      <w:pPr>
        <w:spacing w:line="480" w:lineRule="auto"/>
        <w:jc w:val="both"/>
      </w:pPr>
      <w:r w:rsidRPr="00DD692C">
        <w:t>The OCGAS</w:t>
      </w:r>
      <w:r w:rsidR="00C05F4F">
        <w:t>-</w:t>
      </w:r>
      <w:proofErr w:type="spellStart"/>
      <w:r w:rsidR="00C05F4F">
        <w:t>nestadt</w:t>
      </w:r>
      <w:proofErr w:type="spellEnd"/>
      <w:r w:rsidRPr="00DD692C">
        <w:t xml:space="preserve"> study was conducted at one of the five participating recruitment sites of the National Institute of Mental Health. The study was approved by the IRB boards at: Johns Hopkins University School of Medicine, Brown Medical School, New York State Psychiatric Institute and College of Physicians and Surgeons at Columbia University, University of California Los Angeles (UCLA) School of Medicine, Massachusetts General Hospital and Harvard Medical School, </w:t>
      </w:r>
      <w:r w:rsidRPr="00DD692C">
        <w:lastRenderedPageBreak/>
        <w:t xml:space="preserve">National Institute of Mental Health, and Keck School of Medicine at the University of Southern California. Samples were collected between 2007 and 2014. The sample comprised of trios (including an affected proband and both parents) or in some cases a proband and an unaffected sibling. Each case was evaluated by a MD- or PhD-level clinical psychologist using the Structured Clinical Interview for DSM-IV (SCID). The checklist of obsessions and compulsions from the Y-BOCS, refined to include the age of onset, offset, and severity of each symptom, as well as the Y-BOCS scores for the worst episode (lifetime) was recorded. Course and treatment response variables were also included. A similar model was used for evaluating tics and Tourette disorder. </w:t>
      </w:r>
      <w:proofErr w:type="gramStart"/>
      <w:r w:rsidRPr="00DD692C">
        <w:t>Axis</w:t>
      </w:r>
      <w:proofErr w:type="gramEnd"/>
      <w:r w:rsidRPr="00DD692C">
        <w:t xml:space="preserve"> I disorder diagnoses were assigned using the JHU Diagnostic Assignment Checklist, an instrument that documents the criteria for over 20 DSM-IV disorders; this instrument also was the primary tool for the diagnostic consensus procedure. The SCID-II was used to evaluate four personality disorders (</w:t>
      </w:r>
      <w:proofErr w:type="spellStart"/>
      <w:r w:rsidRPr="00DD692C">
        <w:t>schizotypic</w:t>
      </w:r>
      <w:proofErr w:type="spellEnd"/>
      <w:r w:rsidRPr="00DD692C">
        <w:t>, obsessive-compulsive, avoidant, and dependent), and the FISC was used to obtain additional information about each participant from a knowledgeable informant. Children over the age of eight were assessed in the same way, except that the Kiddie-SADS was used in place of the SCID. Final diagnostic status was assigned based on the consensus of two psychiatrists or psychologists reviewing the case independently. The agreement between diagnosticians using the Diagnostic Assignment Checklist has been studied and found to be excellent for variables such as age at onset of OCD. The chance-corrected percent agreement between the diagnosticians for the diagnosis of OCD was K = 0.92; for age at onset of OCD, K = 0.88 (for age +/- 5 years), and Pearson’s r = 0.71. The diagnostic information from each site was reviewed by one of the five members of the JHU diagnostic consensus committee to ensure comparability across sites. For study inclusion, probands were required to meet DSM-IV criteria for OCD - with onset of obsessions and/or compulsions before the age of 18 years (mean = 9.4 years; SD = 6.35). Subjects with an age-of-onset &gt;</w:t>
      </w:r>
      <w:r w:rsidR="00C05F4F">
        <w:t xml:space="preserve"> </w:t>
      </w:r>
      <w:r w:rsidRPr="00DD692C">
        <w:t xml:space="preserve">17 years, schizophrenia, severe mental retardation that does not permit an evaluation to characterize the psychiatric disorder, Tourette disorder or OCD occurring exclusively in the context of depression (secondary OCD) were excluded. In addition, individuals were removed from the sample if they were previously diagnosed with brain pathology including brain tumors, Huntington’s disease, </w:t>
      </w:r>
      <w:r w:rsidRPr="00DD692C">
        <w:lastRenderedPageBreak/>
        <w:t>Parkinson’s disease, or Alzheimer’s disease. This resulted in a final sample of 212 cases and 212 controls. Samples were genotyped on the Il</w:t>
      </w:r>
      <w:sdt>
        <w:sdtPr>
          <w:tag w:val="goog_rdk_66"/>
          <w:id w:val="-1127626827"/>
        </w:sdtPr>
        <w:sdtContent>
          <w:r w:rsidRPr="00DD692C">
            <w:t>l</w:t>
          </w:r>
        </w:sdtContent>
      </w:sdt>
      <w:r w:rsidRPr="00DD692C">
        <w:t xml:space="preserve">umina </w:t>
      </w:r>
      <w:proofErr w:type="spellStart"/>
      <w:r w:rsidRPr="00DD692C">
        <w:t>PsychChip</w:t>
      </w:r>
      <w:proofErr w:type="spellEnd"/>
      <w:r w:rsidRPr="00DD692C">
        <w:t xml:space="preserve"> array at USC. Ethics approvals for the OCGAS study were obtained from the Hopkins Medicine Institutional Review Boards. The OCD Collaborative Genetics Association Study (OCGAS) is a collaborative research study and was funded by the following NIMH Grant Numbers: MH071507, MH079489, MH079487, MH079488 and MH079494. </w:t>
      </w:r>
    </w:p>
    <w:p w14:paraId="0000004C" w14:textId="77777777" w:rsidR="008E545C" w:rsidRPr="00DD692C" w:rsidRDefault="00000000">
      <w:pPr>
        <w:pStyle w:val="berschrift3"/>
        <w:spacing w:line="480" w:lineRule="auto"/>
        <w:jc w:val="both"/>
      </w:pPr>
      <w:bookmarkStart w:id="23" w:name="_heading=h.2xcytpi" w:colFirst="0" w:colLast="0"/>
      <w:bookmarkEnd w:id="23"/>
      <w:r w:rsidRPr="00DD692C">
        <w:t xml:space="preserve">OCGAS-ab | Arnold P., Burton C. | Canada | 27777633, 31772171 </w:t>
      </w:r>
    </w:p>
    <w:p w14:paraId="0000004D" w14:textId="665BE032" w:rsidR="008E545C" w:rsidRPr="00DD692C" w:rsidRDefault="00000000">
      <w:pPr>
        <w:spacing w:line="480" w:lineRule="auto"/>
        <w:jc w:val="both"/>
      </w:pPr>
      <w:r w:rsidRPr="00DD692C">
        <w:t>Samples in the OCGAS-ab cohort were collected between 2008-2015 and consist of trios. The study was approved by REB at Hospital for Sick Children. Cases were required to meet DSM-IV criteria for OCD and were selected based on the K-SADS and CY-BOCS questionnaires. Exclusion criteria for cases were age of onset &lt;</w:t>
      </w:r>
      <w:r w:rsidR="00C05F4F">
        <w:t xml:space="preserve"> </w:t>
      </w:r>
      <w:r w:rsidRPr="00DD692C">
        <w:t xml:space="preserve">18 years of age, psychosis, and history of severe neurological disorders other than Tourette’s disorder. Of the 55 cases and 55 controls, 50% are female, the mean age was 16.38 (SD = 3.78). One individual presented a co-morbid diagnosis of ASD, 11 of ADHD, six of Tics/Tourette’s syndrome, five of anxiety disorders, </w:t>
      </w:r>
      <w:r w:rsidR="00C05F4F">
        <w:t>one</w:t>
      </w:r>
      <w:r w:rsidRPr="00DD692C">
        <w:t xml:space="preserve"> of eating disorder, </w:t>
      </w:r>
      <w:r w:rsidR="00C05F4F">
        <w:t>two</w:t>
      </w:r>
      <w:r w:rsidRPr="00DD692C">
        <w:t xml:space="preserve"> of depression, and two presented learning difficulties. Samples were genotyped on the Il</w:t>
      </w:r>
      <w:sdt>
        <w:sdtPr>
          <w:tag w:val="goog_rdk_67"/>
          <w:id w:val="-507605097"/>
        </w:sdtPr>
        <w:sdtContent>
          <w:r w:rsidRPr="00DD692C">
            <w:t>l</w:t>
          </w:r>
        </w:sdtContent>
      </w:sdt>
      <w:r w:rsidRPr="00DD692C">
        <w:t xml:space="preserve">umina </w:t>
      </w:r>
      <w:proofErr w:type="spellStart"/>
      <w:r w:rsidRPr="00DD692C">
        <w:t>PsychChip</w:t>
      </w:r>
      <w:proofErr w:type="spellEnd"/>
      <w:r w:rsidRPr="00DD692C">
        <w:t xml:space="preserve"> array at USC.</w:t>
      </w:r>
      <w:sdt>
        <w:sdtPr>
          <w:tag w:val="goog_rdk_68"/>
          <w:id w:val="-23801334"/>
        </w:sdtPr>
        <w:sdtContent>
          <w:r w:rsidRPr="00DD692C">
            <w:t xml:space="preserve"> </w:t>
          </w:r>
        </w:sdtContent>
      </w:sdt>
      <w:r w:rsidRPr="00DD692C">
        <w:t xml:space="preserve">Ethics approvals for the OCGAS study were obtained from the Hopkins Medicine Institutional Review Boards. </w:t>
      </w:r>
    </w:p>
    <w:p w14:paraId="0000004E" w14:textId="77777777" w:rsidR="008E545C" w:rsidRPr="00DD692C" w:rsidRDefault="008E545C">
      <w:pPr>
        <w:spacing w:line="480" w:lineRule="auto"/>
        <w:jc w:val="both"/>
      </w:pPr>
    </w:p>
    <w:p w14:paraId="0000004F" w14:textId="77777777" w:rsidR="008E545C" w:rsidRPr="00DD692C" w:rsidRDefault="00000000">
      <w:pPr>
        <w:pStyle w:val="berschrift3"/>
        <w:spacing w:line="480" w:lineRule="auto"/>
        <w:jc w:val="both"/>
        <w:rPr>
          <w:lang w:val="de-DE"/>
        </w:rPr>
      </w:pPr>
      <w:bookmarkStart w:id="24" w:name="_heading=h.1ci93xb" w:colFirst="0" w:colLast="0"/>
      <w:bookmarkEnd w:id="24"/>
      <w:r w:rsidRPr="00DD692C">
        <w:rPr>
          <w:lang w:val="de-DE"/>
        </w:rPr>
        <w:t>OCGAS-</w:t>
      </w:r>
      <w:proofErr w:type="spellStart"/>
      <w:r w:rsidRPr="00DD692C">
        <w:rPr>
          <w:lang w:val="de-DE"/>
        </w:rPr>
        <w:t>gh</w:t>
      </w:r>
      <w:proofErr w:type="spellEnd"/>
      <w:r w:rsidRPr="00DD692C">
        <w:rPr>
          <w:lang w:val="de-DE"/>
        </w:rPr>
        <w:t xml:space="preserve"> | Grünblatt E., </w:t>
      </w:r>
      <w:proofErr w:type="spellStart"/>
      <w:r w:rsidRPr="00DD692C">
        <w:rPr>
          <w:lang w:val="de-DE"/>
        </w:rPr>
        <w:t>Walitza</w:t>
      </w:r>
      <w:proofErr w:type="spellEnd"/>
      <w:r w:rsidRPr="00DD692C">
        <w:rPr>
          <w:lang w:val="de-DE"/>
        </w:rPr>
        <w:t xml:space="preserve"> S. | </w:t>
      </w:r>
      <w:proofErr w:type="spellStart"/>
      <w:r w:rsidRPr="00DD692C">
        <w:rPr>
          <w:lang w:val="de-DE"/>
        </w:rPr>
        <w:t>Switzerland</w:t>
      </w:r>
      <w:proofErr w:type="spellEnd"/>
      <w:r w:rsidRPr="00DD692C">
        <w:rPr>
          <w:lang w:val="de-DE"/>
        </w:rPr>
        <w:t xml:space="preserve"> and Germany | 28065182, 29102815 </w:t>
      </w:r>
    </w:p>
    <w:p w14:paraId="00000051" w14:textId="253DD82C" w:rsidR="008E545C" w:rsidRPr="00DD692C" w:rsidRDefault="00000000">
      <w:pPr>
        <w:spacing w:line="480" w:lineRule="auto"/>
        <w:jc w:val="both"/>
      </w:pPr>
      <w:r w:rsidRPr="00DD692C">
        <w:t>Participants in the early-onset OCD cohort were recruited at the Departments of Child and Adolescent Psychiatry of the Universities of Würzburg, Marburg, Aachen, and Freiburg in Germany and Z</w:t>
      </w:r>
      <w:r w:rsidR="00C05F4F">
        <w:t>u</w:t>
      </w:r>
      <w:r w:rsidRPr="00DD692C">
        <w:t xml:space="preserve">rich in Switzerland. Informed written consent was obtained in all cases by the participants or their parents. The study was approved by the ethical commissions of all involved universities in accordance with the latest version of the Declaration of Helsinki, including an ethical </w:t>
      </w:r>
      <w:r w:rsidRPr="00DD692C">
        <w:lastRenderedPageBreak/>
        <w:t xml:space="preserve">permission granted by the Ethic Committees from Aachen, Würzburg, Marburg, </w:t>
      </w:r>
      <w:r w:rsidR="00C05F4F" w:rsidRPr="00DD692C">
        <w:t>Freiburg,</w:t>
      </w:r>
      <w:r w:rsidRPr="00DD692C">
        <w:t xml:space="preserve"> and the Cantonal Ethic Commission of Zürich (Ref. Nr. 39/97, 140/3 and EK: KEK-</w:t>
      </w:r>
      <w:proofErr w:type="spellStart"/>
      <w:r w:rsidRPr="00DD692C">
        <w:t>ZHNr</w:t>
      </w:r>
      <w:proofErr w:type="spellEnd"/>
      <w:r w:rsidRPr="00DD692C">
        <w:t xml:space="preserve">. 2010-0340/3). Samples were collected between 2000 and 2016 and resulted in 56 cases and 56 controls in trios or case-control samples. Patients were included if they fulfilled the diagnostic criteria for current OCD according to DSM-4 and ICD-10. To assess OCD diagnostic criteria, early-onset OCD patients and parents were interviewed separately by senior clinicians with a semi-structured diagnostic interview of psychiatric disorders in children and adolescents (Kinder-DIPS; children and parents version) </w:t>
      </w:r>
      <w:r w:rsidR="00C05F4F">
        <w:fldChar w:fldCharType="begin"/>
      </w:r>
      <w:r w:rsidR="006D710A">
        <w:instrText xml:space="preserve"> ADDIN ZOTERO_ITEM CSL_CITATION {"citationID":"zb6VAZuS","properties":{"formattedCitation":"(Margraf et al., 2017)","plainCitation":"(Margraf et al., 2017)","noteIndex":0},"citationItems":[{"id":4633,"uris":["http://zotero.org/users/9762508/items/U9A2VHIG"],"itemData":{"id":4633,"type":"article-journal","abstract":"Zusammenfassung. Psychische Störungen können über die ganze Lebensspanne auftreten. Strukturierte klinische Interviews sind zentrale Hilfsmittel für ihre rasche, zuverlässige und umfassende Diagnostik. Im deutschsprachigen Raum stehen mit den Verfahren der DIPS-Familie Interviews zur Diagnostik psychischer Störungen über die gesamte Lebensspanne zur Verfügung, die seit den 90er Jahren regelmäßig aktualisiert wurden. Ihre Reliabilität, Validität und Akzeptanz wurde wiederholt in großen Stichproben aus ambulanten, stationären und Forschungssettings überprüft. Die Einführung des DSM-5 erforderte eine umfassende Überarbeitung der DIPS-Interviews, deren wesentliche Merkmale dargestellt werden. Um die breitere Verwendung von strukturierten klinischen Interviews zu fördern, werden die Verfahren der DIPS-Familie neu als „Open Access-Dokumente“ zur Verfügung gestellt. Abschließend werden weitere Entwicklungen zu Training, Dissemination und Computerisierung im Ausblick angesprochen.","container-title":"Zeitschrift für Klinische Psychologie und Psychotherapie","DOI":"10.1026/1616-3443/a000430","ISSN":"1616-3443","issue":"3","note":"publisher: Hogrefe Verlag","page":"176-186","source":"econtent.hogrefe.com (Atypon)","title":"Strukturierte klinische Interviews zur Erfassung psychischer                     Störungen über die Lebensspanne","volume":"46","author":[{"family":"Margraf","given":"Jürgen"},{"family":"Cwik","given":"Jan Christopher"},{"family":"Pflug","given":"Verena"},{"family":"Schneider","given":"Silvia"}],"issued":{"date-parts":[["2017",7]]}}}],"schema":"https://github.com/citation-style-language/schema/raw/master/csl-citation.json"} </w:instrText>
      </w:r>
      <w:r w:rsidR="00C05F4F">
        <w:fldChar w:fldCharType="separate"/>
      </w:r>
      <w:r w:rsidR="006D710A" w:rsidRPr="006D710A">
        <w:t>(Margraf et al., 2017)</w:t>
      </w:r>
      <w:r w:rsidR="00C05F4F">
        <w:fldChar w:fldCharType="end"/>
      </w:r>
      <w:r w:rsidRPr="00DD692C">
        <w:t>; the patients and parents located in Zürich underwent the German version of a semi-structured clinical interview (K-SADS-</w:t>
      </w:r>
      <w:r w:rsidRPr="006D710A">
        <w:t xml:space="preserve">PL) </w:t>
      </w:r>
      <w:r w:rsidR="006D710A" w:rsidRPr="006D710A">
        <w:fldChar w:fldCharType="begin"/>
      </w:r>
      <w:r w:rsidR="006D710A" w:rsidRPr="006D710A">
        <w:instrText xml:space="preserve"> ADDIN ZOTERO_ITEM CSL_CITATION {"citationID":"Aub4e4JM","properties":{"formattedCitation":"(Kaufman et al., 2000)","plainCitation":"(Kaufman et al., 2000)","noteIndex":0},"citationItems":[{"id":4634,"uris":["http://zotero.org/users/9762508/items/JWRUTATZ"],"itemData":{"id":4634,"type":"article-journal","abstract":"Comments on the review of the development of the Schedule for Affective Disorders and Schizophrenia for School-Age Children (K-SADS) by P. J. Ambrosini (see record 2000-13046-009). The authors note that the user information for the K-SADS-PL was incorrectly supplied in the article and that the administration time of the test was incorrectly noted. The authors provide the correct user information address and corrected information on administration time. The authors also provide additional information on the K-SADS-PL. (PsycINFO Database Record (c) 2016 APA, all rights reserved)","container-title":"Journal of the American Academy of Child &amp; Adolescent Psychiatry","DOI":"10.1097/00004583-200010000-00002","ISSN":"1527-5418","issue":"10","note":"publisher-place: US\npublisher: Lippincott Williams &amp; Wilkins","page":"1208-1208","source":"APA PsycNet","title":"K-SADS-PL","volume":"39","author":[{"family":"Kaufman","given":"Joan"},{"family":"Birmaher","given":"Boris"},{"family":"Brent","given":"David A."},{"family":"Ryan","given":"Neal D."},{"family":"Rao","given":"Uma"}],"issued":{"date-parts":[["2000"]]}}}],"schema":"https://github.com/citation-style-language/schema/raw/master/csl-citation.json"} </w:instrText>
      </w:r>
      <w:r w:rsidR="006D710A" w:rsidRPr="006D710A">
        <w:fldChar w:fldCharType="separate"/>
      </w:r>
      <w:r w:rsidR="006D710A" w:rsidRPr="006D710A">
        <w:t>(Kaufman et al., 2000)</w:t>
      </w:r>
      <w:r w:rsidR="006D710A" w:rsidRPr="006D710A">
        <w:fldChar w:fldCharType="end"/>
      </w:r>
      <w:r w:rsidRPr="006D710A">
        <w:t xml:space="preserve"> .</w:t>
      </w:r>
      <w:r w:rsidRPr="00DD692C">
        <w:t xml:space="preserve"> In addition, severity and additional characteristics of OCD symptoms were evaluated with the Children’s Yale-Brown Obsessive Compulsive Scale (CY-BOCS) </w:t>
      </w:r>
      <w:r w:rsidR="006D710A">
        <w:fldChar w:fldCharType="begin"/>
      </w:r>
      <w:r w:rsidR="006D710A">
        <w:instrText xml:space="preserve"> ADDIN ZOTERO_ITEM CSL_CITATION {"citationID":"D8daDhzz","properties":{"formattedCitation":"(Scahill et al., 1997)","plainCitation":"(Scahill et al., 1997)","noteIndex":0},"citationItems":[{"id":3781,"uris":["http://zotero.org/users/9762508/items/VRRNNACG"],"itemData":{"id":3781,"type":"article-journal","abstract":"Objective: To evaluate the reliability and validity of a semistructured measure of obsessive-compulsive symptom severity in children and adolescents with obsessive-compulsive disorder (OCD). Method: Sixty-five children with OCD (25 girls and 40 boys, aged 8 to 17 years) were assessed with the Children's Yale-Brown Obsessive Compulsive Scale (CY-BOCS). Interrater agreement was assessed by four raters in a subsample (n = 24). Discriminant and convergent validity were assessed by comparing CY-BOCS scores to self- ratings of depression, anxiety, and obsessive-compulsive symptoms. Results: Internal consistency was high, measuring .87 for the 10 items. The intraclass correlations for the CY-BOCS Total, Obsession, and Compulsion scores were .84, .91, and .66, suggesting good to excellent interrater agreement for subscale and total scores. The CY-BOCS Total score showed a significantly higher correlation with a self-report of obsessive-compulsive symptoms (r = .62 for the Layton survey) compared with the Children's Depression Inventory (r = .34) and the Children's Manifest Anxiety Scale (r = .37) (p = .02 and .05, respectively). Conclusions: The CY-BOCS yields reliable and valid subscale and total scores for obsessive-compulsive symptom severity in children and adolescents with OCD. Reliability and validity appear to be influenced by age of the child and the hazards associated with integrating data from parental and patient sources.","container-title":"Journal of the American Academy of Child and Adolescent Psychiatry","DOI":"10.1097/00004583-199706000-00023","issue":"6","note":"publisher: Elsevier Inc.","page":"844-852","title":"Children's Yale-Brown Obsessive Compulsive Scale: Reliability and validity","volume":"36","author":[{"family":"Scahill","given":"Lawrence"},{"family":"Riddle","given":"Mark A."},{"family":"McSwiggin-Hardin","given":"Maureen"},{"family":"Ort","given":"Sharon I."},{"family":"King","given":"Robert A."},{"family":"Goodman","given":"Wayne K."},{"family":"Cicchetti","given":"Domenic"},{"family":"Leckman","given":"James F."}],"issued":{"date-parts":[["1997"]]}}}],"schema":"https://github.com/citation-style-language/schema/raw/master/csl-citation.json"} </w:instrText>
      </w:r>
      <w:r w:rsidR="006D710A">
        <w:fldChar w:fldCharType="separate"/>
      </w:r>
      <w:r w:rsidR="006D710A" w:rsidRPr="006D710A">
        <w:t>(Scahill et al., 1997)</w:t>
      </w:r>
      <w:r w:rsidR="006D710A">
        <w:fldChar w:fldCharType="end"/>
      </w:r>
      <w:r w:rsidRPr="00DD692C">
        <w:t xml:space="preserve">. </w:t>
      </w:r>
      <w:r w:rsidR="006D710A">
        <w:t>K</w:t>
      </w:r>
      <w:r w:rsidRPr="00DD692C">
        <w:t xml:space="preserve">inder-DIPS or K-SADS-PL was used to screen for the existence of comorbid disorders (affective-, anxiety-, eating- and tic disorders, attention-deficit/hyperactivity disorder, conduct-, oppositional disorder, as well as substance use, abuse, </w:t>
      </w:r>
      <w:proofErr w:type="gramStart"/>
      <w:r w:rsidRPr="00DD692C">
        <w:t>psychosis</w:t>
      </w:r>
      <w:proofErr w:type="gramEnd"/>
      <w:r w:rsidRPr="00DD692C">
        <w:t xml:space="preserve"> and somatic diseases) in children and adolescents. CASCAP-D was used to screen for autistic spectrum disorders </w:t>
      </w:r>
      <w:r w:rsidR="0086149C">
        <w:fldChar w:fldCharType="begin"/>
      </w:r>
      <w:r w:rsidR="0086149C">
        <w:instrText xml:space="preserve"> ADDIN ZOTERO_ITEM CSL_CITATION {"citationID":"iDfn3x2C","properties":{"formattedCitation":"(Schmidt et al., 2000)","plainCitation":"(Schmidt et al., 2000)","noteIndex":0},"citationItems":[{"id":4638,"uris":["http://zotero.org/users/9762508/items/C88GLUCQ"],"itemData":{"id":4638,"type":"article-journal","DOI":"10.1024//1422-4917.28.1.64","journalAbbreviation":"Zeitschrift für Kinder- und Jugendpsychiatrie und Psychotherapie","page":"28(1):64-64","title":"Psychopathologisches Befund-System für Kinder und Jugendliche (CASCAP-D)","author":[{"family":"Schmidt","given":"M. H."},{"family":"Döpfner","given":"Manfred"},{"family":"Berner","given":"W"},{"family":"Flechtner","given":"Henning"},{"family":"Lehmkuhl","given":"Gerd"},{"family":"Steinhausen","given":"Hans-Christoph Erich"}],"issued":{"date-parts":[["2000"]]}}}],"schema":"https://github.com/citation-style-language/schema/raw/master/csl-citation.json"} </w:instrText>
      </w:r>
      <w:r w:rsidR="0086149C">
        <w:fldChar w:fldCharType="separate"/>
      </w:r>
      <w:r w:rsidR="0086149C" w:rsidRPr="0086149C">
        <w:t>(Schmidt et al., 2000)</w:t>
      </w:r>
      <w:r w:rsidR="0086149C">
        <w:fldChar w:fldCharType="end"/>
      </w:r>
      <w:r w:rsidR="0086149C">
        <w:t>.</w:t>
      </w:r>
      <w:r w:rsidRPr="00DD692C">
        <w:t xml:space="preserve"> Present and lifetime </w:t>
      </w:r>
      <w:sdt>
        <w:sdtPr>
          <w:tag w:val="goog_rdk_69"/>
          <w:id w:val="661898565"/>
        </w:sdtPr>
        <w:sdtContent>
          <w:r w:rsidRPr="00DD692C">
            <w:t>Tourette's syndrome</w:t>
          </w:r>
        </w:sdtContent>
      </w:sdt>
      <w:r w:rsidRPr="00DD692C">
        <w:t xml:space="preserve"> and tic disorders were assessed with the adapted German </w:t>
      </w:r>
      <w:r w:rsidRPr="00CA3554">
        <w:t>version</w:t>
      </w:r>
      <w:r w:rsidR="00CA3554">
        <w:t xml:space="preserve"> </w:t>
      </w:r>
      <w:r w:rsidRPr="00DD692C">
        <w:t xml:space="preserve">of the Child and Adult Schedule for Tourette and Other Behavioral Syndromes (STOBS) and the Yale Global Tic Severity Scale (YGTSS) </w:t>
      </w:r>
      <w:r w:rsidR="00CA3554">
        <w:fldChar w:fldCharType="begin"/>
      </w:r>
      <w:r w:rsidR="00CA3554">
        <w:instrText xml:space="preserve"> ADDIN ZOTERO_ITEM CSL_CITATION {"citationID":"2JYvBAbu","properties":{"formattedCitation":"(Leckman et al., 1989)","plainCitation":"(Leckman et al., 1989)","noteIndex":0},"citationItems":[{"id":3778,"uris":["http://zotero.org/users/9762508/items/CCSZKYHC"],"itemData":{"id":3778,"type":"article-journal","abstract":"Despite the overt nature of most motor and phonic tic phenomena, the development of valid and reliable scales to rate tic severity has been an elusive goal. The Yale Global Tic Severity Scale (YGTSS) is a new clinical rating instrument that was designed for use in studies of Tourette's syndrome and other tic disorders. The YGTSS provides an evaluation of the number, frequency, intensity, complexity, and interference of motor and phonic symptoms. Data from 105 subjects, aged 5 to 51 years, support the construct, convergent, and discriminant validity of the instrument. These results indicate that the YGTSS is a promising instrument for the assessment of tic severity in children, adolescents and adults. © 1989, The American Academy of Child and Adolescent Psychiatry. All rights reserved.","container-title":"Journal of the American Academy of Child and Adolescent Psychiatry","DOI":"10.1097/00004583-198907000-00015","issue":"4","note":"publisher: J Am Acad Child Adolesc Psychiatry","page":"566-573","title":"The Yale Global Tic Severity Scale: Initial Testing of a Clinician-Rated Scale of Tic Severity","volume":"28","author":[{"family":"Leckman","given":"James F."},{"family":"Riddle","given":"Mark A."},{"family":"Hardin","given":"Maureen T."},{"family":"Ort","given":"Sharon I."},{"family":"Swartz","given":"Karen L."},{"family":"Stevenson","given":"John"},{"family":"Cohen","given":"Donald J."}],"issued":{"date-parts":[["1989"]]}}}],"schema":"https://github.com/citation-style-language/schema/raw/master/csl-citation.json"} </w:instrText>
      </w:r>
      <w:r w:rsidR="00CA3554">
        <w:fldChar w:fldCharType="separate"/>
      </w:r>
      <w:r w:rsidR="00CA3554" w:rsidRPr="00CA3554">
        <w:t>(Leckman et al., 1989)</w:t>
      </w:r>
      <w:r w:rsidR="00CA3554">
        <w:fldChar w:fldCharType="end"/>
      </w:r>
      <w:r w:rsidR="00CA3554">
        <w:t xml:space="preserve"> </w:t>
      </w:r>
      <w:r w:rsidRPr="00DD692C">
        <w:t>in the Zürich patients. Case exclusion criteria were a lifetime history of Tourette’s syndrome, psychotic disorder, autism spectrum disorder, menta</w:t>
      </w:r>
      <w:sdt>
        <w:sdtPr>
          <w:tag w:val="goog_rdk_71"/>
          <w:id w:val="820084497"/>
        </w:sdtPr>
        <w:sdtContent>
          <w:r w:rsidRPr="00DD692C">
            <w:t>l</w:t>
          </w:r>
        </w:sdtContent>
      </w:sdt>
      <w:r w:rsidR="00441BB3">
        <w:t xml:space="preserve"> </w:t>
      </w:r>
      <w:r w:rsidRPr="00DD692C">
        <w:t xml:space="preserve">retardation (IQ &lt; 70) or alcohol dependence. Patients with comorbid disorders were only included if OCD was the primary diagnosis. Controls were excluded if they presented a major psychiatric disorder or an IQ &lt; 70. All pediatric OCD patients received cognitive behavior therapy, while when insufficient, drug treatment was added, most commonly with an SSRI. Samples were genotyped on the ILMN </w:t>
      </w:r>
      <w:proofErr w:type="spellStart"/>
      <w:r w:rsidRPr="00DD692C">
        <w:t>PsychChip</w:t>
      </w:r>
      <w:proofErr w:type="spellEnd"/>
      <w:r w:rsidRPr="00DD692C">
        <w:t xml:space="preserve"> array and genotyped at USC in one batch. </w:t>
      </w:r>
    </w:p>
    <w:p w14:paraId="00000052" w14:textId="77777777" w:rsidR="008E545C" w:rsidRPr="00DD692C" w:rsidRDefault="00000000">
      <w:pPr>
        <w:pStyle w:val="berschrift3"/>
        <w:spacing w:line="480" w:lineRule="auto"/>
        <w:jc w:val="both"/>
        <w:rPr>
          <w:lang w:val="de-DE"/>
        </w:rPr>
      </w:pPr>
      <w:bookmarkStart w:id="25" w:name="_heading=h.3whwml4" w:colFirst="0" w:colLast="0"/>
      <w:bookmarkEnd w:id="25"/>
      <w:r w:rsidRPr="00DD692C">
        <w:rPr>
          <w:lang w:val="de-DE"/>
        </w:rPr>
        <w:lastRenderedPageBreak/>
        <w:t xml:space="preserve">OCD-WWF | Domschke, K; Berberich G. | Germany </w:t>
      </w:r>
    </w:p>
    <w:p w14:paraId="00000053" w14:textId="6B6C2668" w:rsidR="008E545C" w:rsidRPr="00DD692C" w:rsidRDefault="00000000">
      <w:pPr>
        <w:spacing w:line="480" w:lineRule="auto"/>
        <w:jc w:val="both"/>
      </w:pPr>
      <w:sdt>
        <w:sdtPr>
          <w:tag w:val="goog_rdk_73"/>
          <w:id w:val="803433676"/>
        </w:sdtPr>
        <w:sdtContent>
          <w:r w:rsidRPr="00DD692C">
            <w:rPr>
              <w:rFonts w:eastAsia="Arial Unicode MS"/>
            </w:rPr>
            <w:t xml:space="preserve">For the </w:t>
          </w:r>
          <w:r w:rsidR="00441BB3">
            <w:rPr>
              <w:rFonts w:eastAsia="Arial Unicode MS"/>
            </w:rPr>
            <w:t>o</w:t>
          </w:r>
          <w:r w:rsidRPr="00DD692C">
            <w:rPr>
              <w:rFonts w:eastAsia="Arial Unicode MS"/>
            </w:rPr>
            <w:t>bsessive</w:t>
          </w:r>
          <w:r w:rsidR="0089583A">
            <w:rPr>
              <w:rFonts w:eastAsia="Arial Unicode MS"/>
            </w:rPr>
            <w:t>-</w:t>
          </w:r>
          <w:r w:rsidRPr="00DD692C">
            <w:rPr>
              <w:rFonts w:eastAsia="Arial Unicode MS"/>
            </w:rPr>
            <w:t xml:space="preserve">compulsive disorder - </w:t>
          </w:r>
          <w:proofErr w:type="spellStart"/>
          <w:r w:rsidRPr="00DD692C">
            <w:rPr>
              <w:rFonts w:eastAsia="Arial Unicode MS"/>
            </w:rPr>
            <w:t>Windach</w:t>
          </w:r>
          <w:proofErr w:type="spellEnd"/>
          <w:r w:rsidRPr="00DD692C">
            <w:rPr>
              <w:rFonts w:eastAsia="Arial Unicode MS"/>
            </w:rPr>
            <w:t xml:space="preserve"> Würzburg Freiburg (OCD-WWF) study, 129 inpatients with OCD (</w:t>
          </w:r>
          <w:r w:rsidR="00157254">
            <w:rPr>
              <w:rFonts w:eastAsia="Arial Unicode MS"/>
            </w:rPr>
            <w:t xml:space="preserve">mean age </w:t>
          </w:r>
          <w:r w:rsidRPr="00DD692C">
            <w:rPr>
              <w:rFonts w:eastAsia="Arial Unicode MS"/>
            </w:rPr>
            <w:t>±</w:t>
          </w:r>
          <w:r w:rsidR="00157254">
            <w:rPr>
              <w:rFonts w:eastAsia="Arial Unicode MS"/>
            </w:rPr>
            <w:t xml:space="preserve"> </w:t>
          </w:r>
          <w:r w:rsidRPr="00DD692C">
            <w:rPr>
              <w:rFonts w:eastAsia="Arial Unicode MS"/>
            </w:rPr>
            <w:t xml:space="preserve">SD: 34.47±11.86 years; 66 female) were recruited at the Psychosomatic Hospital </w:t>
          </w:r>
          <w:proofErr w:type="spellStart"/>
          <w:r w:rsidRPr="00DD692C">
            <w:rPr>
              <w:rFonts w:eastAsia="Arial Unicode MS"/>
            </w:rPr>
            <w:t>Windach</w:t>
          </w:r>
          <w:proofErr w:type="spellEnd"/>
          <w:r w:rsidRPr="00DD692C">
            <w:rPr>
              <w:rFonts w:eastAsia="Arial Unicode MS"/>
            </w:rPr>
            <w:t xml:space="preserve">, </w:t>
          </w:r>
          <w:proofErr w:type="spellStart"/>
          <w:r w:rsidRPr="00DD692C">
            <w:rPr>
              <w:rFonts w:eastAsia="Arial Unicode MS"/>
            </w:rPr>
            <w:t>Windach</w:t>
          </w:r>
          <w:proofErr w:type="spellEnd"/>
          <w:r w:rsidRPr="00DD692C">
            <w:rPr>
              <w:rFonts w:eastAsia="Arial Unicode MS"/>
            </w:rPr>
            <w:t xml:space="preserve">, Germany, between 2014 and 2017. OCD diagnosis was ascertained </w:t>
          </w:r>
          <w:proofErr w:type="gramStart"/>
          <w:r w:rsidRPr="00DD692C">
            <w:rPr>
              <w:rFonts w:eastAsia="Arial Unicode MS"/>
            </w:rPr>
            <w:t>on the basis of</w:t>
          </w:r>
          <w:proofErr w:type="gramEnd"/>
          <w:r w:rsidRPr="00DD692C">
            <w:rPr>
              <w:rFonts w:eastAsia="Arial Unicode MS"/>
            </w:rPr>
            <w:t xml:space="preserve"> a structured clinical interview according to DSMIV criteria (SCID-I) by experienced psychiatrists and/or clinical psychologists. Inclusion criteria were age at inclusion between 18 and 80 years and </w:t>
          </w:r>
          <w:r w:rsidR="00157254">
            <w:rPr>
              <w:rFonts w:eastAsia="Arial Unicode MS"/>
            </w:rPr>
            <w:t>European</w:t>
          </w:r>
          <w:r w:rsidRPr="00DD692C">
            <w:rPr>
              <w:rFonts w:eastAsia="Arial Unicode MS"/>
            </w:rPr>
            <w:t xml:space="preserve"> descent (self-report up to third generation). Exclusion criteria comprised severe somatic and neurological disorders, the consumption of illegal drugs, and pregnancy. Comorbid tic disorder, trichotillomania, skin-picking </w:t>
          </w:r>
          <w:proofErr w:type="gramStart"/>
          <w:r w:rsidRPr="00DD692C">
            <w:rPr>
              <w:rFonts w:eastAsia="Arial Unicode MS"/>
            </w:rPr>
            <w:t>disorder</w:t>
          </w:r>
          <w:proofErr w:type="gramEnd"/>
          <w:r w:rsidRPr="00DD692C">
            <w:rPr>
              <w:rFonts w:eastAsia="Arial Unicode MS"/>
            </w:rPr>
            <w:t xml:space="preserve"> or other current axis I diagnoses except for depression (</w:t>
          </w:r>
          <w:r w:rsidR="00157254">
            <w:rPr>
              <w:rFonts w:eastAsia="Arial Unicode MS"/>
            </w:rPr>
            <w:t>n</w:t>
          </w:r>
          <w:r w:rsidRPr="00DD692C">
            <w:rPr>
              <w:rFonts w:eastAsia="Arial Unicode MS"/>
            </w:rPr>
            <w:t xml:space="preserve"> = 71), specific phobias (</w:t>
          </w:r>
          <w:r w:rsidR="00157254">
            <w:rPr>
              <w:rFonts w:eastAsia="Arial Unicode MS"/>
            </w:rPr>
            <w:t>n</w:t>
          </w:r>
          <w:r w:rsidRPr="00DD692C">
            <w:rPr>
              <w:rFonts w:eastAsia="Arial Unicode MS"/>
            </w:rPr>
            <w:t xml:space="preserve"> = 10), generalized anxiety disorder (</w:t>
          </w:r>
          <w:r w:rsidR="00157254">
            <w:rPr>
              <w:rFonts w:eastAsia="Arial Unicode MS"/>
            </w:rPr>
            <w:t>n</w:t>
          </w:r>
          <w:r w:rsidRPr="00DD692C">
            <w:rPr>
              <w:rFonts w:eastAsia="Arial Unicode MS"/>
            </w:rPr>
            <w:t xml:space="preserve"> = 1), social phobia (</w:t>
          </w:r>
          <w:r w:rsidR="00157254">
            <w:rPr>
              <w:rFonts w:eastAsia="Arial Unicode MS"/>
            </w:rPr>
            <w:t>n</w:t>
          </w:r>
          <w:r w:rsidRPr="00DD692C">
            <w:rPr>
              <w:rFonts w:eastAsia="Arial Unicode MS"/>
            </w:rPr>
            <w:t xml:space="preserve"> = 5), panic disorder (</w:t>
          </w:r>
          <w:r w:rsidR="00157254">
            <w:rPr>
              <w:rFonts w:eastAsia="Arial Unicode MS"/>
            </w:rPr>
            <w:t>n</w:t>
          </w:r>
          <w:r w:rsidRPr="00DD692C">
            <w:rPr>
              <w:rFonts w:eastAsia="Arial Unicode MS"/>
            </w:rPr>
            <w:t xml:space="preserve"> = 2), agoraphobia (</w:t>
          </w:r>
          <w:r w:rsidR="00157254">
            <w:rPr>
              <w:rFonts w:eastAsia="Arial Unicode MS"/>
            </w:rPr>
            <w:t>n</w:t>
          </w:r>
          <w:r w:rsidRPr="00DD692C">
            <w:rPr>
              <w:rFonts w:eastAsia="Arial Unicode MS"/>
            </w:rPr>
            <w:t xml:space="preserve"> = 5) or posttraumatic stress disorder (</w:t>
          </w:r>
          <w:r w:rsidR="00157254">
            <w:rPr>
              <w:rFonts w:eastAsia="Arial Unicode MS"/>
            </w:rPr>
            <w:t>n</w:t>
          </w:r>
          <w:r w:rsidRPr="00DD692C">
            <w:rPr>
              <w:rFonts w:eastAsia="Arial Unicode MS"/>
            </w:rPr>
            <w:t xml:space="preserve"> = 3) were excluded. The study was approved by the ethics committee of the University of Würzburg, Germany and was conducted according to the ethical principles of the Helsinki Declaration. All patients gave written informed consent prior to participation. Cases and controls were genotyped on Illumina’s Global screening array. GWAS analysis was performed using </w:t>
          </w:r>
          <w:r w:rsidR="00441BB3">
            <w:rPr>
              <w:rFonts w:eastAsia="Arial Unicode MS"/>
            </w:rPr>
            <w:t>RICOPILI</w:t>
          </w:r>
          <w:r w:rsidR="00157254">
            <w:rPr>
              <w:rFonts w:eastAsia="Arial Unicode MS"/>
            </w:rPr>
            <w:t xml:space="preserve"> </w:t>
          </w:r>
          <w:r w:rsidR="00157254">
            <w:rPr>
              <w:rFonts w:eastAsia="Arial Unicode MS"/>
            </w:rPr>
            <w:fldChar w:fldCharType="begin"/>
          </w:r>
          <w:r w:rsidR="00157254">
            <w:rPr>
              <w:rFonts w:eastAsia="Arial Unicode MS"/>
            </w:rPr>
            <w:instrText xml:space="preserve"> ADDIN ZOTERO_ITEM CSL_CITATION {"citationID":"CsglXfUV","properties":{"formattedCitation":"(Lam et al., 2020)","plainCitation":"(Lam et al., 2020)","noteIndex":0},"citationItems":[{"id":2660,"uris":["http://zotero.org/users/9762508/items/WB2BXSK8"],"itemData":{"id":2660,"type":"article-journal","abstract":"Genome-wide association study (GWAS) analyses, at sufficient sample sizes and power, have successfully revealed biological insights for several complex traits. RICOPILI, an open-sourced Perl-based pipeline was developed to address the challenges of rapidly processing large-scale multi-cohort GWAS studies including quality control (QC), imputation and downstream analyses. The pipeline is computationally efficient with portability to a wide range of high-performance computing environments. RICOPILI was created as the Psychiatric Genomics Consortium pipeline for GWAS and adopted by other users. The pipeline features (i) technical and genomic QC in case-control and trio cohorts, (ii) genome-wide phasing and imputation, (iv) association analysis, (v) meta-analysis, (vi) polygenic risk scoring and (vii) replication analysis. Notably, a major differentiator from other GWAS pipelines, RICOPILI leverages on automated parallelization and cluster job management approaches for rapid production of imputed genome-wide data. A comprehensive meta-analysis of simulated GWAS data has been incorporated demonstrating each step of the pipeline. This includes all the associated visualization plots, to allow ease of data interpretation and manuscript preparation. Simulated GWAS datasets are also packaged with the pipeline for user training tutorials and developer work.","container-title":"Bioinformatics","DOI":"10.1093/bioinformatics/btz633","ISSN":"14602059","issue":"3","note":"PMID: 31393554\npublisher: Oxford University Press","page":"930-933","title":"RICOPILI: Rapid Imputation for COnsortias PIpeLIne","volume":"36","author":[{"family":"Lam","given":"Max"},{"family":"Awasthi","given":"Swapnil"},{"family":"Watson","given":"Hunna J."},{"family":"Goldstein","given":"Jackie"},{"family":"Panagiotaropoulou","given":"Georgia"},{"family":"Trubetskoy","given":"Vassily"},{"family":"Karlsson","given":"Robert"},{"family":"Frei","given":"Oleksander"},{"family":"Fan","given":"Chun Chieh"},{"family":"De Witte","given":"Ward"},{"family":"Mota","given":"Nina R."},{"family":"Mullins","given":"Niamh"},{"family":"Brügger","given":"Kim"},{"family":"Hong Lee","given":"S."},{"family":"Wray","given":"Naomi R."},{"family":"Skarabis","given":"Nora"},{"family":"Huang","given":"Hailiang"},{"family":"Neale","given":"Benjamin"},{"family":"Daly","given":"Mark J."},{"family":"Mattheisen","given":"Manuel"},{"family":"Walters","given":"Raymond"},{"family":"Ripke","given":"Stephan"}],"issued":{"date-parts":[["2020",2,1]]}}}],"schema":"https://github.com/citation-style-language/schema/raw/master/csl-citation.json"} </w:instrText>
          </w:r>
          <w:r w:rsidR="00157254">
            <w:rPr>
              <w:rFonts w:eastAsia="Arial Unicode MS"/>
            </w:rPr>
            <w:fldChar w:fldCharType="separate"/>
          </w:r>
          <w:r w:rsidR="00157254" w:rsidRPr="00157254">
            <w:t>(Lam et al., 2020)</w:t>
          </w:r>
          <w:r w:rsidR="00157254">
            <w:rPr>
              <w:rFonts w:eastAsia="Arial Unicode MS"/>
            </w:rPr>
            <w:fldChar w:fldCharType="end"/>
          </w:r>
          <w:r w:rsidRPr="00DD692C">
            <w:rPr>
              <w:rFonts w:eastAsia="Arial Unicode MS"/>
            </w:rPr>
            <w:t xml:space="preserve">, employing standard parameters. First, we ran an automated round of pre-imputation QC. The pre-imputation QC step involved a series of hard filters on variant and sample level data, including removing variants with pre-sample pruning call rate &lt; 0.95, samples with call rate &lt; 0.98, FHET outside of ± 0.20, samples with discrepancies between reported and derived sex, and post sample-pruning variants that meet any of the following : 1) call rate &lt; 0.98, 2) missing difference &gt; 0.02, 3) invariant positions, 4) MAF &gt; 0.01, 5) HWE p &lt; 1E−6 in controls, and 6) HWE p &lt; 1E−10 in cases. </w:t>
          </w:r>
          <w:r w:rsidR="00441BB3">
            <w:rPr>
              <w:rFonts w:eastAsia="Arial Unicode MS"/>
            </w:rPr>
            <w:t>RICOPILI’s</w:t>
          </w:r>
          <w:r w:rsidRPr="00DD692C">
            <w:rPr>
              <w:rFonts w:eastAsia="Arial Unicode MS"/>
            </w:rPr>
            <w:t xml:space="preserve"> </w:t>
          </w:r>
          <w:proofErr w:type="spellStart"/>
          <w:r w:rsidRPr="00DD692C">
            <w:rPr>
              <w:rFonts w:eastAsia="Arial Unicode MS"/>
            </w:rPr>
            <w:t>impute_dirsub</w:t>
          </w:r>
          <w:proofErr w:type="spellEnd"/>
          <w:r w:rsidRPr="00DD692C">
            <w:rPr>
              <w:rFonts w:eastAsia="Arial Unicode MS"/>
            </w:rPr>
            <w:t xml:space="preserve"> module was used to conduct imputation using the Haplotype Reference Consortium (HRC) reference panel. </w:t>
          </w:r>
          <w:r w:rsidR="00A821F7">
            <w:rPr>
              <w:rFonts w:eastAsia="Arial Unicode MS"/>
            </w:rPr>
            <w:t>RICOPILI</w:t>
          </w:r>
          <w:r w:rsidRPr="00DD692C">
            <w:rPr>
              <w:rFonts w:eastAsia="Arial Unicode MS"/>
            </w:rPr>
            <w:t xml:space="preserve">’s </w:t>
          </w:r>
          <w:proofErr w:type="spellStart"/>
          <w:r w:rsidRPr="00DD692C">
            <w:rPr>
              <w:rFonts w:eastAsia="Arial Unicode MS"/>
            </w:rPr>
            <w:t>impute_dirsub</w:t>
          </w:r>
          <w:proofErr w:type="spellEnd"/>
          <w:r w:rsidRPr="00DD692C">
            <w:rPr>
              <w:rFonts w:eastAsia="Arial Unicode MS"/>
            </w:rPr>
            <w:t xml:space="preserve"> module was used to conduct imputation using the 1000’s genomes (1000G) reference panel</w:t>
          </w:r>
          <w:r w:rsidR="00157254">
            <w:rPr>
              <w:rFonts w:eastAsia="Arial Unicode MS"/>
            </w:rPr>
            <w:t xml:space="preserve"> </w:t>
          </w:r>
          <w:r w:rsidR="00157254">
            <w:rPr>
              <w:rFonts w:eastAsia="Arial Unicode MS"/>
            </w:rPr>
            <w:fldChar w:fldCharType="begin"/>
          </w:r>
          <w:r w:rsidR="00157254">
            <w:rPr>
              <w:rFonts w:eastAsia="Arial Unicode MS"/>
            </w:rPr>
            <w:instrText xml:space="preserve"> ADDIN ZOTERO_ITEM CSL_CITATION {"citationID":"P0FDblbE","properties":{"formattedCitation":"(The 1000 Genomes Project Consortium, 2015)","plainCitation":"(The 1000 Genomes Project Consortium, 2015)","noteIndex":0},"citationItems":[{"id":1789,"uris":["http://zotero.org/users/9762508/items/STD52SJI"],"itemData":{"id":1789,"type":"article-journal","abstract":"The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studies.","container-title":"Nature","DOI":"10.1038/nature15393","ISSN":"14764687","issue":"7571","note":"PMID: 26432245\narXiv: 15334406\nCitation Key: 1000genome\nISBN: 9781137332875","page":"68-74","title":"A global reference for human genetic variation","volume":"526","author":[{"literal":"The 1000 Genomes Project Consortium"}],"issued":{"date-parts":[["2015"]]}}}],"schema":"https://github.com/citation-style-language/schema/raw/master/csl-citation.json"} </w:instrText>
          </w:r>
          <w:r w:rsidR="00157254">
            <w:rPr>
              <w:rFonts w:eastAsia="Arial Unicode MS"/>
            </w:rPr>
            <w:fldChar w:fldCharType="separate"/>
          </w:r>
          <w:r w:rsidR="00157254" w:rsidRPr="00157254">
            <w:t>(The 1000 Genomes Project Consortium, 2015)</w:t>
          </w:r>
          <w:r w:rsidR="00157254">
            <w:rPr>
              <w:rFonts w:eastAsia="Arial Unicode MS"/>
            </w:rPr>
            <w:fldChar w:fldCharType="end"/>
          </w:r>
          <w:r w:rsidRPr="00DD692C">
            <w:rPr>
              <w:rFonts w:eastAsia="Arial Unicode MS"/>
            </w:rPr>
            <w:t xml:space="preserve">. We conducted PCA on these samples across high-confidence imputed genotypes using the </w:t>
          </w:r>
          <w:proofErr w:type="spellStart"/>
          <w:r w:rsidRPr="00DD692C">
            <w:rPr>
              <w:rFonts w:eastAsia="Arial Unicode MS"/>
            </w:rPr>
            <w:t>pacer_sub</w:t>
          </w:r>
          <w:proofErr w:type="spellEnd"/>
          <w:r w:rsidRPr="00DD692C">
            <w:rPr>
              <w:rFonts w:eastAsia="Arial Unicode MS"/>
            </w:rPr>
            <w:t xml:space="preserve"> </w:t>
          </w:r>
          <w:r w:rsidR="00157254">
            <w:rPr>
              <w:rFonts w:eastAsia="Arial Unicode MS"/>
            </w:rPr>
            <w:t>RICOPILI</w:t>
          </w:r>
          <w:r w:rsidRPr="00DD692C">
            <w:rPr>
              <w:rFonts w:eastAsia="Arial Unicode MS"/>
            </w:rPr>
            <w:t xml:space="preserve"> module and tested the first 20 PCs for significant association with sample </w:t>
          </w:r>
          <w:r w:rsidRPr="00DD692C">
            <w:rPr>
              <w:rFonts w:eastAsia="Arial Unicode MS"/>
            </w:rPr>
            <w:lastRenderedPageBreak/>
            <w:t xml:space="preserve">case/control status. In a final step, we used </w:t>
          </w:r>
          <w:r w:rsidR="00157254">
            <w:rPr>
              <w:rFonts w:eastAsia="Arial Unicode MS"/>
            </w:rPr>
            <w:t>RICOPILI’s</w:t>
          </w:r>
          <w:r w:rsidRPr="00DD692C">
            <w:rPr>
              <w:rFonts w:eastAsia="Arial Unicode MS"/>
            </w:rPr>
            <w:t xml:space="preserve"> </w:t>
          </w:r>
          <w:proofErr w:type="spellStart"/>
          <w:r w:rsidRPr="00DD692C">
            <w:rPr>
              <w:rFonts w:eastAsia="Arial Unicode MS"/>
            </w:rPr>
            <w:t>postimp_navi</w:t>
          </w:r>
          <w:proofErr w:type="spellEnd"/>
          <w:r w:rsidRPr="00DD692C">
            <w:rPr>
              <w:rFonts w:eastAsia="Arial Unicode MS"/>
            </w:rPr>
            <w:t xml:space="preserve"> module to conduct the GWAS analysis.</w:t>
          </w:r>
        </w:sdtContent>
      </w:sdt>
    </w:p>
    <w:p w14:paraId="00000054" w14:textId="77777777" w:rsidR="008E545C" w:rsidRPr="00DD692C" w:rsidRDefault="00000000">
      <w:pPr>
        <w:pStyle w:val="berschrift3"/>
        <w:spacing w:line="480" w:lineRule="auto"/>
        <w:jc w:val="both"/>
      </w:pPr>
      <w:bookmarkStart w:id="26" w:name="_heading=h.2bn6wsx" w:colFirst="0" w:colLast="0"/>
      <w:bookmarkEnd w:id="26"/>
      <w:proofErr w:type="spellStart"/>
      <w:r w:rsidRPr="00DD692C">
        <w:t>Psych_Broad</w:t>
      </w:r>
      <w:proofErr w:type="spellEnd"/>
      <w:r w:rsidRPr="00DD692C">
        <w:t xml:space="preserve"> | Mathews C | Netherlands, Italy, USA, Spain </w:t>
      </w:r>
    </w:p>
    <w:p w14:paraId="00000055" w14:textId="3A428FE7" w:rsidR="008E545C" w:rsidRPr="00DD692C" w:rsidRDefault="00000000">
      <w:pPr>
        <w:spacing w:line="480" w:lineRule="auto"/>
        <w:jc w:val="both"/>
      </w:pPr>
      <w:proofErr w:type="spellStart"/>
      <w:r w:rsidRPr="00DD692C">
        <w:t>Psych_Broad</w:t>
      </w:r>
      <w:proofErr w:type="spellEnd"/>
      <w:r w:rsidRPr="00DD692C">
        <w:t xml:space="preserve"> sample consists of 1396 European ancestry cases and 4009 population matched controls. The cases were recruited predominantly from OCD specialty clinics in the US, Spain, The Netherlands, and Italy. The Spanish controls were part of the Mental-Cat clinical sample or the </w:t>
      </w:r>
      <w:proofErr w:type="spellStart"/>
      <w:r w:rsidRPr="00DD692C">
        <w:t>INSchool</w:t>
      </w:r>
      <w:proofErr w:type="spellEnd"/>
      <w:r w:rsidRPr="00DD692C">
        <w:t xml:space="preserve"> population-based cohort. A total of 1757 controls from the Mental-Cat cohort (60.3% males) were evaluated and recruited prospectively from a restricted geographic area at the Hospital </w:t>
      </w:r>
      <w:proofErr w:type="spellStart"/>
      <w:r w:rsidRPr="00DD692C">
        <w:t>Universitari</w:t>
      </w:r>
      <w:proofErr w:type="spellEnd"/>
      <w:r w:rsidRPr="00DD692C">
        <w:t xml:space="preserve"> Vall </w:t>
      </w:r>
      <w:proofErr w:type="spellStart"/>
      <w:r w:rsidRPr="00DD692C">
        <w:t>d’Hebron</w:t>
      </w:r>
      <w:proofErr w:type="spellEnd"/>
      <w:r w:rsidRPr="00DD692C">
        <w:t xml:space="preserve"> of Barcelona (Spain) and consisted of unrelated healthy blood donors. The </w:t>
      </w:r>
      <w:proofErr w:type="spellStart"/>
      <w:r w:rsidRPr="00DD692C">
        <w:t>INSchool</w:t>
      </w:r>
      <w:proofErr w:type="spellEnd"/>
      <w:r w:rsidRPr="00DD692C">
        <w:t xml:space="preserve"> sample consists of 765 children (76.2% males) from schools in Catalonia. </w:t>
      </w:r>
      <w:r w:rsidR="00157254" w:rsidRPr="00DD692C">
        <w:t xml:space="preserve">Both studies have been approved by the Clinical Research Ethics Committee (CREC) of Hospital </w:t>
      </w:r>
      <w:proofErr w:type="spellStart"/>
      <w:r w:rsidR="00157254" w:rsidRPr="00DD692C">
        <w:t>Universitari</w:t>
      </w:r>
      <w:proofErr w:type="spellEnd"/>
      <w:r w:rsidR="00157254" w:rsidRPr="00DD692C">
        <w:t xml:space="preserve"> Vall </w:t>
      </w:r>
      <w:proofErr w:type="spellStart"/>
      <w:r w:rsidR="00157254" w:rsidRPr="00DD692C">
        <w:t>d’Hebron</w:t>
      </w:r>
      <w:proofErr w:type="spellEnd"/>
      <w:r w:rsidR="00157254" w:rsidRPr="00DD692C">
        <w:t xml:space="preserve">. </w:t>
      </w:r>
      <w:r w:rsidR="00157254">
        <w:t>A</w:t>
      </w:r>
      <w:r w:rsidR="00157254" w:rsidRPr="00DD692C">
        <w:t xml:space="preserve">ll methods were performed in accordance with the relevant guidelines and regulations and written informed consent was obtained from participant parents before inclusion into the study. Detailed information has been published previously </w:t>
      </w:r>
      <w:r w:rsidR="00157254">
        <w:fldChar w:fldCharType="begin"/>
      </w:r>
      <w:r w:rsidR="00157254">
        <w:instrText xml:space="preserve"> ADDIN ZOTERO_ITEM CSL_CITATION {"citationID":"aH2tlOyW","properties":{"formattedCitation":"(Bosch et al., 2021; Rovira et al., 2020)","plainCitation":"(Bosch et al., 2021; Rovira et al., 2020)","noteIndex":0},"citationItems":[{"id":3939,"uris":["http://zotero.org/users/9762508/items/59A5W6E3"],"itemData":{"id":3939,"type":"article-journal","abstract":"BACKGROUND: Prevalence estimates of neurodevelopmental disorders (ND) are essential for treatment planning. However, epidemiological research has yielded highly variable rates across countries, including Spain. This study examined the prevalence and sociodemographic correlates of ND in a school sample of Spanish children and adolescents.\nMETHODS: The Child Behaviour Checklist/Teacher's Report Form/Youth Self-Report and the Conners' Rating Scales were administered for screening purposes. Additionally, teachers provided information on reading and writing difficulties. Subjects who screened positive were interviewed for diagnostic confirmation according to the Diagnostic and Statistical Manual of Mental Disorders criteria. The final population comprised 6834 students aged 5-17. Multivariate analyses were performed to determine the influence of gender, age, educational stage, school type, socioeconomic status (SES), and ethnicity on the prevalence estimates.\nRESULTS: A total of 1249 (18.3%) subjects met criteria for at least one ND, although only 423 had already received a diagnosis. Specifically, the following prevalence rates were found: intellectual disabilities (ID), 0.63%; communication disorders, 1.05%; autism spectrum disorder (ASD), 0.70%; attention-deficit/hyperactivity disorder (ADHD), 9.92%; specific learning disorder (SLD), 10.0%; and motor disorders, 0.76%. Students of foreign origin and from low SES evidenced higher odds of having ID. Boys were more likely to display ASD or a motor disorder. Age, SES, and ethnicity were significant predictors for SLD, while communication disorders and ADHD were also associated with gender.\nCONCLUSIONS: The prevalence of ND among Spanish students is consistent with international studies. However, a substantial proportion had never been previously diagnosed, which emphasise the need for early detection and intervention programmes.","container-title":"Psychological Medicine","DOI":"10.1017/S0033291720005115","ISSN":"1469-8978","journalAbbreviation":"Psychol Med","language":"eng","note":"PMID: 33436129","page":"1-11","source":"PubMed","title":"Neurodevelopmental disorders among Spanish school-age children: prevalence and sociodemographic correlates","title-short":"Neurodevelopmental disorders among Spanish school-age children","author":[{"family":"Bosch","given":"Rosa"},{"family":"Pagerols","given":"Mireia"},{"family":"Rivas","given":"Cristina"},{"family":"Sixto","given":"Laura"},{"family":"Bricollé","given":"Laura"},{"family":"Español-Martín","given":"Gemma"},{"family":"Prat","given":"Raquel"},{"family":"Ramos-Quiroga","given":"Josep A."},{"family":"Casas","given":"Miquel"}],"issued":{"date-parts":[["2021",1,13]]}}},{"id":3936,"uris":["http://zotero.org/users/9762508/items/US4XJ8Y3"],"itemData":{"id":3936,"type":"article-journal","abstract":"Attention deficit/hyperactivity disorder (ADHD) is a common neurodevelopmental disorder characterized by age-inappropriate symptoms of inattention, impulsivity, and hyperactivity that persist into adulthood in the majority of the diagnosed children. Despite several risk factors during childhood predicting the persistence of ADHD symptoms into adulthood, the genetic architecture underlying the trajectory of ADHD over time is still unclear. We set out to study the contribution of common genetic variants to the risk for ADHD across the lifespan by conducting meta-analyses of genome-wide association studies on persistent ADHD in adults and ADHD in childhood separately and jointly, and by comparing the genetic background between them in a total sample of 17,149 cases and 32,411 controls. Our results show nine new independent loci and support a shared contribution of common genetic variants to ADHD in children and adults. No subgroup heterogeneity was observed among children, while this group consists of future remitting and persistent individuals. We report similar patterns of genetic correlation of ADHD with other ADHD-related datasets and different traits and disorders among adults, children, and when combining both groups. These findings confirm that persistent ADHD in adults is a neurodevelopmental disorder and extend the existing hypothesis of a shared genetic architecture underlying ADHD and different traits to a lifespan perspective.","container-title":"Neuropsychopharmacology","DOI":"10.1038/s41386-020-0664-5","ISSN":"1740-634X","issue":"10","journalAbbreviation":"Neuropsychopharmacol.","language":"en","license":"2020 The Author(s)","note":"number: 10\npublisher: Nature Publishing Group","page":"1617-1626","source":"www.nature.com","title":"Shared genetic background between children and adults with attention deficit/hyperactivity disorder","volume":"45","author":[{"family":"Rovira","given":"Paula"},{"family":"Demontis","given":"Ditte"},{"family":"Sánchez-Mora","given":"Cristina"},{"family":"Zayats","given":"Tetyana"},{"family":"Klein","given":"Marieke"},{"family":"Mota","given":"Nina Roth"},{"family":"Weber","given":"Heike"},{"family":"Garcia-Martínez","given":"Iris"},{"family":"Pagerols","given":"Mireia"},{"family":"Vilar-Ribó","given":"Laura"},{"family":"Arribas","given":"Lorena"},{"family":"Richarte","given":"Vanesa"},{"family":"Corrales","given":"Montserrat"},{"family":"Fadeuilhe","given":"Christian"},{"family":"Bosch","given":"Rosa"},{"family":"Martin","given":"Gemma Español"},{"family":"Almos","given":"Peter"},{"family":"Doyle","given":"Alysa E."},{"family":"Grevet","given":"Eugenio Horacio"},{"family":"Grimm","given":"Oliver"},{"family":"Halmøy","given":"Anne"},{"family":"Hoogman","given":"Martine"},{"family":"Hutz","given":"Mara"},{"family":"Jacob","given":"Christian P."},{"family":"Kittel-Schneider","given":"Sarah"},{"family":"Knappskog","given":"Per M."},{"family":"Lundervold","given":"Astri J."},{"family":"Rivero","given":"Olga"},{"family":"Rovaris","given":"Diego Luiz"},{"family":"Salatino-Oliveira","given":"Angelica"},{"family":"Silva","given":"Bruna Santos","non-dropping-particle":"da"},{"family":"Svirin","given":"Evgeniy"},{"family":"Sprooten","given":"Emma"},{"family":"Strekalova","given":"Tatyana"},{"family":"Arias-Vasquez","given":"Alejandro"},{"family":"Sonuga-Barke","given":"Edmund J. S."},{"family":"Asherson","given":"Philip"},{"family":"Bau","given":"Claiton Henrique Dotto"},{"family":"Buitelaar","given":"Jan K."},{"family":"Cormand","given":"Bru"},{"family":"Faraone","given":"Stephen V."},{"family":"Haavik","given":"Jan"},{"family":"Johansson","given":"Stefan E."},{"family":"Kuntsi","given":"Jonna"},{"family":"Larsson","given":"Henrik"},{"family":"Lesch","given":"Klaus-Peter"},{"family":"Reif","given":"Andreas"},{"family":"Rohde","given":"Luis Augusto"},{"family":"Casas","given":"Miquel"},{"family":"Børglum","given":"Anders D."},{"family":"Franke","given":"Barbara"},{"family":"Ramos-Quiroga","given":"Josep Antoni"},{"family":"Soler Artigas","given":"María"},{"family":"Ribasés","given":"Marta"}],"issued":{"date-parts":[["2020",9]]}}}],"schema":"https://github.com/citation-style-language/schema/raw/master/csl-citation.json"} </w:instrText>
      </w:r>
      <w:r w:rsidR="00157254">
        <w:fldChar w:fldCharType="separate"/>
      </w:r>
      <w:r w:rsidR="00157254" w:rsidRPr="00157254">
        <w:t>(Bosch et al., 2021; Rovira et al., 2020)</w:t>
      </w:r>
      <w:r w:rsidR="00157254">
        <w:fldChar w:fldCharType="end"/>
      </w:r>
      <w:r w:rsidR="00157254">
        <w:t>.</w:t>
      </w:r>
      <w:r w:rsidR="00157254" w:rsidRPr="00DD692C">
        <w:t xml:space="preserve"> </w:t>
      </w:r>
      <w:r w:rsidRPr="00DD692C">
        <w:t xml:space="preserve">Genomic DNA samples were obtained either from peripheral blood lymphocytes by the salting out procedure or from saliva using the </w:t>
      </w:r>
      <w:proofErr w:type="spellStart"/>
      <w:r w:rsidRPr="00DD692C">
        <w:t>Oragene</w:t>
      </w:r>
      <w:proofErr w:type="spellEnd"/>
      <w:r w:rsidRPr="00DD692C">
        <w:t xml:space="preserve"> DNA Self-Collection Kit (DNA </w:t>
      </w:r>
      <w:proofErr w:type="spellStart"/>
      <w:r w:rsidRPr="00DD692C">
        <w:t>Genotek</w:t>
      </w:r>
      <w:proofErr w:type="spellEnd"/>
      <w:r w:rsidRPr="00DD692C">
        <w:t>, Kanata, Ontario Canada). DNA concentrations were determined using the Pico- Green dsDNA Quantitation Kit (Molecular Probes, Eugene, OR). All cases were required to have a DSM-IV diagnosis of OCD. The population based unscreened controls were recruited from the same countries. All samples were genotyped on Infinium PsychArray-24 at Broad Institute (Cambridge, MA, USA). Standard quality control (QC) protocol was conducted with PLINK2</w:t>
      </w:r>
      <w:r w:rsidR="00157254">
        <w:t xml:space="preserve"> </w:t>
      </w:r>
      <w:r w:rsidR="00157254">
        <w:fldChar w:fldCharType="begin"/>
      </w:r>
      <w:r w:rsidR="00157254">
        <w:instrText xml:space="preserve"> ADDIN ZOTERO_ITEM CSL_CITATION {"citationID":"nLQTOZTy","properties":{"formattedCitation":"(Chang et al., 2015)","plainCitation":"(Chang et al., 2015)","noteIndex":0},"citationItems":[{"id":3253,"uris":["http://zotero.org/users/9762508/items/IX89LDBQ"],"itemData":{"id":3253,"type":"article-journal","abstract":"Background: PLINK 1 is a widely used open-source C/C++ toolset for genome-wide association studies (GWAS) and research in population genetics. However, the steady accumulation of data from imputation and whole-genome sequencing studies has exposed a strong need for faster and scalable implementations of key functions, such as logistic regression, linkage disequilibrium estimation, and genomic distance evaluation. In addition, GWAS and population-genetic data now frequently contain genotype likelihoods, phase information, and/or multiallelic variants, none of which can be represented by PLINK 1's primary data format. Findings: To address these issues, we are developing a second-generation codebase for PLINK. The first major release from this codebase, PLINK 1.9, introduces extensive use of bit-level parallelism, O(√n)-time/constant-space Hardy-Weinberg equilibrium and Fisher's exact tests, and many other algorithmic improvements. In combination, these changes accelerate most operations by 1-4 orders of magnitude, and allow the program to handle datasets too large to fit in RAM. We have also developed an extension to the data format which adds low-overhead support for genotype likelihoods, phase, multiallelic variants, and reference vs. alternate alleles, which is the basis of our planned second release (PLINK 2.0). Conclusions: The second-generation versions of PLINK will offer dramatic improvements in performance and compatibility. For the first time, users without access to high-end computing resources can perform several essential analyses of the feature-rich and very large genetic datasets coming into use.","container-title":"GigaScience","DOI":"10.1186/S13742-015-0047-8/2707533","ISSN":"2047217X","issue":"1","note":"PMID: 25722852\narXiv: 1410.4803\npublisher: BioMed Central Ltd.","page":"7","title":"Second-generation PLINK: Rising to the challenge of larger and richer datasets","volume":"4","author":[{"family":"Chang","given":"Christopher C."},{"family":"Chow","given":"Carson C."},{"family":"Tellier","given":"Laurent C.A.M."},{"family":"Vattikuti","given":"Shashaank"},{"family":"Purcell","given":"Shaun M."},{"family":"Lee","given":"James J."}],"issued":{"date-parts":[["2015",2,25]]}}}],"schema":"https://github.com/citation-style-language/schema/raw/master/csl-citation.json"} </w:instrText>
      </w:r>
      <w:r w:rsidR="00157254">
        <w:fldChar w:fldCharType="separate"/>
      </w:r>
      <w:r w:rsidR="00157254" w:rsidRPr="00157254">
        <w:t>(Chang et al., 2015)</w:t>
      </w:r>
      <w:r w:rsidR="00157254">
        <w:fldChar w:fldCharType="end"/>
      </w:r>
      <w:r w:rsidRPr="00DD692C">
        <w:t xml:space="preserve">. Samples were removed for call rates &lt; 98%, sex discrepancy and ambiguous genomic sex, related samples with </w:t>
      </w:r>
      <w:proofErr w:type="spellStart"/>
      <w:r w:rsidRPr="00DD692C">
        <w:t>pihat</w:t>
      </w:r>
      <w:proofErr w:type="spellEnd"/>
      <w:r w:rsidRPr="00DD692C">
        <w:t xml:space="preserve"> &gt; 0.2. SNP QC included removing monomorphic SNPs, SNPs with genotyping rate &lt; 98%, SNPs with MAF &lt; 0.01, SNPs with </w:t>
      </w:r>
      <m:oMath>
        <m:r>
          <w:rPr>
            <w:rFonts w:ascii="Cambria Math" w:hAnsi="Cambria Math"/>
          </w:rPr>
          <m:t>P&lt;1x1</m:t>
        </m:r>
        <m:sSup>
          <m:sSupPr>
            <m:ctrlPr>
              <w:rPr>
                <w:rFonts w:ascii="Cambria Math" w:hAnsi="Cambria Math"/>
              </w:rPr>
            </m:ctrlPr>
          </m:sSupPr>
          <m:e>
            <m:r>
              <w:rPr>
                <w:rFonts w:ascii="Cambria Math" w:hAnsi="Cambria Math"/>
              </w:rPr>
              <m:t>0</m:t>
            </m:r>
          </m:e>
          <m:sup>
            <m:r>
              <w:rPr>
                <w:rFonts w:ascii="Cambria Math" w:hAnsi="Cambria Math"/>
              </w:rPr>
              <m:t>-06</m:t>
            </m:r>
          </m:sup>
        </m:sSup>
      </m:oMath>
      <w:r w:rsidRPr="00DD692C">
        <w:t xml:space="preserve"> in HWE test among controls or </w:t>
      </w:r>
      <m:oMath>
        <m:r>
          <w:rPr>
            <w:rFonts w:ascii="Cambria Math" w:hAnsi="Cambria Math"/>
          </w:rPr>
          <m:t>P&lt;1x1</m:t>
        </m:r>
        <m:sSup>
          <m:sSupPr>
            <m:ctrlPr>
              <w:rPr>
                <w:rFonts w:ascii="Cambria Math" w:hAnsi="Cambria Math"/>
              </w:rPr>
            </m:ctrlPr>
          </m:sSupPr>
          <m:e>
            <m:r>
              <w:rPr>
                <w:rFonts w:ascii="Cambria Math" w:hAnsi="Cambria Math"/>
              </w:rPr>
              <m:t>0</m:t>
            </m:r>
          </m:e>
          <m:sup>
            <m:r>
              <w:rPr>
                <w:rFonts w:ascii="Cambria Math" w:hAnsi="Cambria Math"/>
              </w:rPr>
              <m:t>-10</m:t>
            </m:r>
          </m:sup>
        </m:sSup>
      </m:oMath>
      <w:r w:rsidRPr="00DD692C">
        <w:t xml:space="preserve"> among cases, SNPs with differential missing rate between cases and controls (&gt; 0.02), and SNPs with batch effect </w:t>
      </w:r>
      <m:oMath>
        <m:r>
          <w:rPr>
            <w:rFonts w:ascii="Cambria Math" w:hAnsi="Cambria Math"/>
          </w:rPr>
          <m:t>(P&lt;1x1</m:t>
        </m:r>
        <m:sSup>
          <m:sSupPr>
            <m:ctrlPr>
              <w:rPr>
                <w:rFonts w:ascii="Cambria Math" w:hAnsi="Cambria Math"/>
              </w:rPr>
            </m:ctrlPr>
          </m:sSupPr>
          <m:e>
            <m:r>
              <w:rPr>
                <w:rFonts w:ascii="Cambria Math" w:hAnsi="Cambria Math"/>
              </w:rPr>
              <m:t>0</m:t>
            </m:r>
          </m:e>
          <m:sup>
            <m:r>
              <w:rPr>
                <w:rFonts w:ascii="Cambria Math" w:hAnsi="Cambria Math"/>
              </w:rPr>
              <m:t>-05</m:t>
            </m:r>
          </m:sup>
        </m:sSup>
        <m:r>
          <w:rPr>
            <w:rFonts w:ascii="Cambria Math" w:hAnsi="Cambria Math"/>
          </w:rPr>
          <m:t>)</m:t>
        </m:r>
      </m:oMath>
      <w:r w:rsidRPr="00DD692C">
        <w:t xml:space="preserve">. </w:t>
      </w:r>
      <w:r w:rsidRPr="00DD692C">
        <w:lastRenderedPageBreak/>
        <w:t xml:space="preserve">Multidimensional scaling (MDS) analyses were performed in </w:t>
      </w:r>
      <w:proofErr w:type="gramStart"/>
      <w:r w:rsidRPr="00DD692C">
        <w:t>PLINK2</w:t>
      </w:r>
      <w:proofErr w:type="gramEnd"/>
      <w:r w:rsidRPr="00DD692C">
        <w:t xml:space="preserve"> and samples were removed when they were significant outliers in the first six MDS dimensions or when there were no matching cases or controls on the MDS dimensions. The genotyped data were phased by SHAPEIT2</w:t>
      </w:r>
      <w:r w:rsidR="001D0F65">
        <w:t xml:space="preserve"> </w:t>
      </w:r>
      <w:r w:rsidR="001D0F65">
        <w:fldChar w:fldCharType="begin"/>
      </w:r>
      <w:r w:rsidR="001D0F65">
        <w:instrText xml:space="preserve"> ADDIN ZOTERO_ITEM CSL_CITATION {"citationID":"XeMBwQn0","properties":{"formattedCitation":"(Delaneau et al., 2013)","plainCitation":"(Delaneau et al., 2013)","noteIndex":0},"citationItems":[{"id":3639,"uris":["http://zotero.org/users/9762508/items/YLN2PAQD"],"itemData":{"id":3639,"type":"article-journal","container-title":"Nature Methods","DOI":"10.1038/nmeth.2307","ISSN":"1548-7105","issue":"1","journalAbbreviation":"Nat Methods","language":"en","license":"2013 Nature Publishing Group, a division of Macmillan Publishers Limited. All Rights Reserved.","note":"number: 1\npublisher: Nature Publishing Group","page":"5-6","source":"www.nature.com","title":"Improved whole-chromosome phasing for disease and population genetic studies","volume":"10","author":[{"family":"Delaneau","given":"Olivier"},{"family":"Zagury","given":"Jean-Francois"},{"family":"Marchini","given":"Jonathan"}],"issued":{"date-parts":[["2013",1]]}}}],"schema":"https://github.com/citation-style-language/schema/raw/master/csl-citation.json"} </w:instrText>
      </w:r>
      <w:r w:rsidR="001D0F65">
        <w:fldChar w:fldCharType="separate"/>
      </w:r>
      <w:r w:rsidR="001D0F65" w:rsidRPr="001D0F65">
        <w:t>(Delaneau et al., 2013)</w:t>
      </w:r>
      <w:r w:rsidR="001D0F65">
        <w:fldChar w:fldCharType="end"/>
      </w:r>
      <w:r w:rsidRPr="00DD692C">
        <w:t xml:space="preserve"> and imputed by Minimac3 </w:t>
      </w:r>
      <w:r w:rsidR="002B38B1">
        <w:fldChar w:fldCharType="begin"/>
      </w:r>
      <w:r w:rsidR="002B38B1">
        <w:instrText xml:space="preserve"> ADDIN ZOTERO_ITEM CSL_CITATION {"citationID":"6AEwhVz3","properties":{"formattedCitation":"(Das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2B38B1">
        <w:fldChar w:fldCharType="separate"/>
      </w:r>
      <w:r w:rsidR="002B38B1" w:rsidRPr="002B38B1">
        <w:t>(Das et al., 2016)</w:t>
      </w:r>
      <w:r w:rsidR="002B38B1">
        <w:fldChar w:fldCharType="end"/>
      </w:r>
      <w:r w:rsidRPr="00DD692C">
        <w:t xml:space="preserve"> using the HRC release 1.1 </w:t>
      </w:r>
      <w:r w:rsidR="002B38B1">
        <w:fldChar w:fldCharType="begin"/>
      </w:r>
      <w:r w:rsidR="002B38B1">
        <w:instrText xml:space="preserve"> ADDIN ZOTERO_ITEM CSL_CITATION {"citationID":"skUAqz3c","properties":{"formattedCitation":"(McCarthy et al., 2016)","plainCitation":"(McCarthy et al., 2016)","noteIndex":0},"citationItems":[{"id":3235,"uris":["http://zotero.org/users/9762508/items/AEQST946"],"itemData":{"id":3235,"type":"article-journal","abstract":"Jonathan Marchini, Gonçalo Abecasis, Richard Durbin and colleagues describe the construction of a reference panel of human haplotypes from whole-genome sequencing data. They are able to use this to accurately impute genotypes at low minor allele frequency and present remote server resources for use by the community. We describe a reference panel of 64,976 human haplotypes at 39,235,157 SNPs constructed using whole-genome sequence data from 20 studies of predominantly European ancestry. Using this resource leads to accurate genotype imputation at minor allele frequencies as low as 0.1% and a large increase in the number of SNPs tested in association studies, and it can help to discover and refine causal loci. We describe remote server resources that allow researchers to carry out imputation and phasing consistently and efficiently.","container-title":"Nature Genetics 2016 48:10","DOI":"10.1038/ng.3643","ISSN":"1546-1718","issue":"10","note":"PMID: 27548312\npublisher: Nature Publishing Group","page":"1279-1283","title":"A reference panel of 64,976 haplotypes for genotype imputation","volume":"48","author":[{"family":"McCarthy","given":"Shane"},{"family":"Das","given":"Sayantan"},{"family":"Kretzschmar","given":"Warren"},{"family":"Delaneau","given":"Olivier"},{"family":"Wood","given":"Andrew R."},{"family":"Teumer","given":"Alexander"},{"family":"Kang","given":"Hyun Min"},{"family":"Fuchsberger","given":"Christian"},{"family":"Danecek","given":"Petr"},{"family":"Sharp","given":"Kevin"},{"family":"Luo","given":"Yang"},{"family":"Sidore","given":"Carlo"},{"family":"Kwong","given":"Alan"},{"family":"Timpson","given":"Nicholas"},{"family":"Koskinen","given":"Seppo"},{"family":"Vrieze","given":"Scott"},{"family":"Scott","given":"Laura J."},{"family":"Zhang","given":"He"},{"family":"Mahajan","given":"Anubha"},{"family":"Veldink","given":"Jan"},{"family":"Peters","given":"Ulrike"},{"family":"Pato","given":"Carlos"},{"family":"Van Duijn","given":"Cornelia M."},{"family":"Gillies","given":"Christopher E."},{"family":"Gandin","given":"Ilaria"},{"family":"Mezzavilla","given":"Massimo"},{"family":"Gilly","given":"Arthur"},{"family":"Cocca","given":"Massimiliano"},{"family":"Traglia","given":"Michela"},{"family":"Angius","given":"Andrea"},{"family":"Barrett","given":"Jeffrey C."},{"family":"Boomsma","given":"Dorrett"},{"family":"Branham","given":"Kari"},{"family":"Breen","given":"Gerome"},{"family":"Brummett","given":"Chad M."},{"family":"Busonero","given":"Fabio"},{"family":"Campbell","given":"Harry"},{"family":"Chan","given":"Andrew"},{"family":"Chen","given":"Sai"},{"family":"Chew","given":"Emily"},{"family":"Collins","given":"Francis S."},{"family":"Corbin","given":"Laura J."},{"family":"Smith","given":"George Davey"},{"family":"Dedoussis","given":"George"},{"family":"Dorr","given":"Marcus"},{"family":"Farmaki","given":"Aliki Eleni"},{"family":"Ferrucci","given":"Luigi"},{"family":"Forer","given":"Lukas"},{"family":"Fraser","given":"Ross M."},{"family":"Gabriel","given":"Stacey"},{"family":"Levy","given":"Shawn"},{"family":"Groop","given":"Leif"},{"family":"Harrison","given":"Tabitha"},{"family":"Hattersley","given":"Andrew"},{"family":"Holmen","given":"Oddgeir L."},{"family":"Hveem","given":"Kristian"},{"family":"Kretzler","given":"Matthias"},{"family":"Lee","given":"James C."},{"family":"McGue","given":"Matt"},{"family":"Meitinger","given":"Thomas"},{"family":"Melzer","given":"David"},{"family":"Min","given":"Josine L."},{"family":"Mohlke","given":"Karen L."},{"family":"Vincent","given":"John B."},{"family":"Nauck","given":"Matthias"},{"family":"Nickerson","given":"Deborah"},{"family":"Palotie","given":"Aarno"},{"family":"Pato","given":"Michele"},{"family":"Pirastu","given":"Nicola"},{"family":"McInnis","given":"Melvin"},{"family":"Richards","given":"J. Brent"},{"family":"Sala","given":"Cinzia"},{"family":"Salomaa","given":"Veikko"},{"family":"Schlessinger","given":"David"},{"family":"Schoenherr","given":"Sebastian"},{"family":"Slagboom","given":"P. Eline"},{"family":"Small","given":"Kerrin"},{"family":"Spector","given":"Timothy"},{"family":"Stambolian","given":"Dwight"},{"family":"Tuke","given":"Marcus"},{"family":"Tuomilehto","given":"Jaakko"},{"family":"Van Den Berg","given":"Leonard H."},{"family":"Van Rheenen","given":"Wouter"},{"family":"Volker","given":"Uwe"},{"family":"Wijmenga","given":"Cisca"},{"family":"Toniolo","given":"Daniela"},{"family":"Zeggini","given":"Eleftheria"},{"family":"Gasparini","given":"Paolo"},{"family":"Sampson","given":"Matthew G."},{"family":"Wilson","given":"James F."},{"family":"Frayling","given":"Timothy"},{"family":"De Bakker","given":"Paul I.W."},{"family":"Swertz","given":"Morris A."},{"family":"McCarroll","given":"Steven"},{"family":"Kooperberg","given":"Charles"},{"family":"Dekker","given":"Annelot"},{"family":"Altshuler","given":"David"},{"family":"Willer","given":"Cristen"},{"family":"Iacono","given":"William"},{"family":"Ripatti","given":"Samuli"},{"family":"Soranzo","given":"Nicole"},{"family":"Walter","given":"Klaudia"},{"family":"Swaroop","given":"Anand"},{"family":"Cucca","given":"Francesco"},{"family":"Anderson","given":"Carl A."},{"family":"Myers","given":"Richard M."},{"family":"Boehnke","given":"Michael"},{"family":"McCarthy","given":"Mark I."},{"family":"Durbin","given":"Richard"},{"family":"Abecasis","given":"Gonçalo"},{"family":"Marchini","given":"Jonathan"}],"issued":{"date-parts":[["2016",8,22]]}}}],"schema":"https://github.com/citation-style-language/schema/raw/master/csl-citation.json"} </w:instrText>
      </w:r>
      <w:r w:rsidR="002B38B1">
        <w:fldChar w:fldCharType="separate"/>
      </w:r>
      <w:r w:rsidR="002B38B1" w:rsidRPr="002B38B1">
        <w:t>(McCarthy et al., 2016)</w:t>
      </w:r>
      <w:r w:rsidR="002B38B1">
        <w:fldChar w:fldCharType="end"/>
      </w:r>
      <w:r w:rsidRPr="00DD692C">
        <w:t xml:space="preserve"> as the reference panel. GWAS was performed on SNPs with INFO score &gt; 0.8 and MAF &gt; 0.01, using a logistic regression model in PLINK2 with the first six and the 8th MDS PCA components as covariates. The GWAS result of this data set has not been previously published. </w:t>
      </w:r>
    </w:p>
    <w:p w14:paraId="00000056" w14:textId="0E7E387E" w:rsidR="008E545C" w:rsidRPr="0089583A" w:rsidRDefault="00000000">
      <w:pPr>
        <w:pStyle w:val="berschrift3"/>
        <w:spacing w:line="480" w:lineRule="auto"/>
        <w:jc w:val="both"/>
        <w:rPr>
          <w:i w:val="0"/>
          <w:iCs/>
        </w:rPr>
      </w:pPr>
      <w:bookmarkStart w:id="27" w:name="_heading=h.qsh70q" w:colFirst="0" w:colLast="0"/>
      <w:bookmarkEnd w:id="27"/>
      <w:r w:rsidRPr="00DD692C">
        <w:t>UKBB | Breen, G. | United Kingdom</w:t>
      </w:r>
      <w:r w:rsidR="0089583A">
        <w:t xml:space="preserve"> </w:t>
      </w:r>
      <w:r w:rsidR="0089583A">
        <w:rPr>
          <w:i w:val="0"/>
          <w:iCs/>
        </w:rPr>
        <w:t xml:space="preserve">| </w:t>
      </w:r>
      <w:r w:rsidR="00E66CEA" w:rsidRPr="00E66CEA">
        <w:t>30305743</w:t>
      </w:r>
    </w:p>
    <w:p w14:paraId="00000058" w14:textId="70AAD993" w:rsidR="008E545C" w:rsidRPr="00DD692C" w:rsidRDefault="00000000" w:rsidP="0089583A">
      <w:pPr>
        <w:spacing w:line="480" w:lineRule="auto"/>
        <w:jc w:val="both"/>
      </w:pPr>
      <w:sdt>
        <w:sdtPr>
          <w:tag w:val="goog_rdk_76"/>
          <w:id w:val="-1271005876"/>
        </w:sdtPr>
        <w:sdtContent>
          <w:r w:rsidRPr="00DD692C">
            <w:rPr>
              <w:rFonts w:eastAsia="Arial Unicode MS"/>
            </w:rPr>
            <w:t>The UK Biobank sample consists of 776 OCD cases and 125</w:t>
          </w:r>
          <w:r w:rsidR="002B38B1">
            <w:rPr>
              <w:rFonts w:eastAsia="Arial Unicode MS"/>
            </w:rPr>
            <w:t>,</w:t>
          </w:r>
          <w:r w:rsidRPr="00DD692C">
            <w:rPr>
              <w:rFonts w:eastAsia="Arial Unicode MS"/>
            </w:rPr>
            <w:t xml:space="preserve">729 controls, see </w:t>
          </w:r>
          <w:r w:rsidR="001D76CD">
            <w:rPr>
              <w:rFonts w:eastAsia="Arial Unicode MS"/>
            </w:rPr>
            <w:fldChar w:fldCharType="begin"/>
          </w:r>
          <w:r w:rsidR="001D76CD">
            <w:rPr>
              <w:rFonts w:eastAsia="Arial Unicode MS"/>
            </w:rPr>
            <w:instrText xml:space="preserve"> ADDIN ZOTERO_ITEM CSL_CITATION {"citationID":"4aLmVehS","properties":{"formattedCitation":"(Bycroft et al., 2018)","plainCitation":"(Bycroft et al., 2018)","noteIndex":0},"citationItems":[{"id":3326,"uris":["http://zotero.org/users/9762508/items/YHU2SGBK"],"itemData":{"id":3326,"type":"article-journal","abstract":"The UK Biobank project is a prospective cohort study with deep genetic and phenotypic data collected on approximately 500,000 individuals from across the United Kingdom, aged between 40 and 69 at recruitment. The open resource is unique in its size and scope. A rich variety of phenotypic and health-related information is available on each participant, including biological measurements, lifestyle indicators, biomarkers in blood and urine, and imaging of the body and brain. Follow-up information is provided by linking health and medical records. Genome-wide genotype data have been collected on all participants, providing many opportunities for the discovery of new genetic associations and the genetic bases of complex traits. Here we describe the centralized analysis of the genetic data, including genotype quality, properties of population structure and relatedness of the genetic data, and efficient phasing and genotype imputation that increases the number of testable variants to around 96&amp;nbsp;million. Classical allelic variation at 11 human leukocyte antigen genes was imputed, resulting in the recovery of signals with known associations between human leukocyte antigen alleles and many diseases. Deep phenotype and genome-wide genetic data from 500,000 individuals from the UK Biobank, describing population structure and relatedness in the cohort, and imputation to increase the number of testable variants to 96&amp;nbsp;million.","container-title":"Nature 2018 562:7726","DOI":"10.1038/s41586-018-0579-z","ISSN":"1476-4687","issue":"7726","note":"PMID: 30305743\npublisher: Nature Publishing Group","page":"203-209","title":"The UK Biobank resource with deep phenotyping and genomic data","volume":"562","author":[{"family":"Bycroft","given":"Clare"},{"family":"Freeman","given":"Colin"},{"family":"Petkova","given":"Desislava"},{"family":"Band","given":"Gavin"},{"family":"Elliott","given":"Lloyd T."},{"family":"Sharp","given":"Kevin"},{"family":"Motyer","given":"Allan"},{"family":"Vukcevic","given":"Damjan"},{"family":"Delaneau","given":"Olivier"},{"family":"O’Connell","given":"Jared"},{"family":"Cortes","given":"Adrian"},{"family":"Welsh","given":"Samantha"},{"family":"Young","given":"Alan"},{"family":"Effingham","given":"Mark"},{"family":"McVean","given":"Gil"},{"family":"Leslie","given":"Stephen"},{"family":"Allen","given":"Naomi"},{"family":"Donnelly","given":"Peter"},{"family":"Marchini","given":"Jonathan"}],"issued":{"date-parts":[["2018",10,10]]}}}],"schema":"https://github.com/citation-style-language/schema/raw/master/csl-citation.json"} </w:instrText>
          </w:r>
          <w:r w:rsidR="001D76CD">
            <w:rPr>
              <w:rFonts w:eastAsia="Arial Unicode MS"/>
            </w:rPr>
            <w:fldChar w:fldCharType="separate"/>
          </w:r>
          <w:r w:rsidR="001D76CD" w:rsidRPr="001D76CD">
            <w:t>(Bycroft et al., 2018)</w:t>
          </w:r>
          <w:r w:rsidR="001D76CD">
            <w:rPr>
              <w:rFonts w:eastAsia="Arial Unicode MS"/>
            </w:rPr>
            <w:fldChar w:fldCharType="end"/>
          </w:r>
          <w:r w:rsidRPr="00DD692C">
            <w:rPr>
              <w:rFonts w:eastAsia="Arial Unicode MS"/>
            </w:rPr>
            <w:t xml:space="preserve"> for a general description of the UK Biobank resource. The data was derived from an online mental health questionnaire, completed by participants between July 2016 and July 2017. Research on the UK Biobank is conducted under a generic Research Tissue Bank approval from the UK </w:t>
          </w:r>
          <w:proofErr w:type="gramStart"/>
          <w:r w:rsidRPr="00DD692C">
            <w:rPr>
              <w:rFonts w:eastAsia="Arial Unicode MS"/>
            </w:rPr>
            <w:t>North West</w:t>
          </w:r>
          <w:proofErr w:type="gramEnd"/>
          <w:r w:rsidRPr="00DD692C">
            <w:rPr>
              <w:rFonts w:eastAsia="Arial Unicode MS"/>
            </w:rPr>
            <w:t xml:space="preserve"> Multi-</w:t>
          </w:r>
          <w:proofErr w:type="spellStart"/>
          <w:r w:rsidRPr="00DD692C">
            <w:rPr>
              <w:rFonts w:eastAsia="Arial Unicode MS"/>
            </w:rPr>
            <w:t>centre</w:t>
          </w:r>
          <w:proofErr w:type="spellEnd"/>
          <w:r w:rsidRPr="00DD692C">
            <w:rPr>
              <w:rFonts w:eastAsia="Arial Unicode MS"/>
            </w:rPr>
            <w:t xml:space="preserve"> Research Ethics Committee (MREC). This research was approved to be conducted under that approval by the governing Research Ethics Committee of the UK Biobank. The analyses in this paper were performed under an approved extension to project 16577. Cases were defined by self-report of a professional diagnosis of OCD ("Have you been diagnosed with [</w:t>
          </w:r>
          <w:proofErr w:type="gramStart"/>
          <w:r w:rsidRPr="00DD692C">
            <w:rPr>
              <w:rFonts w:eastAsia="Arial Unicode MS"/>
            </w:rPr>
            <w:t>Obsessive compulsive disorder</w:t>
          </w:r>
          <w:proofErr w:type="gramEnd"/>
          <w:r w:rsidRPr="00DD692C">
            <w:rPr>
              <w:rFonts w:eastAsia="Arial Unicode MS"/>
            </w:rPr>
            <w:t xml:space="preserve"> (OCD)] by a professional, even if you don’t have it currently?”). The median age of cases at the time of report (not age at diagnosis) was 62 (interquartile range (IQR</w:t>
          </w:r>
          <w:r w:rsidR="00494CF1">
            <w:rPr>
              <w:rFonts w:eastAsia="Arial Unicode MS"/>
            </w:rPr>
            <w:t>)</w:t>
          </w:r>
          <w:r w:rsidRPr="00DD692C">
            <w:rPr>
              <w:rFonts w:eastAsia="Arial Unicode MS"/>
            </w:rPr>
            <w:t xml:space="preserve"> = 55-68), 59% of cases are female. All participants who did not report an OCD diagnosis were included as controls. The median age of controls at the time of report was 65 (IQR = 58-70), 56% of controls are female. Genotyping of cases and controls was performed on the Affymetrix Axiom UK Biobank Array / Affymetrix Axiom UK </w:t>
          </w:r>
          <w:proofErr w:type="spellStart"/>
          <w:r w:rsidRPr="00DD692C">
            <w:rPr>
              <w:rFonts w:eastAsia="Arial Unicode MS"/>
            </w:rPr>
            <w:t>BiLEVE</w:t>
          </w:r>
          <w:proofErr w:type="spellEnd"/>
          <w:r w:rsidRPr="00DD692C">
            <w:rPr>
              <w:rFonts w:eastAsia="Arial Unicode MS"/>
            </w:rPr>
            <w:t xml:space="preserve"> array and genotyped in the Affymetrix Research Services Laboratory, Santa Clara, CA in several batches. For genotype quality control the following filters were applied to the data: MAF</w:t>
          </w:r>
          <w:r w:rsidR="00494CF1">
            <w:rPr>
              <w:rFonts w:eastAsia="Arial Unicode MS"/>
            </w:rPr>
            <w:t xml:space="preserve"> </w:t>
          </w:r>
          <w:r w:rsidRPr="00DD692C">
            <w:rPr>
              <w:rFonts w:eastAsia="Arial Unicode MS"/>
            </w:rPr>
            <w:t>&gt;</w:t>
          </w:r>
          <w:r w:rsidR="00494CF1">
            <w:rPr>
              <w:rFonts w:eastAsia="Arial Unicode MS"/>
            </w:rPr>
            <w:t xml:space="preserve"> </w:t>
          </w:r>
          <w:r w:rsidRPr="00DD692C">
            <w:rPr>
              <w:rFonts w:eastAsia="Arial Unicode MS"/>
            </w:rPr>
            <w:t>0.01 and call-rate</w:t>
          </w:r>
          <w:r w:rsidR="00494CF1">
            <w:rPr>
              <w:rFonts w:eastAsia="Arial Unicode MS"/>
            </w:rPr>
            <w:t xml:space="preserve"> </w:t>
          </w:r>
          <w:r w:rsidRPr="00DD692C">
            <w:rPr>
              <w:rFonts w:eastAsia="Arial Unicode MS"/>
            </w:rPr>
            <w:t>&gt;</w:t>
          </w:r>
          <w:r w:rsidR="00494CF1">
            <w:rPr>
              <w:rFonts w:eastAsia="Arial Unicode MS"/>
            </w:rPr>
            <w:t xml:space="preserve"> </w:t>
          </w:r>
          <w:r w:rsidRPr="00DD692C">
            <w:rPr>
              <w:rFonts w:eastAsia="Arial Unicode MS"/>
            </w:rPr>
            <w:t xml:space="preserve">98%. 4-means clustering was applied on the first two </w:t>
          </w:r>
          <w:r w:rsidR="00561C75">
            <w:rPr>
              <w:rFonts w:eastAsia="Arial Unicode MS"/>
            </w:rPr>
            <w:t>PCs</w:t>
          </w:r>
          <w:r w:rsidRPr="00DD692C">
            <w:rPr>
              <w:rFonts w:eastAsia="Arial Unicode MS"/>
            </w:rPr>
            <w:t xml:space="preserve"> to determine participants of European ancestries (as described by </w:t>
          </w:r>
          <w:r w:rsidR="00494CF1">
            <w:rPr>
              <w:rFonts w:eastAsia="Arial Unicode MS"/>
            </w:rPr>
            <w:fldChar w:fldCharType="begin"/>
          </w:r>
          <w:r w:rsidR="00494CF1">
            <w:rPr>
              <w:rFonts w:eastAsia="Arial Unicode MS"/>
            </w:rPr>
            <w:instrText xml:space="preserve"> ADDIN ZOTERO_ITEM CSL_CITATION {"citationID":"tv4Lh8Qj","properties":{"formattedCitation":"(Warren et al., 2017)","plainCitation":"(Warren et al., 2017)","noteIndex":0},"citationItems":[{"id":3882,"uris":["http://zotero.org/users/9762508/items/YBT7VMP7"],"itemData":{"id":3882,"type":"article-journal","abstract":"Elevated blood pressure is the leading heritable risk factor for cardiovascular disease worldwide. We report genetic association of blood pressure (systolic, diastolic, pulse pressure) among UK Biobank participants of European ancestry with independent replication in other cohorts, and robust validation of 107 independent loci. We also identify new independent variants at 11 previously reported blood pressure loci. In combination with results from a range of in silico functional analyses and wet bench experiments, our findings highlight new biological pathways for blood pressure regulation enriched for genes expressed in vascular tissues and identify potential therapeutic targets for hypertension. Results from genetic risk score models raise the possibility of a precision medicine approach through early lifestyle intervention to offset the impact of blood pressure-raising genetic variants on future cardiovascular disease risk.","container-title":"Nature Genetics","DOI":"10.1038/ng.3768","issue":"3","note":"publisher: Nature Research","page":"403-415","title":"Genome-wide association analysis identifies novel blood pressure loci and offers biological insights into cardiovascular risk","volume":"49","author":[{"family":"Warren","given":"Helen R."},{"family":"Evangelou","given":"Evangelos"},{"family":"Cabrera","given":"Claudia P."},{"family":"Gao","given":"He"},{"family":"Ren","given":"Meixia"},{"family":"Mifsud","given":"Borbala"},{"family":"Ntalla","given":"Ioanna"},{"family":"Surendran","given":"Praveen"},{"family":"Liu","given":"Chunyu"},{"family":"Cook","given":"James P."},{"family":"Kraja","given":"Aldi T."},{"family":"Drenos","given":"Fotios"},{"family":"Loh","given":"Marie"},{"family":"Verweij","given":"Niek"},{"family":"Marten","given":"Jonathan"},{"family":"Karaman","given":"Ibrahim"},{"family":"Segura Lepe","given":"Marcelo P."},{"family":"O'Reilly","given":"Paul F."},{"family":"Knight","given":"Joanne"},{"family":"Snieder","given":"Harold"},{"family":"Kato","given":"Norihiro"},{"family":"He","given":"Jiang"},{"family":"Shyong Tai","given":"E."},{"family":"Abdullah Said","given":"M."},{"family":"Porteous","given":"David"},{"family":"Alver","given":"Maris"},{"family":"Poulter","given":"Neil"},{"family":"Farrall","given":"Martin"},{"family":"Gansevoort","given":"Ron T."},{"family":"Padmanabhan","given":"Sandosh"},{"family":"Mägi","given":"Reedik"},{"family":"Stanton","given":"Alice"},{"family":"Connell","given":"John"},{"family":"Bakker","given":"Stephan J.L."},{"family":"Metspalu","given":"Andres"},{"family":"Shields","given":"Denis C."},{"family":"Thom","given":"Simon"},{"family":"Brown","given":"Morris"},{"family":"Sever","given":"Peter"},{"family":"Esko","given":"Tõnu"},{"family":"Hayward","given":"Caroline"},{"family":"Harst","given":"Pim","non-dropping-particle":"van der"},{"family":"Saleheen","given":"Danish"},{"family":"Chowdhury","given":"Rajiv"},{"family":"Chambers","given":"John C."},{"family":"Chasman","given":"Daniel I."},{"family":"Chakravarti","given":"Aravinda"},{"family":"Newton-Cheh","given":"Christopher"},{"family":"Lindgren","given":"Cecilia M."},{"family":"Levy","given":"Daniel"},{"family":"Kooner","given":"Jaspal S."},{"family":"Keavney","given":"Bernard"},{"family":"Tomaszewski","given":"Maciej"},{"family":"Samani","given":"Nilesh J."},{"family":"Howson","given":"Joanna M.M."},{"family":"Tobin","given":"Martin D."},{"family":"Munroe","given":"Patricia B."},{"family":"Ehret","given":"Georg B."},{"family":"Wain","given":"Louise V."},{"family":"Barnes","given":"Michael R."},{"family":"Tzoulaki","given":"Ioanna"},{"family":"Caulfield","given":"Mark J."},{"family":"Elliott","given":"Paul"},{"family":"Wain","given":"V."},{"family":"Vaez","given":"Ahmad"},{"family":"Jansen","given":"Rick"},{"family":"Joehanes","given":"Roby"},{"family":"Most","given":"Peter J.","non-dropping-particle":"van der"},{"family":"Mesut Erzurumluoglu","given":"A."},{"family":"O'Reilly","given":"Paul"},{"family":"Rose","given":"Lynda M."},{"family":"Verwoert","given":"Germaine C."},{"family":"Hottenga","given":"Jouke Jan"},{"family":"Strawbridge","given":"Rona J."},{"family":"Esko","given":"Tonu"},{"family":"Arking","given":"Dan E."},{"family":"Hwang","given":"Shih Jen"},{"family":"Guo","given":"Xiuqing"},{"family":"Kutalik","given":"Zoltan"},{"family":"Trompet","given":"Stella"},{"family":"Shrine","given":"Nick"},{"family":"Teumer","given":"Alexander"},{"family":"Ried","given":"Janina S."},{"family":"Bis","given":"Joshua C."},{"family":"Smith","given":"Albert V."},{"family":"Amin","given":"Najaf"},{"family":"Nolte","given":"Ilja M."},{"family":"Lyytikäinen","given":"Leo Pekka"},{"family":"Mahajan","given":"Anubha"},{"family":"Wareham","given":"Nicholas J."},{"family":"Hofer","given":"Edith"},{"family":"Joshi","given":"Peter K."},{"family":"Kristiansson","given":"Kati"},{"family":"Traglia","given":"Michela"},{"family":"Havulinna","given":"Aki S."},{"family":"Goel","given":"Anuj"},{"family":"Nalls","given":"Mike A."},{"family":"Sõber","given":"Siim"},{"family":"Vuckovic","given":"Dragana"},{"family":"Luan","given":"Jian'an"},{"family":"Fabiola Del Greco","given":"M."},{"family":"Ayers","given":"Kristin L."},{"family":"Marrugat","given":"Jaume"},{"family":"Ruggiero","given":"Daniela"},{"family":"Lopez","given":"Lorna M."},{"family":"Niiranen","given":"Teemu"},{"family":"Enroth","given":"Stefan"},{"family":"Jackson","given":"Anne U."},{"family":"Nelson","given":"Christopher P."},{"family":"Huffman","given":"Jennifer E."},{"family":"Zhang","given":"Weihua"},{"family":"Gandin","given":"Ilaria"},{"family":"Harris","given":"Sarah E."},{"family":"Zemonik","given":"Tatijana"},{"family":"Lu","given":"Yingchang"},{"family":"Shah","given":"Nabi"},{"family":"Borst","given":"Martin H.","non-dropping-particle":"de"},{"family":"Mangino","given":"Massimo"},{"family":"Prins","given":"Bram P."},{"family":"Campbell","given":"Archie"},{"family":"Li-Gao","given":"Ruifang"},{"family":"Chauhan","given":"Ganesh"},{"family":"Oldmeadow","given":"Christopher"},{"family":"Abecasis","given":"Gonçalo"},{"family":"Abedi","given":"Maryam"},{"family":"Barbieri","given":"Caterina M."},{"family":"Batini","given":"Chiara"},{"family":"Blake","given":"Tineka"},{"family":"Boehnke","given":"Michael"},{"family":"Bottinger","given":"Erwin P."},{"family":"Braund","given":"Peter S."},{"family":"Brumat","given":"Marco"},{"family":"Campbell","given":"Harry"},{"family":"Cocca","given":"Massimiliano"},{"family":"Collins","given":"Francis"},{"family":"Cordell","given":"Heather J."},{"family":"Damman","given":"Jeffrey J."},{"family":"Davies","given":"Gail"},{"family":"Geus","given":"Eco J.","non-dropping-particle":"de"},{"family":"Mutsert","given":"Renée","non-dropping-particle":"de"},{"family":"Deelen","given":"Joris"},{"family":"Demirkale","given":"Yusuf"},{"family":"Doney","given":"Alex S.F."},{"family":"Dörr","given":"Marcus"},{"family":"Ferreira","given":"Teresa"},{"family":"Frånberg","given":"Mattias"},{"family":"Giedraitis","given":"Vilmantas"},{"family":"Gieger","given":"Christian"},{"family":"Giulianini","given":"Franco"},{"family":"Gow","given":"Alan J."},{"family":"Hamsten","given":"Anders"},{"family":"Harris","given":"Tamara B."},{"family":"Hofman","given":"Albert"},{"family":"Holliday","given":"Elizabeth G."},{"family":"Jarvelin","given":"Marjo Riitta"},{"family":"Johansson","given":"Åsa"},{"family":"Johnson","given":"Andrew D."},{"family":"Jousilahti","given":"Pekka"},{"family":"Jula","given":"Antti"},{"family":"Kähönen","given":"Mika"},{"family":"Kathiresan","given":"Sekar"},{"family":"Khaw","given":"Kay Tee"},{"family":"Kolcic","given":"Ivana"},{"family":"Koskinen","given":"Seppo"},{"family":"Langenberg","given":"Claudia"},{"family":"Larson","given":"Marty"},{"family":"Launer","given":"Lenore J."},{"family":"Lehne","given":"Benjamin"},{"family":"Liewald","given":"David C.M."},{"family":"Lin","given":"Li"},{"family":"Lind","given":"Lars"},{"family":"Mach","given":"François"},{"family":"Mamasoula","given":"Chrysovalanto"},{"family":"Menni","given":"Cristina"},{"family":"Milaneschi","given":"Yuri"},{"family":"Morgan","given":"Anna"},{"family":"Morris","given":"Andrew D."},{"family":"Morrison","given":"Alanna C."},{"family":"Munson","given":"Peter J."},{"family":"Nandakumar","given":"Priyanka"},{"family":"Nguyen","given":"Quang Tri"},{"family":"Nutile","given":"Teresa"},{"family":"Oldehinkel","given":"Albertine J."},{"family":"Oostra","given":"Ben A."},{"family":"Org","given":"Elin"},{"family":"Palotie","given":"Aarno"},{"family":"Paré","given":"Guillaume"},{"family":"Pattie","given":"Alison"},{"family":"Penninx","given":"Brenda W.J.H."},{"family":"Pramstaller","given":"Peter P."},{"family":"Raitakari","given":"Olli T."},{"family":"Rice","given":"Kenneth"},{"family":"Ridker","given":"Paul M."},{"family":"Riese","given":"Harriëtte"},{"family":"Ripatti","given":"Samuli"},{"family":"Robino","given":"Antonietta"},{"family":"Rotter","given":"Jerome I."},{"family":"Rudan","given":"Igor"},{"family":"Saba","given":"Yasaman"},{"family":"Saint Pierre","given":"Aude"},{"family":"Sala","given":"Cinzia F."},{"family":"Sarin","given":"Antti Pekka"},{"family":"Schmidt","given":"Reinhold"},{"family":"Scott","given":"Rodney"},{"family":"Seelen","given":"Marc A."},{"family":"Siscovick","given":"David"},{"family":"Sorice","given":"Rossella"},{"family":"Stott","given":"David J."},{"family":"Sundström","given":"Johan"},{"family":"Swertz","given":"Morris"},{"family":"Taylor","given":"Kent D."},{"family":"Tzourio","given":"Christophe"},{"family":"Uitterlinden","given":"André G."},{"family":"Völker","given":"Uwe"},{"family":"Vollenweider","given":"Peter"},{"family":"Wild","given":"Sarah"},{"family":"Willemsen","given":"Gonneke"},{"family":"Wright","given":"Alan F."},{"family":"Yao","given":"Jie"},{"family":"Thériault","given":"Sébastien"},{"family":"Conen","given":"David"},{"family":"John","given":"Attia"},{"family":"Debette","given":"Stéphanie"},{"family":"Mook-Kanamori","given":"Dennis O."},{"family":"Zeggini","given":"Eleftheria"},{"family":"Spector","given":"Tim D."},{"family":"Palmer","given":"Colin N.A."},{"family":"Vergnaud","given":"Anne Claire"},{"family":"Loos","given":"Ruth J.F."},{"family":"Polasek","given":"Ozren"},{"family":"Starr","given":"John M."},{"family":"Girotto","given":"Giorgia"},{"family":"Vitart","given":"Veronique"},{"family":"Tuomilehto","given":"Jaakko"},{"family":"Gyllensten","given":"Ulf"},{"family":"Knekt","given":"Paul"},{"family":"Deary","given":"Ian J."},{"family":"Ciullo","given":"Marina"},{"family":"Elosua","given":"Roberto"},{"family":"Hicks","given":"Andrew A."},{"family":"Scott","given":"Robert A."},{"family":"Gasparini","given":"Paolo"},{"family":"Laan","given":"Maris"},{"family":"Liu","given":"Yong Mei"},{"family":"Watkins","given":"Hugh"},{"family":"Hartman","given":"Catharina A."},{"family":"Salomaa","given":"Veikko"},{"family":"Toniolo","given":"Daniela"},{"family":"Perola","given":"Markus"},{"family":"Wilson","given":"James F."},{"family":"Schmidt","given":"Helena"},{"family":"Zhao","given":"Jing Hua"},{"family":"Lehtimäki","given":"Terho"},{"family":"Duijn","given":"Cornelia M.","non-dropping-particle":"van"},{"family":"Gudnason","given":"Vilmundur"},{"family":"Psaty","given":"Bruce M."},{"family":"Peters","given":"Annette"},{"family":"Rettig","given":"Rainer"},{"family":"James","given":"Alan"},{"family":"Wouter Jukema","given":"J."},{"family":"Strachan","given":"David P."},{"family":"Palmas","given":"Walter"},{"family":"Ingelsson","given":"Erik"},{"family":"Boomsma","given":"Dorret I."},{"family":"Franco","given":"Oscar H."},{"family":"Bochud","given":"Murielle"},{"family":"Morris","given":"Andrew P."}],"issued":{"date-parts":[["2017",3]]}}}],"schema":"https://github.com/citation-style-language/schema/raw/master/csl-citation.json"} </w:instrText>
          </w:r>
          <w:r w:rsidR="00494CF1">
            <w:rPr>
              <w:rFonts w:eastAsia="Arial Unicode MS"/>
            </w:rPr>
            <w:fldChar w:fldCharType="separate"/>
          </w:r>
          <w:r w:rsidR="00494CF1" w:rsidRPr="00494CF1">
            <w:t>(Warren et al., 2017)</w:t>
          </w:r>
          <w:r w:rsidR="00494CF1">
            <w:rPr>
              <w:rFonts w:eastAsia="Arial Unicode MS"/>
            </w:rPr>
            <w:fldChar w:fldCharType="end"/>
          </w:r>
          <w:r w:rsidRPr="00DD692C">
            <w:rPr>
              <w:rFonts w:eastAsia="Arial Unicode MS"/>
            </w:rPr>
            <w:t xml:space="preserve">). Further, quality assurance outliers </w:t>
          </w:r>
          <w:r w:rsidRPr="00DD692C">
            <w:rPr>
              <w:rFonts w:eastAsia="Arial Unicode MS"/>
            </w:rPr>
            <w:lastRenderedPageBreak/>
            <w:t>marked by UKBB were removed. Relatives (KING relatedness</w:t>
          </w:r>
          <w:r w:rsidR="00494CF1">
            <w:rPr>
              <w:rFonts w:eastAsia="Arial Unicode MS"/>
            </w:rPr>
            <w:t xml:space="preserve"> </w:t>
          </w:r>
          <w:r w:rsidRPr="00DD692C">
            <w:rPr>
              <w:rFonts w:eastAsia="Arial Unicode MS"/>
            </w:rPr>
            <w:t>&gt;</w:t>
          </w:r>
          <w:r w:rsidR="00494CF1">
            <w:rPr>
              <w:rFonts w:eastAsia="Arial Unicode MS"/>
            </w:rPr>
            <w:t xml:space="preserve"> </w:t>
          </w:r>
          <w:r w:rsidRPr="00DD692C">
            <w:rPr>
              <w:rFonts w:eastAsia="Arial Unicode MS"/>
            </w:rPr>
            <w:t xml:space="preserve">0.044) greedily (e.g. keeping the parents in a parent-child trio) and participants with mismatched sex were removed (reported females with FX ≥ 0.6, reported males with FX ≤ 0.85; FX determined using </w:t>
          </w:r>
          <w:proofErr w:type="spellStart"/>
          <w:r w:rsidRPr="00DD692C">
            <w:rPr>
              <w:rFonts w:eastAsia="Arial Unicode MS"/>
            </w:rPr>
            <w:t>chrX</w:t>
          </w:r>
          <w:proofErr w:type="spellEnd"/>
          <w:r w:rsidRPr="00DD692C">
            <w:rPr>
              <w:rFonts w:eastAsia="Arial Unicode MS"/>
            </w:rPr>
            <w:t xml:space="preserve"> SNPs in approximate linkage equilibrium, r2</w:t>
          </w:r>
          <w:r w:rsidR="00494CF1">
            <w:rPr>
              <w:rFonts w:eastAsia="Arial Unicode MS"/>
            </w:rPr>
            <w:t xml:space="preserve"> </w:t>
          </w:r>
          <w:r w:rsidRPr="00DD692C">
            <w:rPr>
              <w:rFonts w:eastAsia="Arial Unicode MS"/>
            </w:rPr>
            <w:t>&lt;</w:t>
          </w:r>
          <w:r w:rsidR="00494CF1">
            <w:rPr>
              <w:rFonts w:eastAsia="Arial Unicode MS"/>
            </w:rPr>
            <w:t xml:space="preserve"> </w:t>
          </w:r>
          <w:r w:rsidRPr="00DD692C">
            <w:rPr>
              <w:rFonts w:eastAsia="Arial Unicode MS"/>
            </w:rPr>
            <w:t xml:space="preserve">0.2). Imputation was performed with IMPUTE4 </w:t>
          </w:r>
          <w:r w:rsidR="00494CF1">
            <w:rPr>
              <w:rFonts w:eastAsia="Arial Unicode MS"/>
            </w:rPr>
            <w:fldChar w:fldCharType="begin"/>
          </w:r>
          <w:r w:rsidR="0086149C">
            <w:rPr>
              <w:rFonts w:eastAsia="Arial Unicode MS"/>
            </w:rPr>
            <w:instrText xml:space="preserve"> ADDIN ZOTERO_ITEM CSL_CITATION {"citationID":"1OYrUJGi","properties":{"formattedCitation":"(Bycroft et al., 2018)","plainCitation":"(Bycroft et al., 2018)","noteIndex":0},"citationItems":[{"id":3326,"uris":["http://zotero.org/users/9762508/items/YHU2SGBK"],"itemData":{"id":3326,"type":"article-journal","abstract":"The UK Biobank project is a prospective cohort study with deep genetic and phenotypic data collected on approximately 500,000 individuals from across the United Kingdom, aged between 40 and 69 at recruitment. The open resource is unique in its size and scope. A rich variety of phenotypic and health-related information is available on each participant, including biological measurements, lifestyle indicators, biomarkers in blood and urine, and imaging of the body and brain. Follow-up information is provided by linking health and medical records. Genome-wide genotype data have been collected on all participants, providing many opportunities for the discovery of new genetic associations and the genetic bases of complex traits. Here we describe the centralized analysis of the genetic data, including genotype quality, properties of population structure and relatedness of the genetic data, and efficient phasing and genotype imputation that increases the number of testable variants to around 96&amp;nbsp;million. Classical allelic variation at 11 human leukocyte antigen genes was imputed, resulting in the recovery of signals with known associations between human leukocyte antigen alleles and many diseases. Deep phenotype and genome-wide genetic data from 500,000 individuals from the UK Biobank, describing population structure and relatedness in the cohort, and imputation to increase the number of testable variants to 96&amp;nbsp;million.","container-title":"Nature 2018 562:7726","DOI":"10.1038/s41586-018-0579-z","ISSN":"1476-4687","issue":"7726","note":"PMID: 30305743\npublisher: Nature Publishing Group","page":"203-209","title":"The UK Biobank resource with deep phenotyping and genomic data","volume":"562","author":[{"family":"Bycroft","given":"Clare"},{"family":"Freeman","given":"Colin"},{"family":"Petkova","given":"Desislava"},{"family":"Band","given":"Gavin"},{"family":"Elliott","given":"Lloyd T."},{"family":"Sharp","given":"Kevin"},{"family":"Motyer","given":"Allan"},{"family":"Vukcevic","given":"Damjan"},{"family":"Delaneau","given":"Olivier"},{"family":"O’Connell","given":"Jared"},{"family":"Cortes","given":"Adrian"},{"family":"Welsh","given":"Samantha"},{"family":"Young","given":"Alan"},{"family":"Effingham","given":"Mark"},{"family":"McVean","given":"Gil"},{"family":"Leslie","given":"Stephen"},{"family":"Allen","given":"Naomi"},{"family":"Donnelly","given":"Peter"},{"family":"Marchini","given":"Jonathan"}],"issued":{"date-parts":[["2018",10,10]]}}}],"schema":"https://github.com/citation-style-language/schema/raw/master/csl-citation.json"} </w:instrText>
          </w:r>
          <w:r w:rsidR="00494CF1">
            <w:rPr>
              <w:rFonts w:eastAsia="Arial Unicode MS"/>
            </w:rPr>
            <w:fldChar w:fldCharType="separate"/>
          </w:r>
          <w:r w:rsidR="0086149C" w:rsidRPr="0086149C">
            <w:t>(Bycroft et al., 2018)</w:t>
          </w:r>
          <w:r w:rsidR="00494CF1">
            <w:rPr>
              <w:rFonts w:eastAsia="Arial Unicode MS"/>
            </w:rPr>
            <w:fldChar w:fldCharType="end"/>
          </w:r>
          <w:r w:rsidR="0086149C">
            <w:rPr>
              <w:rFonts w:eastAsia="Arial Unicode MS"/>
            </w:rPr>
            <w:t xml:space="preserve"> </w:t>
          </w:r>
          <w:r w:rsidRPr="00DD692C">
            <w:rPr>
              <w:rFonts w:eastAsia="Arial Unicode MS"/>
            </w:rPr>
            <w:t>using a combined HRC/UK-10k reference panel. Imputed data was filtered on MAF ≥ 0.01 and INFO ≥ 0.4. GWAS was performed using SAIGE</w:t>
          </w:r>
          <w:r w:rsidR="00E23A18">
            <w:rPr>
              <w:rFonts w:eastAsia="Arial Unicode MS"/>
            </w:rPr>
            <w:t xml:space="preserve"> </w:t>
          </w:r>
          <w:r w:rsidR="00E23A18">
            <w:rPr>
              <w:rFonts w:eastAsia="Arial Unicode MS"/>
            </w:rPr>
            <w:fldChar w:fldCharType="begin"/>
          </w:r>
          <w:r w:rsidR="00E23A18">
            <w:rPr>
              <w:rFonts w:eastAsia="Arial Unicode MS"/>
            </w:rPr>
            <w:instrText xml:space="preserve"> ADDIN ZOTERO_ITEM CSL_CITATION {"citationID":"jsZVIO3D","properties":{"formattedCitation":"(Zhou et al., 2018)","plainCitation":"(Zhou et al., 2018)","noteIndex":0},"citationItems":[{"id":2074,"uris":["http://zotero.org/users/9762508/items/8GN2Q29U"],"itemData":{"id":2074,"type":"article-journal","abstract":"In genome-wide association studies (GWAS) for thousands of phenotypes in large biobanks, most binary traits have substantially fewer cases than controls. Both of the widely used approaches, linear mixed model and the recently proposed logistic mixed model, perform poorly -- producing large type I error rates -- in the analysis of phenotypes with unbalanced case-control ratios. Here we propose a scalable and accurate generalized mixed model association test that uses the saddlepoint approximation (SPA) to calibrate the distribution of score test statistics. This method, SAIGE, provides accurate p-values even when case-control ratios are extremely unbalanced. It utilizes state-of-art optimization strategies to reduce computational time and memory cost of generalized mixed model. The computation cost linearly depends on sample size, and hence can be applicable to GWAS for thousands of phenotypes by large biobanks. Through the analysis of UK-Biobank data of 408,961 white British European-ancestry samples, we show that SAIGE can efficiently analyze large sample data, controlling for unbalanced case-control ratios and sample relatedness.","container-title":"Nature Genetics","DOI":"10.1038/s41588-018-0184-y","ISSN":"15461718","issue":"9","note":"publisher: Springer US","page":"1335-1341","title":"Efficiently controlling for case-control imbalance and sample relatedness in large-scale genetic association studies","volume":"50","author":[{"family":"Zhou","given":"Wei"},{"family":"Nielsen","given":"Jonas B."},{"family":"Fritsche","given":"Lars G."},{"family":"Dey","given":"Rounak"},{"family":"Gabrielsen","given":"Maiken E."},{"family":"Wolford","given":"Brooke N."},{"family":"LeFaive","given":"Jonathon"},{"family":"VandeHaar","given":"Peter"},{"family":"Gagliano","given":"Sarah A."},{"family":"Gifford","given":"Aliya"},{"family":"Bastarache","given":"Lisa A."},{"family":"Wei","given":"Wei Qi"},{"family":"Denny","given":"Joshua C."},{"family":"Lin","given":"Maoxuan"},{"family":"Hveem","given":"Kristian"},{"family":"Kang","given":"Hyun Min"},{"family":"Abecasis","given":"Goncalo R."},{"family":"Willer","given":"Cristen J."},{"family":"Lee","given":"Seunggeun"}],"issued":{"date-parts":[["2018"]]}}}],"schema":"https://github.com/citation-style-language/schema/raw/master/csl-citation.json"} </w:instrText>
          </w:r>
          <w:r w:rsidR="00E23A18">
            <w:rPr>
              <w:rFonts w:eastAsia="Arial Unicode MS"/>
            </w:rPr>
            <w:fldChar w:fldCharType="separate"/>
          </w:r>
          <w:r w:rsidR="00E23A18" w:rsidRPr="00E23A18">
            <w:t>(Zhou et al., 2018)</w:t>
          </w:r>
          <w:r w:rsidR="00E23A18">
            <w:rPr>
              <w:rFonts w:eastAsia="Arial Unicode MS"/>
            </w:rPr>
            <w:fldChar w:fldCharType="end"/>
          </w:r>
          <w:r w:rsidRPr="00DD692C">
            <w:rPr>
              <w:rFonts w:eastAsia="Arial Unicode MS"/>
            </w:rPr>
            <w:t xml:space="preserve">, including the first six </w:t>
          </w:r>
        </w:sdtContent>
      </w:sdt>
      <w:r w:rsidR="00561C75">
        <w:t>PCs</w:t>
      </w:r>
      <w:r w:rsidRPr="00DD692C">
        <w:rPr>
          <w:rFonts w:eastAsia="Arimo"/>
        </w:rPr>
        <w:t xml:space="preserve"> from participants of European ancestries, factors for genotyping batch and assessment cent</w:t>
      </w:r>
      <w:r w:rsidR="00561C75">
        <w:rPr>
          <w:rFonts w:eastAsia="Arimo"/>
        </w:rPr>
        <w:t>er</w:t>
      </w:r>
      <w:r w:rsidRPr="00DD692C">
        <w:rPr>
          <w:rFonts w:eastAsia="Arimo"/>
        </w:rPr>
        <w:t xml:space="preserve"> as covariates. </w:t>
      </w:r>
      <w:bookmarkStart w:id="28" w:name="_heading=h.3as4poj" w:colFirst="0" w:colLast="0"/>
      <w:bookmarkEnd w:id="28"/>
    </w:p>
    <w:p w14:paraId="485E9D9B" w14:textId="1A7A28F2" w:rsidR="0089583A" w:rsidRDefault="0089583A" w:rsidP="0089583A">
      <w:pPr>
        <w:pStyle w:val="berschrift3"/>
        <w:rPr>
          <w:lang w:val="de-DE"/>
        </w:rPr>
      </w:pPr>
      <w:bookmarkStart w:id="29" w:name="_heading=h.1pxezwc" w:colFirst="0" w:colLast="0"/>
      <w:bookmarkEnd w:id="29"/>
      <w:r w:rsidRPr="0089583A">
        <w:rPr>
          <w:lang w:val="de-DE"/>
        </w:rPr>
        <w:t>Yale-Penn | Gelernter, J.; CO-</w:t>
      </w:r>
      <w:r w:rsidR="0086149C">
        <w:rPr>
          <w:lang w:val="de-DE"/>
        </w:rPr>
        <w:t>P</w:t>
      </w:r>
      <w:r w:rsidRPr="0089583A">
        <w:rPr>
          <w:lang w:val="de-DE"/>
        </w:rPr>
        <w:t>I: Kranzler, H. | USA | 24166409, 32492095</w:t>
      </w:r>
    </w:p>
    <w:p w14:paraId="556F088C" w14:textId="77777777" w:rsidR="0089583A" w:rsidRPr="0089583A" w:rsidRDefault="0089583A" w:rsidP="0089583A">
      <w:pPr>
        <w:rPr>
          <w:lang w:val="de-DE"/>
        </w:rPr>
      </w:pPr>
    </w:p>
    <w:p w14:paraId="0000005A" w14:textId="38EB8829" w:rsidR="008E545C" w:rsidRPr="00DD692C" w:rsidRDefault="00000000">
      <w:pPr>
        <w:spacing w:line="480" w:lineRule="auto"/>
        <w:jc w:val="both"/>
      </w:pPr>
      <w:r w:rsidRPr="00DD692C">
        <w:t xml:space="preserve">Yale-Penn data consists of three cohorts, called Yale-Penn 1 (also abbreviated GWCIDR), 2 (also abbreviated EXHCE), and 3 (also abbreviated MEGA123). Participants were recruited from eastern U.S sites and provided written informed consent as approved by the institutional review board at each site. Certificates of confidentiality were issued by the National Institute on Drug Abuse and the National Institute on Alcohol Abuse and Alcoholism. As previously described </w:t>
      </w:r>
      <w:r w:rsidR="00CA3554">
        <w:fldChar w:fldCharType="begin"/>
      </w:r>
      <w:r w:rsidR="00CA3554">
        <w:instrText xml:space="preserve"> ADDIN ZOTERO_ITEM CSL_CITATION {"citationID":"kZiqxKkb","properties":{"formattedCitation":"(Cheng et al., 2018)","plainCitation":"(Cheng et al., 2018)","noteIndex":0},"citationItems":[{"id":3975,"uris":["http://zotero.org/users/9762508/items/M9ICLXD2"],"itemData":{"id":3975,"type":"article-journal","abstract":"BACKGROUND: Opioid dependence (OD) is at epidemic levels in the United States. Genetic studies can provide insight into its biology.\nMETHODS: We completed an OD genome-wide association study in 3058 opioid-exposed European Americans, 1290 of whom met criteria for a DSM-IV diagnosis of OD. Analysis used DSM-IV criterion count.\nRESULTS: By meta-analysis of four cohorts, Yale-Penn 1 (n = 1388), Yale-Penn 2 (n = 996), Yale-Penn 3 (n = 98), and SAGE (Study of Addiction: Genetics and Environment) (n = 576), we identified a variant on chromosome 15, rs12442183, near RGMA, associated with OD (p = 1.3 × 10-8). The association was also genome-wide significant in Yale-Penn 1 taken individually and nominally significant in two of the other three samples. The finding was further supported in a meta-analysis of all available opioid-exposed African Americans (n = 2014 [1106 meeting DSM-IV OD criteria]; p = 3.0 × 10-3) from three cohorts; there was nominal significance in two of these samples. Thus, of seven subsamples examined in two populations, one was genome-wide significant, and four of six were nominally (or nearly) significant. RGMA encodes repulsive guidance molecule A, which is a central nervous system axon guidance protein. Risk allele rs12442183*T was correlated with higher expression of a specific RGMA transcript variant in frontal cortex (p = 2 × 10-3). After chronic morphine injection, the homologous mouse gene (Rgma) was upregulated in C57BL/6J striatum. Coexpression analysis of 1301 brain samples revealed that RGMA messenger RNA expression was associated with that of four genes implicated in other psychiatric disorders, including GRIN1.\nCONCLUSIONS: This is the first study to demonstrate an association of RGMA with OD. It provides a new lead into our understanding of OD pathophysiology.","container-title":"Biological Psychiatry","DOI":"10.1016/j.biopsych.2017.12.016","ISSN":"1873-2402","issue":"10","journalAbbreviation":"Biol Psychiatry","language":"eng","note":"PMID: 29478698\nPMCID: PMC6041180","page":"762-770","source":"PubMed","title":"Genome-wide Association Study Identifies a Regulatory Variant of RGMA Associated With Opioid Dependence in European Americans","volume":"84","author":[{"family":"Cheng","given":"Zhongshan"},{"family":"Zhou","given":"Hang"},{"family":"Sherva","given":"Richard"},{"family":"Farrer","given":"Lindsay A."},{"family":"Kranzler","given":"Henry R."},{"family":"Gelernter","given":"Joel"}],"issued":{"date-parts":[["2018",11,15]]}}}],"schema":"https://github.com/citation-style-language/schema/raw/master/csl-citation.json"} </w:instrText>
      </w:r>
      <w:r w:rsidR="00CA3554">
        <w:fldChar w:fldCharType="separate"/>
      </w:r>
      <w:r w:rsidR="00CA3554" w:rsidRPr="00CA3554">
        <w:t>(Cheng et al., 2018)</w:t>
      </w:r>
      <w:r w:rsidR="00CA3554">
        <w:fldChar w:fldCharType="end"/>
      </w:r>
      <w:r w:rsidRPr="00DD692C">
        <w:t xml:space="preserve">, Yale-Penn 1 samples were genotyped using Illumina HumanOmni1-Quad v1.0 microarray, targeting approximately one million SNPs. Yale-Penn 2 samples were genotyped using Illumina </w:t>
      </w:r>
      <w:proofErr w:type="spellStart"/>
      <w:r w:rsidRPr="00DD692C">
        <w:t>HumanCore</w:t>
      </w:r>
      <w:proofErr w:type="spellEnd"/>
      <w:r w:rsidRPr="00DD692C">
        <w:t xml:space="preserve"> Exome array, including approximately 0.5 million SNPs. Yale-Penn 3 samples were genotyped using Illumina Multi-Ethnic Genotyping Array, </w:t>
      </w:r>
      <w:r w:rsidR="00CA3554">
        <w:t>including</w:t>
      </w:r>
      <w:r w:rsidRPr="00DD692C">
        <w:t xml:space="preserve"> approximately 1.7 million SNPs. Genotyping was performed separately in each cohort using the 1000 Genomes Project reference panel, phase 1</w:t>
      </w:r>
      <w:r w:rsidR="00CA3554">
        <w:t xml:space="preserve"> </w:t>
      </w:r>
      <w:r w:rsidR="00CA3554">
        <w:fldChar w:fldCharType="begin"/>
      </w:r>
      <w:r w:rsidR="001E4992">
        <w:instrText xml:space="preserve"> ADDIN ZOTERO_ITEM CSL_CITATION {"citationID":"gJLaelCt","properties":{"formattedCitation":"(Durbin et al., 2010)","plainCitation":"(Durbin et al., 2010)","noteIndex":0},"citationItems":[{"id":3972,"uris":["http://zotero.org/users/9762508/items/F2BPNM3G"],"itemData":{"id":3972,"type":"article-journal","abstract":"The 1000 Genomes Project aims to provide a deep characterization of human genome sequence variation as a foundation for investigating the relationship between genotype and phenotype. Here we present results of the pilot phase of the project, designed to develop and compare different strategies for genome-wide sequencing with high-throughput platforms. We undertook three projects: low-coverage whole-genome sequencing of 179 individuals from four populations; high-coverage sequencing of two mother–father–child trios; and exon-targeted sequencing of 697 individuals from seven populations. We describe the location, allele frequency and local haplotype structure of approximately 15 million single nucleotide polymorphisms, 1 million short insertions and deletions, and 20,000 structural variants, most of which were previously undescribed. We show that, because we have catalogued the vast majority of common variation, over 95% of the currently accessible variants found in any individual are present in this data set. On average, each person is found to carry approximately 250 to 300 loss-of-function variants in annotated genes and 50 to 100 variants previously implicated in inherited disorders. We demonstrate how these results can be used to inform association and functional studies. From the two trios, we directly estimate the rate of de novo germline base substitution mutations to be approximately 10−8 per base pair per generation. We explore the data with regard to signatures of natural selection, and identify a marked reduction of genetic variation in the neighbourhood of genes, due to selection at linked sites. These methods and public data will support the next phase of human genetic research.","container-title":"Nature","DOI":"10.1038/nature09534","ISSN":"1476-4687","issue":"7319","language":"en","license":"2010 The Author(s)","note":"number: 7319\npublisher: Nature Publishing Group","page":"1061-1073","source":"www.nature.com","title":"A map of human genome variation from population-scale sequencing","volume":"467","author":[{"family":"Durbin","given":"Richard M."},{"family":"Altshuler","given":"David"},{"family":"Durbin","given":"Richard M."},{"family":"Abecasis","given":"Gonçalo R."},{"family":"Bentley","given":"David R."},{"family":"Chakravarti","given":"Aravinda"},{"family":"Clark","given":"Andrew G."},{"family":"Collins","given":"Francis S."},{"family":"De La Vega","given":"Francisco M."},{"family":"Donnelly","given":"Peter"},{"family":"Egholm","given":"Michael"},{"family":"Flicek","given":"Paul"},{"family":"Gabriel","given":"Stacey B."},{"family":"Gibbs","given":"Richard A."},{"family":"Knoppers","given":"Bartha M."},{"family":"Lander","given":"Eric S."},{"family":"Lehrach","given":"Hans"},{"family":"Mardis","given":"Elaine R."},{"family":"McVean","given":"Gil A."},{"family":"Nickerson","given":"Deborah A."},{"family":"Peltonen","given":"Leena"},{"family":"Schafer","given":"Alan J."},{"family":"Sherry","given":"Stephen T."},{"family":"Wang","given":"Jun"},{"family":"Wilson","given":"Richard K."},{"family":"Gibbs","given":"Richard A."},{"family":"Deiros","given":"David"},{"family":"Metzker","given":"Mike"},{"family":"Muzny","given":"Donna"},{"family":"Reid","given":"Jeff"},{"family":"Wheeler","given":"David"},{"family":"Wang","given":"Jun"},{"family":"Li","given":"Jingxiang"},{"family":"Jian","given":"Min"},{"family":"Li","given":"Guoqing"},{"family":"Li","given":"Ruiqiang"},{"family":"Liang","given":"Huiqing"},{"family":"Tian","given":"Geng"},{"family":"Wang","given":"Bo"},{"family":"Wang","given":"Jian"},{"family":"Wang","given":"Wei"},{"family":"Yang","given":"Huanming"},{"family":"Zhang","given":"Xiuqing"},{"family":"Zheng","given":"Huisong"},{"family":"Lander","given":"Eric S."},{"family":"Altshuler","given":"David"},{"family":"Ambrogio","given":"Lauren"},{"family":"Bloom","given":"Toby"},{"family":"Cibulskis","given":"Kristian"},{"family":"Fennell","given":"Tim J."},{"family":"Gabriel","given":"Stacey B."},{"family":"Jaffe","given":"David B."},{"family":"Shefler","given":"Erica"},{"family":"Sougnez","given":"Carrie L."},{"family":"Bentley","given":"David R."},{"family":"Gormley","given":"Niall"},{"family":"Humphray","given":"Sean"},{"family":"Kingsbury","given":"Zoya"},{"family":"Kokko-Gonzales","given":"Paula"},{"family":"Stone","given":"Jennifer"},{"family":"McKernan","given":"Kevin J."},{"family":"Costa","given":"Gina L."},{"family":"Ichikawa","given":"Jeffry K."},{"family":"Lee","given":"Clarence C."},{"family":"Sudbrak","given":"Ralf"},{"family":"Lehrach","given":"Hans"},{"family":"Borodina","given":"Tatiana A."},{"family":"Dahl","given":"Andreas"},{"family":"Davydov","given":"Alexey N."},{"family":"Marquardt","given":"Peter"},{"family":"Mertes","given":"Florian"},{"family":"Nietfeld","given":"Wilfiried"},{"family":"Rosenstiel","given":"Philip"},{"family":"Schreiber","given":"Stefan"},{"family":"Soldatov","given":"Aleksey V."},{"family":"Timmermann","given":"Bernd"},{"family":"Tolzmann","given":"Marius"},{"family":"Egholm","given":"Michael"},{"family":"Affourtit","given":"Jason"},{"family":"Ashworth","given":"Dana"},{"family":"Attiya","given":"Said"},{"family":"Bachorski","given":"Melissa"},{"family":"Buglione","given":"Eli"},{"family":"Burke","given":"Adam"},{"family":"Caprio","given":"Amanda"},{"family":"Celone","given":"Christopher"},{"family":"Clark","given":"Shauna"},{"family":"Conners","given":"David"},{"family":"Desany","given":"Brian"},{"family":"Gu","given":"Lisa"},{"family":"Guccione","given":"Lorri"},{"family":"Kao","given":"Kalvin"},{"family":"Kebbel","given":"Andrew"},{"family":"Knowlton","given":"Jennifer"},{"family":"Labrecque","given":"Matthew"},{"family":"McDade","given":"Louise"},{"family":"Mealmaker","given":"Craig"},{"family":"Minderman","given":"Melissa"},{"family":"Nawrocki","given":"Anne"},{"family":"Niazi","given":"Faheem"},{"family":"Pareja","given":"Kristen"},{"family":"Ramenani","given":"Ravi"},{"family":"Riches","given":"David"},{"family":"Song","given":"Wanmin"},{"family":"Turcotte","given":"Cynthia"},{"family":"Wang","given":"Shally"},{"family":"Mardis","given":"Elaine R."},{"family":"Wilson","given":"Richard K."},{"family":"Dooling","given":"David"},{"family":"Fulton","given":"Lucinda"},{"family":"Fulton","given":"Robert"},{"family":"Weinstock","given":"George"},{"family":"Durbin","given":"Richard M."},{"family":"Burton","given":"John"},{"family":"Carter","given":"David M."},{"family":"Churcher","given":"Carol"},{"family":"Coffey","given":"Alison"},{"family":"Cox","given":"Anthony"},{"family":"Palotie","given":"Aarno"},{"family":"Quail","given":"Michael"},{"family":"Skelly","given":"Tom"},{"family":"Stalker","given":"James"},{"family":"Swerdlow","given":"Harold P."},{"family":"Turner","given":"Daniel"},{"family":"De Witte","given":"Anniek"},{"family":"Giles","given":"Shane"},{"family":"Gibbs","given":"Richard A."},{"family":"Wheeler","given":"David"},{"family":"Bainbridge","given":"Matthew"},{"family":"Challis","given":"Danny"},{"family":"Sabo","given":"Aniko"},{"family":"Yu","given":"Fuli"},{"family":"Yu","given":"Jin"},{"family":"Wang","given":"Jun"},{"family":"Fang","given":"Xiaodong"},{"family":"Guo","given":"Xiaosen"},{"family":"Li","given":"Ruiqiang"},{"family":"Li","given":"Yingrui"},{"family":"Luo","given":"Ruibang"},{"family":"Tai","given":"Shuaishuai"},{"family":"Wu","given":"Honglong"},{"family":"Zheng","given":"Hancheng"},{"family":"Zheng","given":"Xiaole"},{"family":"Zhou","given":"Yan"},{"family":"Li","given":"Guoqing"},{"family":"Wang","given":"Jian"},{"family":"Yang","given":"Huanming"},{"family":"Marth","given":"Gabor T."},{"family":"Garrison","given":"Erik P."},{"family":"Huang","given":"Weichun"},{"family":"Indap","given":"Amit"},{"family":"Kural","given":"Deniz"},{"family":"Lee","given":"Wan-Ping"},{"family":"Fung Leong","given":"Wen"},{"family":"Quinlan","given":"Aaron R."},{"family":"Stewart","given":"Chip"},{"family":"Stromberg","given":"Michael P."},{"family":"Ward","given":"Alistair N."},{"family":"Wu","given":"Jiantao"},{"family":"Lee","given":"Charles"},{"family":"Mills","given":"Ryan E."},{"family":"Shi","given":"Xinghua"},{"family":"Daly","given":"Mark J."},{"family":"DePristo","given":"Mark A."},{"family":"Altshuler","given":"David"},{"family":"Ball","given":"Aaron D."},{"family":"Banks","given":"Eric"},{"family":"Bloom","given":"Toby"},{"family":"Browning","given":"Brian L."},{"family":"Cibulskis","given":"Kristian"},{"family":"Fennell","given":"Tim J."},{"family":"Garimella","given":"Kiran V."},{"family":"Grossman","given":"Sharon R."},{"family":"Handsaker","given":"Robert E."},{"family":"Hanna","given":"Matt"},{"family":"Hartl","given":"Chris"},{"family":"Jaffe","given":"David B."},{"family":"Kernytsky","given":"Andrew M."},{"family":"Korn","given":"Joshua M."},{"family":"Li","given":"Heng"},{"family":"Maguire","given":"Jared R."},{"family":"McCarroll","given":"Steven A."},{"family":"McKenna","given":"Aaron"},{"family":"Nemesh","given":"James C."},{"family":"Philippakis","given":"Anthony A."},{"family":"Poplin","given":"Ryan E."},{"family":"Price","given":"Alkes"},{"family":"Rivas","given":"Manuel A."},{"family":"Sabeti","given":"Pardis C."},{"family":"Schaffner","given":"Stephen F."},{"family":"Shefler","given":"Erica"},{"family":"Shlyakhter","given":"Ilya A."},{"family":"Cooper","given":"David N."},{"family":"Ball","given":"Edward V."},{"family":"Mort","given":"Matthew"},{"family":"Phillips","given":"Andrew D."},{"family":"Stenson","given":"Peter D."},{"family":"Sebat","given":"Jonathan"},{"family":"Makarov","given":"Vladimir"},{"family":"Ye","given":"Kenny"},{"family":"Yoon","given":"Seungtai C."},{"family":"Bustamante","given":"Carlos D."},{"family":"Clarke","given":"Laura"},{"family":"Flicek","given":"Paul"},{"family":"Cunningham","given":"Fiona"},{"family":"Herrero","given":"Javier"},{"family":"Keenen","given":"Stephen"},{"family":"Kulesha","given":"Eugene"},{"family":"Leinonen","given":"Rasko"},{"family":"McLaren","given":"William M."},{"family":"Radhakrishnan","given":"Rajesh"},{"family":"Smith","given":"Richard E."},{"family":"Zalunin","given":"Vadim"},{"family":"Zheng-Bradley","given":"Xiangqun"},{"family":"Korbel","given":"Jan O."},{"family":"Stütz","given":"Adrian M."},{"family":"Humphray","given":"Sean"},{"family":"Bauer","given":"Markus"},{"family":"Keira Cheetham","given":"R."},{"family":"Cox","given":"Tony"},{"family":"Eberle","given":"Michael"},{"family":"James","given":"Terena"},{"family":"Kahn","given":"Scott"},{"family":"Murray","given":"Lisa"},{"family":"Chakravarti","given":"Aravinda"},{"family":"Ye","given":"Kai"},{"family":"De La Vega","given":"Francisco M."},{"family":"Fu","given":"Yutao"},{"family":"Hyland","given":"Fiona C. L."},{"family":"Manning","given":"Jonathan M."},{"family":"McLaughlin","given":"Stephen F."},{"family":"Peckham","given":"Heather E."},{"family":"Sakarya","given":"Onur"},{"family":"Sun","given":"Yongming A."},{"family":"Tsung","given":"Eric F."},{"family":"Batzer","given":"Mark A."},{"family":"Konkel","given":"Miriam K."},{"family":"Walker","given":"Jerilyn A."},{"family":"Sudbrak","given":"Ralf"},{"family":"Albrecht","given":"Marcus W."},{"family":"Amstislavskiy","given":"Vyacheslav S."},{"family":"Herwig","given":"Ralf"},{"family":"Parkhomchuk","given":"Dimitri V."},{"family":"Sherry","given":"Stephen T."},{"family":"Agarwala","given":"Richa"},{"family":"Khouri","given":"Hoda M."},{"family":"Morgulis","given":"Aleksandr O."},{"family":"Paschall","given":"Justin E."},{"family":"Phan","given":"Lon D."},{"family":"Rotmistrovsky","given":"Kirill E."},{"family":"Sanders","given":"Robert D."},{"family":"Shumway","given":"Martin F."},{"family":"Xiao","given":"Chunlin"},{"family":"McVean","given":"Gil A."},{"family":"Auton","given":"Adam"},{"family":"Iqbal","given":"Zamin"},{"family":"Lunter","given":"Gerton"},{"family":"Marchini","given":"Jonathan L."},{"family":"Moutsianas","given":"Loukas"},{"family":"Myers","given":"Simon"},{"family":"Tumian","given":"Afidalina"},{"family":"Desany","given":"Brian"},{"family":"Knight","given":"James"},{"family":"Winer","given":"Roger"},{"family":"Craig","given":"David W."},{"family":"Beckstrom-Sternberg","given":"Steve M."},{"family":"Christoforides","given":"Alexis"},{"literal":"The 1000 Genomes Project Consortium"},{"literal":"Corresponding author"},{"literal":"Steering committee"},{"literal":"Production group: Baylor College of Medicine"},{"literal":"BGI-Shenzhen"},{"literal":"Broad Institute of MIT and Harvard"},{"literal":"Illumina"},{"literal":"Life Technologies"},{"literal":"Max Planck Institute for Molecular Genetics"},{"literal":"Roche Applied Science"},{"literal":"Washington University in St Louis"},{"literal":"Wellcome Trust Sanger Institute"},{"literal":"Analysis group: Agilent Technologies"},{"literal":"Baylor College of Medicine"},{"literal":"Boston College"},{"literal":"Brigham and Women’s Hospital"},{"family":"Cardiff University","given":"The Human Gene Mutation Database"},{"literal":"Cold Spring Harbor Laboratory"},{"literal":"Cornell and Stanford Universities"},{"literal":"European Bioinformatics Institute"},{"literal":"European Molecular Biology Laboratory"},{"literal":"Johns Hopkins University"},{"literal":"Leiden University Medical Center"},{"literal":"Louisiana State University"},{"literal":"US National Institutes of Health"},{"literal":"Oxford University"},{"literal":"The Translational Genomics Research Institute"}],"issued":{"date-parts":[["2010",10]]}}}],"schema":"https://github.com/citation-style-language/schema/raw/master/csl-citation.json"} </w:instrText>
      </w:r>
      <w:r w:rsidR="00CA3554">
        <w:fldChar w:fldCharType="separate"/>
      </w:r>
      <w:r w:rsidR="001E4992" w:rsidRPr="001E4992">
        <w:t>(Durbin et al., 2010)</w:t>
      </w:r>
      <w:r w:rsidR="00CA3554">
        <w:fldChar w:fldCharType="end"/>
      </w:r>
      <w:r w:rsidRPr="00DD692C">
        <w:t>. First 10 PC</w:t>
      </w:r>
      <w:r w:rsidR="00561C75">
        <w:t>s</w:t>
      </w:r>
      <w:r w:rsidRPr="00DD692C">
        <w:t xml:space="preserve">, calculated with EIGENSOFT </w:t>
      </w:r>
      <w:r w:rsidR="001E4992">
        <w:fldChar w:fldCharType="begin"/>
      </w:r>
      <w:r w:rsidR="001E4992">
        <w:instrText xml:space="preserve"> ADDIN ZOTERO_ITEM CSL_CITATION {"citationID":"GQRdvaSX","properties":{"formattedCitation":"(Price et al., 2006)","plainCitation":"(Price et al., 2006)","noteIndex":0},"citationItems":[{"id":3266,"uris":["http://zotero.org/users/9762508/items/P5PLR8V2"],"itemData":{"id":3266,"type":"article-journal","abstract":"Population stratification - allele frequency differences between cases and controls due to systematic ancestry differences - can cause spurious associations in disease studies. We describe a method that enables explicit detection and correction of population stratification on a genome-wide scale. Our method uses principal components analysis to explicitly model ancestry differences between cases and controls. The resulting correction is specific to a candidate marker's variation in frequency across ancestral populations, minimizing spurious associations while maximizing power to detect true associations. Our simple, efficient approach can easily be applied to disease studies with hundreds of thousands of markers. © 2006 Nature Publishing Group.","container-title":"Nature genetics","DOI":"10.1038/NG1847","ISSN":"1061-4036","issue":"8","note":"PMID: 16862161\npublisher: Nat Genet","page":"904-909","title":"Principal components analysis corrects for stratification in genome-wide association studies","volume":"38","author":[{"family":"Price","given":"Alkes L."},{"family":"Patterson","given":"Nick J."},{"family":"Plenge","given":"Robert M."},{"family":"Weinblatt","given":"Michael E."},{"family":"Shadick","given":"Nancy A."},{"family":"Reich","given":"David"}],"issued":{"date-parts":[["2006",8]]}}}],"schema":"https://github.com/citation-style-language/schema/raw/master/csl-citation.json"} </w:instrText>
      </w:r>
      <w:r w:rsidR="001E4992">
        <w:fldChar w:fldCharType="separate"/>
      </w:r>
      <w:r w:rsidR="001E4992" w:rsidRPr="001E4992">
        <w:t>(Price et al., 2006)</w:t>
      </w:r>
      <w:r w:rsidR="001E4992">
        <w:fldChar w:fldCharType="end"/>
      </w:r>
      <w:r w:rsidRPr="00DD692C">
        <w:t>, were used to differentiate European and African ancestries through k-means clustering</w:t>
      </w:r>
      <w:r w:rsidR="001E4992">
        <w:t xml:space="preserve"> </w:t>
      </w:r>
      <w:r w:rsidR="001E4992">
        <w:fldChar w:fldCharType="begin"/>
      </w:r>
      <w:r w:rsidR="00325EA1">
        <w:instrText xml:space="preserve"> ADDIN ZOTERO_ITEM CSL_CITATION {"citationID":"r59P3dR0","properties":{"formattedCitation":"(Sherva et al., 2016; Solovieff et al., 2010)","plainCitation":"(Sherva et al., 2016; Solovieff et al., 2010)","noteIndex":0},"citationItems":[{"id":3978,"uris":["http://zotero.org/users/9762508/items/TSR4NLYX"],"itemData":{"id":3978,"type":"article-journal","abstract":"IMPORTANCE: Cannabis dependence (CAD) is a serious problem worldwide and is of growing importance in the United States because cannabis is increasingly available legally. Although genetic factors contribute substantially to CAD risk, at present no well-established specific genetic risk factors for CAD have been elucidated.\nOBJECTIVE: To report findings for DSM-IV CAD criteria from association analyses performed in large cohorts of African American and European American participants from 3 studies of substance use disorder genetics.\nDESIGN, SETTING, AND PARTICIPANTS: This genome-wide association study for DSM-IV CAD criterion count was performed in 3 independent substance dependence cohorts (the Yale-Penn Study, Study of Addiction: Genetics and Environment [SAGE], and International Consortium on the Genetics of Heroin Dependence [ICGHD]). A referral sample and volunteers recruited in the community and from substance abuse treatment centers included 6000 African American and 8754 European American participants, including some from small families. Participants from the Yale-Penn Study were recruited from 2000 to 2013. Data were collected for the SAGE trial from 1990 to 2007 and for the ICGHD from 2004 to 2009. Data were analyzed from January 2, 2013, to November 9, 2015.\nMAIN OUTCOMES AND MEASURES: Criterion count for DSM-IV CAD.\nRESULTS: Among the 14 754 participants, 7879 were male, 6875 were female, and the mean (SD) age was 39.2 (10.2) years. Three independent regions with genome-wide significant single-nucleotide polymorphism associations were identified, considering the largest possible sample. These included rs143244591 (β = 0.54, P = 4.32 × 10-10 for the meta-analysis) in novel antisense transcript RP11-206M11.7;rs146091982 (β = 0.54, P = 1.33 × 10-9 for the meta-analysis) in the solute carrier family 35 member G1 gene (SLC35G1); and rs77378271 (β = 0.29, P = 2.13 × 10-8 for the meta-analysis) in the CUB and Sushi multiple domains 1 gene (CSMD1). Also noted was evidence of genome-level pleiotropy between CAD and major depressive disorder and for an association with single-nucleotide polymorphisms in genes associated with schizophrenia risk. Several of the genes identified have functions related to neuronal calcium homeostasis or central nervous system development.\nCONCLUSIONS AND RELEVANCE: These results are the first, to our knowledge, to identify specific CAD risk alleles and potential genetic factors contributing to the comorbidity of CAD with major depression and schizophrenia.","container-title":"JAMA psychiatry","DOI":"10.1001/jamapsychiatry.2016.0036","ISSN":"2168-6238","issue":"5","journalAbbreviation":"JAMA Psychiatry","language":"eng","note":"PMID: 27028160\nPMCID: PMC4974817","page":"472-480","source":"PubMed","title":"Genome-wide Association Study of Cannabis Dependence Severity, Novel Risk Variants, and Shared Genetic Risks","volume":"73","author":[{"family":"Sherva","given":"Richard"},{"family":"Wang","given":"Qian"},{"family":"Kranzler","given":"Henry"},{"family":"Zhao","given":"Hongyu"},{"family":"Koesterer","given":"Ryan"},{"family":"Herman","given":"Aryeh"},{"family":"Farrer","given":"Lindsay A."},{"family":"Gelernter","given":"Joel"}],"issued":{"date-parts":[["2016",5,1]]}}},{"id":4641,"uris":["http://zotero.org/users/9762508/items/X28WAP9I"],"itemData":{"id":4641,"type":"article-journal","abstract":"Background\nPopulation stratification can cause spurious associations in a genome-wide association study (GWAS), and occurs when differences in allele frequencies of single nucleotide polymorphisms (SNPs) are due to ancestral differences between cases and controls rather than the trait of interest. Principal components analysis (PCA) is the established approach to detect population substructure using genome-wide data and to adjust the genetic association for stratification by including the top principal components in the analysis. An alternative solution is genetic matching of cases and controls that requires, however, well defined population strata for appropriate selection of cases and controls.\n\nResults\nWe developed a novel algorithm to cluster individuals into groups with similar ancestral backgrounds based on the principal components computed by PCA. We demonstrate the effectiveness of our algorithm in real and simulated data, and show that matching cases and controls using the clusters assigned by the algorithm substantially reduces population stratification bias. Through simulation we show that the power of our method is higher than adjustment for PCs in certain situations.\n\nConclusions\nIn addition to reducing population stratification bias and improving power, matching creates a clean dataset free of population stratification which can then be used to build prediction models without including variables to adjust for ancestry. The cluster assignments also allow for the estimation of genetic heterogeneity by examining cluster specific effects.","container-title":"BMC Genetics","DOI":"10.1186/1471-2156-11-108","ISSN":"1471-2156","journalAbbreviation":"BMC Genet","note":"PMID: 21143920\nPMCID: PMC3018397","page":"108","source":"PubMed Central","title":"Clustering by genetic ancestry using genome-wide SNP data","volume":"11","author":[{"family":"Solovieff","given":"Nadia"},{"family":"Hartley","given":"Stephen W"},{"family":"Baldwin","given":"Clinton T"},{"family":"Perls","given":"Thomas T"},{"family":"Steinberg","given":"Martin H"},{"family":"Sebastiani","given":"Paola"}],"issued":{"date-parts":[["2010",12,9]]}}}],"schema":"https://github.com/citation-style-language/schema/raw/master/csl-citation.json"} </w:instrText>
      </w:r>
      <w:r w:rsidR="001E4992">
        <w:fldChar w:fldCharType="separate"/>
      </w:r>
      <w:r w:rsidR="00325EA1" w:rsidRPr="00325EA1">
        <w:t>(Sherva et al., 2016; Solovieff et al., 2010)</w:t>
      </w:r>
      <w:r w:rsidR="001E4992">
        <w:fldChar w:fldCharType="end"/>
      </w:r>
      <w:r w:rsidRPr="00DD692C">
        <w:t>. Imputation was performed with Minimac3</w:t>
      </w:r>
      <w:r w:rsidR="001E4992">
        <w:t xml:space="preserve"> </w:t>
      </w:r>
      <w:r w:rsidR="001E4992">
        <w:fldChar w:fldCharType="begin"/>
      </w:r>
      <w:r w:rsidR="001E4992">
        <w:instrText xml:space="preserve"> ADDIN ZOTERO_ITEM CSL_CITATION {"citationID":"rh9SbKun","properties":{"formattedCitation":"(Das et al., 2016)","plainCitation":"(Das et al., 2016)","noteIndex":0},"citationItems":[{"id":3270,"uris":["http://zotero.org/users/9762508/items/XQ88ZQUX"],"itemData":{"id":3270,"type":"article-journal","abstract":"Genotype imputation is a key component of genetic association studies, where it increases power, facilitates meta-analysis, and aids interpretation of signals. Genotype imputation is computationally demanding and, with current tools, typically requires access to a high-performance computing cluster and to a reference panel of sequenced genomes. Here we describe improvements to imputation machinery that reduce computational requirements by more than an order of magnitude with no loss of accuracy in comparison to standard imputation tools. We also describe a new web-based service for imputation that facilitates access to new reference panels and greatly improves user experience and productivity.","container-title":"Nature Genetics","DOI":"10.1038/NG.3656","ISSN":"1061-4036","issue":"10","note":"PMID: 27571263\npublisher: Nature Publishing Group","page":"1284-1287","title":"Next-generation genotype imputation service and methods","volume":"48","author":[{"family":"Das","given":"Sayantan"},{"family":"Forer","given":"Lukas"},{"family":"Schönherr","given":"Sebastian"},{"family":"Sidore","given":"Carlo"},{"family":"Locke","given":"Adam E."},{"family":"Kwong","given":"Alan"},{"family":"Vrieze","given":"Scott I."},{"family":"Chew","given":"Emily Y."},{"family":"Levy","given":"Shawn"},{"family":"McGue","given":"Matt"},{"family":"Schlessinger","given":"David"},{"family":"Stambolian","given":"Dwight"},{"family":"Loh","given":"Po Ru"},{"family":"Iacono","given":"William G."},{"family":"Swaroop","given":"Anand"},{"family":"Scott","given":"Laura J."},{"family":"Cucca","given":"Francesco"},{"family":"Kronenberg","given":"Florian"},{"family":"Boehnke","given":"Michael"},{"family":"Abecasis","given":"Gonçalo R."},{"family":"Fuchsberger","given":"Christian"}],"issued":{"date-parts":[["2016",10,1]]}}}],"schema":"https://github.com/citation-style-language/schema/raw/master/csl-citation.json"} </w:instrText>
      </w:r>
      <w:r w:rsidR="001E4992">
        <w:fldChar w:fldCharType="separate"/>
      </w:r>
      <w:r w:rsidR="001E4992" w:rsidRPr="001E4992">
        <w:t>(Das et al., 2016)</w:t>
      </w:r>
      <w:r w:rsidR="001E4992">
        <w:fldChar w:fldCharType="end"/>
      </w:r>
      <w:r w:rsidRPr="00DD692C">
        <w:t>, using the 1000 Genomes Project reference panel, phase 3</w:t>
      </w:r>
      <w:r w:rsidR="001E4992">
        <w:t xml:space="preserve"> </w:t>
      </w:r>
      <w:r w:rsidR="001E4992">
        <w:fldChar w:fldCharType="begin"/>
      </w:r>
      <w:r w:rsidR="001E4992">
        <w:instrText xml:space="preserve"> ADDIN ZOTERO_ITEM CSL_CITATION {"citationID":"Rzn3tbbU","properties":{"formattedCitation":"(The 1000 Genomes Project Consortium, 2015)","plainCitation":"(The 1000 Genomes Project Consortium, 2015)","noteIndex":0},"citationItems":[{"id":1789,"uris":["http://zotero.org/users/9762508/items/STD52SJI"],"itemData":{"id":1789,"type":"article-journal","abstract":"The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studies.","container-title":"Nature","DOI":"10.1038/nature15393","ISSN":"14764687","issue":"7571","note":"PMID: 26432245\narXiv: 15334406\nCitation Key: 1000genome\nISBN: 9781137332875","page":"68-74","title":"A global reference for human genetic variation","volume":"526","author":[{"literal":"The 1000 Genomes Project Consortium"}],"issued":{"date-parts":[["2015"]]}}}],"schema":"https://github.com/citation-style-language/schema/raw/master/csl-citation.json"} </w:instrText>
      </w:r>
      <w:r w:rsidR="001E4992">
        <w:fldChar w:fldCharType="separate"/>
      </w:r>
      <w:r w:rsidR="001E4992" w:rsidRPr="001E4992">
        <w:t>(The 1000 Genomes Project Consortium, 2015)</w:t>
      </w:r>
      <w:r w:rsidR="001E4992">
        <w:fldChar w:fldCharType="end"/>
      </w:r>
      <w:r w:rsidRPr="00DD692C">
        <w:t xml:space="preserve">. For QC filtering, we </w:t>
      </w:r>
      <w:r w:rsidR="001E4992">
        <w:t>kept SNPs with</w:t>
      </w:r>
      <w:r w:rsidRPr="00DD692C">
        <w:t xml:space="preserve"> imputation quality scores &gt; 0.6, </w:t>
      </w:r>
      <w:r w:rsidR="005E689A">
        <w:t>HWE</w:t>
      </w:r>
      <w:r w:rsidRPr="00DD692C">
        <w:t xml:space="preserve"> filtering </w:t>
      </w:r>
      <m:oMath>
        <m:r>
          <w:rPr>
            <w:rFonts w:ascii="Cambria Math" w:hAnsi="Cambria Math"/>
          </w:rPr>
          <m:t>&gt;5x1</m:t>
        </m:r>
        <m:sSup>
          <m:sSupPr>
            <m:ctrlPr>
              <w:rPr>
                <w:rFonts w:ascii="Cambria Math" w:hAnsi="Cambria Math"/>
              </w:rPr>
            </m:ctrlPr>
          </m:sSupPr>
          <m:e>
            <m:r>
              <w:rPr>
                <w:rFonts w:ascii="Cambria Math" w:hAnsi="Cambria Math"/>
              </w:rPr>
              <m:t>0</m:t>
            </m:r>
          </m:e>
          <m:sup>
            <m:r>
              <w:rPr>
                <w:rFonts w:ascii="Cambria Math" w:hAnsi="Cambria Math"/>
              </w:rPr>
              <m:t>-05</m:t>
            </m:r>
          </m:sup>
        </m:sSup>
      </m:oMath>
      <w:r w:rsidRPr="00DD692C">
        <w:t xml:space="preserve">, </w:t>
      </w:r>
      <w:r w:rsidR="005E689A">
        <w:t>MAF</w:t>
      </w:r>
      <w:r w:rsidRPr="00DD692C">
        <w:t xml:space="preserve"> &gt; 0.05, missing call rates for variants &lt; 0.5, and missing call rates for samples &lt; 0.5. Imputation score was &gt; 0.8. Data were aligned to the GRCh37 reference </w:t>
      </w:r>
      <w:r w:rsidRPr="00DD692C">
        <w:lastRenderedPageBreak/>
        <w:t xml:space="preserve">genome. Cases were defined according to the Diagnostic and Statistical Manual of mental disorders 4th edition (DSM-IV) by interviewers. As described for the MVP dataset, to optimize the number of cases to keep when removing individuals with kinship, which was calculated by KING </w:t>
      </w:r>
      <w:r w:rsidR="001E4992">
        <w:fldChar w:fldCharType="begin"/>
      </w:r>
      <w:r w:rsidR="001E4992">
        <w:instrText xml:space="preserve"> ADDIN ZOTERO_ITEM CSL_CITATION {"citationID":"26ETvQl0","properties":{"formattedCitation":"(Manichaikul et al., 2010)","plainCitation":"(Manichaikul et al., 2010)","noteIndex":0},"citationItems":[{"id":3257,"uris":["http://zotero.org/users/9762508/items/XPH9C8Y9"],"itemData":{"id":3257,"type":"article-journal","abstract":"Motivation: Genome-wide association studies (GWASs) have been widely used to map loci contributing to variation in complex traits and risk of diseases in humans. Accurate specification of familial relationships is crucial for family-based GWAS, as well as in population-based GWAS with unknown (or unrecognized) family structure. The family structure in a GWAS should be routinely investigated using the SNP data prior to the analysis of population structure or phenotype. Existing algorithms for relationship inference have a major weakness of estimating allele frequencies at each SNP from the entire sample, under a strong assumption of homogeneous population structure. This assumption is often untenable. Results: Here, we present a rapid algorithm for relationship inference using high-throughput genotype data typical of GWAS that allows the presence of unknown population substructure. The relationship of any pair of individuals can be precisely inferred by robust estimation of their kinship coefficient, independent of sample composition or population structure (sample invariance). We present simulation experiments to demonstrate that the algorithm has sufficient power to provide reliable inference on millions of unrelated pairs and thousands of relative pairs (up to 3rd-degree relationships). Application of our robust algorithm to HapMap and GWAS datasets demonstrates that it performs properly even under extreme population stratification, while algorithms assuming a homogeneous population give systematically biased results. Our extremely efficient implementation performs relationship inference on millions of pairs of individuals in a matter of minutes, dozens of times faster than the most efficient existing algorithm known to us. © The Author 2010. Published by Oxford University Press. All rights reserved.","container-title":"Bioinformatics","DOI":"10.1093/BIOINFORMATICS/BTQ559","ISSN":"1367-4803","issue":"22","note":"PMID: 20926424\npublisher: Oxford Academic","page":"2867-2873","title":"Robust relationship inference in genome-wide association studies","volume":"26","author":[{"family":"Manichaikul","given":"Ani"},{"family":"Mychaleckyj","given":"Josyf C."},{"family":"Rich","given":"Stephen S."},{"family":"Daly","given":"Kathy"},{"family":"Sale","given":"Michèle"},{"family":"Chen","given":"Wei Min"}],"issued":{"date-parts":[["2010",11,15]]}}}],"schema":"https://github.com/citation-style-language/schema/raw/master/csl-citation.json"} </w:instrText>
      </w:r>
      <w:r w:rsidR="001E4992">
        <w:fldChar w:fldCharType="separate"/>
      </w:r>
      <w:r w:rsidR="001E4992" w:rsidRPr="001E4992">
        <w:t>(Manichaikul et al., 2010)</w:t>
      </w:r>
      <w:r w:rsidR="001E4992">
        <w:fldChar w:fldCharType="end"/>
      </w:r>
      <w:r w:rsidRPr="00DD692C">
        <w:t xml:space="preserve"> for a minimum threshold of 0.0884 corresponding to a second-degree relationship, we implemented the following algorithm where cases have priority compared to controls: between a case and a control, we remove the control; if there is relatedness between two cases, we remove the one that has the highest number of relationships with other individuals; we do the same between two controls. In conclusion, we obtained 74 cases and 1635 controls for Yale-Penn 1, 52 cases and 1646 controls for Yale-Penn 2, and 53 cases and 1926 controls for Yale-Penn 3, </w:t>
      </w:r>
      <w:r w:rsidR="001E4992">
        <w:t>making up</w:t>
      </w:r>
      <w:r w:rsidRPr="00DD692C">
        <w:t xml:space="preserve"> a total of 179 cases and 5207 controls. GWAS was performed separately on each of the three cohorts using PLINK 2.0</w:t>
      </w:r>
      <w:r w:rsidR="001E4992">
        <w:t xml:space="preserve"> </w:t>
      </w:r>
      <w:r w:rsidR="001E4992">
        <w:fldChar w:fldCharType="begin"/>
      </w:r>
      <w:r w:rsidR="001E4992">
        <w:instrText xml:space="preserve"> ADDIN ZOTERO_ITEM CSL_CITATION {"citationID":"kiESgEie","properties":{"formattedCitation":"(Chang et al., 2015)","plainCitation":"(Chang et al., 2015)","noteIndex":0},"citationItems":[{"id":3253,"uris":["http://zotero.org/users/9762508/items/IX89LDBQ"],"itemData":{"id":3253,"type":"article-journal","abstract":"Background: PLINK 1 is a widely used open-source C/C++ toolset for genome-wide association studies (GWAS) and research in population genetics. However, the steady accumulation of data from imputation and whole-genome sequencing studies has exposed a strong need for faster and scalable implementations of key functions, such as logistic regression, linkage disequilibrium estimation, and genomic distance evaluation. In addition, GWAS and population-genetic data now frequently contain genotype likelihoods, phase information, and/or multiallelic variants, none of which can be represented by PLINK 1's primary data format. Findings: To address these issues, we are developing a second-generation codebase for PLINK. The first major release from this codebase, PLINK 1.9, introduces extensive use of bit-level parallelism, O(√n)-time/constant-space Hardy-Weinberg equilibrium and Fisher's exact tests, and many other algorithmic improvements. In combination, these changes accelerate most operations by 1-4 orders of magnitude, and allow the program to handle datasets too large to fit in RAM. We have also developed an extension to the data format which adds low-overhead support for genotype likelihoods, phase, multiallelic variants, and reference vs. alternate alleles, which is the basis of our planned second release (PLINK 2.0). Conclusions: The second-generation versions of PLINK will offer dramatic improvements in performance and compatibility. For the first time, users without access to high-end computing resources can perform several essential analyses of the feature-rich and very large genetic datasets coming into use.","container-title":"GigaScience","DOI":"10.1186/S13742-015-0047-8/2707533","ISSN":"2047217X","issue":"1","note":"PMID: 25722852\narXiv: 1410.4803\npublisher: BioMed Central Ltd.","page":"7","title":"Second-generation PLINK: Rising to the challenge of larger and richer datasets","volume":"4","author":[{"family":"Chang","given":"Christopher C."},{"family":"Chow","given":"Carson C."},{"family":"Tellier","given":"Laurent C.A.M."},{"family":"Vattikuti","given":"Shashaank"},{"family":"Purcell","given":"Shaun M."},{"family":"Lee","given":"James J."}],"issued":{"date-parts":[["2015",2,25]]}}}],"schema":"https://github.com/citation-style-language/schema/raw/master/csl-citation.json"} </w:instrText>
      </w:r>
      <w:r w:rsidR="001E4992">
        <w:fldChar w:fldCharType="separate"/>
      </w:r>
      <w:r w:rsidR="001E4992" w:rsidRPr="001E4992">
        <w:t>(Chang et al., 2015)</w:t>
      </w:r>
      <w:r w:rsidR="001E4992">
        <w:fldChar w:fldCharType="end"/>
      </w:r>
      <w:r w:rsidRPr="00DD692C">
        <w:t xml:space="preserve"> setting age, sex, and the first ten </w:t>
      </w:r>
      <w:r w:rsidR="00561C75">
        <w:t>PCs</w:t>
      </w:r>
      <w:r w:rsidRPr="00DD692C">
        <w:t xml:space="preserve"> as covariates. </w:t>
      </w:r>
    </w:p>
    <w:p w14:paraId="0000005B" w14:textId="379C7C7B" w:rsidR="008E545C" w:rsidRPr="00DD692C" w:rsidRDefault="00000000">
      <w:pPr>
        <w:pStyle w:val="berschrift2"/>
        <w:spacing w:line="480" w:lineRule="auto"/>
      </w:pPr>
      <w:bookmarkStart w:id="30" w:name="_Toc161234209"/>
      <w:r w:rsidRPr="00DD692C">
        <w:t xml:space="preserve">Supplementary Note </w:t>
      </w:r>
      <w:r w:rsidR="00872FF2">
        <w:t>3</w:t>
      </w:r>
      <w:r w:rsidRPr="00DD692C">
        <w:t>: Definition of independent significant loci</w:t>
      </w:r>
      <w:bookmarkEnd w:id="30"/>
    </w:p>
    <w:p w14:paraId="0000005C" w14:textId="36144E58" w:rsidR="008E545C" w:rsidRPr="00DD692C" w:rsidRDefault="00000000">
      <w:pPr>
        <w:spacing w:line="480" w:lineRule="auto"/>
        <w:jc w:val="both"/>
        <w:rPr>
          <w:highlight w:val="white"/>
        </w:rPr>
      </w:pPr>
      <w:r w:rsidRPr="00DD692C">
        <w:rPr>
          <w:highlight w:val="white"/>
        </w:rPr>
        <w:t xml:space="preserve">In total, the main meta-analysis contained 1672 SNPs with a p-value smaller than </w:t>
      </w:r>
      <m:oMath>
        <m:r>
          <w:rPr>
            <w:rFonts w:ascii="Cambria Math" w:hAnsi="Cambria Math"/>
            <w:highlight w:val="white"/>
          </w:rPr>
          <m:t>5x</m:t>
        </m:r>
        <m:sSup>
          <m:sSupPr>
            <m:ctrlPr>
              <w:rPr>
                <w:rFonts w:ascii="Cambria Math" w:hAnsi="Cambria Math"/>
                <w:highlight w:val="white"/>
              </w:rPr>
            </m:ctrlPr>
          </m:sSupPr>
          <m:e>
            <m:r>
              <w:rPr>
                <w:rFonts w:ascii="Cambria Math" w:hAnsi="Cambria Math"/>
                <w:highlight w:val="white"/>
              </w:rPr>
              <m:t>10</m:t>
            </m:r>
          </m:e>
          <m:sup>
            <m:r>
              <w:rPr>
                <w:rFonts w:ascii="Cambria Math" w:hAnsi="Cambria Math"/>
                <w:highlight w:val="white"/>
              </w:rPr>
              <m:t>-08</m:t>
            </m:r>
          </m:sup>
        </m:sSup>
      </m:oMath>
      <w:r w:rsidRPr="00DD692C">
        <w:rPr>
          <w:highlight w:val="white"/>
        </w:rPr>
        <w:t>. Automated LD-based ‘clumping’ of genome-wide significant single nucleotide polymorphisms was conducted in ricopili using plink to facilitate identification of independently associated genetic loci. We define LD-independent SNPs as those with low LD (r2 &lt; 0.1) to a more significantly associated SNP within a 500 kb window. Each locus contained several significant SNPs, the SNP with the lowest p-value in each locus was selected as the lead SNP reported here. The independence of each SNP was also confirmed wi</w:t>
      </w:r>
      <w:r w:rsidR="00023B3B">
        <w:rPr>
          <w:highlight w:val="white"/>
        </w:rPr>
        <w:t>th</w:t>
      </w:r>
      <w:r w:rsidRPr="00DD692C">
        <w:rPr>
          <w:highlight w:val="white"/>
        </w:rPr>
        <w:t xml:space="preserve"> conditional analysis (COJO) using all variants in each locus (see also </w:t>
      </w:r>
      <w:r w:rsidRPr="00DD692C">
        <w:rPr>
          <w:b/>
          <w:highlight w:val="white"/>
        </w:rPr>
        <w:t>Online Methods</w:t>
      </w:r>
      <w:r w:rsidRPr="00DD692C">
        <w:rPr>
          <w:highlight w:val="white"/>
        </w:rPr>
        <w:t>).</w:t>
      </w:r>
    </w:p>
    <w:p w14:paraId="0000005D" w14:textId="3D6CF83F" w:rsidR="008E545C" w:rsidRPr="00DD692C" w:rsidRDefault="00000000">
      <w:pPr>
        <w:pStyle w:val="berschrift2"/>
        <w:spacing w:line="480" w:lineRule="auto"/>
        <w:jc w:val="both"/>
      </w:pPr>
      <w:bookmarkStart w:id="31" w:name="_Toc161234210"/>
      <w:r w:rsidRPr="00DD692C">
        <w:t xml:space="preserve">Supplementary Note </w:t>
      </w:r>
      <w:r w:rsidR="00872FF2">
        <w:t>4</w:t>
      </w:r>
      <w:r w:rsidRPr="00DD692C">
        <w:t>: X-chromosome analysis in 23andMe</w:t>
      </w:r>
      <w:bookmarkEnd w:id="31"/>
    </w:p>
    <w:p w14:paraId="0000005E" w14:textId="77777777" w:rsidR="008E545C" w:rsidRPr="00DD692C" w:rsidRDefault="00000000">
      <w:pPr>
        <w:spacing w:line="480" w:lineRule="auto"/>
        <w:jc w:val="both"/>
        <w:rPr>
          <w:highlight w:val="white"/>
        </w:rPr>
      </w:pPr>
      <w:r w:rsidRPr="00DD692C">
        <w:t xml:space="preserve">Results for the association between X-chromosome SNPs and OCD are only reported for a subset of our study samples (23andMe), as this information was only available for a limited number of samples. We are currently working in parallel on a manuscript that focuses on sex-stratified </w:t>
      </w:r>
      <w:r w:rsidRPr="00DD692C">
        <w:lastRenderedPageBreak/>
        <w:t>analyses and will include the full meta-analysis of all samples that have information for the X-chromosome available in that manuscript. For the 23andMe sample analysis of the X-chromosome was equivalent to the analysis of autosomes (see cohort description above), with the difference that for phasing 23andMe built separate haplotype graphs for the non-</w:t>
      </w:r>
      <w:proofErr w:type="spellStart"/>
      <w:r w:rsidRPr="00DD692C">
        <w:t>pseudoautosomal</w:t>
      </w:r>
      <w:proofErr w:type="spellEnd"/>
      <w:r w:rsidRPr="00DD692C">
        <w:t xml:space="preserve"> region and each </w:t>
      </w:r>
      <w:proofErr w:type="spellStart"/>
      <w:r w:rsidRPr="00DD692C">
        <w:t>pseudoautosomal</w:t>
      </w:r>
      <w:proofErr w:type="spellEnd"/>
      <w:r w:rsidRPr="00DD692C">
        <w:t xml:space="preserve"> region, and then phased these regions separately. Association tests were computed with male genotypes coded as if they were homozygous diploid for the observed allele. No SNP on the X-chromosome reached genome-wide significance.</w:t>
      </w:r>
    </w:p>
    <w:p w14:paraId="0000005F" w14:textId="7385F209" w:rsidR="008E545C" w:rsidRPr="00DD692C" w:rsidRDefault="00000000">
      <w:pPr>
        <w:pStyle w:val="berschrift2"/>
        <w:spacing w:line="480" w:lineRule="auto"/>
      </w:pPr>
      <w:bookmarkStart w:id="32" w:name="_Toc161234211"/>
      <w:r w:rsidRPr="00DD692C">
        <w:t xml:space="preserve">Supplementary Note </w:t>
      </w:r>
      <w:r w:rsidR="00872FF2">
        <w:t>5</w:t>
      </w:r>
      <w:r w:rsidRPr="00DD692C">
        <w:t>: Subgroup analyses</w:t>
      </w:r>
      <w:bookmarkEnd w:id="32"/>
    </w:p>
    <w:p w14:paraId="00000060" w14:textId="60EF7485" w:rsidR="008E545C" w:rsidRPr="00DD692C" w:rsidRDefault="00000000">
      <w:pPr>
        <w:spacing w:line="480" w:lineRule="auto"/>
        <w:jc w:val="both"/>
      </w:pPr>
      <w:r w:rsidRPr="00DD692C">
        <w:t xml:space="preserve">As mentioned in the main article, we did not find evidence of significant heterogeneity in the results of our 30 genome-wide SNPs. Nevertheless, this does not rule out heterogeneity in study results at other loci or across the entire genome. Therefore, we conducted several analyses to explore whether the heterogeneity in sample ascertainment </w:t>
      </w:r>
      <w:r w:rsidR="0089583A" w:rsidRPr="00DD692C">
        <w:t>methods influenced</w:t>
      </w:r>
      <w:r w:rsidRPr="00DD692C">
        <w:t xml:space="preserve"> genetic findings. </w:t>
      </w:r>
    </w:p>
    <w:p w14:paraId="00000061" w14:textId="77777777" w:rsidR="008E545C" w:rsidRPr="00DD692C" w:rsidRDefault="008E545C">
      <w:pPr>
        <w:spacing w:line="480" w:lineRule="auto"/>
        <w:jc w:val="both"/>
      </w:pPr>
    </w:p>
    <w:p w14:paraId="00000062" w14:textId="77777777" w:rsidR="008E545C" w:rsidRPr="00DD692C" w:rsidRDefault="00000000">
      <w:pPr>
        <w:spacing w:line="480" w:lineRule="auto"/>
        <w:jc w:val="both"/>
      </w:pPr>
      <w:r w:rsidRPr="00DD692C">
        <w:t xml:space="preserve">To investigate loci that are predominantly associated with the individual subgroups (clinical, comorbid, biobanks, 23andMe), we conducted separate GWASs for each subgroup, identifying seven SNPs associated with OCD in 23andMe (rs2836950 uniquely in this analysis; see </w:t>
      </w:r>
      <w:r w:rsidRPr="00DD692C">
        <w:rPr>
          <w:b/>
        </w:rPr>
        <w:t>Supplementary Figure S36A and S36B</w:t>
      </w:r>
      <w:r w:rsidRPr="00DD692C">
        <w:t xml:space="preserve"> for Manhattan-plots and QQ-plots), and two in the clinical data (rs11856716 uniquely in this analysis; see </w:t>
      </w:r>
      <w:r w:rsidRPr="00DD692C">
        <w:rPr>
          <w:b/>
        </w:rPr>
        <w:t>Supplementary Figure S33A and S33B</w:t>
      </w:r>
      <w:r w:rsidRPr="00DD692C">
        <w:t xml:space="preserve"> for Manhattan-plots and QQ-plots, and </w:t>
      </w:r>
      <w:r w:rsidRPr="00DD692C">
        <w:rPr>
          <w:b/>
        </w:rPr>
        <w:t>Supplementary Table S3</w:t>
      </w:r>
      <w:r w:rsidRPr="00DD692C">
        <w:t xml:space="preserve"> for a list of all significant SNPs, as well as </w:t>
      </w:r>
      <w:r w:rsidRPr="00DD692C">
        <w:rPr>
          <w:b/>
        </w:rPr>
        <w:t>Supplementary Figure S34A, S34B</w:t>
      </w:r>
      <w:r w:rsidRPr="00DD692C">
        <w:t xml:space="preserve"> and </w:t>
      </w:r>
      <w:r w:rsidRPr="00DD692C">
        <w:rPr>
          <w:b/>
        </w:rPr>
        <w:t>S35A and S35B</w:t>
      </w:r>
      <w:r w:rsidRPr="00DD692C">
        <w:t xml:space="preserve"> for Manhattan and QQ-plots of the comorbid and biobank specific GWASs). When conducting a combined GWAS of clinical, comorbid, and biobank cohorts two SNPs reached significance (</w:t>
      </w:r>
      <w:r w:rsidRPr="00DD692C">
        <w:rPr>
          <w:b/>
        </w:rPr>
        <w:t>Supplementary Figure S32</w:t>
      </w:r>
      <w:r w:rsidRPr="00DD692C">
        <w:t xml:space="preserve">). As the sample sizes for the different subgroups in our study varied, some of the subgroup analyses had limited power to detect subgroup-specific genetic variations. To address this, we conducted four multi-trait analyses (MTAG) to increase our power to detect these variations while </w:t>
      </w:r>
      <w:r w:rsidRPr="00DD692C">
        <w:lastRenderedPageBreak/>
        <w:t xml:space="preserve">still being able to identify subgroup-specific signals. MTAG is more commonly used to combine different but related traits into one meta-analysis by leveraging the shared heritability among the different traits and thereby gaining power. While we do not have different traits, our aim was to generate ascertainment-specific estimates, while boosting power by leveraging the high shared heritability among the subgroups. In addition to stronger evidence (meaning lower p-value) for several of the OCD hits defined in the main GWAS, 11 SNPs were associated with the biobank samples, of which one SNP (rs138354) was not found in any of the other analyses (including the meta-analysis, one-factor GWAS (see further below for details), subgroup-specific GWASs, or other MTAG analyses), 19 SNPs were associated with the clinical subgroup, of which one SNP (rs4838077) was not found in any of the other analyses, 24 SNPs were associated with the self-report subgroup, with one SNP (rs56346215) uniquely found in this analysis, and 20 SNPs associated with the comorbid subgroup (see </w:t>
      </w:r>
      <w:r w:rsidRPr="00DD692C">
        <w:rPr>
          <w:b/>
        </w:rPr>
        <w:t>Supplementary Table S3</w:t>
      </w:r>
      <w:r w:rsidRPr="00DD692C">
        <w:t xml:space="preserve"> for a full list of results, and </w:t>
      </w:r>
      <w:r w:rsidRPr="00DD692C">
        <w:rPr>
          <w:b/>
        </w:rPr>
        <w:t>Supplementary Figures S33-36</w:t>
      </w:r>
      <w:r w:rsidRPr="00DD692C">
        <w:t xml:space="preserve"> for Manhattan-plots). In total, we found 39 independent loci that were associated with either the meta-analysis, common factor </w:t>
      </w:r>
      <w:proofErr w:type="spellStart"/>
      <w:r w:rsidRPr="00DD692C">
        <w:t>GenomicSEM</w:t>
      </w:r>
      <w:proofErr w:type="spellEnd"/>
      <w:r w:rsidRPr="00DD692C">
        <w:t xml:space="preserve"> analysis (see further below for details), subgroup analyses, MTAG analyses, or more than one of the analyses mentioned above.</w:t>
      </w:r>
    </w:p>
    <w:p w14:paraId="00000063" w14:textId="77777777" w:rsidR="008E545C" w:rsidRPr="00DD692C" w:rsidRDefault="008E545C">
      <w:pPr>
        <w:spacing w:line="480" w:lineRule="auto"/>
        <w:jc w:val="both"/>
      </w:pPr>
    </w:p>
    <w:p w14:paraId="00000065" w14:textId="4A3CECF7" w:rsidR="008E545C" w:rsidRPr="00DD692C" w:rsidRDefault="00000000">
      <w:pPr>
        <w:spacing w:line="480" w:lineRule="auto"/>
        <w:jc w:val="both"/>
      </w:pPr>
      <w:r w:rsidRPr="00DD692C">
        <w:t>Genetic correlations (</w:t>
      </w:r>
      <m:oMath>
        <m:r>
          <w:rPr>
            <w:rFonts w:ascii="Cambria Math" w:hAnsi="Cambria Math"/>
          </w:rPr>
          <m:t>rG)</m:t>
        </m:r>
      </m:oMath>
      <w:r w:rsidRPr="00DD692C">
        <w:t xml:space="preserve"> between the four sub-groups ranged from 0.63 </w:t>
      </w:r>
      <m:oMath>
        <m:r>
          <w:rPr>
            <w:rFonts w:ascii="Cambria Math" w:hAnsi="Cambria Math"/>
          </w:rPr>
          <m:t>(SE= 0.11, P=2.1x1</m:t>
        </m:r>
        <m:sSup>
          <m:sSupPr>
            <m:ctrlPr>
              <w:rPr>
                <w:rFonts w:ascii="Cambria Math" w:hAnsi="Cambria Math"/>
              </w:rPr>
            </m:ctrlPr>
          </m:sSupPr>
          <m:e>
            <m:r>
              <w:rPr>
                <w:rFonts w:ascii="Cambria Math" w:hAnsi="Cambria Math"/>
              </w:rPr>
              <m:t>0</m:t>
            </m:r>
          </m:e>
          <m:sup>
            <m:r>
              <w:rPr>
                <w:rFonts w:ascii="Cambria Math" w:hAnsi="Cambria Math"/>
              </w:rPr>
              <m:t>-09</m:t>
            </m:r>
          </m:sup>
        </m:sSup>
        <m:r>
          <w:rPr>
            <w:rFonts w:ascii="Cambria Math" w:hAnsi="Cambria Math"/>
          </w:rPr>
          <m:t>)</m:t>
        </m:r>
      </m:oMath>
      <w:r w:rsidRPr="00DD692C">
        <w:t xml:space="preserve"> between the comorbid and biobank sub-groups to 0.93 (</w:t>
      </w:r>
      <m:oMath>
        <m:r>
          <w:rPr>
            <w:rFonts w:ascii="Cambria Math" w:hAnsi="Cambria Math"/>
          </w:rPr>
          <m:t>SE= 0.066, P=9.89x1</m:t>
        </m:r>
        <m:sSup>
          <m:sSupPr>
            <m:ctrlPr>
              <w:rPr>
                <w:rFonts w:ascii="Cambria Math" w:hAnsi="Cambria Math"/>
              </w:rPr>
            </m:ctrlPr>
          </m:sSupPr>
          <m:e>
            <m:r>
              <w:rPr>
                <w:rFonts w:ascii="Cambria Math" w:hAnsi="Cambria Math"/>
              </w:rPr>
              <m:t>0</m:t>
            </m:r>
          </m:e>
          <m:sup>
            <m:r>
              <w:rPr>
                <w:rFonts w:ascii="Cambria Math" w:hAnsi="Cambria Math"/>
              </w:rPr>
              <m:t>-45</m:t>
            </m:r>
          </m:sup>
        </m:sSup>
        <m:r>
          <w:rPr>
            <w:rFonts w:ascii="Cambria Math" w:hAnsi="Cambria Math"/>
          </w:rPr>
          <m:t>)</m:t>
        </m:r>
      </m:oMath>
      <w:r w:rsidRPr="00DD692C">
        <w:t xml:space="preserve"> between the comorbid and 23andMe sub-groups. The genetic correlation between all clinically diagnosed cases (clinical, comorbid and biobank) and the 23andme cases was 0.92 </w:t>
      </w:r>
      <m:oMath>
        <m:r>
          <w:rPr>
            <w:rFonts w:ascii="Cambria Math" w:hAnsi="Cambria Math"/>
          </w:rPr>
          <m:t>(SE= 0.040, P=2.58x1</m:t>
        </m:r>
        <m:sSup>
          <m:sSupPr>
            <m:ctrlPr>
              <w:rPr>
                <w:rFonts w:ascii="Cambria Math" w:hAnsi="Cambria Math"/>
              </w:rPr>
            </m:ctrlPr>
          </m:sSupPr>
          <m:e>
            <m:r>
              <w:rPr>
                <w:rFonts w:ascii="Cambria Math" w:hAnsi="Cambria Math"/>
              </w:rPr>
              <m:t>0</m:t>
            </m:r>
          </m:e>
          <m:sup>
            <m:r>
              <w:rPr>
                <w:rFonts w:ascii="Cambria Math" w:hAnsi="Cambria Math"/>
              </w:rPr>
              <m:t>-113</m:t>
            </m:r>
          </m:sup>
        </m:sSup>
      </m:oMath>
      <w:r w:rsidRPr="00DD692C">
        <w:t xml:space="preserve">; See </w:t>
      </w:r>
      <w:r w:rsidRPr="00DD692C">
        <w:rPr>
          <w:b/>
        </w:rPr>
        <w:t>Supplementary Table S6</w:t>
      </w:r>
      <w:r w:rsidRPr="00DD692C">
        <w:t xml:space="preserve"> for all correlation estimates). A confirmatory factor analysis (CFA) using </w:t>
      </w:r>
      <w:proofErr w:type="spellStart"/>
      <w:r w:rsidRPr="00DD692C">
        <w:t>GenomicSEM</w:t>
      </w:r>
      <w:proofErr w:type="spellEnd"/>
      <w:r w:rsidRPr="00DD692C">
        <w:t xml:space="preserve"> </w:t>
      </w:r>
      <w:hyperlink r:id="rId15">
        <w:r w:rsidRPr="00DD692C">
          <w:t>(A. D. Grotzinger et al., 2019)</w:t>
        </w:r>
      </w:hyperlink>
      <w:r w:rsidRPr="00DD692C">
        <w:t xml:space="preserve"> yielded an excellent fit for a one-factor model </w:t>
      </w:r>
      <m:oMath>
        <m:r>
          <w:rPr>
            <w:rFonts w:ascii="Cambria Math" w:hAnsi="Cambria Math"/>
          </w:rPr>
          <m:t xml:space="preserve">(Chisq=3.46, df=2, </m:t>
        </m:r>
        <m:sSub>
          <m:sSubPr>
            <m:ctrlPr>
              <w:rPr>
                <w:rFonts w:ascii="Cambria Math" w:hAnsi="Cambria Math"/>
              </w:rPr>
            </m:ctrlPr>
          </m:sSubPr>
          <m:e>
            <m:r>
              <w:rPr>
                <w:rFonts w:ascii="Cambria Math" w:hAnsi="Cambria Math"/>
              </w:rPr>
              <m:t>P</m:t>
            </m:r>
          </m:e>
          <m:sub>
            <m:r>
              <w:rPr>
                <w:rFonts w:ascii="Cambria Math" w:hAnsi="Cambria Math"/>
              </w:rPr>
              <m:t>chisq</m:t>
            </m:r>
          </m:sub>
        </m:sSub>
        <m:r>
          <w:rPr>
            <w:rFonts w:ascii="Cambria Math" w:hAnsi="Cambria Math"/>
          </w:rPr>
          <m:t>=0.18, CFI=0.9, SRMR=0.056)</m:t>
        </m:r>
      </m:oMath>
      <w:r w:rsidRPr="00DD692C">
        <w:t>, with high and similar loadings across all four subgroups (</w:t>
      </w:r>
      <w:r w:rsidRPr="00DD692C">
        <w:rPr>
          <w:b/>
        </w:rPr>
        <w:t xml:space="preserve">Supplementary Figure S37 </w:t>
      </w:r>
      <w:r w:rsidRPr="00DD692C">
        <w:t xml:space="preserve">and </w:t>
      </w:r>
      <w:r w:rsidRPr="00DD692C">
        <w:rPr>
          <w:b/>
        </w:rPr>
        <w:t>Supplementary Table S7</w:t>
      </w:r>
      <w:r w:rsidRPr="00DD692C">
        <w:t xml:space="preserve">). We also conducted bivariate LDSC analyses for the 112 published GWASs (see Supplementary Note 5 for details) and our four subgroup GWASs to study potential </w:t>
      </w:r>
      <w:r w:rsidRPr="00DD692C">
        <w:lastRenderedPageBreak/>
        <w:t xml:space="preserve">heterogeneity between our subgroups. As expected, the comorbid subgroup showed stronger genetic correlations for the traits for which these studies were primarily ascertained (for AGDS and </w:t>
      </w:r>
      <w:proofErr w:type="spellStart"/>
      <w:r w:rsidRPr="00DD692C">
        <w:t>iPSYCH</w:t>
      </w:r>
      <w:proofErr w:type="spellEnd"/>
      <w:r w:rsidRPr="00DD692C">
        <w:t xml:space="preserve"> MDD, for </w:t>
      </w:r>
      <w:proofErr w:type="spellStart"/>
      <w:r w:rsidRPr="00DD692C">
        <w:t>iPSYCH</w:t>
      </w:r>
      <w:proofErr w:type="spellEnd"/>
      <w:r w:rsidRPr="00DD692C">
        <w:t xml:space="preserve"> alone also ADHD and ASD). All three traits (MDD, ASD, ADHD) in contrast were less strongly associated with the clinical and biobank cohorts, with the 23andMe sub-group showing estimates in between (</w:t>
      </w:r>
      <w:r w:rsidRPr="00DD692C">
        <w:rPr>
          <w:b/>
        </w:rPr>
        <w:t>Supplementary</w:t>
      </w:r>
      <w:r w:rsidRPr="00DD692C">
        <w:t xml:space="preserve"> </w:t>
      </w:r>
      <w:r w:rsidRPr="00DD692C">
        <w:rPr>
          <w:b/>
        </w:rPr>
        <w:t>Figure S3</w:t>
      </w:r>
      <w:r w:rsidR="00810C9F">
        <w:rPr>
          <w:b/>
        </w:rPr>
        <w:t xml:space="preserve">8 </w:t>
      </w:r>
      <w:r w:rsidRPr="00DD692C">
        <w:t xml:space="preserve">and </w:t>
      </w:r>
      <w:r w:rsidRPr="00DD692C">
        <w:rPr>
          <w:b/>
        </w:rPr>
        <w:t>Supplementary Table S1</w:t>
      </w:r>
      <w:r w:rsidR="002C15D0">
        <w:rPr>
          <w:b/>
        </w:rPr>
        <w:t>8</w:t>
      </w:r>
      <w:r w:rsidRPr="00DD692C">
        <w:t>).</w:t>
      </w:r>
    </w:p>
    <w:p w14:paraId="00000066" w14:textId="77777777" w:rsidR="008E545C" w:rsidRPr="00DD692C" w:rsidRDefault="008E545C">
      <w:pPr>
        <w:spacing w:line="480" w:lineRule="auto"/>
      </w:pPr>
    </w:p>
    <w:p w14:paraId="00000067" w14:textId="4BE2D507" w:rsidR="008E545C" w:rsidRPr="00DD692C" w:rsidRDefault="00000000">
      <w:pPr>
        <w:pStyle w:val="berschrift2"/>
        <w:spacing w:line="480" w:lineRule="auto"/>
        <w:jc w:val="both"/>
      </w:pPr>
      <w:bookmarkStart w:id="33" w:name="_Toc161234212"/>
      <w:r w:rsidRPr="00DD692C">
        <w:t xml:space="preserve">Supplementary Note </w:t>
      </w:r>
      <w:r w:rsidR="00872FF2">
        <w:t>6</w:t>
      </w:r>
      <w:r w:rsidRPr="00DD692C">
        <w:t>: Cross-trait genetic correlations</w:t>
      </w:r>
      <w:bookmarkEnd w:id="33"/>
    </w:p>
    <w:p w14:paraId="00000068" w14:textId="47EC67FB" w:rsidR="008E545C" w:rsidRPr="00DD692C" w:rsidRDefault="00000000">
      <w:pPr>
        <w:spacing w:line="480" w:lineRule="auto"/>
        <w:jc w:val="both"/>
      </w:pPr>
      <w:r w:rsidRPr="00DD692C">
        <w:t>As mentioned in the main paper, we used bivariate LDSC to investigate the extent of genetic correlations between OCD and a curated list of 112 previously published GWASs of psychiatric, substance use, cognition/socioeconomic status (SES), personality, psychological, neurological, autoimmune, cardiovascular, anthropomorphic/diet, fertility</w:t>
      </w:r>
      <w:r w:rsidR="00023B3B">
        <w:t>,</w:t>
      </w:r>
      <w:r w:rsidRPr="00DD692C">
        <w:t xml:space="preserve"> and other traits. We conducted the same analysis for the four OCD sub-groups (</w:t>
      </w:r>
      <w:r w:rsidRPr="00DD692C">
        <w:rPr>
          <w:b/>
        </w:rPr>
        <w:t>Supplementary Figure S3</w:t>
      </w:r>
      <w:r w:rsidR="00810C9F">
        <w:rPr>
          <w:b/>
        </w:rPr>
        <w:t xml:space="preserve">8 </w:t>
      </w:r>
      <w:r w:rsidRPr="00DD692C">
        <w:t xml:space="preserve">and </w:t>
      </w:r>
      <w:r w:rsidRPr="00DD692C">
        <w:rPr>
          <w:b/>
        </w:rPr>
        <w:t>Supplementary Table S1</w:t>
      </w:r>
      <w:r w:rsidR="002C15D0">
        <w:rPr>
          <w:b/>
        </w:rPr>
        <w:t>8</w:t>
      </w:r>
      <w:r w:rsidRPr="00DD692C">
        <w:t>) as well as comparing the OCD GWAS of only 23andMe to the OCD GWAS excluding 23andMe (</w:t>
      </w:r>
      <w:r w:rsidRPr="00DD692C">
        <w:rPr>
          <w:b/>
        </w:rPr>
        <w:t>Supplementary Figure S</w:t>
      </w:r>
      <w:r w:rsidR="00810C9F">
        <w:rPr>
          <w:b/>
        </w:rPr>
        <w:t>39</w:t>
      </w:r>
      <w:r w:rsidRPr="00DD692C">
        <w:t xml:space="preserve"> and </w:t>
      </w:r>
      <w:r w:rsidRPr="00DD692C">
        <w:rPr>
          <w:b/>
        </w:rPr>
        <w:t>Supplementary Table S1</w:t>
      </w:r>
      <w:r w:rsidR="002C15D0">
        <w:rPr>
          <w:b/>
        </w:rPr>
        <w:t>8</w:t>
      </w:r>
      <w:r w:rsidRPr="00DD692C">
        <w:rPr>
          <w:b/>
        </w:rPr>
        <w:t>)</w:t>
      </w:r>
      <w:r w:rsidRPr="00DD692C">
        <w:t xml:space="preserve">. The co-morbid sub-group, as expected because the </w:t>
      </w:r>
      <w:proofErr w:type="spellStart"/>
      <w:r w:rsidRPr="00DD692C">
        <w:t>iPSYCH</w:t>
      </w:r>
      <w:proofErr w:type="spellEnd"/>
      <w:r w:rsidRPr="00DD692C">
        <w:t xml:space="preserve"> samples are enriched for MDD, ADHD, and ASD cases, tends to correlate higher with most psychiatric disorders they were primarily ascertained for, while clinical and biobank cohorts tend to correlate less strongly, with the 23andMe sub-group in between. </w:t>
      </w:r>
    </w:p>
    <w:p w14:paraId="00000069" w14:textId="65B303ED" w:rsidR="008E545C" w:rsidRPr="00DD692C" w:rsidRDefault="00000000">
      <w:pPr>
        <w:spacing w:line="480" w:lineRule="auto"/>
        <w:jc w:val="both"/>
      </w:pPr>
      <w:r w:rsidRPr="00DD692C">
        <w:t xml:space="preserve">Beyond the strong genetic correlations of the main GWAS with psychiatric disorders described in the main text, high genetic correlations were also shown for several smoking phenotypes (positively with nicotine dependence, cigarettes per day, smoking initiation, and negatively with age smoking initiation), as well as a negative genetic correlation with alcohol dependence </w:t>
      </w: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=-0.1458</m:t>
        </m:r>
      </m:oMath>
      <w:r w:rsidRPr="00DD692C">
        <w:t xml:space="preserve">, </w:t>
      </w:r>
      <m:oMath>
        <m:r>
          <w:rPr>
            <w:rFonts w:ascii="Cambria Math" w:hAnsi="Cambria Math"/>
          </w:rPr>
          <m:t xml:space="preserve"> CI =0.0704</m:t>
        </m:r>
      </m:oMath>
      <w:r w:rsidRPr="00DD692C">
        <w:t xml:space="preserve">, </w:t>
      </w:r>
      <m:oMath>
        <m:sSub>
          <m:sSubPr>
            <m:ctrlPr>
              <w:rPr>
                <w:rFonts w:ascii="Cambria Math" w:hAnsi="Cambria Math"/>
              </w:rPr>
            </m:ctrlPr>
          </m:sSubPr>
          <m:e>
            <m:r>
              <w:rPr>
                <w:rFonts w:ascii="Cambria Math" w:hAnsi="Cambria Math"/>
              </w:rPr>
              <m:t>P</m:t>
            </m:r>
          </m:e>
          <m:sub>
            <m:r>
              <w:rPr>
                <w:rFonts w:ascii="Cambria Math" w:hAnsi="Cambria Math"/>
              </w:rPr>
              <m:t>FDR</m:t>
            </m:r>
          </m:sub>
        </m:sSub>
        <m:r>
          <w:rPr>
            <w:rFonts w:ascii="Cambria Math" w:hAnsi="Cambria Math"/>
          </w:rPr>
          <m:t xml:space="preserve"> = 0.0001)</m:t>
        </m:r>
      </m:oMath>
      <w:r w:rsidRPr="00DD692C">
        <w:t xml:space="preserve"> was observed. We also found a negative correlation with educational attainment (EA, </w:t>
      </w: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 -0.1015</m:t>
        </m:r>
      </m:oMath>
      <w:r w:rsidRPr="00DD692C">
        <w:t xml:space="preserve">, </w:t>
      </w:r>
      <m:oMath>
        <m:r>
          <w:rPr>
            <w:rFonts w:ascii="Cambria Math" w:hAnsi="Cambria Math"/>
          </w:rPr>
          <m:t xml:space="preserve"> CI =0.0429</m:t>
        </m:r>
      </m:oMath>
      <w:r w:rsidRPr="00DD692C">
        <w:t xml:space="preserve">, </w:t>
      </w:r>
      <m:oMath>
        <m:sSub>
          <m:sSubPr>
            <m:ctrlPr>
              <w:rPr>
                <w:rFonts w:ascii="Cambria Math" w:hAnsi="Cambria Math"/>
              </w:rPr>
            </m:ctrlPr>
          </m:sSubPr>
          <m:e>
            <m:r>
              <w:rPr>
                <w:rFonts w:ascii="Cambria Math" w:hAnsi="Cambria Math"/>
              </w:rPr>
              <m:t>P</m:t>
            </m:r>
          </m:e>
          <m:sub>
            <m:r>
              <w:rPr>
                <w:rFonts w:ascii="Cambria Math" w:hAnsi="Cambria Math"/>
              </w:rPr>
              <m:t>FDR</m:t>
            </m:r>
          </m:sub>
        </m:sSub>
        <m:r>
          <w:rPr>
            <w:rFonts w:ascii="Cambria Math" w:hAnsi="Cambria Math"/>
          </w:rPr>
          <m:t xml:space="preserve"> = 7.32x1</m:t>
        </m:r>
        <m:sSup>
          <m:sSupPr>
            <m:ctrlPr>
              <w:rPr>
                <w:rFonts w:ascii="Cambria Math" w:hAnsi="Cambria Math"/>
              </w:rPr>
            </m:ctrlPr>
          </m:sSupPr>
          <m:e>
            <m:r>
              <w:rPr>
                <w:rFonts w:ascii="Cambria Math" w:hAnsi="Cambria Math"/>
              </w:rPr>
              <m:t>0</m:t>
            </m:r>
          </m:e>
          <m:sup>
            <m:r>
              <w:rPr>
                <w:rFonts w:ascii="Cambria Math" w:hAnsi="Cambria Math"/>
              </w:rPr>
              <m:t>-06</m:t>
            </m:r>
          </m:sup>
        </m:sSup>
        <m:r>
          <w:rPr>
            <w:rFonts w:ascii="Cambria Math" w:hAnsi="Cambria Math"/>
          </w:rPr>
          <m:t>)</m:t>
        </m:r>
      </m:oMath>
      <w:r w:rsidRPr="00DD692C">
        <w:t xml:space="preserve"> and other cognition traits, though there was some heterogeneity across the four subgroups with the biobank </w:t>
      </w:r>
      <w:r w:rsidRPr="00DD692C">
        <w:lastRenderedPageBreak/>
        <w:t xml:space="preserve">sub-cohort correlating positively with EA </w:t>
      </w: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=0.1675</m:t>
        </m:r>
      </m:oMath>
      <w:r w:rsidRPr="00DD692C">
        <w:t xml:space="preserve">, </w:t>
      </w:r>
      <m:oMath>
        <m:r>
          <w:rPr>
            <w:rFonts w:ascii="Cambria Math" w:hAnsi="Cambria Math"/>
          </w:rPr>
          <m:t xml:space="preserve"> CI =0.0833</m:t>
        </m:r>
      </m:oMath>
      <w:r w:rsidRPr="00DD692C">
        <w:t xml:space="preserve">, </w:t>
      </w:r>
      <m:oMath>
        <m:sSub>
          <m:sSubPr>
            <m:ctrlPr>
              <w:rPr>
                <w:rFonts w:ascii="Cambria Math" w:hAnsi="Cambria Math"/>
              </w:rPr>
            </m:ctrlPr>
          </m:sSubPr>
          <m:e>
            <m:r>
              <w:rPr>
                <w:rFonts w:ascii="Cambria Math" w:hAnsi="Cambria Math"/>
              </w:rPr>
              <m:t>P</m:t>
            </m:r>
          </m:e>
          <m:sub>
            <m:r>
              <w:rPr>
                <w:rFonts w:ascii="Cambria Math" w:hAnsi="Cambria Math"/>
              </w:rPr>
              <m:t>FDR</m:t>
            </m:r>
          </m:sub>
        </m:sSub>
        <m:r>
          <w:rPr>
            <w:rFonts w:ascii="Cambria Math" w:hAnsi="Cambria Math"/>
          </w:rPr>
          <m:t xml:space="preserve"> = 0.0004)</m:t>
        </m:r>
      </m:oMath>
      <w:r w:rsidRPr="00DD692C">
        <w:t xml:space="preserve">, while the 23andMe and co-morbid sub-groups correlated negatively (23andMe: </w:t>
      </w: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 -0.1608</m:t>
        </m:r>
      </m:oMath>
      <w:r w:rsidRPr="00DD692C">
        <w:t xml:space="preserve">, </w:t>
      </w:r>
      <m:oMath>
        <m:r>
          <w:rPr>
            <w:rFonts w:ascii="Cambria Math" w:hAnsi="Cambria Math"/>
          </w:rPr>
          <m:t xml:space="preserve"> CI =0.0498</m:t>
        </m:r>
      </m:oMath>
      <w:r w:rsidRPr="00DD692C">
        <w:t xml:space="preserve">, </w:t>
      </w:r>
      <m:oMath>
        <m:sSub>
          <m:sSubPr>
            <m:ctrlPr>
              <w:rPr>
                <w:rFonts w:ascii="Cambria Math" w:hAnsi="Cambria Math"/>
              </w:rPr>
            </m:ctrlPr>
          </m:sSubPr>
          <m:e>
            <m:r>
              <w:rPr>
                <w:rFonts w:ascii="Cambria Math" w:hAnsi="Cambria Math"/>
              </w:rPr>
              <m:t>P</m:t>
            </m:r>
          </m:e>
          <m:sub>
            <m:r>
              <w:rPr>
                <w:rFonts w:ascii="Cambria Math" w:hAnsi="Cambria Math"/>
              </w:rPr>
              <m:t>FDR</m:t>
            </m:r>
          </m:sub>
        </m:sSub>
        <m:r>
          <w:rPr>
            <w:rFonts w:ascii="Cambria Math" w:hAnsi="Cambria Math"/>
          </w:rPr>
          <m:t xml:space="preserve"> = 7.61x1</m:t>
        </m:r>
        <m:sSup>
          <m:sSupPr>
            <m:ctrlPr>
              <w:rPr>
                <w:rFonts w:ascii="Cambria Math" w:hAnsi="Cambria Math"/>
              </w:rPr>
            </m:ctrlPr>
          </m:sSupPr>
          <m:e>
            <m:r>
              <w:rPr>
                <w:rFonts w:ascii="Cambria Math" w:hAnsi="Cambria Math"/>
              </w:rPr>
              <m:t>0</m:t>
            </m:r>
          </m:e>
          <m:sup>
            <m:r>
              <w:rPr>
                <w:rFonts w:ascii="Cambria Math" w:hAnsi="Cambria Math"/>
              </w:rPr>
              <m:t>-10</m:t>
            </m:r>
          </m:sup>
        </m:sSup>
      </m:oMath>
      <w:r w:rsidRPr="00DD692C">
        <w:t xml:space="preserve">; Comorbid: </w:t>
      </w: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=-0.1298</m:t>
        </m:r>
      </m:oMath>
      <w:r w:rsidRPr="00DD692C">
        <w:t xml:space="preserve">, </w:t>
      </w:r>
      <m:oMath>
        <m:r>
          <w:rPr>
            <w:rFonts w:ascii="Cambria Math" w:hAnsi="Cambria Math"/>
          </w:rPr>
          <m:t xml:space="preserve"> CI =0.0755</m:t>
        </m:r>
      </m:oMath>
      <w:r w:rsidRPr="00DD692C">
        <w:t xml:space="preserve">, </w:t>
      </w:r>
      <m:oMath>
        <m:sSub>
          <m:sSubPr>
            <m:ctrlPr>
              <w:rPr>
                <w:rFonts w:ascii="Cambria Math" w:hAnsi="Cambria Math"/>
              </w:rPr>
            </m:ctrlPr>
          </m:sSubPr>
          <m:e>
            <m:r>
              <w:rPr>
                <w:rFonts w:ascii="Cambria Math" w:hAnsi="Cambria Math"/>
              </w:rPr>
              <m:t>P</m:t>
            </m:r>
          </m:e>
          <m:sub>
            <m:r>
              <w:rPr>
                <w:rFonts w:ascii="Cambria Math" w:hAnsi="Cambria Math"/>
              </w:rPr>
              <m:t>FDR</m:t>
            </m:r>
          </m:sub>
        </m:sSub>
        <m:r>
          <w:rPr>
            <w:rFonts w:ascii="Cambria Math" w:hAnsi="Cambria Math"/>
          </w:rPr>
          <m:t xml:space="preserve"> =0.0018 )</m:t>
        </m:r>
      </m:oMath>
      <w:r w:rsidRPr="00DD692C">
        <w:t xml:space="preserve">, and the clinical cohorts not showing a significant correlation </w:t>
      </w: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=-0.0412</m:t>
        </m:r>
      </m:oMath>
      <w:r w:rsidRPr="00DD692C">
        <w:t xml:space="preserve">, </w:t>
      </w:r>
      <m:oMath>
        <m:r>
          <w:rPr>
            <w:rFonts w:ascii="Cambria Math" w:hAnsi="Cambria Math"/>
          </w:rPr>
          <m:t xml:space="preserve"> CI =0.0627</m:t>
        </m:r>
      </m:oMath>
      <w:r w:rsidRPr="00DD692C">
        <w:t xml:space="preserve">, </w:t>
      </w:r>
      <m:oMath>
        <m:sSub>
          <m:sSubPr>
            <m:ctrlPr>
              <w:rPr>
                <w:rFonts w:ascii="Cambria Math" w:hAnsi="Cambria Math"/>
              </w:rPr>
            </m:ctrlPr>
          </m:sSubPr>
          <m:e>
            <m:r>
              <w:rPr>
                <w:rFonts w:ascii="Cambria Math" w:hAnsi="Cambria Math"/>
              </w:rPr>
              <m:t>P</m:t>
            </m:r>
          </m:e>
          <m:sub>
            <m:r>
              <w:rPr>
                <w:rFonts w:ascii="Cambria Math" w:hAnsi="Cambria Math"/>
              </w:rPr>
              <m:t>FDR</m:t>
            </m:r>
          </m:sub>
        </m:sSub>
        <m:r>
          <w:rPr>
            <w:rFonts w:ascii="Cambria Math" w:hAnsi="Cambria Math"/>
          </w:rPr>
          <m:t xml:space="preserve"> = 0.3191)</m:t>
        </m:r>
      </m:oMath>
      <w:r w:rsidRPr="00DD692C">
        <w:t xml:space="preserve">. Moreover, some of the anthropomorphic traits </w:t>
      </w:r>
      <w:sdt>
        <w:sdtPr>
          <w:tag w:val="goog_rdk_79"/>
          <w:id w:val="1521658316"/>
        </w:sdtPr>
        <w:sdtContent/>
      </w:sdt>
      <w:r w:rsidRPr="00DD692C">
        <w:t xml:space="preserve">(BMI, body fat, waist-hip-circumference, hip-circumference, and diet including fat) and auto-immune disorders (Crohn’s disease, ulcerative colitis, and inflammatory bowel disease) showed a significant negative correlation with OCD, while asthma (adult onset) showed a positive correlation. In addition, significant correlations of substantial effect (r &gt; |0.25|) were found with suicide attempt, tiredness, migraine (all positive), and with subjective well-being, childhood maltreatment, self-rated health, and </w:t>
      </w:r>
      <w:r w:rsidR="00023B3B" w:rsidRPr="00DD692C">
        <w:t>risk taking</w:t>
      </w:r>
      <w:r w:rsidRPr="00DD692C">
        <w:t xml:space="preserve">-auto speeding (negative). </w:t>
      </w:r>
    </w:p>
    <w:p w14:paraId="0000006A" w14:textId="77777777" w:rsidR="008E545C" w:rsidRPr="00DD692C" w:rsidRDefault="008E545C">
      <w:pPr>
        <w:spacing w:line="480" w:lineRule="auto"/>
        <w:jc w:val="both"/>
      </w:pPr>
    </w:p>
    <w:p w14:paraId="0000006B" w14:textId="792A2F4D" w:rsidR="008E545C" w:rsidRPr="00DD692C" w:rsidRDefault="00000000">
      <w:pPr>
        <w:pStyle w:val="berschrift2"/>
        <w:spacing w:line="480" w:lineRule="auto"/>
        <w:jc w:val="both"/>
      </w:pPr>
      <w:bookmarkStart w:id="34" w:name="_Toc161234213"/>
      <w:r w:rsidRPr="00DD692C">
        <w:t xml:space="preserve">Supplementary Note </w:t>
      </w:r>
      <w:r w:rsidR="00872FF2">
        <w:t>7</w:t>
      </w:r>
      <w:r w:rsidRPr="00DD692C">
        <w:t>: Gene-based results.</w:t>
      </w:r>
      <w:bookmarkEnd w:id="34"/>
    </w:p>
    <w:p w14:paraId="0000006C" w14:textId="77777777" w:rsidR="008E545C" w:rsidRPr="00DD692C" w:rsidRDefault="00000000">
      <w:pPr>
        <w:pStyle w:val="berschrift3"/>
        <w:spacing w:line="480" w:lineRule="auto"/>
        <w:jc w:val="both"/>
      </w:pPr>
      <w:bookmarkStart w:id="35" w:name="_heading=h.ihv636" w:colFirst="0" w:colLast="0"/>
      <w:bookmarkEnd w:id="35"/>
      <w:proofErr w:type="spellStart"/>
      <w:r w:rsidRPr="00DD692C">
        <w:t>mBAT</w:t>
      </w:r>
      <w:proofErr w:type="spellEnd"/>
      <w:r w:rsidRPr="00DD692C">
        <w:t>-combo</w:t>
      </w:r>
    </w:p>
    <w:p w14:paraId="0000006D" w14:textId="77777777" w:rsidR="008E545C" w:rsidRPr="00DD692C" w:rsidRDefault="00000000">
      <w:pPr>
        <w:spacing w:line="480" w:lineRule="auto"/>
        <w:jc w:val="both"/>
      </w:pPr>
      <w:r w:rsidRPr="00DD692C">
        <w:t xml:space="preserve">Positional gene-based analysis with </w:t>
      </w:r>
      <w:proofErr w:type="spellStart"/>
      <w:r w:rsidRPr="00DD692C">
        <w:t>mBAT</w:t>
      </w:r>
      <w:proofErr w:type="spellEnd"/>
      <w:r w:rsidRPr="00DD692C">
        <w:t xml:space="preserve">-combo identified 207 protein-coding genes significantly associated with OCD at a Bonferroni-corrected threshold of </w:t>
      </w:r>
      <m:oMath>
        <m:r>
          <w:rPr>
            <w:rFonts w:ascii="Cambria Math" w:hAnsi="Cambria Math"/>
          </w:rPr>
          <m:t>P=2.67x</m:t>
        </m:r>
        <m:sSup>
          <m:sSupPr>
            <m:ctrlPr>
              <w:rPr>
                <w:rFonts w:ascii="Cambria Math" w:hAnsi="Cambria Math"/>
              </w:rPr>
            </m:ctrlPr>
          </m:sSupPr>
          <m:e>
            <m:r>
              <w:rPr>
                <w:rFonts w:ascii="Cambria Math" w:hAnsi="Cambria Math"/>
              </w:rPr>
              <m:t>10</m:t>
            </m:r>
          </m:e>
          <m:sup>
            <m:r>
              <w:rPr>
                <w:rFonts w:ascii="Cambria Math" w:hAnsi="Cambria Math"/>
              </w:rPr>
              <m:t>-06</m:t>
            </m:r>
          </m:sup>
        </m:sSup>
      </m:oMath>
      <w:r w:rsidRPr="00DD692C">
        <w:t xml:space="preserve"> (</w:t>
      </w:r>
      <w:r w:rsidRPr="00DD692C">
        <w:rPr>
          <w:b/>
        </w:rPr>
        <w:t>Supplementary Table S9</w:t>
      </w:r>
      <w:r w:rsidRPr="00DD692C">
        <w:t xml:space="preserve">). Of these 104 were located on chromosome 6 in the extended major histocompatibility (MHC) locus (25MB - 35MB). </w:t>
      </w:r>
    </w:p>
    <w:p w14:paraId="0000006E" w14:textId="77777777" w:rsidR="008E545C" w:rsidRPr="00DD692C" w:rsidRDefault="00000000">
      <w:pPr>
        <w:pStyle w:val="berschrift3"/>
        <w:spacing w:line="480" w:lineRule="auto"/>
        <w:jc w:val="both"/>
      </w:pPr>
      <w:bookmarkStart w:id="36" w:name="_heading=h.32hioqz" w:colFirst="0" w:colLast="0"/>
      <w:bookmarkEnd w:id="36"/>
      <w:r w:rsidRPr="00DD692C">
        <w:t>Transcriptome-wide association study (TWAS)</w:t>
      </w:r>
    </w:p>
    <w:p w14:paraId="0000006F" w14:textId="6E00B70F" w:rsidR="008E545C" w:rsidRPr="00DD692C" w:rsidRDefault="00000000">
      <w:pPr>
        <w:spacing w:line="480" w:lineRule="auto"/>
        <w:jc w:val="both"/>
      </w:pPr>
      <w:r w:rsidRPr="00DD692C">
        <w:t xml:space="preserve">The transcriptome-wide association study (TWAS) using human prefrontal cortex gene expression weights generated by the </w:t>
      </w:r>
      <w:proofErr w:type="spellStart"/>
      <w:r w:rsidRPr="00DD692C">
        <w:t>psychENCODE</w:t>
      </w:r>
      <w:proofErr w:type="spellEnd"/>
      <w:r w:rsidRPr="00DD692C">
        <w:t xml:space="preserve"> consortium identified 24 significant protein-coding genes (Bonferroni-corrected </w:t>
      </w:r>
      <m:oMath>
        <m:r>
          <w:rPr>
            <w:rFonts w:ascii="Cambria Math" w:hAnsi="Cambria Math"/>
          </w:rPr>
          <m:t>P=4.76x</m:t>
        </m:r>
        <m:sSup>
          <m:sSupPr>
            <m:ctrlPr>
              <w:rPr>
                <w:rFonts w:ascii="Cambria Math" w:hAnsi="Cambria Math"/>
              </w:rPr>
            </m:ctrlPr>
          </m:sSupPr>
          <m:e>
            <m:r>
              <w:rPr>
                <w:rFonts w:ascii="Cambria Math" w:hAnsi="Cambria Math"/>
              </w:rPr>
              <m:t>10</m:t>
            </m:r>
          </m:e>
          <m:sup>
            <m:r>
              <w:rPr>
                <w:rFonts w:ascii="Cambria Math" w:hAnsi="Cambria Math"/>
              </w:rPr>
              <m:t>-06</m:t>
            </m:r>
          </m:sup>
        </m:sSup>
      </m:oMath>
      <w:r w:rsidRPr="00DD692C">
        <w:t>), of which 15 showed strong evidence for a co-localised signal (COLOC PP4 &gt; 0.8; i.e., a single SNP associated with both OCD and gene expression implicating a causal role for this association) (</w:t>
      </w:r>
      <w:r w:rsidRPr="00DD692C">
        <w:rPr>
          <w:b/>
        </w:rPr>
        <w:t>Supplementary Table S10</w:t>
      </w:r>
      <w:r w:rsidRPr="00DD692C">
        <w:t xml:space="preserve">). </w:t>
      </w:r>
      <w:r w:rsidRPr="00DD692C">
        <w:lastRenderedPageBreak/>
        <w:t>Conditional analyses of each locus identified 14 genes with statistically independent TWAS signals, 11 of which also had evidence of a co-</w:t>
      </w:r>
      <w:r w:rsidR="00023B3B" w:rsidRPr="00DD692C">
        <w:t>localized</w:t>
      </w:r>
      <w:r w:rsidRPr="00DD692C">
        <w:t xml:space="preserve"> signal (COLOC PP4 &gt; 0.8) (</w:t>
      </w:r>
      <w:r w:rsidRPr="00DD692C">
        <w:rPr>
          <w:b/>
        </w:rPr>
        <w:t>Supplementary Table S10</w:t>
      </w:r>
      <w:r w:rsidRPr="00DD692C">
        <w:t>).</w:t>
      </w:r>
    </w:p>
    <w:p w14:paraId="00000070" w14:textId="77777777" w:rsidR="008E545C" w:rsidRPr="00DD692C" w:rsidRDefault="00000000">
      <w:pPr>
        <w:pStyle w:val="berschrift3"/>
      </w:pPr>
      <w:bookmarkStart w:id="37" w:name="_heading=h.1hmsyys" w:colFirst="0" w:colLast="0"/>
      <w:bookmarkEnd w:id="37"/>
      <w:r w:rsidRPr="00DD692C">
        <w:t>Summary-based Mendelian Randomization (SMR)</w:t>
      </w:r>
    </w:p>
    <w:p w14:paraId="00000071" w14:textId="04070CD5" w:rsidR="008E545C" w:rsidRPr="00DD692C" w:rsidRDefault="00000000">
      <w:pPr>
        <w:spacing w:line="480" w:lineRule="auto"/>
        <w:jc w:val="both"/>
      </w:pPr>
      <w:r w:rsidRPr="00DD692C">
        <w:t xml:space="preserve">We complemented the TWAS analysis with summary-based Mendelian </w:t>
      </w:r>
      <w:proofErr w:type="spellStart"/>
      <w:r w:rsidRPr="00DD692C">
        <w:t>Randomisation</w:t>
      </w:r>
      <w:proofErr w:type="spellEnd"/>
      <w:r w:rsidRPr="00DD692C">
        <w:t xml:space="preserve"> (SMR) using </w:t>
      </w:r>
      <w:proofErr w:type="spellStart"/>
      <w:r w:rsidRPr="00DD692C">
        <w:t>eQTL</w:t>
      </w:r>
      <w:proofErr w:type="spellEnd"/>
      <w:r w:rsidRPr="00DD692C">
        <w:t xml:space="preserve"> meta-analysis results from the </w:t>
      </w:r>
      <w:proofErr w:type="spellStart"/>
      <w:r w:rsidRPr="00DD692C">
        <w:t>eQTLGen</w:t>
      </w:r>
      <w:proofErr w:type="spellEnd"/>
      <w:r w:rsidR="00023B3B">
        <w:t xml:space="preserve"> </w:t>
      </w:r>
      <w:r w:rsidR="005D60A4">
        <w:fldChar w:fldCharType="begin"/>
      </w:r>
      <w:r w:rsidR="005D60A4">
        <w:instrText xml:space="preserve"> ADDIN ZOTERO_ITEM CSL_CITATION {"citationID":"KtfvU8jU","properties":{"formattedCitation":"(V\\uc0\\u245{}sa et al., 2021)","plainCitation":"(Võsa et al., 2021)","noteIndex":0},"citationItems":[{"id":4057,"uris":["http://zotero.org/users/9762508/items/7PWF22TA"],"itemData":{"id":4057,"type":"article-journal","abstract":"Trait-associated genetic variants affect complex phenotypes primarily via regulatory mechanisms on the transcriptome. To investigate the genetics of gene expression, we performed cis- and trans-expression quantitative trait locus (eQTL) analyses using blood-derived expression from 31,684 individuals through the eQTLGen Consortium. We detected cis-eQTL for 88% of genes, and these were replicable in numerous tissues. Distal trans-eQTL (detected for 37% of 10,317 trait-associated variants tested) showed lower replication rates, partially due to low replication power and confounding by cell type composition. However, replication analyses in single-cell RNA-seq data prioritized intracellular trans-eQTL. Trans-eQTL exerted their effects via several mechanisms, primarily through regulation by transcription factors. Expression of 13% of the genes correlated with polygenic scores for 1,263 phenotypes, pinpointing potential drivers for those traits. In summary, this work represents a large eQTL resource, and its results serve as a starting point for in-depth interpretation of complex phenotypes.","container-title":"Nature Genetics","DOI":"10.1038/s41588-021-00913-z","ISSN":"1546-1718","issue":"9","journalAbbreviation":"Nat Genet","language":"eng","note":"PMID: 34475573\nPMCID: PMC8432599","page":"1300-1310","source":"PubMed","title":"Large-scale cis- and trans-eQTL analyses identify thousands of genetic loci and polygenic scores that regulate blood gene expression","volume":"53","author":[{"family":"Võsa","given":"Urmo"},{"family":"Claringbould","given":"Annique"},{"family":"Westra","given":"Harm-Jan"},{"family":"Bonder","given":"Marc Jan"},{"family":"Deelen","given":"Patrick"},{"family":"Zeng","given":"Biao"},{"family":"Kirsten","given":"Holger"},{"family":"Saha","given":"Ashis"},{"family":"Kreuzhuber","given":"Roman"},{"family":"Yazar","given":"Seyhan"},{"family":"Brugge","given":"Harm"},{"family":"Oelen","given":"Roy"},{"family":"Vries","given":"Dylan H.","non-dropping-particle":"de"},{"family":"Wijst","given":"Monique G. P.","non-dropping-particle":"van der"},{"family":"Kasela","given":"Silva"},{"family":"Pervjakova","given":"Natalia"},{"family":"Alves","given":"Isabel"},{"family":"Favé","given":"Marie-Julie"},{"family":"Agbessi","given":"Mawussé"},{"family":"Christiansen","given":"Mark W."},{"family":"Jansen","given":"Rick"},{"family":"Seppälä","given":"Ilkka"},{"family":"Tong","given":"Lin"},{"family":"Teumer","given":"Alexander"},{"family":"Schramm","given":"Katharina"},{"family":"Hemani","given":"Gibran"},{"family":"Verlouw","given":"Joost"},{"family":"Yaghootkar","given":"Hanieh"},{"family":"Sönmez Flitman","given":"Reyhan"},{"family":"Brown","given":"Andrew"},{"family":"Kukushkina","given":"Viktorija"},{"family":"Kalnapenkis","given":"Anette"},{"family":"Rüeger","given":"Sina"},{"family":"Porcu","given":"Eleonora"},{"family":"Kronberg","given":"Jaanika"},{"family":"Kettunen","given":"Johannes"},{"family":"Lee","given":"Bernett"},{"family":"Zhang","given":"Futao"},{"family":"Qi","given":"Ting"},{"family":"Hernandez","given":"Jose Alquicira"},{"family":"Arindrarto","given":"Wibowo"},{"family":"Beutner","given":"Frank"},{"literal":"BIOS Consortium"},{"literal":"i2QTL Consortium"},{"family":"Dmitrieva","given":"Julia"},{"family":"Elansary","given":"Mahmoud"},{"family":"Fairfax","given":"Benjamin P."},{"family":"Georges","given":"Michel"},{"family":"Heijmans","given":"Bastiaan T."},{"family":"Hewitt","given":"Alex W."},{"family":"Kähönen","given":"Mika"},{"family":"Kim","given":"Yungil"},{"family":"Knight","given":"Julian C."},{"family":"Kovacs","given":"Peter"},{"family":"Krohn","given":"Knut"},{"family":"Li","given":"Shuang"},{"family":"Loeffler","given":"Markus"},{"family":"Marigorta","given":"Urko M."},{"family":"Mei","given":"Hailang"},{"family":"Momozawa","given":"Yukihide"},{"family":"Müller-Nurasyid","given":"Martina"},{"family":"Nauck","given":"Matthias"},{"family":"Nivard","given":"Michel G."},{"family":"Penninx","given":"Brenda W. J. H."},{"family":"Pritchard","given":"Jonathan K."},{"family":"Raitakari","given":"Olli T."},{"family":"Rotzschke","given":"Olaf"},{"family":"Slagboom","given":"Eline P."},{"family":"Stehouwer","given":"Coen D. A."},{"family":"Stumvoll","given":"Michael"},{"family":"Sullivan","given":"Patrick"},{"family":"Hoen","given":"Peter A. C.","non-dropping-particle":"'t"},{"family":"Thiery","given":"Joachim"},{"family":"Tönjes","given":"Anke"},{"family":"Dongen","given":"Jenny","non-dropping-particle":"van"},{"family":"Iterson","given":"Maarten","non-dropping-particle":"van"},{"family":"Veldink","given":"Jan H."},{"family":"Völker","given":"Uwe"},{"family":"Warmerdam","given":"Robert"},{"family":"Wijmenga","given":"Cisca"},{"family":"Swertz","given":"Morris"},{"family":"Andiappan","given":"Anand"},{"family":"Montgomery","given":"Grant W."},{"family":"Ripatti","given":"Samuli"},{"family":"Perola","given":"Markus"},{"family":"Kutalik","given":"Zoltan"},{"family":"Dermitzakis","given":"Emmanouil"},{"family":"Bergmann","given":"Sven"},{"family":"Frayling","given":"Timothy"},{"family":"Meurs","given":"Joyce","non-dropping-particle":"van"},{"family":"Prokisch","given":"Holger"},{"family":"Ahsan","given":"Habibul"},{"family":"Pierce","given":"Brandon L."},{"family":"Lehtimäki","given":"Terho"},{"family":"Boomsma","given":"Dorret I."},{"family":"Psaty","given":"Bruce M."},{"family":"Gharib","given":"Sina A."},{"family":"Awadalla","given":"Philip"},{"family":"Milani","given":"Lili"},{"family":"Ouwehand","given":"Willem H."},{"family":"Downes","given":"Kate"},{"family":"Stegle","given":"Oliver"},{"family":"Battle","given":"Alexis"},{"family":"Visscher","given":"Peter M."},{"family":"Yang","given":"Jian"},{"family":"Scholz","given":"Markus"},{"family":"Powell","given":"Joseph"},{"family":"Gibson","given":"Greg"},{"family":"Esko","given":"Tõnu"},{"family":"Franke","given":"Lude"}],"issued":{"date-parts":[["2021",9]]}}}],"schema":"https://github.com/citation-style-language/schema/raw/master/csl-citation.json"} </w:instrText>
      </w:r>
      <w:r w:rsidR="005D60A4">
        <w:fldChar w:fldCharType="separate"/>
      </w:r>
      <w:r w:rsidR="005D60A4" w:rsidRPr="005D60A4">
        <w:rPr>
          <w:szCs w:val="24"/>
        </w:rPr>
        <w:t>(Võsa et al., 2021)</w:t>
      </w:r>
      <w:r w:rsidR="005D60A4">
        <w:fldChar w:fldCharType="end"/>
      </w:r>
      <w:r w:rsidR="005D60A4">
        <w:t xml:space="preserve"> </w:t>
      </w:r>
      <w:r w:rsidRPr="00DD692C">
        <w:t xml:space="preserve">(whole blood) and </w:t>
      </w:r>
      <w:proofErr w:type="spellStart"/>
      <w:r w:rsidRPr="00DD692C">
        <w:t>MetaBrain</w:t>
      </w:r>
      <w:proofErr w:type="spellEnd"/>
      <w:r w:rsidRPr="00DD692C">
        <w:t xml:space="preserve"> </w:t>
      </w:r>
      <w:r w:rsidR="005D60A4">
        <w:t>c</w:t>
      </w:r>
      <w:r w:rsidRPr="00DD692C">
        <w:t>onsortia</w:t>
      </w:r>
      <w:r w:rsidR="005D60A4">
        <w:t xml:space="preserve"> </w:t>
      </w:r>
      <w:r w:rsidR="005D60A4">
        <w:fldChar w:fldCharType="begin"/>
      </w:r>
      <w:r w:rsidR="005D60A4">
        <w:instrText xml:space="preserve"> ADDIN ZOTERO_ITEM CSL_CITATION {"citationID":"541Lmdet","properties":{"formattedCitation":"(de Klein et al., 2023)","plainCitation":"(de Klein et al., 2023)","noteIndex":0},"citationItems":[{"id":4646,"uris":["http://zotero.org/users/9762508/items/SKG7PFAQ"],"itemData":{"id":4646,"type":"article-journal","abstract":"Identification of therapeutic targets from genome-wide association studies (GWAS) requires insights into downstream functional consequences. We harmonized 8,613 RNA-sequencing samples from 14 brain datasets to create the MetaBrain resource and performed cis- and trans-expression quantitative trait locus (eQTL) meta-analyses in multiple brain region- and ancestry-specific datasets (n ≤ 2,759). Many of the 16,169 cortex cis-eQTLs were tissue-dependent when compared with blood cis-eQTLs. We inferred brain cell types for 3,549 cis-eQTLs by interaction analysis. We prioritized 186 cis-eQTLs for 31 brain-related traits using Mendelian randomization and co-localization including 40 cis-eQTLs with an inferred cell type, such as a neuron-specific cis-eQTL (CYP24A1) for multiple sclerosis. We further describe 737 trans-eQTLs for 526 unique variants and 108 unique genes. We used brain-specific gene-co-regulation networks to link GWAS loci and prioritize additional genes for five central nervous system diseases. This study represents a valuable resource for post-GWAS research on central nervous system diseases.","container-title":"Nature Genetics","DOI":"10.1038/s41588-023-01300-6","ISSN":"1546-1718","issue":"3","journalAbbreviation":"Nat Genet","language":"en","license":"2023 The Author(s)","note":"number: 3\npublisher: Nature Publishing Group","page":"377-388","source":"www.nature.com","title":"Brain expression quantitative trait locus and network analyses reveal downstream effects and putative drivers for brain-related diseases","volume":"55","author":[{"family":"Klein","given":"Niek","non-dropping-particle":"de"},{"family":"Tsai","given":"Ellen A."},{"family":"Vochteloo","given":"Martijn"},{"family":"Baird","given":"Denis"},{"family":"Huang","given":"Yunfeng"},{"family":"Chen","given":"Chia-Yen"},{"family":"Dam","given":"Sipko","non-dropping-particle":"van"},{"family":"Oelen","given":"Roy"},{"family":"Deelen","given":"Patrick"},{"family":"Bakker","given":"Olivier B."},{"family":"El Garwany","given":"Omar"},{"family":"Ouyang","given":"Zhengyu"},{"family":"Marshall","given":"Eric E."},{"family":"Zavodszky","given":"Maria I."},{"family":"Rheenen","given":"Wouter","non-dropping-particle":"van"},{"family":"Bakker","given":"Mark K."},{"family":"Veldink","given":"Jan"},{"family":"Gaunt","given":"Tom R."},{"family":"Runz","given":"Heiko"},{"family":"Franke","given":"Lude"},{"family":"Westra","given":"Harm-Jan"}],"issued":{"date-parts":[["2023",3]]}}}],"schema":"https://github.com/citation-style-language/schema/raw/master/csl-citation.json"} </w:instrText>
      </w:r>
      <w:r w:rsidR="005D60A4">
        <w:fldChar w:fldCharType="separate"/>
      </w:r>
      <w:r w:rsidR="005D60A4" w:rsidRPr="005D60A4">
        <w:t>(de Klein et al., 2023)</w:t>
      </w:r>
      <w:r w:rsidR="005D60A4">
        <w:fldChar w:fldCharType="end"/>
      </w:r>
      <w:r w:rsidRPr="00DD692C">
        <w:t>. A total of 46 unique protein-coding genes (21 of which located in the MHC region) reached significance (</w:t>
      </w:r>
      <w:sdt>
        <w:sdtPr>
          <w:tag w:val="goog_rdk_82"/>
          <w:id w:val="1920210665"/>
        </w:sdtPr>
        <w:sdtContent>
          <w:r w:rsidRPr="0089583A">
            <w:rPr>
              <w:b/>
            </w:rPr>
            <w:t>Supplementary</w:t>
          </w:r>
        </w:sdtContent>
      </w:sdt>
      <w:r w:rsidRPr="00DD692C">
        <w:t xml:space="preserve"> </w:t>
      </w:r>
      <w:sdt>
        <w:sdtPr>
          <w:tag w:val="goog_rdk_83"/>
          <w:id w:val="987675524"/>
        </w:sdtPr>
        <w:sdtContent>
          <w:r w:rsidRPr="0089583A">
            <w:rPr>
              <w:b/>
            </w:rPr>
            <w:t>Table S11</w:t>
          </w:r>
        </w:sdtContent>
      </w:sdt>
      <w:r w:rsidRPr="00DD692C">
        <w:t xml:space="preserve">), of which </w:t>
      </w:r>
      <w:r w:rsidR="005D60A4">
        <w:t>seven</w:t>
      </w:r>
      <w:r w:rsidRPr="00DD692C">
        <w:t xml:space="preserve"> were significant in both the </w:t>
      </w:r>
      <w:proofErr w:type="spellStart"/>
      <w:r w:rsidRPr="00DD692C">
        <w:t>MetaBrain</w:t>
      </w:r>
      <w:proofErr w:type="spellEnd"/>
      <w:r w:rsidRPr="00DD692C">
        <w:t xml:space="preserve"> (14 genes in total) and </w:t>
      </w:r>
      <w:proofErr w:type="spellStart"/>
      <w:r w:rsidRPr="00DD692C">
        <w:t>eQTLGen</w:t>
      </w:r>
      <w:proofErr w:type="spellEnd"/>
      <w:r w:rsidRPr="00DD692C">
        <w:t xml:space="preserve"> (39 genes in total) datasets. Of the 46 genes, 24 (</w:t>
      </w:r>
      <w:r w:rsidR="005D60A4">
        <w:t>six</w:t>
      </w:r>
      <w:r w:rsidRPr="00DD692C">
        <w:t xml:space="preserve"> in MHC region) had a HEIDI (heterogeneity in dependent instruments) P &gt; 0.05 in blood or brain tissue, indicating that a single causal variant underlies the GWAS and </w:t>
      </w:r>
      <w:proofErr w:type="spellStart"/>
      <w:r w:rsidRPr="00DD692C">
        <w:t>eQTL</w:t>
      </w:r>
      <w:proofErr w:type="spellEnd"/>
      <w:r w:rsidRPr="00DD692C">
        <w:t xml:space="preserve"> association (</w:t>
      </w:r>
      <w:sdt>
        <w:sdtPr>
          <w:tag w:val="goog_rdk_84"/>
          <w:id w:val="603312081"/>
        </w:sdtPr>
        <w:sdtContent>
          <w:r w:rsidRPr="0089583A">
            <w:rPr>
              <w:b/>
            </w:rPr>
            <w:t>Supplementary Table S11</w:t>
          </w:r>
        </w:sdtContent>
      </w:sdt>
      <w:r w:rsidRPr="00DD692C">
        <w:t xml:space="preserve">). We found </w:t>
      </w:r>
      <w:r w:rsidR="005D60A4">
        <w:t>three</w:t>
      </w:r>
      <w:r w:rsidRPr="00DD692C">
        <w:t xml:space="preserve"> significant genes with HEIDI P &gt; 0.05 in both the </w:t>
      </w:r>
      <w:proofErr w:type="spellStart"/>
      <w:r w:rsidRPr="00DD692C">
        <w:t>MetaBrain</w:t>
      </w:r>
      <w:proofErr w:type="spellEnd"/>
      <w:r w:rsidRPr="00DD692C">
        <w:t xml:space="preserve"> and </w:t>
      </w:r>
      <w:proofErr w:type="spellStart"/>
      <w:r w:rsidRPr="00DD692C">
        <w:t>eQTLGen</w:t>
      </w:r>
      <w:proofErr w:type="spellEnd"/>
      <w:r w:rsidRPr="00DD692C">
        <w:t xml:space="preserve"> datasets (</w:t>
      </w:r>
      <w:r w:rsidRPr="005D60A4">
        <w:rPr>
          <w:i/>
          <w:iCs/>
        </w:rPr>
        <w:t>WDR6</w:t>
      </w:r>
      <w:r w:rsidRPr="00DD692C">
        <w:t xml:space="preserve">, </w:t>
      </w:r>
      <w:r w:rsidRPr="005D60A4">
        <w:rPr>
          <w:i/>
          <w:iCs/>
        </w:rPr>
        <w:t>ARIH2</w:t>
      </w:r>
      <w:r w:rsidRPr="00DD692C">
        <w:t xml:space="preserve">, and </w:t>
      </w:r>
      <w:r w:rsidRPr="005D60A4">
        <w:rPr>
          <w:i/>
          <w:iCs/>
        </w:rPr>
        <w:t>FLOT1</w:t>
      </w:r>
      <w:r w:rsidRPr="00DD692C">
        <w:t>), one of which (WDR6) also had a significant and colocalized signal in the TWAS analysis.</w:t>
      </w:r>
    </w:p>
    <w:p w14:paraId="00000072" w14:textId="77777777" w:rsidR="008E545C" w:rsidRPr="00DD692C" w:rsidRDefault="00000000">
      <w:pPr>
        <w:pStyle w:val="berschrift3"/>
      </w:pPr>
      <w:bookmarkStart w:id="38" w:name="_heading=h.41mghml" w:colFirst="0" w:colLast="0"/>
      <w:bookmarkEnd w:id="38"/>
      <w:r w:rsidRPr="00DD692C">
        <w:t xml:space="preserve">Psychiatric </w:t>
      </w:r>
      <w:proofErr w:type="spellStart"/>
      <w:r w:rsidRPr="00DD692C">
        <w:t>Omnilocus</w:t>
      </w:r>
      <w:proofErr w:type="spellEnd"/>
      <w:r w:rsidRPr="00DD692C">
        <w:t xml:space="preserve"> </w:t>
      </w:r>
      <w:proofErr w:type="spellStart"/>
      <w:r w:rsidRPr="00DD692C">
        <w:t>Prioritisation</w:t>
      </w:r>
      <w:proofErr w:type="spellEnd"/>
      <w:r w:rsidRPr="00DD692C">
        <w:t xml:space="preserve"> Score (</w:t>
      </w:r>
      <w:proofErr w:type="spellStart"/>
      <w:r w:rsidRPr="00DD692C">
        <w:t>PsyOPS</w:t>
      </w:r>
      <w:proofErr w:type="spellEnd"/>
      <w:r w:rsidRPr="00DD692C">
        <w:t xml:space="preserve">) </w:t>
      </w:r>
    </w:p>
    <w:p w14:paraId="00000073" w14:textId="1B96522B" w:rsidR="008E545C" w:rsidRPr="00DD692C" w:rsidRDefault="00000000">
      <w:pPr>
        <w:spacing w:line="480" w:lineRule="auto"/>
        <w:jc w:val="both"/>
        <w:rPr>
          <w:i/>
        </w:rPr>
      </w:pPr>
      <w:r w:rsidRPr="00DD692C">
        <w:t xml:space="preserve">We used the Psychiatric </w:t>
      </w:r>
      <w:proofErr w:type="spellStart"/>
      <w:r w:rsidRPr="00DD692C">
        <w:t>Omnilocus</w:t>
      </w:r>
      <w:proofErr w:type="spellEnd"/>
      <w:r w:rsidRPr="00DD692C">
        <w:t xml:space="preserve"> </w:t>
      </w:r>
      <w:proofErr w:type="spellStart"/>
      <w:r w:rsidRPr="00DD692C">
        <w:t>Prioritisation</w:t>
      </w:r>
      <w:proofErr w:type="spellEnd"/>
      <w:r w:rsidRPr="00DD692C">
        <w:t xml:space="preserve"> Score (</w:t>
      </w:r>
      <w:proofErr w:type="spellStart"/>
      <w:r w:rsidRPr="00DD692C">
        <w:t>PsyOPS</w:t>
      </w:r>
      <w:proofErr w:type="spellEnd"/>
      <w:r w:rsidRPr="00DD692C">
        <w:t xml:space="preserve">) </w:t>
      </w:r>
      <w:r w:rsidR="005D60A4">
        <w:fldChar w:fldCharType="begin"/>
      </w:r>
      <w:r w:rsidR="005D60A4">
        <w:instrText xml:space="preserve"> ADDIN ZOTERO_ITEM CSL_CITATION {"citationID":"EnSPD3MB","properties":{"formattedCitation":"(Wainberg et al., 2022)","plainCitation":"(Wainberg et al., 2022)","noteIndex":0},"citationItems":[{"id":3488,"uris":["http://zotero.org/users/9762508/items/TXBDCM6F"],"itemData":{"id":3488,"type":"article-journal","abstract":"Genome-wide association studies have discovered hundreds of genomic loci associated with psychiatric traits, but the causal genes underlying these associations are often unclear, a research gap that has hindered clinical translation. Here, we present a Psychiatric Omnilocus Prioritization Score (PsyOPS) derived from just three binary features encapsulating high-level assumptions about psychiatric disease etiology – namely, that causal psychiatric disease genes are likely to be mutationally constrained, be specifically expressed in the brain, and overlap with known neurodevelopmental disease genes. To our knowledge, PsyOPS is the first method specifically tailored to prioritizing causal genes at psychiatric GWAS loci. We show that, despite its extreme simplicity, PsyOPS achieves state-of-the-art performance at this task, comparable to a prior domain-agnostic approach relying on tens of thousands of features. Genes prioritized by PsyOPS are substantially more likely than other genes at the same loci to have convergent evidence of direct regulation by the GWAS variant according to both DNA looping assays and expression or splicing quantitative trait locus (QTL) maps. We provide examples of genes hundreds of kilobases away from the lead variant, like GABBR1 for schizophrenia, that are prioritized by all three of PsyOPS, DNA looping and QTLs. Our results underscore the power of incorporating high-level knowledge of trait etiology into causal gene prediction at GWAS loci, and comprise a resource for researchers interested in experimentally characterizing psychiatric gene candidates.","container-title":"Molecular Psychiatry","DOI":"10.1038/s41380-022-01542-6","ISSN":"1476-5578","issue":"7","journalAbbreviation":"Mol Psychiatry","language":"en","license":"2022 The Author(s), under exclusive licence to Springer Nature Limited","note":"number: 7\npublisher: Nature Publishing Group","page":"3095-3106","source":"www.nature.com","title":"Predicting causal genes from psychiatric genome-wide association studies using high-level etiological knowledge","volume":"27","author":[{"family":"Wainberg","given":"Michael"},{"family":"Merico","given":"Daniele"},{"family":"Keller","given":"Matthew C."},{"family":"Fauman","given":"Eric B."},{"family":"Tripathy","given":"Shreejoy J."}],"issued":{"date-parts":[["2022",7]]}}}],"schema":"https://github.com/citation-style-language/schema/raw/master/csl-citation.json"} </w:instrText>
      </w:r>
      <w:r w:rsidR="005D60A4">
        <w:fldChar w:fldCharType="separate"/>
      </w:r>
      <w:r w:rsidR="005D60A4" w:rsidRPr="005D60A4">
        <w:t>(Wainberg et al., 2022)</w:t>
      </w:r>
      <w:r w:rsidR="005D60A4">
        <w:fldChar w:fldCharType="end"/>
      </w:r>
      <w:r w:rsidRPr="00DD692C">
        <w:t xml:space="preserve"> in a supervised approach that uses both positional mapping and biological annotations to prioritize putative causal genes for psychiatric traits. This approach expanded the list of candidate genes within OCD loci. For example, </w:t>
      </w:r>
      <w:r w:rsidRPr="00DD692C">
        <w:rPr>
          <w:i/>
        </w:rPr>
        <w:t>CSRNP3</w:t>
      </w:r>
      <w:r w:rsidRPr="00DD692C">
        <w:t xml:space="preserve"> is nearest the index SNP rs9287859 on chromosome 2 and had a significant </w:t>
      </w:r>
      <w:proofErr w:type="spellStart"/>
      <w:r w:rsidRPr="00DD692C">
        <w:t>mBAT</w:t>
      </w:r>
      <w:proofErr w:type="spellEnd"/>
      <w:r w:rsidRPr="00DD692C">
        <w:t>-combo association (</w:t>
      </w:r>
      <m:oMath>
        <m:r>
          <w:rPr>
            <w:rFonts w:ascii="Cambria Math" w:hAnsi="Cambria Math"/>
          </w:rPr>
          <m:t>P=3.99x</m:t>
        </m:r>
        <m:sSup>
          <m:sSupPr>
            <m:ctrlPr>
              <w:rPr>
                <w:rFonts w:ascii="Cambria Math" w:hAnsi="Cambria Math"/>
              </w:rPr>
            </m:ctrlPr>
          </m:sSupPr>
          <m:e>
            <m:r>
              <w:rPr>
                <w:rFonts w:ascii="Cambria Math" w:hAnsi="Cambria Math"/>
              </w:rPr>
              <m:t>10</m:t>
            </m:r>
          </m:e>
          <m:sup>
            <m:r>
              <w:rPr>
                <w:rFonts w:ascii="Cambria Math" w:hAnsi="Cambria Math"/>
              </w:rPr>
              <m:t>-08</m:t>
            </m:r>
          </m:sup>
        </m:sSup>
      </m:oMath>
      <w:r w:rsidRPr="00DD692C">
        <w:t xml:space="preserve">). However, PsyOPS prioritized the sodium channel protein subunit genes </w:t>
      </w:r>
      <w:r w:rsidRPr="00DD692C">
        <w:rPr>
          <w:i/>
        </w:rPr>
        <w:t>SCN1A</w:t>
      </w:r>
      <w:r w:rsidRPr="00DD692C">
        <w:t xml:space="preserve">, </w:t>
      </w:r>
      <w:r w:rsidRPr="00DD692C">
        <w:rPr>
          <w:i/>
        </w:rPr>
        <w:t>SCN2A</w:t>
      </w:r>
      <w:r w:rsidRPr="00DD692C">
        <w:t xml:space="preserve">, and </w:t>
      </w:r>
      <w:r w:rsidRPr="00DD692C">
        <w:rPr>
          <w:i/>
        </w:rPr>
        <w:t>SCN3A</w:t>
      </w:r>
      <w:r w:rsidRPr="00DD692C">
        <w:t xml:space="preserve">, which are located further away from the index SNP but are given greater weight by </w:t>
      </w:r>
      <w:proofErr w:type="spellStart"/>
      <w:r w:rsidRPr="00DD692C">
        <w:t>PsyOPS</w:t>
      </w:r>
      <w:proofErr w:type="spellEnd"/>
      <w:r w:rsidRPr="00DD692C">
        <w:t xml:space="preserve"> than other genes in the locus due to their loss-of-function intolerance, brain-specific expression, and involvement in neurodevelopmental disorders. </w:t>
      </w:r>
    </w:p>
    <w:p w14:paraId="00000074" w14:textId="77777777" w:rsidR="008E545C" w:rsidRPr="00DD692C" w:rsidRDefault="00000000">
      <w:pPr>
        <w:pStyle w:val="berschrift3"/>
        <w:spacing w:line="480" w:lineRule="auto"/>
        <w:jc w:val="both"/>
      </w:pPr>
      <w:bookmarkStart w:id="39" w:name="_heading=h.2grqrue" w:colFirst="0" w:colLast="0"/>
      <w:bookmarkEnd w:id="39"/>
      <w:r w:rsidRPr="00DD692C">
        <w:lastRenderedPageBreak/>
        <w:t>TWAS-COLOC and SMR-HEIDI</w:t>
      </w:r>
    </w:p>
    <w:p w14:paraId="00000075" w14:textId="77777777" w:rsidR="008E545C" w:rsidRPr="00DD692C" w:rsidRDefault="00000000">
      <w:pPr>
        <w:spacing w:line="480" w:lineRule="auto"/>
        <w:jc w:val="both"/>
      </w:pPr>
      <w:r w:rsidRPr="00DD692C">
        <w:t>Colocalization of the significant TWAS results (TWAS-COLOC) identified 15 genes (PPH4 &gt; 0.8), 11 of which were conditionally independent, while HEIDI prioritized 22 significant SMR associations (HEIDI P &gt; 0.05). In total, 35 genes significantly associated with OCD passed colocalization and/or HEIDI criteria.</w:t>
      </w:r>
    </w:p>
    <w:p w14:paraId="00000076" w14:textId="77777777" w:rsidR="008E545C" w:rsidRPr="00DD692C" w:rsidRDefault="00000000">
      <w:pPr>
        <w:pStyle w:val="berschrift3"/>
      </w:pPr>
      <w:bookmarkStart w:id="40" w:name="_heading=h.vx1227" w:colFirst="0" w:colLast="0"/>
      <w:bookmarkEnd w:id="40"/>
      <w:r w:rsidRPr="00DD692C">
        <w:t>Overlap</w:t>
      </w:r>
    </w:p>
    <w:p w14:paraId="00000078" w14:textId="6569BDE2" w:rsidR="008E545C" w:rsidRPr="00DD692C" w:rsidRDefault="00000000">
      <w:pPr>
        <w:spacing w:line="480" w:lineRule="auto"/>
        <w:jc w:val="both"/>
      </w:pPr>
      <w:r w:rsidRPr="00DD692C">
        <w:t xml:space="preserve">From the individual results for the four approaches, the following overlap in significant genes was observed: For the positional mapping approaches 123 genes showed significance in both the </w:t>
      </w:r>
      <w:proofErr w:type="spellStart"/>
      <w:r w:rsidRPr="00DD692C">
        <w:t>mBAT</w:t>
      </w:r>
      <w:proofErr w:type="spellEnd"/>
      <w:r w:rsidRPr="00DD692C">
        <w:t xml:space="preserve">-combo and </w:t>
      </w:r>
      <w:proofErr w:type="spellStart"/>
      <w:r w:rsidRPr="00DD692C">
        <w:t>PsyOPS</w:t>
      </w:r>
      <w:proofErr w:type="spellEnd"/>
      <w:r w:rsidRPr="00DD692C">
        <w:t xml:space="preserve"> analyses. For the functional </w:t>
      </w:r>
      <w:proofErr w:type="spellStart"/>
      <w:r w:rsidRPr="00DD692C">
        <w:t>eQTL</w:t>
      </w:r>
      <w:proofErr w:type="spellEnd"/>
      <w:r w:rsidRPr="00DD692C">
        <w:t xml:space="preserve"> approaches, </w:t>
      </w:r>
      <w:r w:rsidR="005D60A4">
        <w:t>ten</w:t>
      </w:r>
      <w:r w:rsidRPr="00DD692C">
        <w:t xml:space="preserve"> genes showed significance in both approaches (TWAS and SMR). For the group of 37 genes that was identified by at least one positional approach (i.e., either </w:t>
      </w:r>
      <w:proofErr w:type="spellStart"/>
      <w:r w:rsidRPr="00DD692C">
        <w:t>mBAT</w:t>
      </w:r>
      <w:proofErr w:type="spellEnd"/>
      <w:r w:rsidRPr="00DD692C">
        <w:t xml:space="preserve">-combo or </w:t>
      </w:r>
      <w:proofErr w:type="spellStart"/>
      <w:r w:rsidRPr="00DD692C">
        <w:t>PsyOPS</w:t>
      </w:r>
      <w:proofErr w:type="spellEnd"/>
      <w:r w:rsidRPr="00DD692C">
        <w:t xml:space="preserve">) and one functional </w:t>
      </w:r>
      <w:proofErr w:type="spellStart"/>
      <w:r w:rsidRPr="00DD692C">
        <w:t>eQTL</w:t>
      </w:r>
      <w:proofErr w:type="spellEnd"/>
      <w:r w:rsidRPr="00DD692C">
        <w:t xml:space="preserve"> approach (i.e., either TWAS or SMR), 27 genes were identified by </w:t>
      </w:r>
      <w:proofErr w:type="spellStart"/>
      <w:r w:rsidRPr="00DD692C">
        <w:t>mBAT</w:t>
      </w:r>
      <w:proofErr w:type="spellEnd"/>
      <w:r w:rsidRPr="00DD692C">
        <w:t>-combo and either TWAS (</w:t>
      </w:r>
      <w:r w:rsidR="005D60A4">
        <w:t>four</w:t>
      </w:r>
      <w:r w:rsidRPr="00DD692C">
        <w:t xml:space="preserve"> genes) or SMR (23 genes), and 27 genes were identified by </w:t>
      </w:r>
      <w:proofErr w:type="spellStart"/>
      <w:r w:rsidRPr="00DD692C">
        <w:t>PsyOPS</w:t>
      </w:r>
      <w:proofErr w:type="spellEnd"/>
      <w:r w:rsidRPr="00DD692C">
        <w:t xml:space="preserve"> and either TWAS (</w:t>
      </w:r>
      <w:r w:rsidR="005D60A4">
        <w:t>nine</w:t>
      </w:r>
      <w:r w:rsidRPr="00DD692C">
        <w:t xml:space="preserve"> genes) or SMR (18 genes). See the main manuscript for the genes that were either conditional independent (TWAS-COLOC) or were significant in both tested SMR tissues (whole blood and brain). Out of the 123 genes identified in both positional mapping approaches (see above), 24 genes overlapped with significant results for the SMR analysis using </w:t>
      </w:r>
      <w:proofErr w:type="spellStart"/>
      <w:r w:rsidRPr="00DD692C">
        <w:t>eQTLs</w:t>
      </w:r>
      <w:proofErr w:type="spellEnd"/>
      <w:r w:rsidRPr="00DD692C">
        <w:t xml:space="preserve"> from whole blood, and </w:t>
      </w:r>
      <w:r w:rsidR="005D60A4">
        <w:t>eight</w:t>
      </w:r>
      <w:r w:rsidRPr="00DD692C">
        <w:t xml:space="preserve"> genes overlapped with significant results for the SMR analysis using </w:t>
      </w:r>
      <w:proofErr w:type="spellStart"/>
      <w:r w:rsidRPr="00DD692C">
        <w:t>eQTLs</w:t>
      </w:r>
      <w:proofErr w:type="spellEnd"/>
      <w:r w:rsidRPr="00DD692C">
        <w:t xml:space="preserve"> from brain tissue. Out of these, </w:t>
      </w:r>
      <w:r w:rsidR="005D60A4">
        <w:t>five</w:t>
      </w:r>
      <w:r w:rsidRPr="00DD692C">
        <w:t xml:space="preserve"> genes showed significance across the positional mapping approaches and SMR analyses for both tissues. These included the </w:t>
      </w:r>
      <w:proofErr w:type="gramStart"/>
      <w:r w:rsidRPr="00DD692C">
        <w:t>aforementioned</w:t>
      </w:r>
      <w:r w:rsidR="005D60A4">
        <w:t xml:space="preserve"> </w:t>
      </w:r>
      <w:r w:rsidRPr="00DD692C">
        <w:rPr>
          <w:i/>
        </w:rPr>
        <w:t>WDR6</w:t>
      </w:r>
      <w:proofErr w:type="gramEnd"/>
      <w:r w:rsidRPr="00DD692C">
        <w:t xml:space="preserve">, </w:t>
      </w:r>
      <w:r w:rsidRPr="00DD692C">
        <w:rPr>
          <w:i/>
        </w:rPr>
        <w:t>ARIH2</w:t>
      </w:r>
      <w:r w:rsidRPr="00DD692C">
        <w:t xml:space="preserve">, </w:t>
      </w:r>
      <w:r w:rsidRPr="00DD692C">
        <w:rPr>
          <w:i/>
        </w:rPr>
        <w:t>NCKIPSD</w:t>
      </w:r>
      <w:r w:rsidRPr="00DD692C">
        <w:t xml:space="preserve"> genes from the previously identified chromosome 3 region, </w:t>
      </w:r>
      <w:r w:rsidRPr="00DD692C">
        <w:rPr>
          <w:i/>
        </w:rPr>
        <w:t>BTN3A2</w:t>
      </w:r>
      <w:r w:rsidRPr="00DD692C">
        <w:t xml:space="preserve"> in the extended MHC region, and the</w:t>
      </w:r>
      <w:r w:rsidRPr="00DD692C">
        <w:rPr>
          <w:i/>
        </w:rPr>
        <w:t xml:space="preserve"> </w:t>
      </w:r>
      <w:r w:rsidRPr="00DD692C">
        <w:t>Poly(A) Binding Protein Cytoplasmic 1 Like (</w:t>
      </w:r>
      <w:r w:rsidRPr="00DD692C">
        <w:rPr>
          <w:i/>
        </w:rPr>
        <w:t>PABPC1L</w:t>
      </w:r>
      <w:r w:rsidRPr="00DD692C">
        <w:t xml:space="preserve">) gene on chromosome 20. Out of the 123 genes identified in both positional mapping approaches (see above), 12 genes were also significant in the TWAS analysis. Of these, </w:t>
      </w:r>
      <w:r w:rsidR="005D60A4">
        <w:t>two</w:t>
      </w:r>
      <w:r w:rsidRPr="00DD692C">
        <w:t xml:space="preserve"> genes were conditionally independent (</w:t>
      </w:r>
      <w:r w:rsidRPr="00DD692C">
        <w:rPr>
          <w:i/>
        </w:rPr>
        <w:t>CTNND1</w:t>
      </w:r>
      <w:r w:rsidRPr="00DD692C">
        <w:t xml:space="preserve">, and </w:t>
      </w:r>
      <w:r w:rsidRPr="00DD692C">
        <w:rPr>
          <w:i/>
        </w:rPr>
        <w:t>WDR6</w:t>
      </w:r>
      <w:r w:rsidRPr="00DD692C">
        <w:t xml:space="preserve">). </w:t>
      </w:r>
    </w:p>
    <w:p w14:paraId="00000079" w14:textId="6EDE5E02" w:rsidR="008E545C" w:rsidRPr="00DD692C" w:rsidRDefault="00000000">
      <w:pPr>
        <w:pStyle w:val="berschrift2"/>
        <w:spacing w:line="480" w:lineRule="auto"/>
        <w:jc w:val="both"/>
      </w:pPr>
      <w:bookmarkStart w:id="41" w:name="_Toc161234214"/>
      <w:r w:rsidRPr="00DD692C">
        <w:lastRenderedPageBreak/>
        <w:t xml:space="preserve">Supplementary Note </w:t>
      </w:r>
      <w:r w:rsidR="00872FF2">
        <w:t>8</w:t>
      </w:r>
      <w:r w:rsidRPr="00DD692C">
        <w:t xml:space="preserve">: </w:t>
      </w:r>
      <w:r w:rsidR="005D60A4">
        <w:t>S</w:t>
      </w:r>
      <w:r w:rsidRPr="00DD692C">
        <w:t>ample size and number of GWS loci</w:t>
      </w:r>
      <w:bookmarkEnd w:id="41"/>
    </w:p>
    <w:p w14:paraId="0000007A" w14:textId="79E5AC67" w:rsidR="008E545C" w:rsidRPr="00DD692C" w:rsidRDefault="00000000">
      <w:pPr>
        <w:spacing w:line="480" w:lineRule="auto"/>
        <w:jc w:val="both"/>
      </w:pPr>
      <w:r w:rsidRPr="00DD692C">
        <w:t xml:space="preserve">For OCD, like with other complex traits, there seems to be a relationship between the number of genome-wide significant loci that were identified in the GWAS and the sample size in the analysis. To highlight this relationship, we conducted additional meta-analyses combining different sub-samples of previously published GWASs (e.g., combining the PGC OCD2 GWAS with the 23andMe sample from this GWAS). A graphical representation can be found in </w:t>
      </w:r>
      <w:r w:rsidRPr="00DD692C">
        <w:rPr>
          <w:b/>
        </w:rPr>
        <w:t>Supplementary Figure S</w:t>
      </w:r>
      <w:r w:rsidR="00810C9F">
        <w:rPr>
          <w:b/>
        </w:rPr>
        <w:t>40</w:t>
      </w:r>
      <w:r w:rsidRPr="00DD692C">
        <w:rPr>
          <w:i/>
        </w:rPr>
        <w:t xml:space="preserve">. </w:t>
      </w:r>
      <w:r w:rsidR="005D60A4" w:rsidRPr="00DD692C">
        <w:t>Between</w:t>
      </w:r>
      <w:r w:rsidRPr="00DD692C">
        <w:t xml:space="preserve"> 25</w:t>
      </w:r>
      <w:r w:rsidR="005D60A4">
        <w:t>,000</w:t>
      </w:r>
      <w:r w:rsidRPr="00DD692C">
        <w:t xml:space="preserve"> (PGC OCD2 GWAS) and 30</w:t>
      </w:r>
      <w:r w:rsidR="005D60A4">
        <w:t>,000</w:t>
      </w:r>
      <w:r w:rsidRPr="00DD692C">
        <w:t xml:space="preserve"> cases (23andMe sample), the relationship between genome-wide significant loci and sample size </w:t>
      </w:r>
      <w:r w:rsidR="005D60A4">
        <w:t xml:space="preserve">seems to </w:t>
      </w:r>
      <w:r w:rsidRPr="00DD692C">
        <w:t xml:space="preserve">become linear, and (at least within European ancestry samples) each additional ~ 1000 cases will add one additional genome-wide significant SNP on average (see </w:t>
      </w:r>
      <w:r w:rsidRPr="00DD692C">
        <w:rPr>
          <w:b/>
        </w:rPr>
        <w:t>Supplementary Table S</w:t>
      </w:r>
      <w:r w:rsidR="002C15D0">
        <w:rPr>
          <w:b/>
        </w:rPr>
        <w:t>19</w:t>
      </w:r>
      <w:r w:rsidRPr="00DD692C">
        <w:t xml:space="preserve">). </w:t>
      </w:r>
      <w:r w:rsidRPr="00DD692C">
        <w:br w:type="page"/>
      </w:r>
    </w:p>
    <w:p w14:paraId="0000007B" w14:textId="77777777" w:rsidR="008E545C" w:rsidRPr="00DD692C" w:rsidRDefault="00000000">
      <w:pPr>
        <w:pStyle w:val="berschrift1"/>
        <w:spacing w:line="240" w:lineRule="auto"/>
      </w:pPr>
      <w:bookmarkStart w:id="42" w:name="_Toc161234215"/>
      <w:r w:rsidRPr="00DD692C">
        <w:lastRenderedPageBreak/>
        <w:t>Supplementary Figures</w:t>
      </w:r>
      <w:bookmarkEnd w:id="42"/>
    </w:p>
    <w:p w14:paraId="0000007C" w14:textId="77777777" w:rsidR="008E545C" w:rsidRPr="00DD692C" w:rsidRDefault="00000000">
      <w:pPr>
        <w:pStyle w:val="berschrift2"/>
        <w:spacing w:line="240" w:lineRule="auto"/>
      </w:pPr>
      <w:bookmarkStart w:id="43" w:name="_Toc161234216"/>
      <w:r w:rsidRPr="00DD692C">
        <w:t>Regional association plots and forest plots of the 30 significant SNPs</w:t>
      </w:r>
      <w:bookmarkEnd w:id="43"/>
    </w:p>
    <w:p w14:paraId="0000007D" w14:textId="77777777" w:rsidR="008E545C" w:rsidRPr="00DD692C" w:rsidRDefault="008E545C"/>
    <w:p w14:paraId="0000007E" w14:textId="77777777" w:rsidR="008E545C" w:rsidRPr="00DD692C" w:rsidRDefault="008E545C">
      <w:pPr>
        <w:spacing w:line="240" w:lineRule="auto"/>
      </w:pPr>
    </w:p>
    <w:p w14:paraId="0000007F" w14:textId="77777777" w:rsidR="008E545C" w:rsidRPr="00DD692C" w:rsidRDefault="008E545C">
      <w:pPr>
        <w:spacing w:line="240" w:lineRule="auto"/>
      </w:pPr>
    </w:p>
    <w:tbl>
      <w:tblPr>
        <w:tblStyle w:val="a4"/>
        <w:tblW w:w="9360"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8E545C" w:rsidRPr="00DD692C" w14:paraId="3B6C59F1" w14:textId="77777777">
        <w:trPr>
          <w:trHeight w:val="11139"/>
        </w:trPr>
        <w:tc>
          <w:tcPr>
            <w:tcW w:w="9360" w:type="dxa"/>
            <w:shd w:val="clear" w:color="auto" w:fill="auto"/>
            <w:tcMar>
              <w:top w:w="100" w:type="dxa"/>
              <w:left w:w="100" w:type="dxa"/>
              <w:bottom w:w="100" w:type="dxa"/>
              <w:right w:w="100" w:type="dxa"/>
            </w:tcMar>
          </w:tcPr>
          <w:p w14:paraId="00000080" w14:textId="77777777" w:rsidR="008E545C" w:rsidRPr="00DD692C" w:rsidRDefault="00000000">
            <w:r w:rsidRPr="00DD692C">
              <w:rPr>
                <w:noProof/>
              </w:rPr>
              <w:lastRenderedPageBreak/>
              <w:drawing>
                <wp:inline distT="114300" distB="114300" distL="114300" distR="114300" wp14:anchorId="05D6DB56" wp14:editId="1EA92C50">
                  <wp:extent cx="5456840" cy="7100888"/>
                  <wp:effectExtent l="0" t="0" r="0" b="0"/>
                  <wp:docPr id="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456840" cy="7100888"/>
                          </a:xfrm>
                          <a:prstGeom prst="rect">
                            <a:avLst/>
                          </a:prstGeom>
                          <a:ln/>
                        </pic:spPr>
                      </pic:pic>
                    </a:graphicData>
                  </a:graphic>
                </wp:inline>
              </w:drawing>
            </w:r>
          </w:p>
        </w:tc>
      </w:tr>
      <w:tr w:rsidR="008E545C" w:rsidRPr="00DD692C" w14:paraId="46C33D8E" w14:textId="77777777">
        <w:trPr>
          <w:trHeight w:val="2037"/>
        </w:trPr>
        <w:tc>
          <w:tcPr>
            <w:tcW w:w="9360" w:type="dxa"/>
            <w:shd w:val="clear" w:color="auto" w:fill="auto"/>
            <w:tcMar>
              <w:top w:w="100" w:type="dxa"/>
              <w:left w:w="100" w:type="dxa"/>
              <w:bottom w:w="100" w:type="dxa"/>
              <w:right w:w="100" w:type="dxa"/>
            </w:tcMar>
          </w:tcPr>
          <w:p w14:paraId="00000081" w14:textId="77777777" w:rsidR="008E545C" w:rsidRPr="00DD692C" w:rsidRDefault="00000000">
            <w:pPr>
              <w:jc w:val="both"/>
              <w:rPr>
                <w:sz w:val="18"/>
                <w:szCs w:val="18"/>
              </w:rPr>
            </w:pPr>
            <w:r w:rsidRPr="00DD692C">
              <w:rPr>
                <w:b/>
                <w:sz w:val="18"/>
                <w:szCs w:val="18"/>
              </w:rPr>
              <w:t>Supplementary Figure S1: Forest plot (A) and regional association plot (B) of SNP rs78587207 in the meta-analysis.</w:t>
            </w:r>
            <w:r w:rsidRPr="00DD692C">
              <w:rPr>
                <w:sz w:val="18"/>
                <w:szCs w:val="18"/>
              </w:rPr>
              <w:t xml:space="preserve"> 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4B1D439B" w14:textId="77777777">
        <w:trPr>
          <w:trHeight w:val="2037"/>
        </w:trPr>
        <w:tc>
          <w:tcPr>
            <w:tcW w:w="9360" w:type="dxa"/>
            <w:shd w:val="clear" w:color="auto" w:fill="auto"/>
            <w:tcMar>
              <w:top w:w="100" w:type="dxa"/>
              <w:left w:w="100" w:type="dxa"/>
              <w:bottom w:w="100" w:type="dxa"/>
              <w:right w:w="100" w:type="dxa"/>
            </w:tcMar>
          </w:tcPr>
          <w:p w14:paraId="00000082" w14:textId="77777777" w:rsidR="008E545C" w:rsidRPr="00DD692C" w:rsidRDefault="00000000">
            <w:pPr>
              <w:rPr>
                <w:b/>
                <w:sz w:val="18"/>
                <w:szCs w:val="18"/>
              </w:rPr>
            </w:pPr>
            <w:r w:rsidRPr="00DD692C">
              <w:rPr>
                <w:noProof/>
              </w:rPr>
              <w:lastRenderedPageBreak/>
              <w:drawing>
                <wp:inline distT="114300" distB="114300" distL="114300" distR="114300" wp14:anchorId="5B15CA22" wp14:editId="6DF868B8">
                  <wp:extent cx="5456840" cy="7100888"/>
                  <wp:effectExtent l="0" t="0" r="0" b="0"/>
                  <wp:docPr id="5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l="36" r="37"/>
                          <a:stretch>
                            <a:fillRect/>
                          </a:stretch>
                        </pic:blipFill>
                        <pic:spPr>
                          <a:xfrm>
                            <a:off x="0" y="0"/>
                            <a:ext cx="5456840" cy="7100888"/>
                          </a:xfrm>
                          <a:prstGeom prst="rect">
                            <a:avLst/>
                          </a:prstGeom>
                          <a:ln/>
                        </pic:spPr>
                      </pic:pic>
                    </a:graphicData>
                  </a:graphic>
                </wp:inline>
              </w:drawing>
            </w:r>
          </w:p>
        </w:tc>
      </w:tr>
      <w:tr w:rsidR="008E545C" w:rsidRPr="00DD692C" w14:paraId="3CB7750A" w14:textId="77777777">
        <w:trPr>
          <w:trHeight w:val="2037"/>
        </w:trPr>
        <w:tc>
          <w:tcPr>
            <w:tcW w:w="9360" w:type="dxa"/>
            <w:shd w:val="clear" w:color="auto" w:fill="auto"/>
            <w:tcMar>
              <w:top w:w="100" w:type="dxa"/>
              <w:left w:w="100" w:type="dxa"/>
              <w:bottom w:w="100" w:type="dxa"/>
              <w:right w:w="100" w:type="dxa"/>
            </w:tcMar>
          </w:tcPr>
          <w:p w14:paraId="00000083" w14:textId="77777777" w:rsidR="008E545C" w:rsidRPr="00DD692C" w:rsidRDefault="00000000">
            <w:pPr>
              <w:jc w:val="both"/>
              <w:rPr>
                <w:b/>
                <w:sz w:val="18"/>
                <w:szCs w:val="18"/>
              </w:rPr>
            </w:pPr>
            <w:r w:rsidRPr="00DD692C">
              <w:rPr>
                <w:b/>
                <w:sz w:val="18"/>
                <w:szCs w:val="18"/>
              </w:rPr>
              <w:t xml:space="preserve">Supplementary Figure S2: Forest plot (A) and regional association plot (B) of SNP rs13262595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14688ED6" w14:textId="77777777">
        <w:trPr>
          <w:trHeight w:val="2037"/>
        </w:trPr>
        <w:tc>
          <w:tcPr>
            <w:tcW w:w="9360" w:type="dxa"/>
            <w:shd w:val="clear" w:color="auto" w:fill="auto"/>
            <w:tcMar>
              <w:top w:w="100" w:type="dxa"/>
              <w:left w:w="100" w:type="dxa"/>
              <w:bottom w:w="100" w:type="dxa"/>
              <w:right w:w="100" w:type="dxa"/>
            </w:tcMar>
          </w:tcPr>
          <w:sdt>
            <w:sdtPr>
              <w:tag w:val="goog_rdk_87"/>
              <w:id w:val="977723835"/>
            </w:sdtPr>
            <w:sdtContent>
              <w:p w14:paraId="00000084" w14:textId="77777777" w:rsidR="008E545C" w:rsidRPr="0089583A" w:rsidRDefault="00000000">
                <w:pPr>
                  <w:rPr>
                    <w:b/>
                    <w:sz w:val="26"/>
                    <w:szCs w:val="26"/>
                  </w:rPr>
                </w:pPr>
                <w:r w:rsidRPr="00DD692C">
                  <w:rPr>
                    <w:noProof/>
                  </w:rPr>
                  <w:drawing>
                    <wp:inline distT="114300" distB="114300" distL="114300" distR="114300" wp14:anchorId="6DD64A09" wp14:editId="50E32A63">
                      <wp:extent cx="5456840" cy="7100888"/>
                      <wp:effectExtent l="0" t="0" r="0" b="0"/>
                      <wp:docPr id="5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8"/>
                              <a:srcRect l="36" r="37"/>
                              <a:stretch>
                                <a:fillRect/>
                              </a:stretch>
                            </pic:blipFill>
                            <pic:spPr>
                              <a:xfrm>
                                <a:off x="0" y="0"/>
                                <a:ext cx="5456840" cy="7100888"/>
                              </a:xfrm>
                              <a:prstGeom prst="rect">
                                <a:avLst/>
                              </a:prstGeom>
                              <a:ln/>
                            </pic:spPr>
                          </pic:pic>
                        </a:graphicData>
                      </a:graphic>
                    </wp:inline>
                  </w:drawing>
                </w:r>
                <w:sdt>
                  <w:sdtPr>
                    <w:tag w:val="goog_rdk_86"/>
                    <w:id w:val="-903680203"/>
                  </w:sdtPr>
                  <w:sdtContent/>
                </w:sdt>
              </w:p>
            </w:sdtContent>
          </w:sdt>
        </w:tc>
      </w:tr>
      <w:tr w:rsidR="008E545C" w:rsidRPr="00DD692C" w14:paraId="0A3C7380" w14:textId="77777777">
        <w:trPr>
          <w:trHeight w:val="2037"/>
        </w:trPr>
        <w:tc>
          <w:tcPr>
            <w:tcW w:w="9360" w:type="dxa"/>
            <w:shd w:val="clear" w:color="auto" w:fill="auto"/>
            <w:tcMar>
              <w:top w:w="100" w:type="dxa"/>
              <w:left w:w="100" w:type="dxa"/>
              <w:bottom w:w="100" w:type="dxa"/>
              <w:right w:w="100" w:type="dxa"/>
            </w:tcMar>
          </w:tcPr>
          <w:p w14:paraId="00000085" w14:textId="77777777" w:rsidR="008E545C" w:rsidRPr="00DD692C" w:rsidRDefault="00000000">
            <w:pPr>
              <w:jc w:val="both"/>
              <w:rPr>
                <w:b/>
                <w:sz w:val="14"/>
                <w:szCs w:val="14"/>
              </w:rPr>
            </w:pPr>
            <w:r w:rsidRPr="00DD692C">
              <w:rPr>
                <w:b/>
                <w:sz w:val="18"/>
                <w:szCs w:val="18"/>
              </w:rPr>
              <w:t xml:space="preserve">Supplementary Figure S3: Forest plot (A) and regional association plot (B) of SNP rs4990036 in the meta-analysis: </w:t>
            </w:r>
            <w:r w:rsidRPr="00DD692C">
              <w:rPr>
                <w:sz w:val="18"/>
                <w:szCs w:val="18"/>
              </w:rPr>
              <w:t>The forest plot (A) shows the imputation quality (INFO) score, p-value of the SNP association, allele frequency in cases with case sample size  (</w:t>
            </w:r>
            <w:proofErr w:type="spellStart"/>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4C279B1D" w14:textId="77777777">
        <w:trPr>
          <w:trHeight w:val="2037"/>
        </w:trPr>
        <w:tc>
          <w:tcPr>
            <w:tcW w:w="9360" w:type="dxa"/>
            <w:shd w:val="clear" w:color="auto" w:fill="auto"/>
            <w:tcMar>
              <w:top w:w="100" w:type="dxa"/>
              <w:left w:w="100" w:type="dxa"/>
              <w:bottom w:w="100" w:type="dxa"/>
              <w:right w:w="100" w:type="dxa"/>
            </w:tcMar>
          </w:tcPr>
          <w:p w14:paraId="00000086" w14:textId="77777777" w:rsidR="008E545C" w:rsidRPr="00DD692C" w:rsidRDefault="00000000">
            <w:pPr>
              <w:rPr>
                <w:b/>
                <w:sz w:val="18"/>
                <w:szCs w:val="18"/>
              </w:rPr>
            </w:pPr>
            <w:r w:rsidRPr="00DD692C">
              <w:rPr>
                <w:noProof/>
              </w:rPr>
              <w:lastRenderedPageBreak/>
              <w:drawing>
                <wp:inline distT="114300" distB="114300" distL="114300" distR="114300" wp14:anchorId="35DE0031" wp14:editId="20BA24AE">
                  <wp:extent cx="5456840" cy="7100888"/>
                  <wp:effectExtent l="0" t="0" r="0" b="0"/>
                  <wp:docPr id="5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l="36" r="37"/>
                          <a:stretch>
                            <a:fillRect/>
                          </a:stretch>
                        </pic:blipFill>
                        <pic:spPr>
                          <a:xfrm>
                            <a:off x="0" y="0"/>
                            <a:ext cx="5456840" cy="7100888"/>
                          </a:xfrm>
                          <a:prstGeom prst="rect">
                            <a:avLst/>
                          </a:prstGeom>
                          <a:ln/>
                        </pic:spPr>
                      </pic:pic>
                    </a:graphicData>
                  </a:graphic>
                </wp:inline>
              </w:drawing>
            </w:r>
          </w:p>
        </w:tc>
      </w:tr>
      <w:tr w:rsidR="008E545C" w:rsidRPr="00DD692C" w14:paraId="2676886B" w14:textId="77777777">
        <w:trPr>
          <w:trHeight w:val="2037"/>
        </w:trPr>
        <w:tc>
          <w:tcPr>
            <w:tcW w:w="9360" w:type="dxa"/>
            <w:shd w:val="clear" w:color="auto" w:fill="auto"/>
            <w:tcMar>
              <w:top w:w="100" w:type="dxa"/>
              <w:left w:w="100" w:type="dxa"/>
              <w:bottom w:w="100" w:type="dxa"/>
              <w:right w:w="100" w:type="dxa"/>
            </w:tcMar>
          </w:tcPr>
          <w:p w14:paraId="00000087" w14:textId="77777777" w:rsidR="008E545C" w:rsidRPr="00DD692C" w:rsidRDefault="00000000">
            <w:pPr>
              <w:jc w:val="both"/>
              <w:rPr>
                <w:b/>
                <w:sz w:val="18"/>
                <w:szCs w:val="18"/>
              </w:rPr>
            </w:pPr>
            <w:r w:rsidRPr="00DD692C">
              <w:rPr>
                <w:b/>
                <w:sz w:val="18"/>
                <w:szCs w:val="18"/>
              </w:rPr>
              <w:t xml:space="preserve">Supplementary Figure S4: Forest plot (A) and regional association plot (B) of SNP rs10877425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2C5C4564" w14:textId="77777777">
        <w:trPr>
          <w:trHeight w:val="2037"/>
        </w:trPr>
        <w:tc>
          <w:tcPr>
            <w:tcW w:w="9360" w:type="dxa"/>
            <w:shd w:val="clear" w:color="auto" w:fill="auto"/>
            <w:tcMar>
              <w:top w:w="100" w:type="dxa"/>
              <w:left w:w="100" w:type="dxa"/>
              <w:bottom w:w="100" w:type="dxa"/>
              <w:right w:w="100" w:type="dxa"/>
            </w:tcMar>
          </w:tcPr>
          <w:p w14:paraId="00000088" w14:textId="77777777" w:rsidR="008E545C" w:rsidRPr="00DD692C" w:rsidRDefault="00000000">
            <w:pPr>
              <w:rPr>
                <w:b/>
                <w:sz w:val="18"/>
                <w:szCs w:val="18"/>
              </w:rPr>
            </w:pPr>
            <w:r w:rsidRPr="00DD692C">
              <w:rPr>
                <w:noProof/>
              </w:rPr>
              <w:lastRenderedPageBreak/>
              <w:drawing>
                <wp:inline distT="114300" distB="114300" distL="114300" distR="114300" wp14:anchorId="201DE8A0" wp14:editId="36720B8E">
                  <wp:extent cx="5456840" cy="7100888"/>
                  <wp:effectExtent l="0" t="0" r="0" b="0"/>
                  <wp:docPr id="5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l="36" r="37"/>
                          <a:stretch>
                            <a:fillRect/>
                          </a:stretch>
                        </pic:blipFill>
                        <pic:spPr>
                          <a:xfrm>
                            <a:off x="0" y="0"/>
                            <a:ext cx="5456840" cy="7100888"/>
                          </a:xfrm>
                          <a:prstGeom prst="rect">
                            <a:avLst/>
                          </a:prstGeom>
                          <a:ln/>
                        </pic:spPr>
                      </pic:pic>
                    </a:graphicData>
                  </a:graphic>
                </wp:inline>
              </w:drawing>
            </w:r>
          </w:p>
        </w:tc>
      </w:tr>
      <w:tr w:rsidR="008E545C" w:rsidRPr="00DD692C" w14:paraId="6ADEE2F8" w14:textId="77777777">
        <w:trPr>
          <w:trHeight w:val="2037"/>
        </w:trPr>
        <w:tc>
          <w:tcPr>
            <w:tcW w:w="9360" w:type="dxa"/>
            <w:shd w:val="clear" w:color="auto" w:fill="auto"/>
            <w:tcMar>
              <w:top w:w="100" w:type="dxa"/>
              <w:left w:w="100" w:type="dxa"/>
              <w:bottom w:w="100" w:type="dxa"/>
              <w:right w:w="100" w:type="dxa"/>
            </w:tcMar>
          </w:tcPr>
          <w:p w14:paraId="00000089" w14:textId="77777777" w:rsidR="008E545C" w:rsidRPr="00DD692C" w:rsidRDefault="00000000">
            <w:pPr>
              <w:jc w:val="both"/>
              <w:rPr>
                <w:b/>
                <w:sz w:val="18"/>
                <w:szCs w:val="18"/>
              </w:rPr>
            </w:pPr>
            <w:r w:rsidRPr="00DD692C">
              <w:rPr>
                <w:b/>
                <w:sz w:val="18"/>
                <w:szCs w:val="18"/>
              </w:rPr>
              <w:t xml:space="preserve">Supplementary Figure S5: Forest plot (A) and regional association plot (B) of SNP rs7626445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03B6358A" w14:textId="77777777">
        <w:trPr>
          <w:trHeight w:val="2037"/>
        </w:trPr>
        <w:tc>
          <w:tcPr>
            <w:tcW w:w="9360" w:type="dxa"/>
            <w:shd w:val="clear" w:color="auto" w:fill="auto"/>
            <w:tcMar>
              <w:top w:w="100" w:type="dxa"/>
              <w:left w:w="100" w:type="dxa"/>
              <w:bottom w:w="100" w:type="dxa"/>
              <w:right w:w="100" w:type="dxa"/>
            </w:tcMar>
          </w:tcPr>
          <w:p w14:paraId="0000008A" w14:textId="77777777" w:rsidR="008E545C" w:rsidRPr="00DD692C" w:rsidRDefault="00000000">
            <w:pPr>
              <w:rPr>
                <w:b/>
                <w:sz w:val="18"/>
                <w:szCs w:val="18"/>
              </w:rPr>
            </w:pPr>
            <w:r w:rsidRPr="00DD692C">
              <w:rPr>
                <w:noProof/>
              </w:rPr>
              <w:lastRenderedPageBreak/>
              <w:drawing>
                <wp:inline distT="114300" distB="114300" distL="114300" distR="114300" wp14:anchorId="503220B9" wp14:editId="2E1E46C1">
                  <wp:extent cx="5456840" cy="7100888"/>
                  <wp:effectExtent l="0" t="0" r="0" b="0"/>
                  <wp:docPr id="5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l="36" r="37"/>
                          <a:stretch>
                            <a:fillRect/>
                          </a:stretch>
                        </pic:blipFill>
                        <pic:spPr>
                          <a:xfrm>
                            <a:off x="0" y="0"/>
                            <a:ext cx="5456840" cy="7100888"/>
                          </a:xfrm>
                          <a:prstGeom prst="rect">
                            <a:avLst/>
                          </a:prstGeom>
                          <a:ln/>
                        </pic:spPr>
                      </pic:pic>
                    </a:graphicData>
                  </a:graphic>
                </wp:inline>
              </w:drawing>
            </w:r>
          </w:p>
        </w:tc>
      </w:tr>
      <w:tr w:rsidR="008E545C" w:rsidRPr="00DD692C" w14:paraId="0030A2EA" w14:textId="77777777">
        <w:trPr>
          <w:trHeight w:val="2037"/>
        </w:trPr>
        <w:tc>
          <w:tcPr>
            <w:tcW w:w="9360" w:type="dxa"/>
            <w:shd w:val="clear" w:color="auto" w:fill="auto"/>
            <w:tcMar>
              <w:top w:w="100" w:type="dxa"/>
              <w:left w:w="100" w:type="dxa"/>
              <w:bottom w:w="100" w:type="dxa"/>
              <w:right w:w="100" w:type="dxa"/>
            </w:tcMar>
          </w:tcPr>
          <w:p w14:paraId="0000008B" w14:textId="77777777" w:rsidR="008E545C" w:rsidRPr="00DD692C" w:rsidRDefault="00000000">
            <w:pPr>
              <w:jc w:val="both"/>
              <w:rPr>
                <w:b/>
                <w:sz w:val="18"/>
                <w:szCs w:val="18"/>
              </w:rPr>
            </w:pPr>
            <w:r w:rsidRPr="00DD692C">
              <w:rPr>
                <w:b/>
                <w:sz w:val="18"/>
                <w:szCs w:val="18"/>
              </w:rPr>
              <w:t xml:space="preserve">Supplementary Figure S6: Forest plot (A) and regional association plot (B) of SNP rs2564930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64E68BD3" w14:textId="77777777">
        <w:trPr>
          <w:trHeight w:val="2037"/>
        </w:trPr>
        <w:tc>
          <w:tcPr>
            <w:tcW w:w="9360" w:type="dxa"/>
            <w:shd w:val="clear" w:color="auto" w:fill="auto"/>
            <w:tcMar>
              <w:top w:w="100" w:type="dxa"/>
              <w:left w:w="100" w:type="dxa"/>
              <w:bottom w:w="100" w:type="dxa"/>
              <w:right w:w="100" w:type="dxa"/>
            </w:tcMar>
          </w:tcPr>
          <w:p w14:paraId="0000008C" w14:textId="77777777" w:rsidR="008E545C" w:rsidRPr="00DD692C" w:rsidRDefault="00000000">
            <w:pPr>
              <w:rPr>
                <w:b/>
                <w:sz w:val="18"/>
                <w:szCs w:val="18"/>
              </w:rPr>
            </w:pPr>
            <w:r w:rsidRPr="00DD692C">
              <w:rPr>
                <w:noProof/>
              </w:rPr>
              <w:lastRenderedPageBreak/>
              <w:drawing>
                <wp:inline distT="114300" distB="114300" distL="114300" distR="114300" wp14:anchorId="5A8D2304" wp14:editId="7385468A">
                  <wp:extent cx="5456840" cy="7100888"/>
                  <wp:effectExtent l="0" t="0" r="0" b="0"/>
                  <wp:docPr id="5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l="36" r="37"/>
                          <a:stretch>
                            <a:fillRect/>
                          </a:stretch>
                        </pic:blipFill>
                        <pic:spPr>
                          <a:xfrm>
                            <a:off x="0" y="0"/>
                            <a:ext cx="5456840" cy="7100888"/>
                          </a:xfrm>
                          <a:prstGeom prst="rect">
                            <a:avLst/>
                          </a:prstGeom>
                          <a:ln/>
                        </pic:spPr>
                      </pic:pic>
                    </a:graphicData>
                  </a:graphic>
                </wp:inline>
              </w:drawing>
            </w:r>
          </w:p>
        </w:tc>
      </w:tr>
      <w:tr w:rsidR="008E545C" w:rsidRPr="00DD692C" w14:paraId="7B8F0CEB" w14:textId="77777777">
        <w:trPr>
          <w:trHeight w:val="2037"/>
        </w:trPr>
        <w:tc>
          <w:tcPr>
            <w:tcW w:w="9360" w:type="dxa"/>
            <w:shd w:val="clear" w:color="auto" w:fill="auto"/>
            <w:tcMar>
              <w:top w:w="100" w:type="dxa"/>
              <w:left w:w="100" w:type="dxa"/>
              <w:bottom w:w="100" w:type="dxa"/>
              <w:right w:w="100" w:type="dxa"/>
            </w:tcMar>
          </w:tcPr>
          <w:p w14:paraId="0000008D" w14:textId="77777777" w:rsidR="008E545C" w:rsidRPr="00DD692C" w:rsidRDefault="00000000">
            <w:pPr>
              <w:jc w:val="both"/>
              <w:rPr>
                <w:b/>
                <w:sz w:val="18"/>
                <w:szCs w:val="18"/>
              </w:rPr>
            </w:pPr>
            <w:r w:rsidRPr="00DD692C">
              <w:rPr>
                <w:b/>
                <w:sz w:val="18"/>
                <w:szCs w:val="18"/>
              </w:rPr>
              <w:t xml:space="preserve">Supplementary Figure S7: Forest plot (A) and regional association plot (B) of SNP rs4702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39EF97D8" w14:textId="77777777">
        <w:trPr>
          <w:trHeight w:val="2037"/>
        </w:trPr>
        <w:tc>
          <w:tcPr>
            <w:tcW w:w="9360" w:type="dxa"/>
            <w:shd w:val="clear" w:color="auto" w:fill="auto"/>
            <w:tcMar>
              <w:top w:w="100" w:type="dxa"/>
              <w:left w:w="100" w:type="dxa"/>
              <w:bottom w:w="100" w:type="dxa"/>
              <w:right w:w="100" w:type="dxa"/>
            </w:tcMar>
          </w:tcPr>
          <w:p w14:paraId="0000008E" w14:textId="77777777" w:rsidR="008E545C" w:rsidRPr="00DD692C" w:rsidRDefault="00000000">
            <w:pPr>
              <w:rPr>
                <w:b/>
                <w:sz w:val="18"/>
                <w:szCs w:val="18"/>
              </w:rPr>
            </w:pPr>
            <w:r w:rsidRPr="00DD692C">
              <w:rPr>
                <w:noProof/>
              </w:rPr>
              <w:lastRenderedPageBreak/>
              <w:drawing>
                <wp:inline distT="114300" distB="114300" distL="114300" distR="114300" wp14:anchorId="5AF00029" wp14:editId="4443119E">
                  <wp:extent cx="5456840" cy="7100888"/>
                  <wp:effectExtent l="0" t="0" r="0" b="0"/>
                  <wp:docPr id="6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
                          <a:srcRect l="36" r="37"/>
                          <a:stretch>
                            <a:fillRect/>
                          </a:stretch>
                        </pic:blipFill>
                        <pic:spPr>
                          <a:xfrm>
                            <a:off x="0" y="0"/>
                            <a:ext cx="5456840" cy="7100888"/>
                          </a:xfrm>
                          <a:prstGeom prst="rect">
                            <a:avLst/>
                          </a:prstGeom>
                          <a:ln/>
                        </pic:spPr>
                      </pic:pic>
                    </a:graphicData>
                  </a:graphic>
                </wp:inline>
              </w:drawing>
            </w:r>
          </w:p>
        </w:tc>
      </w:tr>
      <w:tr w:rsidR="008E545C" w:rsidRPr="00DD692C" w14:paraId="37A118B4" w14:textId="77777777">
        <w:trPr>
          <w:trHeight w:val="2037"/>
        </w:trPr>
        <w:tc>
          <w:tcPr>
            <w:tcW w:w="9360" w:type="dxa"/>
            <w:shd w:val="clear" w:color="auto" w:fill="auto"/>
            <w:tcMar>
              <w:top w:w="100" w:type="dxa"/>
              <w:left w:w="100" w:type="dxa"/>
              <w:bottom w:w="100" w:type="dxa"/>
              <w:right w:w="100" w:type="dxa"/>
            </w:tcMar>
          </w:tcPr>
          <w:p w14:paraId="0000008F" w14:textId="77777777" w:rsidR="008E545C" w:rsidRPr="00DD692C" w:rsidRDefault="00000000">
            <w:pPr>
              <w:jc w:val="both"/>
              <w:rPr>
                <w:b/>
                <w:sz w:val="18"/>
                <w:szCs w:val="18"/>
              </w:rPr>
            </w:pPr>
            <w:r w:rsidRPr="00DD692C">
              <w:rPr>
                <w:b/>
                <w:sz w:val="18"/>
                <w:szCs w:val="18"/>
              </w:rPr>
              <w:t xml:space="preserve">Supplementary Figure S8: Forest plot (A) and regional association plot (B) of SNP rs35518360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3A3D860F" w14:textId="77777777">
        <w:trPr>
          <w:trHeight w:val="2037"/>
        </w:trPr>
        <w:tc>
          <w:tcPr>
            <w:tcW w:w="9360" w:type="dxa"/>
            <w:shd w:val="clear" w:color="auto" w:fill="auto"/>
            <w:tcMar>
              <w:top w:w="100" w:type="dxa"/>
              <w:left w:w="100" w:type="dxa"/>
              <w:bottom w:w="100" w:type="dxa"/>
              <w:right w:w="100" w:type="dxa"/>
            </w:tcMar>
          </w:tcPr>
          <w:p w14:paraId="00000090" w14:textId="77777777" w:rsidR="008E545C" w:rsidRPr="00DD692C" w:rsidRDefault="00000000">
            <w:pPr>
              <w:rPr>
                <w:b/>
                <w:sz w:val="18"/>
                <w:szCs w:val="18"/>
              </w:rPr>
            </w:pPr>
            <w:r w:rsidRPr="00DD692C">
              <w:rPr>
                <w:noProof/>
              </w:rPr>
              <w:lastRenderedPageBreak/>
              <w:drawing>
                <wp:inline distT="114300" distB="114300" distL="114300" distR="114300" wp14:anchorId="5C07A361" wp14:editId="2C1396EF">
                  <wp:extent cx="5456840" cy="7100888"/>
                  <wp:effectExtent l="0" t="0" r="0" b="0"/>
                  <wp:docPr id="5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l="36" r="37"/>
                          <a:stretch>
                            <a:fillRect/>
                          </a:stretch>
                        </pic:blipFill>
                        <pic:spPr>
                          <a:xfrm>
                            <a:off x="0" y="0"/>
                            <a:ext cx="5456840" cy="7100888"/>
                          </a:xfrm>
                          <a:prstGeom prst="rect">
                            <a:avLst/>
                          </a:prstGeom>
                          <a:ln/>
                        </pic:spPr>
                      </pic:pic>
                    </a:graphicData>
                  </a:graphic>
                </wp:inline>
              </w:drawing>
            </w:r>
          </w:p>
        </w:tc>
      </w:tr>
      <w:tr w:rsidR="008E545C" w:rsidRPr="00DD692C" w14:paraId="654CD107" w14:textId="77777777">
        <w:trPr>
          <w:trHeight w:val="2037"/>
        </w:trPr>
        <w:tc>
          <w:tcPr>
            <w:tcW w:w="9360" w:type="dxa"/>
            <w:shd w:val="clear" w:color="auto" w:fill="auto"/>
            <w:tcMar>
              <w:top w:w="100" w:type="dxa"/>
              <w:left w:w="100" w:type="dxa"/>
              <w:bottom w:w="100" w:type="dxa"/>
              <w:right w:w="100" w:type="dxa"/>
            </w:tcMar>
          </w:tcPr>
          <w:p w14:paraId="00000091" w14:textId="77777777" w:rsidR="008E545C" w:rsidRPr="00DD692C" w:rsidRDefault="00000000">
            <w:pPr>
              <w:jc w:val="both"/>
              <w:rPr>
                <w:b/>
                <w:sz w:val="18"/>
                <w:szCs w:val="18"/>
              </w:rPr>
            </w:pPr>
            <w:r w:rsidRPr="00DD692C">
              <w:rPr>
                <w:b/>
                <w:sz w:val="18"/>
                <w:szCs w:val="18"/>
              </w:rPr>
              <w:t xml:space="preserve">Supplementary Figure S9: Forest plot (A) and regional association plot (B) of SNP rs4904738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4EFBE2BE" w14:textId="77777777">
        <w:trPr>
          <w:trHeight w:val="2037"/>
        </w:trPr>
        <w:tc>
          <w:tcPr>
            <w:tcW w:w="9360" w:type="dxa"/>
            <w:shd w:val="clear" w:color="auto" w:fill="auto"/>
            <w:tcMar>
              <w:top w:w="100" w:type="dxa"/>
              <w:left w:w="100" w:type="dxa"/>
              <w:bottom w:w="100" w:type="dxa"/>
              <w:right w:w="100" w:type="dxa"/>
            </w:tcMar>
          </w:tcPr>
          <w:p w14:paraId="00000092" w14:textId="77777777" w:rsidR="008E545C" w:rsidRPr="00DD692C" w:rsidRDefault="00000000">
            <w:pPr>
              <w:rPr>
                <w:b/>
                <w:sz w:val="18"/>
                <w:szCs w:val="18"/>
              </w:rPr>
            </w:pPr>
            <w:r w:rsidRPr="00DD692C">
              <w:rPr>
                <w:noProof/>
              </w:rPr>
              <w:lastRenderedPageBreak/>
              <w:drawing>
                <wp:inline distT="114300" distB="114300" distL="114300" distR="114300" wp14:anchorId="0692085F" wp14:editId="2B57EB2C">
                  <wp:extent cx="5456840" cy="7100888"/>
                  <wp:effectExtent l="0" t="0" r="0" b="0"/>
                  <wp:docPr id="6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
                          <a:srcRect l="36" r="37"/>
                          <a:stretch>
                            <a:fillRect/>
                          </a:stretch>
                        </pic:blipFill>
                        <pic:spPr>
                          <a:xfrm>
                            <a:off x="0" y="0"/>
                            <a:ext cx="5456840" cy="7100888"/>
                          </a:xfrm>
                          <a:prstGeom prst="rect">
                            <a:avLst/>
                          </a:prstGeom>
                          <a:ln/>
                        </pic:spPr>
                      </pic:pic>
                    </a:graphicData>
                  </a:graphic>
                </wp:inline>
              </w:drawing>
            </w:r>
          </w:p>
        </w:tc>
      </w:tr>
      <w:tr w:rsidR="008E545C" w:rsidRPr="00DD692C" w14:paraId="30366DC3" w14:textId="77777777">
        <w:trPr>
          <w:trHeight w:val="2037"/>
        </w:trPr>
        <w:tc>
          <w:tcPr>
            <w:tcW w:w="9360" w:type="dxa"/>
            <w:shd w:val="clear" w:color="auto" w:fill="auto"/>
            <w:tcMar>
              <w:top w:w="100" w:type="dxa"/>
              <w:left w:w="100" w:type="dxa"/>
              <w:bottom w:w="100" w:type="dxa"/>
              <w:right w:w="100" w:type="dxa"/>
            </w:tcMar>
          </w:tcPr>
          <w:p w14:paraId="00000093" w14:textId="77777777" w:rsidR="008E545C" w:rsidRPr="00DD692C" w:rsidRDefault="00000000">
            <w:pPr>
              <w:jc w:val="both"/>
              <w:rPr>
                <w:b/>
                <w:sz w:val="18"/>
                <w:szCs w:val="18"/>
              </w:rPr>
            </w:pPr>
            <w:r w:rsidRPr="00DD692C">
              <w:rPr>
                <w:b/>
                <w:sz w:val="18"/>
                <w:szCs w:val="18"/>
              </w:rPr>
              <w:t xml:space="preserve">Supplementary Figure S10: Forest plot (A) and regional association plot (B) of SNP rs254779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331DAA68" w14:textId="77777777">
        <w:trPr>
          <w:trHeight w:val="2037"/>
        </w:trPr>
        <w:tc>
          <w:tcPr>
            <w:tcW w:w="9360" w:type="dxa"/>
            <w:shd w:val="clear" w:color="auto" w:fill="auto"/>
            <w:tcMar>
              <w:top w:w="100" w:type="dxa"/>
              <w:left w:w="100" w:type="dxa"/>
              <w:bottom w:w="100" w:type="dxa"/>
              <w:right w:w="100" w:type="dxa"/>
            </w:tcMar>
          </w:tcPr>
          <w:p w14:paraId="00000094" w14:textId="77777777" w:rsidR="008E545C" w:rsidRPr="00DD692C" w:rsidRDefault="00000000">
            <w:pPr>
              <w:rPr>
                <w:b/>
                <w:sz w:val="18"/>
                <w:szCs w:val="18"/>
              </w:rPr>
            </w:pPr>
            <w:r w:rsidRPr="00DD692C">
              <w:rPr>
                <w:noProof/>
              </w:rPr>
              <w:lastRenderedPageBreak/>
              <w:drawing>
                <wp:inline distT="114300" distB="114300" distL="114300" distR="114300" wp14:anchorId="66E5B579" wp14:editId="156FCF88">
                  <wp:extent cx="5456840" cy="7100888"/>
                  <wp:effectExtent l="0" t="0" r="0" b="0"/>
                  <wp:docPr id="6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l="36" r="37"/>
                          <a:stretch>
                            <a:fillRect/>
                          </a:stretch>
                        </pic:blipFill>
                        <pic:spPr>
                          <a:xfrm>
                            <a:off x="0" y="0"/>
                            <a:ext cx="5456840" cy="7100888"/>
                          </a:xfrm>
                          <a:prstGeom prst="rect">
                            <a:avLst/>
                          </a:prstGeom>
                          <a:ln/>
                        </pic:spPr>
                      </pic:pic>
                    </a:graphicData>
                  </a:graphic>
                </wp:inline>
              </w:drawing>
            </w:r>
          </w:p>
        </w:tc>
      </w:tr>
      <w:tr w:rsidR="008E545C" w:rsidRPr="00DD692C" w14:paraId="141F2616" w14:textId="77777777">
        <w:trPr>
          <w:trHeight w:val="2037"/>
        </w:trPr>
        <w:tc>
          <w:tcPr>
            <w:tcW w:w="9360" w:type="dxa"/>
            <w:shd w:val="clear" w:color="auto" w:fill="auto"/>
            <w:tcMar>
              <w:top w:w="100" w:type="dxa"/>
              <w:left w:w="100" w:type="dxa"/>
              <w:bottom w:w="100" w:type="dxa"/>
              <w:right w:w="100" w:type="dxa"/>
            </w:tcMar>
          </w:tcPr>
          <w:p w14:paraId="00000095" w14:textId="77777777" w:rsidR="008E545C" w:rsidRPr="00DD692C" w:rsidRDefault="00000000">
            <w:pPr>
              <w:jc w:val="both"/>
              <w:rPr>
                <w:b/>
                <w:sz w:val="18"/>
                <w:szCs w:val="18"/>
              </w:rPr>
            </w:pPr>
            <w:r w:rsidRPr="00DD692C">
              <w:rPr>
                <w:b/>
                <w:sz w:val="18"/>
                <w:szCs w:val="18"/>
              </w:rPr>
              <w:t xml:space="preserve">Supplementary Figure S11: Forest plot (A) and regional association plot (B) of SNP rs2198140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0A04C65A" w14:textId="77777777">
        <w:trPr>
          <w:trHeight w:val="2037"/>
        </w:trPr>
        <w:tc>
          <w:tcPr>
            <w:tcW w:w="9360" w:type="dxa"/>
            <w:shd w:val="clear" w:color="auto" w:fill="auto"/>
            <w:tcMar>
              <w:top w:w="100" w:type="dxa"/>
              <w:left w:w="100" w:type="dxa"/>
              <w:bottom w:w="100" w:type="dxa"/>
              <w:right w:w="100" w:type="dxa"/>
            </w:tcMar>
          </w:tcPr>
          <w:p w14:paraId="00000096" w14:textId="77777777" w:rsidR="008E545C" w:rsidRPr="00DD692C" w:rsidRDefault="00000000">
            <w:pPr>
              <w:rPr>
                <w:b/>
                <w:sz w:val="18"/>
                <w:szCs w:val="18"/>
              </w:rPr>
            </w:pPr>
            <w:r w:rsidRPr="00DD692C">
              <w:rPr>
                <w:noProof/>
              </w:rPr>
              <w:lastRenderedPageBreak/>
              <w:drawing>
                <wp:inline distT="114300" distB="114300" distL="114300" distR="114300" wp14:anchorId="7D794F72" wp14:editId="31E9CDB6">
                  <wp:extent cx="5456840" cy="7100888"/>
                  <wp:effectExtent l="0" t="0" r="0" b="0"/>
                  <wp:docPr id="6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l="36" r="37"/>
                          <a:stretch>
                            <a:fillRect/>
                          </a:stretch>
                        </pic:blipFill>
                        <pic:spPr>
                          <a:xfrm>
                            <a:off x="0" y="0"/>
                            <a:ext cx="5456840" cy="7100888"/>
                          </a:xfrm>
                          <a:prstGeom prst="rect">
                            <a:avLst/>
                          </a:prstGeom>
                          <a:ln/>
                        </pic:spPr>
                      </pic:pic>
                    </a:graphicData>
                  </a:graphic>
                </wp:inline>
              </w:drawing>
            </w:r>
          </w:p>
        </w:tc>
      </w:tr>
      <w:tr w:rsidR="008E545C" w:rsidRPr="00DD692C" w14:paraId="743A328C" w14:textId="77777777">
        <w:trPr>
          <w:trHeight w:val="2037"/>
        </w:trPr>
        <w:tc>
          <w:tcPr>
            <w:tcW w:w="9360" w:type="dxa"/>
            <w:shd w:val="clear" w:color="auto" w:fill="auto"/>
            <w:tcMar>
              <w:top w:w="100" w:type="dxa"/>
              <w:left w:w="100" w:type="dxa"/>
              <w:bottom w:w="100" w:type="dxa"/>
              <w:right w:w="100" w:type="dxa"/>
            </w:tcMar>
          </w:tcPr>
          <w:p w14:paraId="00000097" w14:textId="77777777" w:rsidR="008E545C" w:rsidRPr="00DD692C" w:rsidRDefault="00000000">
            <w:pPr>
              <w:jc w:val="both"/>
              <w:rPr>
                <w:b/>
                <w:sz w:val="18"/>
                <w:szCs w:val="18"/>
              </w:rPr>
            </w:pPr>
            <w:r w:rsidRPr="00DD692C">
              <w:rPr>
                <w:b/>
                <w:sz w:val="18"/>
                <w:szCs w:val="18"/>
              </w:rPr>
              <w:t xml:space="preserve">Supplementary Figure S12: Forest plot (A) and regional association plot (B) of SNP rs12516488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77B22C7A" w14:textId="77777777">
        <w:trPr>
          <w:trHeight w:val="2037"/>
        </w:trPr>
        <w:tc>
          <w:tcPr>
            <w:tcW w:w="9360" w:type="dxa"/>
            <w:shd w:val="clear" w:color="auto" w:fill="auto"/>
            <w:tcMar>
              <w:top w:w="100" w:type="dxa"/>
              <w:left w:w="100" w:type="dxa"/>
              <w:bottom w:w="100" w:type="dxa"/>
              <w:right w:w="100" w:type="dxa"/>
            </w:tcMar>
          </w:tcPr>
          <w:p w14:paraId="00000098" w14:textId="77777777" w:rsidR="008E545C" w:rsidRPr="00DD692C" w:rsidRDefault="00000000">
            <w:pPr>
              <w:rPr>
                <w:b/>
                <w:sz w:val="18"/>
                <w:szCs w:val="18"/>
              </w:rPr>
            </w:pPr>
            <w:r w:rsidRPr="00DD692C">
              <w:rPr>
                <w:noProof/>
              </w:rPr>
              <w:lastRenderedPageBreak/>
              <w:drawing>
                <wp:inline distT="114300" distB="114300" distL="114300" distR="114300" wp14:anchorId="71859E59" wp14:editId="2E18B75E">
                  <wp:extent cx="5456840" cy="7100888"/>
                  <wp:effectExtent l="0" t="0" r="0" b="0"/>
                  <wp:docPr id="6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8"/>
                          <a:srcRect l="36" r="37"/>
                          <a:stretch>
                            <a:fillRect/>
                          </a:stretch>
                        </pic:blipFill>
                        <pic:spPr>
                          <a:xfrm>
                            <a:off x="0" y="0"/>
                            <a:ext cx="5456840" cy="7100888"/>
                          </a:xfrm>
                          <a:prstGeom prst="rect">
                            <a:avLst/>
                          </a:prstGeom>
                          <a:ln/>
                        </pic:spPr>
                      </pic:pic>
                    </a:graphicData>
                  </a:graphic>
                </wp:inline>
              </w:drawing>
            </w:r>
          </w:p>
        </w:tc>
      </w:tr>
      <w:tr w:rsidR="008E545C" w:rsidRPr="00DD692C" w14:paraId="09613BD6" w14:textId="77777777">
        <w:trPr>
          <w:trHeight w:val="2037"/>
        </w:trPr>
        <w:tc>
          <w:tcPr>
            <w:tcW w:w="9360" w:type="dxa"/>
            <w:shd w:val="clear" w:color="auto" w:fill="auto"/>
            <w:tcMar>
              <w:top w:w="100" w:type="dxa"/>
              <w:left w:w="100" w:type="dxa"/>
              <w:bottom w:w="100" w:type="dxa"/>
              <w:right w:w="100" w:type="dxa"/>
            </w:tcMar>
          </w:tcPr>
          <w:p w14:paraId="00000099" w14:textId="77777777" w:rsidR="008E545C" w:rsidRPr="00DD692C" w:rsidRDefault="00000000">
            <w:pPr>
              <w:jc w:val="both"/>
              <w:rPr>
                <w:b/>
                <w:sz w:val="18"/>
                <w:szCs w:val="18"/>
              </w:rPr>
            </w:pPr>
            <w:r w:rsidRPr="00DD692C">
              <w:rPr>
                <w:b/>
                <w:sz w:val="18"/>
                <w:szCs w:val="18"/>
              </w:rPr>
              <w:t xml:space="preserve">Supplementary Figure S13: Forest plot (A) and regional association plot (B) of SNP rs3899258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7241296D" w14:textId="77777777">
        <w:trPr>
          <w:trHeight w:val="2037"/>
        </w:trPr>
        <w:tc>
          <w:tcPr>
            <w:tcW w:w="9360" w:type="dxa"/>
            <w:shd w:val="clear" w:color="auto" w:fill="auto"/>
            <w:tcMar>
              <w:top w:w="100" w:type="dxa"/>
              <w:left w:w="100" w:type="dxa"/>
              <w:bottom w:w="100" w:type="dxa"/>
              <w:right w:w="100" w:type="dxa"/>
            </w:tcMar>
          </w:tcPr>
          <w:p w14:paraId="0000009A" w14:textId="77777777" w:rsidR="008E545C" w:rsidRPr="00DD692C" w:rsidRDefault="00000000">
            <w:pPr>
              <w:rPr>
                <w:b/>
                <w:sz w:val="18"/>
                <w:szCs w:val="18"/>
              </w:rPr>
            </w:pPr>
            <w:r w:rsidRPr="00DD692C">
              <w:rPr>
                <w:noProof/>
              </w:rPr>
              <w:lastRenderedPageBreak/>
              <w:drawing>
                <wp:inline distT="114300" distB="114300" distL="114300" distR="114300" wp14:anchorId="053F4E85" wp14:editId="68B3EEB9">
                  <wp:extent cx="5456840" cy="7100888"/>
                  <wp:effectExtent l="0" t="0" r="0" b="0"/>
                  <wp:docPr id="6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9"/>
                          <a:srcRect l="36" r="37"/>
                          <a:stretch>
                            <a:fillRect/>
                          </a:stretch>
                        </pic:blipFill>
                        <pic:spPr>
                          <a:xfrm>
                            <a:off x="0" y="0"/>
                            <a:ext cx="5456840" cy="7100888"/>
                          </a:xfrm>
                          <a:prstGeom prst="rect">
                            <a:avLst/>
                          </a:prstGeom>
                          <a:ln/>
                        </pic:spPr>
                      </pic:pic>
                    </a:graphicData>
                  </a:graphic>
                </wp:inline>
              </w:drawing>
            </w:r>
          </w:p>
        </w:tc>
      </w:tr>
      <w:tr w:rsidR="008E545C" w:rsidRPr="00DD692C" w14:paraId="48DF2CA3" w14:textId="77777777">
        <w:trPr>
          <w:trHeight w:val="2037"/>
        </w:trPr>
        <w:tc>
          <w:tcPr>
            <w:tcW w:w="9360" w:type="dxa"/>
            <w:shd w:val="clear" w:color="auto" w:fill="auto"/>
            <w:tcMar>
              <w:top w:w="100" w:type="dxa"/>
              <w:left w:w="100" w:type="dxa"/>
              <w:bottom w:w="100" w:type="dxa"/>
              <w:right w:w="100" w:type="dxa"/>
            </w:tcMar>
          </w:tcPr>
          <w:p w14:paraId="0000009B" w14:textId="77777777" w:rsidR="008E545C" w:rsidRPr="00DD692C" w:rsidRDefault="00000000">
            <w:pPr>
              <w:jc w:val="both"/>
              <w:rPr>
                <w:b/>
                <w:sz w:val="18"/>
                <w:szCs w:val="18"/>
              </w:rPr>
            </w:pPr>
            <w:r w:rsidRPr="00DD692C">
              <w:rPr>
                <w:b/>
                <w:sz w:val="18"/>
                <w:szCs w:val="18"/>
              </w:rPr>
              <w:t xml:space="preserve">Supplementary Figure S14: Forest plot (A) and regional association plot (B) of SNP rs3027160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34C054BD" w14:textId="77777777">
        <w:trPr>
          <w:trHeight w:val="2037"/>
        </w:trPr>
        <w:tc>
          <w:tcPr>
            <w:tcW w:w="9360" w:type="dxa"/>
            <w:shd w:val="clear" w:color="auto" w:fill="auto"/>
            <w:tcMar>
              <w:top w:w="100" w:type="dxa"/>
              <w:left w:w="100" w:type="dxa"/>
              <w:bottom w:w="100" w:type="dxa"/>
              <w:right w:w="100" w:type="dxa"/>
            </w:tcMar>
          </w:tcPr>
          <w:p w14:paraId="0000009C" w14:textId="77777777" w:rsidR="008E545C" w:rsidRPr="00DD692C" w:rsidRDefault="00000000">
            <w:pPr>
              <w:rPr>
                <w:b/>
                <w:sz w:val="18"/>
                <w:szCs w:val="18"/>
              </w:rPr>
            </w:pPr>
            <w:r w:rsidRPr="00DD692C">
              <w:rPr>
                <w:noProof/>
              </w:rPr>
              <w:lastRenderedPageBreak/>
              <w:drawing>
                <wp:inline distT="114300" distB="114300" distL="114300" distR="114300" wp14:anchorId="59DA2811" wp14:editId="213FED7E">
                  <wp:extent cx="5456840" cy="7100888"/>
                  <wp:effectExtent l="0" t="0" r="0" b="0"/>
                  <wp:docPr id="7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0"/>
                          <a:srcRect l="36" r="37"/>
                          <a:stretch>
                            <a:fillRect/>
                          </a:stretch>
                        </pic:blipFill>
                        <pic:spPr>
                          <a:xfrm>
                            <a:off x="0" y="0"/>
                            <a:ext cx="5456840" cy="7100888"/>
                          </a:xfrm>
                          <a:prstGeom prst="rect">
                            <a:avLst/>
                          </a:prstGeom>
                          <a:ln/>
                        </pic:spPr>
                      </pic:pic>
                    </a:graphicData>
                  </a:graphic>
                </wp:inline>
              </w:drawing>
            </w:r>
          </w:p>
        </w:tc>
      </w:tr>
      <w:tr w:rsidR="008E545C" w:rsidRPr="00DD692C" w14:paraId="517FA33C" w14:textId="77777777">
        <w:trPr>
          <w:trHeight w:val="2037"/>
        </w:trPr>
        <w:tc>
          <w:tcPr>
            <w:tcW w:w="9360" w:type="dxa"/>
            <w:shd w:val="clear" w:color="auto" w:fill="auto"/>
            <w:tcMar>
              <w:top w:w="100" w:type="dxa"/>
              <w:left w:w="100" w:type="dxa"/>
              <w:bottom w:w="100" w:type="dxa"/>
              <w:right w:w="100" w:type="dxa"/>
            </w:tcMar>
          </w:tcPr>
          <w:p w14:paraId="0000009D" w14:textId="77777777" w:rsidR="008E545C" w:rsidRPr="00DD692C" w:rsidRDefault="00000000">
            <w:pPr>
              <w:jc w:val="both"/>
              <w:rPr>
                <w:b/>
                <w:sz w:val="14"/>
                <w:szCs w:val="14"/>
              </w:rPr>
            </w:pPr>
            <w:r w:rsidRPr="00DD692C">
              <w:rPr>
                <w:b/>
                <w:sz w:val="18"/>
                <w:szCs w:val="18"/>
              </w:rPr>
              <w:t xml:space="preserve">Supplementary Figure S15: Forest plot (A) and regional association plot (B) of SNP rs203768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28A62710" w14:textId="77777777">
        <w:trPr>
          <w:trHeight w:val="2037"/>
        </w:trPr>
        <w:tc>
          <w:tcPr>
            <w:tcW w:w="9360" w:type="dxa"/>
            <w:shd w:val="clear" w:color="auto" w:fill="auto"/>
            <w:tcMar>
              <w:top w:w="100" w:type="dxa"/>
              <w:left w:w="100" w:type="dxa"/>
              <w:bottom w:w="100" w:type="dxa"/>
              <w:right w:w="100" w:type="dxa"/>
            </w:tcMar>
          </w:tcPr>
          <w:p w14:paraId="0000009E" w14:textId="77777777" w:rsidR="008E545C" w:rsidRPr="00DD692C" w:rsidRDefault="00000000">
            <w:pPr>
              <w:rPr>
                <w:b/>
                <w:sz w:val="18"/>
                <w:szCs w:val="18"/>
              </w:rPr>
            </w:pPr>
            <w:r w:rsidRPr="00DD692C">
              <w:rPr>
                <w:noProof/>
              </w:rPr>
              <w:lastRenderedPageBreak/>
              <w:drawing>
                <wp:inline distT="114300" distB="114300" distL="114300" distR="114300" wp14:anchorId="2C86C208" wp14:editId="48CE7CC8">
                  <wp:extent cx="5456840" cy="7100888"/>
                  <wp:effectExtent l="0" t="0" r="0" b="0"/>
                  <wp:docPr id="7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a:srcRect l="36" r="37"/>
                          <a:stretch>
                            <a:fillRect/>
                          </a:stretch>
                        </pic:blipFill>
                        <pic:spPr>
                          <a:xfrm>
                            <a:off x="0" y="0"/>
                            <a:ext cx="5456840" cy="7100888"/>
                          </a:xfrm>
                          <a:prstGeom prst="rect">
                            <a:avLst/>
                          </a:prstGeom>
                          <a:ln/>
                        </pic:spPr>
                      </pic:pic>
                    </a:graphicData>
                  </a:graphic>
                </wp:inline>
              </w:drawing>
            </w:r>
          </w:p>
        </w:tc>
      </w:tr>
      <w:tr w:rsidR="008E545C" w:rsidRPr="00DD692C" w14:paraId="09356ABB" w14:textId="77777777">
        <w:trPr>
          <w:trHeight w:val="2037"/>
        </w:trPr>
        <w:tc>
          <w:tcPr>
            <w:tcW w:w="9360" w:type="dxa"/>
            <w:shd w:val="clear" w:color="auto" w:fill="auto"/>
            <w:tcMar>
              <w:top w:w="100" w:type="dxa"/>
              <w:left w:w="100" w:type="dxa"/>
              <w:bottom w:w="100" w:type="dxa"/>
              <w:right w:w="100" w:type="dxa"/>
            </w:tcMar>
          </w:tcPr>
          <w:p w14:paraId="0000009F" w14:textId="77777777" w:rsidR="008E545C" w:rsidRPr="00DD692C" w:rsidRDefault="00000000">
            <w:pPr>
              <w:jc w:val="both"/>
              <w:rPr>
                <w:b/>
                <w:sz w:val="18"/>
                <w:szCs w:val="18"/>
              </w:rPr>
            </w:pPr>
            <w:r w:rsidRPr="00DD692C">
              <w:rPr>
                <w:b/>
                <w:sz w:val="18"/>
                <w:szCs w:val="18"/>
              </w:rPr>
              <w:t xml:space="preserve">Supplementary Figure S16: Forest plot (A) and regional association plot (B) of SNP rs11263940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614C3A35" w14:textId="77777777">
        <w:trPr>
          <w:trHeight w:val="2037"/>
        </w:trPr>
        <w:tc>
          <w:tcPr>
            <w:tcW w:w="9360" w:type="dxa"/>
            <w:shd w:val="clear" w:color="auto" w:fill="auto"/>
            <w:tcMar>
              <w:top w:w="100" w:type="dxa"/>
              <w:left w:w="100" w:type="dxa"/>
              <w:bottom w:w="100" w:type="dxa"/>
              <w:right w:w="100" w:type="dxa"/>
            </w:tcMar>
          </w:tcPr>
          <w:p w14:paraId="000000A0" w14:textId="77777777" w:rsidR="008E545C" w:rsidRPr="00DD692C" w:rsidRDefault="00000000">
            <w:pPr>
              <w:rPr>
                <w:b/>
                <w:sz w:val="18"/>
                <w:szCs w:val="18"/>
              </w:rPr>
            </w:pPr>
            <w:r w:rsidRPr="00DD692C">
              <w:rPr>
                <w:noProof/>
              </w:rPr>
              <w:lastRenderedPageBreak/>
              <w:drawing>
                <wp:inline distT="114300" distB="114300" distL="114300" distR="114300" wp14:anchorId="3495D043" wp14:editId="72635861">
                  <wp:extent cx="5456840" cy="7100888"/>
                  <wp:effectExtent l="0" t="0" r="0" b="0"/>
                  <wp:docPr id="7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2"/>
                          <a:srcRect l="36" r="37"/>
                          <a:stretch>
                            <a:fillRect/>
                          </a:stretch>
                        </pic:blipFill>
                        <pic:spPr>
                          <a:xfrm>
                            <a:off x="0" y="0"/>
                            <a:ext cx="5456840" cy="7100888"/>
                          </a:xfrm>
                          <a:prstGeom prst="rect">
                            <a:avLst/>
                          </a:prstGeom>
                          <a:ln/>
                        </pic:spPr>
                      </pic:pic>
                    </a:graphicData>
                  </a:graphic>
                </wp:inline>
              </w:drawing>
            </w:r>
          </w:p>
        </w:tc>
      </w:tr>
      <w:tr w:rsidR="008E545C" w:rsidRPr="00DD692C" w14:paraId="4461FEE3" w14:textId="77777777">
        <w:trPr>
          <w:trHeight w:val="2037"/>
        </w:trPr>
        <w:tc>
          <w:tcPr>
            <w:tcW w:w="9360" w:type="dxa"/>
            <w:shd w:val="clear" w:color="auto" w:fill="auto"/>
            <w:tcMar>
              <w:top w:w="100" w:type="dxa"/>
              <w:left w:w="100" w:type="dxa"/>
              <w:bottom w:w="100" w:type="dxa"/>
              <w:right w:w="100" w:type="dxa"/>
            </w:tcMar>
          </w:tcPr>
          <w:p w14:paraId="000000A1" w14:textId="77777777" w:rsidR="008E545C" w:rsidRPr="00DD692C" w:rsidRDefault="00000000">
            <w:pPr>
              <w:jc w:val="both"/>
              <w:rPr>
                <w:b/>
                <w:sz w:val="14"/>
                <w:szCs w:val="14"/>
              </w:rPr>
            </w:pPr>
            <w:r w:rsidRPr="00DD692C">
              <w:rPr>
                <w:b/>
                <w:sz w:val="18"/>
                <w:szCs w:val="18"/>
              </w:rPr>
              <w:t xml:space="preserve">Supplementary Figure S17: Forest plot (A) and regional association plot (B) of SNP rs67839857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7E7C1910" w14:textId="77777777">
        <w:trPr>
          <w:trHeight w:val="2037"/>
        </w:trPr>
        <w:tc>
          <w:tcPr>
            <w:tcW w:w="9360" w:type="dxa"/>
            <w:shd w:val="clear" w:color="auto" w:fill="auto"/>
            <w:tcMar>
              <w:top w:w="100" w:type="dxa"/>
              <w:left w:w="100" w:type="dxa"/>
              <w:bottom w:w="100" w:type="dxa"/>
              <w:right w:w="100" w:type="dxa"/>
            </w:tcMar>
          </w:tcPr>
          <w:p w14:paraId="000000A2" w14:textId="77777777" w:rsidR="008E545C" w:rsidRPr="00DD692C" w:rsidRDefault="00000000">
            <w:pPr>
              <w:rPr>
                <w:b/>
                <w:sz w:val="18"/>
                <w:szCs w:val="18"/>
              </w:rPr>
            </w:pPr>
            <w:r w:rsidRPr="00DD692C">
              <w:rPr>
                <w:noProof/>
              </w:rPr>
              <w:lastRenderedPageBreak/>
              <w:drawing>
                <wp:inline distT="114300" distB="114300" distL="114300" distR="114300" wp14:anchorId="68426A5C" wp14:editId="56F745A1">
                  <wp:extent cx="5456840" cy="7100888"/>
                  <wp:effectExtent l="0" t="0" r="0" b="0"/>
                  <wp:docPr id="7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3"/>
                          <a:srcRect l="36" r="37"/>
                          <a:stretch>
                            <a:fillRect/>
                          </a:stretch>
                        </pic:blipFill>
                        <pic:spPr>
                          <a:xfrm>
                            <a:off x="0" y="0"/>
                            <a:ext cx="5456840" cy="7100888"/>
                          </a:xfrm>
                          <a:prstGeom prst="rect">
                            <a:avLst/>
                          </a:prstGeom>
                          <a:ln/>
                        </pic:spPr>
                      </pic:pic>
                    </a:graphicData>
                  </a:graphic>
                </wp:inline>
              </w:drawing>
            </w:r>
          </w:p>
        </w:tc>
      </w:tr>
      <w:tr w:rsidR="008E545C" w:rsidRPr="00DD692C" w14:paraId="79DA6967" w14:textId="77777777">
        <w:trPr>
          <w:trHeight w:val="2037"/>
        </w:trPr>
        <w:tc>
          <w:tcPr>
            <w:tcW w:w="9360" w:type="dxa"/>
            <w:shd w:val="clear" w:color="auto" w:fill="auto"/>
            <w:tcMar>
              <w:top w:w="100" w:type="dxa"/>
              <w:left w:w="100" w:type="dxa"/>
              <w:bottom w:w="100" w:type="dxa"/>
              <w:right w:w="100" w:type="dxa"/>
            </w:tcMar>
          </w:tcPr>
          <w:p w14:paraId="000000A3" w14:textId="77777777" w:rsidR="008E545C" w:rsidRPr="00DD692C" w:rsidRDefault="00000000">
            <w:pPr>
              <w:jc w:val="both"/>
              <w:rPr>
                <w:b/>
                <w:sz w:val="18"/>
                <w:szCs w:val="18"/>
              </w:rPr>
            </w:pPr>
            <w:r w:rsidRPr="00DD692C">
              <w:rPr>
                <w:b/>
                <w:sz w:val="18"/>
                <w:szCs w:val="18"/>
              </w:rPr>
              <w:t xml:space="preserve">Supplementary Figure S18: Forest plot (A) and regional association plot (B) of SNP rs1555466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4B0A9884" w14:textId="77777777">
        <w:trPr>
          <w:trHeight w:val="2037"/>
        </w:trPr>
        <w:tc>
          <w:tcPr>
            <w:tcW w:w="9360" w:type="dxa"/>
            <w:shd w:val="clear" w:color="auto" w:fill="auto"/>
            <w:tcMar>
              <w:top w:w="100" w:type="dxa"/>
              <w:left w:w="100" w:type="dxa"/>
              <w:bottom w:w="100" w:type="dxa"/>
              <w:right w:w="100" w:type="dxa"/>
            </w:tcMar>
          </w:tcPr>
          <w:p w14:paraId="000000A4" w14:textId="77777777" w:rsidR="008E545C" w:rsidRPr="00DD692C" w:rsidRDefault="00000000">
            <w:pPr>
              <w:rPr>
                <w:b/>
                <w:sz w:val="18"/>
                <w:szCs w:val="18"/>
              </w:rPr>
            </w:pPr>
            <w:r w:rsidRPr="00DD692C">
              <w:rPr>
                <w:noProof/>
              </w:rPr>
              <w:lastRenderedPageBreak/>
              <w:drawing>
                <wp:inline distT="114300" distB="114300" distL="114300" distR="114300" wp14:anchorId="67371524" wp14:editId="4732F63F">
                  <wp:extent cx="5456840" cy="7100888"/>
                  <wp:effectExtent l="0" t="0" r="0" b="0"/>
                  <wp:docPr id="7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4"/>
                          <a:srcRect l="36" r="37"/>
                          <a:stretch>
                            <a:fillRect/>
                          </a:stretch>
                        </pic:blipFill>
                        <pic:spPr>
                          <a:xfrm>
                            <a:off x="0" y="0"/>
                            <a:ext cx="5456840" cy="7100888"/>
                          </a:xfrm>
                          <a:prstGeom prst="rect">
                            <a:avLst/>
                          </a:prstGeom>
                          <a:ln/>
                        </pic:spPr>
                      </pic:pic>
                    </a:graphicData>
                  </a:graphic>
                </wp:inline>
              </w:drawing>
            </w:r>
          </w:p>
        </w:tc>
      </w:tr>
      <w:tr w:rsidR="008E545C" w:rsidRPr="00DD692C" w14:paraId="7089E2C8" w14:textId="77777777">
        <w:trPr>
          <w:trHeight w:val="2037"/>
        </w:trPr>
        <w:tc>
          <w:tcPr>
            <w:tcW w:w="9360" w:type="dxa"/>
            <w:shd w:val="clear" w:color="auto" w:fill="auto"/>
            <w:tcMar>
              <w:top w:w="100" w:type="dxa"/>
              <w:left w:w="100" w:type="dxa"/>
              <w:bottom w:w="100" w:type="dxa"/>
              <w:right w:w="100" w:type="dxa"/>
            </w:tcMar>
          </w:tcPr>
          <w:p w14:paraId="000000A5" w14:textId="77777777" w:rsidR="008E545C" w:rsidRPr="00DD692C" w:rsidRDefault="00000000">
            <w:pPr>
              <w:jc w:val="both"/>
              <w:rPr>
                <w:b/>
                <w:sz w:val="18"/>
                <w:szCs w:val="18"/>
              </w:rPr>
            </w:pPr>
            <w:r w:rsidRPr="00DD692C">
              <w:rPr>
                <w:b/>
                <w:sz w:val="18"/>
                <w:szCs w:val="18"/>
              </w:rPr>
              <w:t xml:space="preserve">Supplementary Figure S19: Forest plot (A) and regional association plot (B) of SNP rs9886111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74CE02E5" w14:textId="77777777">
        <w:trPr>
          <w:trHeight w:val="2037"/>
        </w:trPr>
        <w:tc>
          <w:tcPr>
            <w:tcW w:w="9360" w:type="dxa"/>
            <w:shd w:val="clear" w:color="auto" w:fill="auto"/>
            <w:tcMar>
              <w:top w:w="100" w:type="dxa"/>
              <w:left w:w="100" w:type="dxa"/>
              <w:bottom w:w="100" w:type="dxa"/>
              <w:right w:w="100" w:type="dxa"/>
            </w:tcMar>
          </w:tcPr>
          <w:p w14:paraId="000000A6" w14:textId="77777777" w:rsidR="008E545C" w:rsidRPr="00DD692C" w:rsidRDefault="00000000">
            <w:pPr>
              <w:rPr>
                <w:b/>
                <w:sz w:val="18"/>
                <w:szCs w:val="18"/>
              </w:rPr>
            </w:pPr>
            <w:r w:rsidRPr="00DD692C">
              <w:rPr>
                <w:noProof/>
              </w:rPr>
              <w:lastRenderedPageBreak/>
              <w:drawing>
                <wp:inline distT="114300" distB="114300" distL="114300" distR="114300" wp14:anchorId="091DA582" wp14:editId="51631ECD">
                  <wp:extent cx="5456840" cy="7100888"/>
                  <wp:effectExtent l="0" t="0" r="0" b="0"/>
                  <wp:docPr id="8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5"/>
                          <a:srcRect l="36" r="37"/>
                          <a:stretch>
                            <a:fillRect/>
                          </a:stretch>
                        </pic:blipFill>
                        <pic:spPr>
                          <a:xfrm>
                            <a:off x="0" y="0"/>
                            <a:ext cx="5456840" cy="7100888"/>
                          </a:xfrm>
                          <a:prstGeom prst="rect">
                            <a:avLst/>
                          </a:prstGeom>
                          <a:ln/>
                        </pic:spPr>
                      </pic:pic>
                    </a:graphicData>
                  </a:graphic>
                </wp:inline>
              </w:drawing>
            </w:r>
          </w:p>
        </w:tc>
      </w:tr>
      <w:tr w:rsidR="008E545C" w:rsidRPr="00DD692C" w14:paraId="1E520F4B" w14:textId="77777777">
        <w:trPr>
          <w:trHeight w:val="2037"/>
        </w:trPr>
        <w:tc>
          <w:tcPr>
            <w:tcW w:w="9360" w:type="dxa"/>
            <w:shd w:val="clear" w:color="auto" w:fill="auto"/>
            <w:tcMar>
              <w:top w:w="100" w:type="dxa"/>
              <w:left w:w="100" w:type="dxa"/>
              <w:bottom w:w="100" w:type="dxa"/>
              <w:right w:w="100" w:type="dxa"/>
            </w:tcMar>
          </w:tcPr>
          <w:p w14:paraId="000000A7" w14:textId="77777777" w:rsidR="008E545C" w:rsidRPr="00DD692C" w:rsidRDefault="00000000">
            <w:pPr>
              <w:jc w:val="both"/>
              <w:rPr>
                <w:b/>
                <w:sz w:val="18"/>
                <w:szCs w:val="18"/>
              </w:rPr>
            </w:pPr>
            <w:r w:rsidRPr="00DD692C">
              <w:rPr>
                <w:b/>
                <w:sz w:val="18"/>
                <w:szCs w:val="18"/>
              </w:rPr>
              <w:t xml:space="preserve">Supplementary Figure S20: Forest plot (A) and regional association plot (B) of SNP rs9287859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4D216CB6" w14:textId="77777777">
        <w:trPr>
          <w:trHeight w:val="2037"/>
        </w:trPr>
        <w:tc>
          <w:tcPr>
            <w:tcW w:w="9360" w:type="dxa"/>
            <w:shd w:val="clear" w:color="auto" w:fill="auto"/>
            <w:tcMar>
              <w:top w:w="100" w:type="dxa"/>
              <w:left w:w="100" w:type="dxa"/>
              <w:bottom w:w="100" w:type="dxa"/>
              <w:right w:w="100" w:type="dxa"/>
            </w:tcMar>
          </w:tcPr>
          <w:p w14:paraId="000000A8" w14:textId="77777777" w:rsidR="008E545C" w:rsidRPr="00DD692C" w:rsidRDefault="00000000">
            <w:pPr>
              <w:rPr>
                <w:b/>
                <w:sz w:val="18"/>
                <w:szCs w:val="18"/>
              </w:rPr>
            </w:pPr>
            <w:r w:rsidRPr="00DD692C">
              <w:rPr>
                <w:noProof/>
              </w:rPr>
              <w:lastRenderedPageBreak/>
              <w:drawing>
                <wp:inline distT="114300" distB="114300" distL="114300" distR="114300" wp14:anchorId="62A18F9D" wp14:editId="6B0F5E83">
                  <wp:extent cx="5456840" cy="7100888"/>
                  <wp:effectExtent l="0" t="0" r="0" b="0"/>
                  <wp:docPr id="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6"/>
                          <a:srcRect l="36" r="37"/>
                          <a:stretch>
                            <a:fillRect/>
                          </a:stretch>
                        </pic:blipFill>
                        <pic:spPr>
                          <a:xfrm>
                            <a:off x="0" y="0"/>
                            <a:ext cx="5456840" cy="7100888"/>
                          </a:xfrm>
                          <a:prstGeom prst="rect">
                            <a:avLst/>
                          </a:prstGeom>
                          <a:ln/>
                        </pic:spPr>
                      </pic:pic>
                    </a:graphicData>
                  </a:graphic>
                </wp:inline>
              </w:drawing>
            </w:r>
          </w:p>
        </w:tc>
      </w:tr>
      <w:tr w:rsidR="008E545C" w:rsidRPr="00DD692C" w14:paraId="1654725D" w14:textId="77777777">
        <w:trPr>
          <w:trHeight w:val="2037"/>
        </w:trPr>
        <w:tc>
          <w:tcPr>
            <w:tcW w:w="9360" w:type="dxa"/>
            <w:shd w:val="clear" w:color="auto" w:fill="auto"/>
            <w:tcMar>
              <w:top w:w="100" w:type="dxa"/>
              <w:left w:w="100" w:type="dxa"/>
              <w:bottom w:w="100" w:type="dxa"/>
              <w:right w:w="100" w:type="dxa"/>
            </w:tcMar>
          </w:tcPr>
          <w:p w14:paraId="000000A9" w14:textId="77777777" w:rsidR="008E545C" w:rsidRPr="00DD692C" w:rsidRDefault="00000000">
            <w:pPr>
              <w:jc w:val="both"/>
              <w:rPr>
                <w:b/>
                <w:sz w:val="14"/>
                <w:szCs w:val="14"/>
              </w:rPr>
            </w:pPr>
            <w:r w:rsidRPr="00DD692C">
              <w:rPr>
                <w:b/>
                <w:sz w:val="18"/>
                <w:szCs w:val="18"/>
              </w:rPr>
              <w:t xml:space="preserve">Supplementary Figure S21: Forest plot (A) and regional association plot (B) of SNP rs2087319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40B41102" w14:textId="77777777">
        <w:trPr>
          <w:trHeight w:val="2037"/>
        </w:trPr>
        <w:tc>
          <w:tcPr>
            <w:tcW w:w="9360" w:type="dxa"/>
            <w:shd w:val="clear" w:color="auto" w:fill="auto"/>
            <w:tcMar>
              <w:top w:w="100" w:type="dxa"/>
              <w:left w:w="100" w:type="dxa"/>
              <w:bottom w:w="100" w:type="dxa"/>
              <w:right w:w="100" w:type="dxa"/>
            </w:tcMar>
          </w:tcPr>
          <w:p w14:paraId="000000AA" w14:textId="77777777" w:rsidR="008E545C" w:rsidRPr="00DD692C" w:rsidRDefault="00000000">
            <w:pPr>
              <w:rPr>
                <w:b/>
                <w:sz w:val="18"/>
                <w:szCs w:val="18"/>
              </w:rPr>
            </w:pPr>
            <w:r w:rsidRPr="00DD692C">
              <w:rPr>
                <w:noProof/>
              </w:rPr>
              <w:lastRenderedPageBreak/>
              <w:drawing>
                <wp:inline distT="114300" distB="114300" distL="114300" distR="114300" wp14:anchorId="47A9B7AF" wp14:editId="54F88439">
                  <wp:extent cx="5456840" cy="7100888"/>
                  <wp:effectExtent l="0" t="0" r="0" b="0"/>
                  <wp:docPr id="4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7"/>
                          <a:srcRect l="36" r="37"/>
                          <a:stretch>
                            <a:fillRect/>
                          </a:stretch>
                        </pic:blipFill>
                        <pic:spPr>
                          <a:xfrm>
                            <a:off x="0" y="0"/>
                            <a:ext cx="5456840" cy="7100888"/>
                          </a:xfrm>
                          <a:prstGeom prst="rect">
                            <a:avLst/>
                          </a:prstGeom>
                          <a:ln/>
                        </pic:spPr>
                      </pic:pic>
                    </a:graphicData>
                  </a:graphic>
                </wp:inline>
              </w:drawing>
            </w:r>
          </w:p>
        </w:tc>
      </w:tr>
      <w:tr w:rsidR="008E545C" w:rsidRPr="00DD692C" w14:paraId="56FD4E8B" w14:textId="77777777">
        <w:trPr>
          <w:trHeight w:val="2037"/>
        </w:trPr>
        <w:tc>
          <w:tcPr>
            <w:tcW w:w="9360" w:type="dxa"/>
            <w:shd w:val="clear" w:color="auto" w:fill="auto"/>
            <w:tcMar>
              <w:top w:w="100" w:type="dxa"/>
              <w:left w:w="100" w:type="dxa"/>
              <w:bottom w:w="100" w:type="dxa"/>
              <w:right w:w="100" w:type="dxa"/>
            </w:tcMar>
          </w:tcPr>
          <w:p w14:paraId="000000AB" w14:textId="77777777" w:rsidR="008E545C" w:rsidRPr="00DD692C" w:rsidRDefault="00000000">
            <w:pPr>
              <w:jc w:val="both"/>
              <w:rPr>
                <w:b/>
                <w:sz w:val="18"/>
                <w:szCs w:val="18"/>
              </w:rPr>
            </w:pPr>
            <w:r w:rsidRPr="00DD692C">
              <w:rPr>
                <w:b/>
                <w:sz w:val="18"/>
                <w:szCs w:val="18"/>
              </w:rPr>
              <w:t xml:space="preserve">Supplementary Figure S22: Forest plot (A) and regional association plot (B) of SNP rs11125759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4EBB1C03" w14:textId="77777777">
        <w:trPr>
          <w:trHeight w:val="2037"/>
        </w:trPr>
        <w:tc>
          <w:tcPr>
            <w:tcW w:w="9360" w:type="dxa"/>
            <w:shd w:val="clear" w:color="auto" w:fill="auto"/>
            <w:tcMar>
              <w:top w:w="100" w:type="dxa"/>
              <w:left w:w="100" w:type="dxa"/>
              <w:bottom w:w="100" w:type="dxa"/>
              <w:right w:w="100" w:type="dxa"/>
            </w:tcMar>
          </w:tcPr>
          <w:p w14:paraId="000000AC" w14:textId="77777777" w:rsidR="008E545C" w:rsidRPr="00DD692C" w:rsidRDefault="00000000">
            <w:pPr>
              <w:rPr>
                <w:b/>
                <w:sz w:val="18"/>
                <w:szCs w:val="18"/>
              </w:rPr>
            </w:pPr>
            <w:r w:rsidRPr="00DD692C">
              <w:rPr>
                <w:noProof/>
              </w:rPr>
              <w:lastRenderedPageBreak/>
              <w:drawing>
                <wp:inline distT="114300" distB="114300" distL="114300" distR="114300" wp14:anchorId="5CF55BC4" wp14:editId="4BCE5EF8">
                  <wp:extent cx="5456840" cy="7100888"/>
                  <wp:effectExtent l="0" t="0" r="0" b="0"/>
                  <wp:docPr id="4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l="36" r="37"/>
                          <a:stretch>
                            <a:fillRect/>
                          </a:stretch>
                        </pic:blipFill>
                        <pic:spPr>
                          <a:xfrm>
                            <a:off x="0" y="0"/>
                            <a:ext cx="5456840" cy="7100888"/>
                          </a:xfrm>
                          <a:prstGeom prst="rect">
                            <a:avLst/>
                          </a:prstGeom>
                          <a:ln/>
                        </pic:spPr>
                      </pic:pic>
                    </a:graphicData>
                  </a:graphic>
                </wp:inline>
              </w:drawing>
            </w:r>
          </w:p>
        </w:tc>
      </w:tr>
      <w:tr w:rsidR="008E545C" w:rsidRPr="00DD692C" w14:paraId="7B2E800B" w14:textId="77777777">
        <w:trPr>
          <w:trHeight w:val="2037"/>
        </w:trPr>
        <w:tc>
          <w:tcPr>
            <w:tcW w:w="9360" w:type="dxa"/>
            <w:shd w:val="clear" w:color="auto" w:fill="auto"/>
            <w:tcMar>
              <w:top w:w="100" w:type="dxa"/>
              <w:left w:w="100" w:type="dxa"/>
              <w:bottom w:w="100" w:type="dxa"/>
              <w:right w:w="100" w:type="dxa"/>
            </w:tcMar>
          </w:tcPr>
          <w:p w14:paraId="000000AD" w14:textId="77777777" w:rsidR="008E545C" w:rsidRPr="00DD692C" w:rsidRDefault="00000000">
            <w:pPr>
              <w:jc w:val="both"/>
              <w:rPr>
                <w:b/>
                <w:sz w:val="14"/>
                <w:szCs w:val="14"/>
              </w:rPr>
            </w:pPr>
            <w:r w:rsidRPr="00DD692C">
              <w:rPr>
                <w:b/>
                <w:sz w:val="18"/>
                <w:szCs w:val="18"/>
              </w:rPr>
              <w:t xml:space="preserve">Supplementary Figure S23: Forest plot (A) and regional association plot (B) of SNP rs6474628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41F327D9" w14:textId="77777777">
        <w:trPr>
          <w:trHeight w:val="2037"/>
        </w:trPr>
        <w:tc>
          <w:tcPr>
            <w:tcW w:w="9360" w:type="dxa"/>
            <w:shd w:val="clear" w:color="auto" w:fill="auto"/>
            <w:tcMar>
              <w:top w:w="100" w:type="dxa"/>
              <w:left w:w="100" w:type="dxa"/>
              <w:bottom w:w="100" w:type="dxa"/>
              <w:right w:w="100" w:type="dxa"/>
            </w:tcMar>
          </w:tcPr>
          <w:p w14:paraId="000000AE" w14:textId="77777777" w:rsidR="008E545C" w:rsidRPr="00DD692C" w:rsidRDefault="00000000">
            <w:pPr>
              <w:rPr>
                <w:b/>
                <w:sz w:val="18"/>
                <w:szCs w:val="18"/>
              </w:rPr>
            </w:pPr>
            <w:r w:rsidRPr="00DD692C">
              <w:rPr>
                <w:noProof/>
              </w:rPr>
              <w:lastRenderedPageBreak/>
              <w:drawing>
                <wp:inline distT="114300" distB="114300" distL="114300" distR="114300" wp14:anchorId="471E3818" wp14:editId="6D5ACF0D">
                  <wp:extent cx="5456840" cy="7100888"/>
                  <wp:effectExtent l="0" t="0" r="0" b="0"/>
                  <wp:docPr id="4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l="36" r="37"/>
                          <a:stretch>
                            <a:fillRect/>
                          </a:stretch>
                        </pic:blipFill>
                        <pic:spPr>
                          <a:xfrm>
                            <a:off x="0" y="0"/>
                            <a:ext cx="5456840" cy="7100888"/>
                          </a:xfrm>
                          <a:prstGeom prst="rect">
                            <a:avLst/>
                          </a:prstGeom>
                          <a:ln/>
                        </pic:spPr>
                      </pic:pic>
                    </a:graphicData>
                  </a:graphic>
                </wp:inline>
              </w:drawing>
            </w:r>
          </w:p>
        </w:tc>
      </w:tr>
      <w:tr w:rsidR="008E545C" w:rsidRPr="00DD692C" w14:paraId="284C816E" w14:textId="77777777">
        <w:trPr>
          <w:trHeight w:val="2037"/>
        </w:trPr>
        <w:tc>
          <w:tcPr>
            <w:tcW w:w="9360" w:type="dxa"/>
            <w:shd w:val="clear" w:color="auto" w:fill="auto"/>
            <w:tcMar>
              <w:top w:w="100" w:type="dxa"/>
              <w:left w:w="100" w:type="dxa"/>
              <w:bottom w:w="100" w:type="dxa"/>
              <w:right w:w="100" w:type="dxa"/>
            </w:tcMar>
          </w:tcPr>
          <w:p w14:paraId="000000AF" w14:textId="77777777" w:rsidR="008E545C" w:rsidRPr="00DD692C" w:rsidRDefault="00000000">
            <w:pPr>
              <w:jc w:val="both"/>
              <w:rPr>
                <w:b/>
                <w:sz w:val="14"/>
                <w:szCs w:val="14"/>
              </w:rPr>
            </w:pPr>
            <w:r w:rsidRPr="00DD692C">
              <w:rPr>
                <w:b/>
                <w:sz w:val="18"/>
                <w:szCs w:val="18"/>
              </w:rPr>
              <w:t xml:space="preserve">Supplementary Figure S24: Forest plot (A) and regional association plot (B) of SNP rs11768238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1A0E2B62" w14:textId="77777777">
        <w:trPr>
          <w:trHeight w:val="2037"/>
        </w:trPr>
        <w:tc>
          <w:tcPr>
            <w:tcW w:w="9360" w:type="dxa"/>
            <w:shd w:val="clear" w:color="auto" w:fill="auto"/>
            <w:tcMar>
              <w:top w:w="100" w:type="dxa"/>
              <w:left w:w="100" w:type="dxa"/>
              <w:bottom w:w="100" w:type="dxa"/>
              <w:right w:w="100" w:type="dxa"/>
            </w:tcMar>
          </w:tcPr>
          <w:p w14:paraId="000000B0" w14:textId="77777777" w:rsidR="008E545C" w:rsidRPr="00DD692C" w:rsidRDefault="00000000">
            <w:pPr>
              <w:rPr>
                <w:b/>
                <w:sz w:val="18"/>
                <w:szCs w:val="18"/>
              </w:rPr>
            </w:pPr>
            <w:r w:rsidRPr="00DD692C">
              <w:rPr>
                <w:noProof/>
              </w:rPr>
              <w:lastRenderedPageBreak/>
              <w:drawing>
                <wp:inline distT="114300" distB="114300" distL="114300" distR="114300" wp14:anchorId="4FC619DC" wp14:editId="7DDAFBBD">
                  <wp:extent cx="5456840" cy="7100888"/>
                  <wp:effectExtent l="0" t="0" r="0" b="0"/>
                  <wp:docPr id="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l="36" r="37"/>
                          <a:stretch>
                            <a:fillRect/>
                          </a:stretch>
                        </pic:blipFill>
                        <pic:spPr>
                          <a:xfrm>
                            <a:off x="0" y="0"/>
                            <a:ext cx="5456840" cy="7100888"/>
                          </a:xfrm>
                          <a:prstGeom prst="rect">
                            <a:avLst/>
                          </a:prstGeom>
                          <a:ln/>
                        </pic:spPr>
                      </pic:pic>
                    </a:graphicData>
                  </a:graphic>
                </wp:inline>
              </w:drawing>
            </w:r>
          </w:p>
        </w:tc>
      </w:tr>
      <w:tr w:rsidR="008E545C" w:rsidRPr="00DD692C" w14:paraId="2CA320F3" w14:textId="77777777">
        <w:trPr>
          <w:trHeight w:val="2037"/>
        </w:trPr>
        <w:tc>
          <w:tcPr>
            <w:tcW w:w="9360" w:type="dxa"/>
            <w:shd w:val="clear" w:color="auto" w:fill="auto"/>
            <w:tcMar>
              <w:top w:w="100" w:type="dxa"/>
              <w:left w:w="100" w:type="dxa"/>
              <w:bottom w:w="100" w:type="dxa"/>
              <w:right w:w="100" w:type="dxa"/>
            </w:tcMar>
          </w:tcPr>
          <w:p w14:paraId="000000B1" w14:textId="77777777" w:rsidR="008E545C" w:rsidRPr="00DD692C" w:rsidRDefault="00000000">
            <w:pPr>
              <w:jc w:val="both"/>
              <w:rPr>
                <w:b/>
                <w:sz w:val="14"/>
                <w:szCs w:val="14"/>
              </w:rPr>
            </w:pPr>
            <w:r w:rsidRPr="00DD692C">
              <w:rPr>
                <w:b/>
                <w:sz w:val="18"/>
                <w:szCs w:val="18"/>
              </w:rPr>
              <w:t xml:space="preserve">Supplementary Figure S25: Forest plot (A) and regional association plot (B) of SNP rs9479138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0933D5A9" w14:textId="77777777">
        <w:trPr>
          <w:trHeight w:val="2037"/>
        </w:trPr>
        <w:tc>
          <w:tcPr>
            <w:tcW w:w="9360" w:type="dxa"/>
            <w:shd w:val="clear" w:color="auto" w:fill="auto"/>
            <w:tcMar>
              <w:top w:w="100" w:type="dxa"/>
              <w:left w:w="100" w:type="dxa"/>
              <w:bottom w:w="100" w:type="dxa"/>
              <w:right w:w="100" w:type="dxa"/>
            </w:tcMar>
          </w:tcPr>
          <w:p w14:paraId="000000B2" w14:textId="77777777" w:rsidR="008E545C" w:rsidRPr="00DD692C" w:rsidRDefault="00000000">
            <w:pPr>
              <w:rPr>
                <w:b/>
                <w:sz w:val="18"/>
                <w:szCs w:val="18"/>
              </w:rPr>
            </w:pPr>
            <w:r w:rsidRPr="00DD692C">
              <w:rPr>
                <w:noProof/>
              </w:rPr>
              <w:lastRenderedPageBreak/>
              <w:drawing>
                <wp:inline distT="114300" distB="114300" distL="114300" distR="114300" wp14:anchorId="54F8744D" wp14:editId="5A928483">
                  <wp:extent cx="5456840" cy="7100888"/>
                  <wp:effectExtent l="0" t="0" r="0" b="0"/>
                  <wp:docPr id="4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l="36" r="37"/>
                          <a:stretch>
                            <a:fillRect/>
                          </a:stretch>
                        </pic:blipFill>
                        <pic:spPr>
                          <a:xfrm>
                            <a:off x="0" y="0"/>
                            <a:ext cx="5456840" cy="7100888"/>
                          </a:xfrm>
                          <a:prstGeom prst="rect">
                            <a:avLst/>
                          </a:prstGeom>
                          <a:ln/>
                        </pic:spPr>
                      </pic:pic>
                    </a:graphicData>
                  </a:graphic>
                </wp:inline>
              </w:drawing>
            </w:r>
          </w:p>
        </w:tc>
      </w:tr>
      <w:tr w:rsidR="008E545C" w:rsidRPr="00DD692C" w14:paraId="24985D88" w14:textId="77777777">
        <w:trPr>
          <w:trHeight w:val="2037"/>
        </w:trPr>
        <w:tc>
          <w:tcPr>
            <w:tcW w:w="9360" w:type="dxa"/>
            <w:shd w:val="clear" w:color="auto" w:fill="auto"/>
            <w:tcMar>
              <w:top w:w="100" w:type="dxa"/>
              <w:left w:w="100" w:type="dxa"/>
              <w:bottom w:w="100" w:type="dxa"/>
              <w:right w:w="100" w:type="dxa"/>
            </w:tcMar>
          </w:tcPr>
          <w:p w14:paraId="000000B3" w14:textId="77777777" w:rsidR="008E545C" w:rsidRPr="00DD692C" w:rsidRDefault="00000000">
            <w:pPr>
              <w:jc w:val="both"/>
              <w:rPr>
                <w:b/>
                <w:sz w:val="14"/>
                <w:szCs w:val="14"/>
              </w:rPr>
            </w:pPr>
            <w:r w:rsidRPr="00DD692C">
              <w:rPr>
                <w:b/>
                <w:sz w:val="18"/>
                <w:szCs w:val="18"/>
              </w:rPr>
              <w:t xml:space="preserve">Supplementary Figure S26: Forest plot (A) and regional association plot (B) of SNP rs1567288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0448F989" w14:textId="77777777">
        <w:trPr>
          <w:trHeight w:val="2037"/>
        </w:trPr>
        <w:tc>
          <w:tcPr>
            <w:tcW w:w="9360" w:type="dxa"/>
            <w:shd w:val="clear" w:color="auto" w:fill="auto"/>
            <w:tcMar>
              <w:top w:w="100" w:type="dxa"/>
              <w:left w:w="100" w:type="dxa"/>
              <w:bottom w:w="100" w:type="dxa"/>
              <w:right w:w="100" w:type="dxa"/>
            </w:tcMar>
          </w:tcPr>
          <w:p w14:paraId="000000B4" w14:textId="77777777" w:rsidR="008E545C" w:rsidRPr="00DD692C" w:rsidRDefault="00000000">
            <w:pPr>
              <w:rPr>
                <w:b/>
                <w:sz w:val="18"/>
                <w:szCs w:val="18"/>
              </w:rPr>
            </w:pPr>
            <w:r w:rsidRPr="00DD692C">
              <w:rPr>
                <w:noProof/>
              </w:rPr>
              <w:lastRenderedPageBreak/>
              <w:drawing>
                <wp:inline distT="114300" distB="114300" distL="114300" distR="114300" wp14:anchorId="41F28DED" wp14:editId="113B8C00">
                  <wp:extent cx="5456840" cy="7100888"/>
                  <wp:effectExtent l="0" t="0" r="0" b="0"/>
                  <wp:docPr id="4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l="36" r="37"/>
                          <a:stretch>
                            <a:fillRect/>
                          </a:stretch>
                        </pic:blipFill>
                        <pic:spPr>
                          <a:xfrm>
                            <a:off x="0" y="0"/>
                            <a:ext cx="5456840" cy="7100888"/>
                          </a:xfrm>
                          <a:prstGeom prst="rect">
                            <a:avLst/>
                          </a:prstGeom>
                          <a:ln/>
                        </pic:spPr>
                      </pic:pic>
                    </a:graphicData>
                  </a:graphic>
                </wp:inline>
              </w:drawing>
            </w:r>
          </w:p>
        </w:tc>
      </w:tr>
      <w:tr w:rsidR="008E545C" w:rsidRPr="00DD692C" w14:paraId="7E99A90C" w14:textId="77777777">
        <w:trPr>
          <w:trHeight w:val="2037"/>
        </w:trPr>
        <w:tc>
          <w:tcPr>
            <w:tcW w:w="9360" w:type="dxa"/>
            <w:shd w:val="clear" w:color="auto" w:fill="auto"/>
            <w:tcMar>
              <w:top w:w="100" w:type="dxa"/>
              <w:left w:w="100" w:type="dxa"/>
              <w:bottom w:w="100" w:type="dxa"/>
              <w:right w:w="100" w:type="dxa"/>
            </w:tcMar>
          </w:tcPr>
          <w:p w14:paraId="000000B5" w14:textId="77777777" w:rsidR="008E545C" w:rsidRPr="00DD692C" w:rsidRDefault="00000000">
            <w:pPr>
              <w:jc w:val="both"/>
              <w:rPr>
                <w:b/>
                <w:sz w:val="14"/>
                <w:szCs w:val="14"/>
              </w:rPr>
            </w:pPr>
            <w:r w:rsidRPr="00DD692C">
              <w:rPr>
                <w:b/>
                <w:sz w:val="18"/>
                <w:szCs w:val="18"/>
              </w:rPr>
              <w:t xml:space="preserve">Supplementary Figure S27: Forest plot (A) and regional association plot (B) of SNP rs4831130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67F73EF9" w14:textId="77777777">
        <w:trPr>
          <w:trHeight w:val="2037"/>
        </w:trPr>
        <w:tc>
          <w:tcPr>
            <w:tcW w:w="9360" w:type="dxa"/>
            <w:shd w:val="clear" w:color="auto" w:fill="auto"/>
            <w:tcMar>
              <w:top w:w="100" w:type="dxa"/>
              <w:left w:w="100" w:type="dxa"/>
              <w:bottom w:w="100" w:type="dxa"/>
              <w:right w:w="100" w:type="dxa"/>
            </w:tcMar>
          </w:tcPr>
          <w:p w14:paraId="000000B6" w14:textId="77777777" w:rsidR="008E545C" w:rsidRPr="00DD692C" w:rsidRDefault="00000000">
            <w:pPr>
              <w:rPr>
                <w:b/>
                <w:sz w:val="18"/>
                <w:szCs w:val="18"/>
              </w:rPr>
            </w:pPr>
            <w:r w:rsidRPr="00DD692C">
              <w:rPr>
                <w:noProof/>
              </w:rPr>
              <w:lastRenderedPageBreak/>
              <w:drawing>
                <wp:inline distT="114300" distB="114300" distL="114300" distR="114300" wp14:anchorId="347699BE" wp14:editId="44F4DB46">
                  <wp:extent cx="5456840" cy="7100888"/>
                  <wp:effectExtent l="0" t="0" r="0" b="0"/>
                  <wp:docPr id="4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l="36" r="37"/>
                          <a:stretch>
                            <a:fillRect/>
                          </a:stretch>
                        </pic:blipFill>
                        <pic:spPr>
                          <a:xfrm>
                            <a:off x="0" y="0"/>
                            <a:ext cx="5456840" cy="7100888"/>
                          </a:xfrm>
                          <a:prstGeom prst="rect">
                            <a:avLst/>
                          </a:prstGeom>
                          <a:ln/>
                        </pic:spPr>
                      </pic:pic>
                    </a:graphicData>
                  </a:graphic>
                </wp:inline>
              </w:drawing>
            </w:r>
          </w:p>
        </w:tc>
      </w:tr>
      <w:tr w:rsidR="008E545C" w:rsidRPr="00DD692C" w14:paraId="1337BBFD" w14:textId="77777777">
        <w:trPr>
          <w:trHeight w:val="2037"/>
        </w:trPr>
        <w:tc>
          <w:tcPr>
            <w:tcW w:w="9360" w:type="dxa"/>
            <w:shd w:val="clear" w:color="auto" w:fill="auto"/>
            <w:tcMar>
              <w:top w:w="100" w:type="dxa"/>
              <w:left w:w="100" w:type="dxa"/>
              <w:bottom w:w="100" w:type="dxa"/>
              <w:right w:w="100" w:type="dxa"/>
            </w:tcMar>
          </w:tcPr>
          <w:p w14:paraId="000000B7" w14:textId="77777777" w:rsidR="008E545C" w:rsidRPr="00DD692C" w:rsidRDefault="00000000">
            <w:pPr>
              <w:jc w:val="both"/>
              <w:rPr>
                <w:b/>
                <w:sz w:val="14"/>
                <w:szCs w:val="14"/>
              </w:rPr>
            </w:pPr>
            <w:r w:rsidRPr="00DD692C">
              <w:rPr>
                <w:b/>
                <w:sz w:val="18"/>
                <w:szCs w:val="18"/>
              </w:rPr>
              <w:t xml:space="preserve">Supplementary Figure S28: Forest plot (A) and regional association plot (B) of SNP rs17718444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5C33911B" w14:textId="77777777">
        <w:trPr>
          <w:trHeight w:val="2037"/>
        </w:trPr>
        <w:tc>
          <w:tcPr>
            <w:tcW w:w="9360" w:type="dxa"/>
            <w:shd w:val="clear" w:color="auto" w:fill="auto"/>
            <w:tcMar>
              <w:top w:w="100" w:type="dxa"/>
              <w:left w:w="100" w:type="dxa"/>
              <w:bottom w:w="100" w:type="dxa"/>
              <w:right w:w="100" w:type="dxa"/>
            </w:tcMar>
          </w:tcPr>
          <w:p w14:paraId="000000B8" w14:textId="77777777" w:rsidR="008E545C" w:rsidRPr="00DD692C" w:rsidRDefault="00000000">
            <w:pPr>
              <w:rPr>
                <w:b/>
                <w:sz w:val="18"/>
                <w:szCs w:val="18"/>
              </w:rPr>
            </w:pPr>
            <w:r w:rsidRPr="00DD692C">
              <w:rPr>
                <w:noProof/>
              </w:rPr>
              <w:lastRenderedPageBreak/>
              <w:drawing>
                <wp:inline distT="114300" distB="114300" distL="114300" distR="114300" wp14:anchorId="008CF0B0" wp14:editId="39FA44C3">
                  <wp:extent cx="5456840" cy="7100888"/>
                  <wp:effectExtent l="0" t="0" r="0" b="0"/>
                  <wp:docPr id="4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l="36" r="37"/>
                          <a:stretch>
                            <a:fillRect/>
                          </a:stretch>
                        </pic:blipFill>
                        <pic:spPr>
                          <a:xfrm>
                            <a:off x="0" y="0"/>
                            <a:ext cx="5456840" cy="7100888"/>
                          </a:xfrm>
                          <a:prstGeom prst="rect">
                            <a:avLst/>
                          </a:prstGeom>
                          <a:ln/>
                        </pic:spPr>
                      </pic:pic>
                    </a:graphicData>
                  </a:graphic>
                </wp:inline>
              </w:drawing>
            </w:r>
          </w:p>
        </w:tc>
      </w:tr>
      <w:tr w:rsidR="008E545C" w:rsidRPr="00DD692C" w14:paraId="41529B7D" w14:textId="77777777">
        <w:trPr>
          <w:trHeight w:val="2037"/>
        </w:trPr>
        <w:tc>
          <w:tcPr>
            <w:tcW w:w="9360" w:type="dxa"/>
            <w:shd w:val="clear" w:color="auto" w:fill="auto"/>
            <w:tcMar>
              <w:top w:w="100" w:type="dxa"/>
              <w:left w:w="100" w:type="dxa"/>
              <w:bottom w:w="100" w:type="dxa"/>
              <w:right w:w="100" w:type="dxa"/>
            </w:tcMar>
          </w:tcPr>
          <w:p w14:paraId="000000B9" w14:textId="77777777" w:rsidR="008E545C" w:rsidRPr="00DD692C" w:rsidRDefault="00000000">
            <w:pPr>
              <w:jc w:val="both"/>
              <w:rPr>
                <w:b/>
                <w:sz w:val="14"/>
                <w:szCs w:val="14"/>
              </w:rPr>
            </w:pPr>
            <w:r w:rsidRPr="00DD692C">
              <w:rPr>
                <w:b/>
                <w:sz w:val="18"/>
                <w:szCs w:val="18"/>
              </w:rPr>
              <w:t xml:space="preserve">Supplementary Figure S29: Forest plot (A) and regional association plot (B) of SNP rs6660196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r w:rsidR="008E545C" w:rsidRPr="00DD692C" w14:paraId="1923ECB8" w14:textId="77777777">
        <w:trPr>
          <w:trHeight w:val="2037"/>
        </w:trPr>
        <w:tc>
          <w:tcPr>
            <w:tcW w:w="9360" w:type="dxa"/>
            <w:shd w:val="clear" w:color="auto" w:fill="auto"/>
            <w:tcMar>
              <w:top w:w="100" w:type="dxa"/>
              <w:left w:w="100" w:type="dxa"/>
              <w:bottom w:w="100" w:type="dxa"/>
              <w:right w:w="100" w:type="dxa"/>
            </w:tcMar>
          </w:tcPr>
          <w:p w14:paraId="000000BA" w14:textId="77777777" w:rsidR="008E545C" w:rsidRPr="00DD692C" w:rsidRDefault="00000000">
            <w:pPr>
              <w:rPr>
                <w:b/>
                <w:sz w:val="18"/>
                <w:szCs w:val="18"/>
              </w:rPr>
            </w:pPr>
            <w:r w:rsidRPr="00DD692C">
              <w:rPr>
                <w:noProof/>
              </w:rPr>
              <w:lastRenderedPageBreak/>
              <w:drawing>
                <wp:inline distT="114300" distB="114300" distL="114300" distR="114300" wp14:anchorId="512CC8DA" wp14:editId="3E223A99">
                  <wp:extent cx="5456840" cy="7100888"/>
                  <wp:effectExtent l="0" t="0" r="0" b="0"/>
                  <wp:docPr id="5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5"/>
                          <a:srcRect l="36" r="37"/>
                          <a:stretch>
                            <a:fillRect/>
                          </a:stretch>
                        </pic:blipFill>
                        <pic:spPr>
                          <a:xfrm>
                            <a:off x="0" y="0"/>
                            <a:ext cx="5456840" cy="7100888"/>
                          </a:xfrm>
                          <a:prstGeom prst="rect">
                            <a:avLst/>
                          </a:prstGeom>
                          <a:ln/>
                        </pic:spPr>
                      </pic:pic>
                    </a:graphicData>
                  </a:graphic>
                </wp:inline>
              </w:drawing>
            </w:r>
          </w:p>
        </w:tc>
      </w:tr>
      <w:tr w:rsidR="008E545C" w:rsidRPr="00DD692C" w14:paraId="123D0E50" w14:textId="77777777">
        <w:trPr>
          <w:trHeight w:val="2037"/>
        </w:trPr>
        <w:tc>
          <w:tcPr>
            <w:tcW w:w="9360" w:type="dxa"/>
            <w:shd w:val="clear" w:color="auto" w:fill="auto"/>
            <w:tcMar>
              <w:top w:w="100" w:type="dxa"/>
              <w:left w:w="100" w:type="dxa"/>
              <w:bottom w:w="100" w:type="dxa"/>
              <w:right w:w="100" w:type="dxa"/>
            </w:tcMar>
          </w:tcPr>
          <w:p w14:paraId="000000BB" w14:textId="77777777" w:rsidR="008E545C" w:rsidRPr="00DD692C" w:rsidRDefault="00000000">
            <w:pPr>
              <w:jc w:val="both"/>
              <w:rPr>
                <w:b/>
                <w:sz w:val="14"/>
                <w:szCs w:val="14"/>
              </w:rPr>
            </w:pPr>
            <w:r w:rsidRPr="00DD692C">
              <w:rPr>
                <w:b/>
                <w:sz w:val="18"/>
                <w:szCs w:val="18"/>
              </w:rPr>
              <w:t xml:space="preserve">Supplementary Figure S30: Forest plot (A) and regional association plot (B) of SNP rs4931 in the meta-analysis. </w:t>
            </w:r>
            <w:r w:rsidRPr="00DD692C">
              <w:rPr>
                <w:sz w:val="18"/>
                <w:szCs w:val="18"/>
              </w:rPr>
              <w:t xml:space="preserve">The forest plot (A) shows the imputation quality (INFO) score, p-value of the SNP association, allele frequency in cases with case sample </w:t>
            </w:r>
            <w:proofErr w:type="gramStart"/>
            <w:r w:rsidRPr="00DD692C">
              <w:rPr>
                <w:sz w:val="18"/>
                <w:szCs w:val="18"/>
              </w:rPr>
              <w:t>size  (</w:t>
            </w:r>
            <w:proofErr w:type="spellStart"/>
            <w:proofErr w:type="gramEnd"/>
            <w:r w:rsidRPr="00DD692C">
              <w:rPr>
                <w:sz w:val="18"/>
                <w:szCs w:val="18"/>
              </w:rPr>
              <w:t>f_ca</w:t>
            </w:r>
            <w:proofErr w:type="spellEnd"/>
            <w:r w:rsidRPr="00DD692C">
              <w:rPr>
                <w:sz w:val="18"/>
                <w:szCs w:val="18"/>
              </w:rPr>
              <w:t>(n)), allele frequency in control and control sample size (</w:t>
            </w:r>
            <w:proofErr w:type="spellStart"/>
            <w:r w:rsidRPr="00DD692C">
              <w:rPr>
                <w:sz w:val="18"/>
                <w:szCs w:val="18"/>
              </w:rPr>
              <w:t>f_co</w:t>
            </w:r>
            <w:proofErr w:type="spellEnd"/>
            <w:r w:rsidRPr="00DD692C">
              <w:rPr>
                <w:sz w:val="18"/>
                <w:szCs w:val="18"/>
              </w:rPr>
              <w:t>(n)), beta estimates (ln(OR)) and standard error (</w:t>
            </w:r>
            <w:proofErr w:type="spellStart"/>
            <w:r w:rsidRPr="00DD692C">
              <w:rPr>
                <w:sz w:val="18"/>
                <w:szCs w:val="18"/>
              </w:rPr>
              <w:t>STDerr</w:t>
            </w:r>
            <w:proofErr w:type="spellEnd"/>
            <w:r w:rsidRPr="00DD692C">
              <w:rPr>
                <w:sz w:val="18"/>
                <w:szCs w:val="18"/>
              </w:rPr>
              <w:t>) for each study as well as for the combined meta-analysis. In the regional association plot (B), the –log10 p-value is shown on the left y-axis. The recombination rates expressed in centimorgans (</w:t>
            </w:r>
            <w:proofErr w:type="spellStart"/>
            <w:r w:rsidRPr="00DD692C">
              <w:rPr>
                <w:sz w:val="18"/>
                <w:szCs w:val="18"/>
              </w:rPr>
              <w:t>cM</w:t>
            </w:r>
            <w:proofErr w:type="spellEnd"/>
            <w:r w:rsidRPr="00DD692C">
              <w:rPr>
                <w:sz w:val="18"/>
                <w:szCs w:val="18"/>
              </w:rPr>
              <w:t>) per Mb (</w:t>
            </w:r>
            <w:proofErr w:type="spellStart"/>
            <w:r w:rsidRPr="00DD692C">
              <w:rPr>
                <w:sz w:val="18"/>
                <w:szCs w:val="18"/>
              </w:rPr>
              <w:t>Megabase</w:t>
            </w:r>
            <w:proofErr w:type="spellEnd"/>
            <w:r w:rsidRPr="00DD692C">
              <w:rPr>
                <w:sz w:val="18"/>
                <w:szCs w:val="18"/>
              </w:rPr>
              <w:t>) (blue line) are shown on the right y-axis. Position in Mb is on the x-axis, with genes shown below the regional association plot. Only the SNPs with association p-value less than 0.1 were plotted. The most associated SNP is shown as a diamond and marked with an a.</w:t>
            </w:r>
          </w:p>
        </w:tc>
      </w:tr>
    </w:tbl>
    <w:p w14:paraId="000000BC" w14:textId="77777777" w:rsidR="008E545C" w:rsidRPr="00DD692C" w:rsidRDefault="008E545C"/>
    <w:p w14:paraId="000000BD" w14:textId="77777777" w:rsidR="008E545C" w:rsidRPr="00DD692C" w:rsidRDefault="00000000">
      <w:pPr>
        <w:pStyle w:val="berschrift2"/>
      </w:pPr>
      <w:bookmarkStart w:id="44" w:name="_Toc161234217"/>
      <w:r w:rsidRPr="00DD692C">
        <w:t>Manhattan-plots and QQ-plots of sub-analyses</w:t>
      </w:r>
      <w:bookmarkEnd w:id="44"/>
    </w:p>
    <w:p w14:paraId="000000BE" w14:textId="77777777" w:rsidR="008E545C" w:rsidRPr="00DD692C" w:rsidRDefault="008E545C"/>
    <w:tbl>
      <w:tblPr>
        <w:tblStyle w:val="a5"/>
        <w:tblW w:w="9360"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8E545C" w:rsidRPr="00DD692C" w14:paraId="4B5AC0C5" w14:textId="77777777">
        <w:tc>
          <w:tcPr>
            <w:tcW w:w="9360" w:type="dxa"/>
            <w:shd w:val="clear" w:color="auto" w:fill="auto"/>
            <w:tcMar>
              <w:top w:w="100" w:type="dxa"/>
              <w:left w:w="100" w:type="dxa"/>
              <w:bottom w:w="100" w:type="dxa"/>
              <w:right w:w="100" w:type="dxa"/>
            </w:tcMar>
          </w:tcPr>
          <w:p w14:paraId="000000BF" w14:textId="77777777" w:rsidR="008E545C" w:rsidRPr="00DD692C" w:rsidRDefault="00000000">
            <w:r w:rsidRPr="00DD692C">
              <w:rPr>
                <w:noProof/>
              </w:rPr>
              <w:drawing>
                <wp:inline distT="114300" distB="114300" distL="114300" distR="114300" wp14:anchorId="422ECC89" wp14:editId="18696C27">
                  <wp:extent cx="5810250" cy="2578100"/>
                  <wp:effectExtent l="0" t="0" r="0" b="0"/>
                  <wp:docPr id="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
                          <a:srcRect/>
                          <a:stretch>
                            <a:fillRect/>
                          </a:stretch>
                        </pic:blipFill>
                        <pic:spPr>
                          <a:xfrm>
                            <a:off x="0" y="0"/>
                            <a:ext cx="5810250" cy="2578100"/>
                          </a:xfrm>
                          <a:prstGeom prst="rect">
                            <a:avLst/>
                          </a:prstGeom>
                          <a:ln/>
                        </pic:spPr>
                      </pic:pic>
                    </a:graphicData>
                  </a:graphic>
                </wp:inline>
              </w:drawing>
            </w:r>
          </w:p>
        </w:tc>
      </w:tr>
      <w:tr w:rsidR="008E545C" w:rsidRPr="00DD692C" w14:paraId="73A217C3" w14:textId="77777777">
        <w:tc>
          <w:tcPr>
            <w:tcW w:w="9360" w:type="dxa"/>
            <w:shd w:val="clear" w:color="auto" w:fill="auto"/>
            <w:tcMar>
              <w:top w:w="100" w:type="dxa"/>
              <w:left w:w="100" w:type="dxa"/>
              <w:bottom w:w="100" w:type="dxa"/>
              <w:right w:w="100" w:type="dxa"/>
            </w:tcMar>
          </w:tcPr>
          <w:p w14:paraId="000000C0" w14:textId="77777777" w:rsidR="008E545C" w:rsidRPr="00DD692C" w:rsidRDefault="00000000">
            <w:pPr>
              <w:jc w:val="both"/>
              <w:rPr>
                <w:sz w:val="18"/>
                <w:szCs w:val="18"/>
              </w:rPr>
            </w:pPr>
            <w:r w:rsidRPr="00DD692C">
              <w:rPr>
                <w:b/>
                <w:sz w:val="18"/>
                <w:szCs w:val="18"/>
              </w:rPr>
              <w:t>Supplementary Figure S31: Manhattan-plot (A) and QQ-plot (B) of heterogeneity test</w:t>
            </w:r>
            <w:r w:rsidRPr="00DD692C">
              <w:rPr>
                <w:sz w:val="18"/>
                <w:szCs w:val="18"/>
              </w:rPr>
              <w:t>, indicating whether SNPs across the genome are significantly heterogeneously associated with some cohorts but not others. METAL implements Cochran's Q-test for heterogeneity based on a chi-square distribution; it generates a probability that, when large, indicates larger variation across studies rather than within subjects within a study.</w:t>
            </w:r>
          </w:p>
        </w:tc>
      </w:tr>
      <w:tr w:rsidR="008E545C" w:rsidRPr="00DD692C" w14:paraId="2C7677A5" w14:textId="77777777">
        <w:tc>
          <w:tcPr>
            <w:tcW w:w="9360" w:type="dxa"/>
            <w:shd w:val="clear" w:color="auto" w:fill="auto"/>
            <w:tcMar>
              <w:top w:w="100" w:type="dxa"/>
              <w:left w:w="100" w:type="dxa"/>
              <w:bottom w:w="100" w:type="dxa"/>
              <w:right w:w="100" w:type="dxa"/>
            </w:tcMar>
          </w:tcPr>
          <w:p w14:paraId="000000C1" w14:textId="77777777" w:rsidR="008E545C" w:rsidRPr="00DD692C" w:rsidRDefault="00000000">
            <w:r w:rsidRPr="00DD692C">
              <w:rPr>
                <w:noProof/>
              </w:rPr>
              <w:drawing>
                <wp:inline distT="114300" distB="114300" distL="114300" distR="114300" wp14:anchorId="1F66D97B" wp14:editId="47B1F7D5">
                  <wp:extent cx="5810250" cy="2578100"/>
                  <wp:effectExtent l="0" t="0" r="0" b="0"/>
                  <wp:docPr id="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
                          <a:srcRect/>
                          <a:stretch>
                            <a:fillRect/>
                          </a:stretch>
                        </pic:blipFill>
                        <pic:spPr>
                          <a:xfrm>
                            <a:off x="0" y="0"/>
                            <a:ext cx="5810250" cy="2578100"/>
                          </a:xfrm>
                          <a:prstGeom prst="rect">
                            <a:avLst/>
                          </a:prstGeom>
                          <a:ln/>
                        </pic:spPr>
                      </pic:pic>
                    </a:graphicData>
                  </a:graphic>
                </wp:inline>
              </w:drawing>
            </w:r>
          </w:p>
        </w:tc>
      </w:tr>
      <w:tr w:rsidR="008E545C" w:rsidRPr="00DD692C" w14:paraId="56F009A5" w14:textId="77777777">
        <w:tc>
          <w:tcPr>
            <w:tcW w:w="9360" w:type="dxa"/>
            <w:shd w:val="clear" w:color="auto" w:fill="auto"/>
            <w:tcMar>
              <w:top w:w="100" w:type="dxa"/>
              <w:left w:w="100" w:type="dxa"/>
              <w:bottom w:w="100" w:type="dxa"/>
              <w:right w:w="100" w:type="dxa"/>
            </w:tcMar>
          </w:tcPr>
          <w:p w14:paraId="000000C2" w14:textId="77777777" w:rsidR="008E545C" w:rsidRPr="00DD692C" w:rsidRDefault="00000000">
            <w:pPr>
              <w:jc w:val="both"/>
              <w:rPr>
                <w:sz w:val="18"/>
                <w:szCs w:val="18"/>
              </w:rPr>
            </w:pPr>
            <w:r w:rsidRPr="00DD692C">
              <w:rPr>
                <w:b/>
                <w:sz w:val="18"/>
                <w:szCs w:val="18"/>
              </w:rPr>
              <w:t xml:space="preserve">Supplementary Figure S32: Manhattan-plot (A) and QQ-plot (B) of the genome-wide association results for the OCD meta-analysis leaving out 23andMe. </w:t>
            </w:r>
            <w:r w:rsidRPr="00DD692C">
              <w:rPr>
                <w:sz w:val="18"/>
                <w:szCs w:val="18"/>
              </w:rPr>
              <w:t>(A)</w:t>
            </w:r>
            <w:r w:rsidRPr="00DD692C">
              <w:rPr>
                <w:b/>
                <w:sz w:val="18"/>
                <w:szCs w:val="18"/>
              </w:rPr>
              <w:t xml:space="preserve"> </w:t>
            </w:r>
            <w:r w:rsidRPr="00DD692C">
              <w:rPr>
                <w:sz w:val="18"/>
                <w:szCs w:val="18"/>
              </w:rPr>
              <w:t xml:space="preserve">The x-axis shows the position in the genome (chromosome 1 to 22), the y-axis represents –log10 p-values for the association of variants with OCD from </w:t>
            </w:r>
            <w:proofErr w:type="spellStart"/>
            <w:r w:rsidRPr="00DD692C">
              <w:rPr>
                <w:sz w:val="18"/>
                <w:szCs w:val="18"/>
              </w:rPr>
              <w:t>metaanalysis</w:t>
            </w:r>
            <w:proofErr w:type="spellEnd"/>
            <w:r w:rsidRPr="00DD692C">
              <w:rPr>
                <w:sz w:val="18"/>
                <w:szCs w:val="18"/>
              </w:rPr>
              <w:t xml:space="preserve"> using an inverse-variance weighted fixed effects model. The horizontal red line shows the threshold for genome-wide significance (</w:t>
            </w:r>
            <m:oMath>
              <m:r>
                <w:rPr>
                  <w:rFonts w:ascii="Cambria Math" w:hAnsi="Cambria Math"/>
                  <w:sz w:val="18"/>
                  <w:szCs w:val="18"/>
                </w:rPr>
                <m:t>5x1</m:t>
              </m:r>
              <m:sSup>
                <m:sSupPr>
                  <m:ctrlPr>
                    <w:rPr>
                      <w:rFonts w:ascii="Cambria Math" w:hAnsi="Cambria Math"/>
                      <w:sz w:val="18"/>
                      <w:szCs w:val="18"/>
                    </w:rPr>
                  </m:ctrlPr>
                </m:sSupPr>
                <m:e>
                  <m:r>
                    <w:rPr>
                      <w:rFonts w:ascii="Cambria Math" w:hAnsi="Cambria Math"/>
                      <w:sz w:val="18"/>
                      <w:szCs w:val="18"/>
                    </w:rPr>
                    <m:t>0</m:t>
                  </m:r>
                </m:e>
                <m:sup>
                  <m:r>
                    <w:rPr>
                      <w:rFonts w:ascii="Cambria Math" w:hAnsi="Cambria Math"/>
                      <w:sz w:val="18"/>
                      <w:szCs w:val="18"/>
                    </w:rPr>
                    <m:t>-08</m:t>
                  </m:r>
                </m:sup>
              </m:sSup>
            </m:oMath>
            <w:r w:rsidRPr="00DD692C">
              <w:rPr>
                <w:sz w:val="18"/>
                <w:szCs w:val="18"/>
              </w:rPr>
              <w:t>). Each dot represents one SNP that was tested in the GWAS, with a green diamond indicating the lead SNP of a genome-wide significant locus, with green dots below belonging to that locus. (B) the expected -log10(p) under the null is plotted against the observed -log10(p). The shading indicates the 95% confidence region under the null. Lambda and Lambda1000 (which is the Lambda if the GWAS contained 1000 cases and 1000 controls) indicate genomic inflation factors. Number of SNPs (N (pvals)) and Number of cases and controls are given in parentheses.</w:t>
            </w:r>
          </w:p>
        </w:tc>
      </w:tr>
      <w:tr w:rsidR="008E545C" w:rsidRPr="00DD692C" w14:paraId="51AEF2C8" w14:textId="77777777">
        <w:tc>
          <w:tcPr>
            <w:tcW w:w="9360" w:type="dxa"/>
            <w:shd w:val="clear" w:color="auto" w:fill="auto"/>
            <w:tcMar>
              <w:top w:w="100" w:type="dxa"/>
              <w:left w:w="100" w:type="dxa"/>
              <w:bottom w:w="100" w:type="dxa"/>
              <w:right w:w="100" w:type="dxa"/>
            </w:tcMar>
          </w:tcPr>
          <w:p w14:paraId="000000C3" w14:textId="77777777" w:rsidR="008E545C" w:rsidRPr="00DD692C" w:rsidRDefault="00000000">
            <w:pPr>
              <w:rPr>
                <w:b/>
                <w:sz w:val="18"/>
                <w:szCs w:val="18"/>
              </w:rPr>
            </w:pPr>
            <w:r w:rsidRPr="00DD692C">
              <w:rPr>
                <w:noProof/>
              </w:rPr>
              <w:lastRenderedPageBreak/>
              <w:drawing>
                <wp:inline distT="114300" distB="114300" distL="114300" distR="114300" wp14:anchorId="117D9068" wp14:editId="19199A15">
                  <wp:extent cx="5810250" cy="5156200"/>
                  <wp:effectExtent l="0" t="0" r="0" b="0"/>
                  <wp:docPr id="6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8"/>
                          <a:srcRect/>
                          <a:stretch>
                            <a:fillRect/>
                          </a:stretch>
                        </pic:blipFill>
                        <pic:spPr>
                          <a:xfrm>
                            <a:off x="0" y="0"/>
                            <a:ext cx="5810250" cy="5156200"/>
                          </a:xfrm>
                          <a:prstGeom prst="rect">
                            <a:avLst/>
                          </a:prstGeom>
                          <a:ln/>
                        </pic:spPr>
                      </pic:pic>
                    </a:graphicData>
                  </a:graphic>
                </wp:inline>
              </w:drawing>
            </w:r>
          </w:p>
        </w:tc>
      </w:tr>
      <w:tr w:rsidR="008E545C" w:rsidRPr="00DD692C" w14:paraId="25FA36B3" w14:textId="77777777">
        <w:tc>
          <w:tcPr>
            <w:tcW w:w="9360" w:type="dxa"/>
            <w:shd w:val="clear" w:color="auto" w:fill="auto"/>
            <w:tcMar>
              <w:top w:w="100" w:type="dxa"/>
              <w:left w:w="100" w:type="dxa"/>
              <w:bottom w:w="100" w:type="dxa"/>
              <w:right w:w="100" w:type="dxa"/>
            </w:tcMar>
          </w:tcPr>
          <w:p w14:paraId="000000C4" w14:textId="77777777" w:rsidR="008E545C" w:rsidRPr="00DD692C" w:rsidRDefault="00000000">
            <w:pPr>
              <w:jc w:val="both"/>
              <w:rPr>
                <w:sz w:val="18"/>
                <w:szCs w:val="18"/>
              </w:rPr>
            </w:pPr>
            <w:r w:rsidRPr="00DD692C">
              <w:rPr>
                <w:b/>
                <w:sz w:val="18"/>
                <w:szCs w:val="18"/>
              </w:rPr>
              <w:t>Supplementary Figure S33: Manhattan-plot (A) and QQ-plot (B) of the sub-group specific GWAS analysis, including only clinical cohorts and Manhattan-plot (C) and QQ-plot (D) of the MTAG analysis specific to clinical cohorts.</w:t>
            </w:r>
            <w:r w:rsidRPr="00DD692C">
              <w:rPr>
                <w:sz w:val="18"/>
                <w:szCs w:val="18"/>
              </w:rPr>
              <w:t xml:space="preserve"> Both analyses aimed to find ascertainment-specific signals associated with OCD specifically in clinical cohorts. (</w:t>
            </w:r>
            <w:proofErr w:type="gramStart"/>
            <w:r w:rsidRPr="00DD692C">
              <w:rPr>
                <w:sz w:val="18"/>
                <w:szCs w:val="18"/>
              </w:rPr>
              <w:t>A,C</w:t>
            </w:r>
            <w:proofErr w:type="gramEnd"/>
            <w:r w:rsidRPr="00DD692C">
              <w:rPr>
                <w:sz w:val="18"/>
                <w:szCs w:val="18"/>
              </w:rPr>
              <w:t>)</w:t>
            </w:r>
            <w:r w:rsidRPr="00DD692C">
              <w:rPr>
                <w:b/>
                <w:sz w:val="18"/>
                <w:szCs w:val="18"/>
              </w:rPr>
              <w:t xml:space="preserve"> </w:t>
            </w:r>
            <w:r w:rsidRPr="00DD692C">
              <w:rPr>
                <w:sz w:val="18"/>
                <w:szCs w:val="18"/>
              </w:rPr>
              <w:t xml:space="preserve">The x-axis shows the position in the genome (chromosome 1 to 22), the y-axis represents –log10 p-values for the association of variants with OCD from </w:t>
            </w:r>
            <w:proofErr w:type="spellStart"/>
            <w:r w:rsidRPr="00DD692C">
              <w:rPr>
                <w:sz w:val="18"/>
                <w:szCs w:val="18"/>
              </w:rPr>
              <w:t>metaanalysis</w:t>
            </w:r>
            <w:proofErr w:type="spellEnd"/>
            <w:r w:rsidRPr="00DD692C">
              <w:rPr>
                <w:sz w:val="18"/>
                <w:szCs w:val="18"/>
              </w:rPr>
              <w:t xml:space="preserve"> using an inverse-variance weighted fixed effects model (A) or MTAG (C). The horizontal red line shows the threshold for genome-wide significance (</w:t>
            </w:r>
            <m:oMath>
              <m:r>
                <w:rPr>
                  <w:rFonts w:ascii="Cambria Math" w:hAnsi="Cambria Math"/>
                  <w:sz w:val="18"/>
                  <w:szCs w:val="18"/>
                </w:rPr>
                <m:t>5x1</m:t>
              </m:r>
              <m:sSup>
                <m:sSupPr>
                  <m:ctrlPr>
                    <w:rPr>
                      <w:rFonts w:ascii="Cambria Math" w:hAnsi="Cambria Math"/>
                      <w:sz w:val="18"/>
                      <w:szCs w:val="18"/>
                    </w:rPr>
                  </m:ctrlPr>
                </m:sSupPr>
                <m:e>
                  <m:r>
                    <w:rPr>
                      <w:rFonts w:ascii="Cambria Math" w:hAnsi="Cambria Math"/>
                      <w:sz w:val="18"/>
                      <w:szCs w:val="18"/>
                    </w:rPr>
                    <m:t>0</m:t>
                  </m:r>
                </m:e>
                <m:sup>
                  <m:r>
                    <w:rPr>
                      <w:rFonts w:ascii="Cambria Math" w:hAnsi="Cambria Math"/>
                      <w:sz w:val="18"/>
                      <w:szCs w:val="18"/>
                    </w:rPr>
                    <m:t>-08</m:t>
                  </m:r>
                </m:sup>
              </m:sSup>
            </m:oMath>
            <w:r w:rsidRPr="00DD692C">
              <w:rPr>
                <w:sz w:val="18"/>
                <w:szCs w:val="18"/>
              </w:rPr>
              <w:t>). Each dot represents one SNP that was tested in the GWAS, with a green diamond indicating the lead SNP of a genome-wide significant locus, with green dots below belonging to that locus. (B) the expected -log10(p) under the null is plotted against the observed -log10(p). The shading indicates the 95% confidence region under the null. Lambda and Lambda1000 (which is the Lambda if the GWAS contained 1000 cases and 1000 controls) indicate genomic inflation factors. Number of SNPs (N (pvals)) and Number of cases and controls are given in parentheses.</w:t>
            </w:r>
          </w:p>
        </w:tc>
      </w:tr>
      <w:tr w:rsidR="008E545C" w:rsidRPr="00DD692C" w14:paraId="0B112961" w14:textId="77777777">
        <w:tc>
          <w:tcPr>
            <w:tcW w:w="9360" w:type="dxa"/>
            <w:shd w:val="clear" w:color="auto" w:fill="auto"/>
            <w:tcMar>
              <w:top w:w="100" w:type="dxa"/>
              <w:left w:w="100" w:type="dxa"/>
              <w:bottom w:w="100" w:type="dxa"/>
              <w:right w:w="100" w:type="dxa"/>
            </w:tcMar>
          </w:tcPr>
          <w:p w14:paraId="000000C5" w14:textId="77777777" w:rsidR="008E545C" w:rsidRPr="00DD692C" w:rsidRDefault="00000000">
            <w:pPr>
              <w:rPr>
                <w:b/>
                <w:sz w:val="18"/>
                <w:szCs w:val="18"/>
              </w:rPr>
            </w:pPr>
            <w:r w:rsidRPr="00DD692C">
              <w:rPr>
                <w:noProof/>
              </w:rPr>
              <w:lastRenderedPageBreak/>
              <w:drawing>
                <wp:inline distT="114300" distB="114300" distL="114300" distR="114300" wp14:anchorId="0638E93B" wp14:editId="5058287E">
                  <wp:extent cx="5810250" cy="5156200"/>
                  <wp:effectExtent l="0" t="0" r="0" b="0"/>
                  <wp:docPr id="6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9"/>
                          <a:srcRect/>
                          <a:stretch>
                            <a:fillRect/>
                          </a:stretch>
                        </pic:blipFill>
                        <pic:spPr>
                          <a:xfrm>
                            <a:off x="0" y="0"/>
                            <a:ext cx="5810250" cy="5156200"/>
                          </a:xfrm>
                          <a:prstGeom prst="rect">
                            <a:avLst/>
                          </a:prstGeom>
                          <a:ln/>
                        </pic:spPr>
                      </pic:pic>
                    </a:graphicData>
                  </a:graphic>
                </wp:inline>
              </w:drawing>
            </w:r>
          </w:p>
        </w:tc>
      </w:tr>
      <w:tr w:rsidR="008E545C" w:rsidRPr="00DD692C" w14:paraId="25B15939" w14:textId="77777777">
        <w:tc>
          <w:tcPr>
            <w:tcW w:w="9360" w:type="dxa"/>
            <w:shd w:val="clear" w:color="auto" w:fill="auto"/>
            <w:tcMar>
              <w:top w:w="100" w:type="dxa"/>
              <w:left w:w="100" w:type="dxa"/>
              <w:bottom w:w="100" w:type="dxa"/>
              <w:right w:w="100" w:type="dxa"/>
            </w:tcMar>
          </w:tcPr>
          <w:p w14:paraId="000000C6" w14:textId="77777777" w:rsidR="008E545C" w:rsidRPr="00DD692C" w:rsidRDefault="00000000">
            <w:pPr>
              <w:jc w:val="both"/>
              <w:rPr>
                <w:sz w:val="18"/>
                <w:szCs w:val="18"/>
              </w:rPr>
            </w:pPr>
            <w:r w:rsidRPr="00DD692C">
              <w:rPr>
                <w:b/>
                <w:sz w:val="18"/>
                <w:szCs w:val="18"/>
              </w:rPr>
              <w:t>Supplementary Figure S34: Manhattan-plot (A) and QQ-plot (B) of the sub-group specific GWAS analysis, including only biobank cohorts and Manhattan-plot (C) and QQ-plot (D) of the MTAG analysis specific to biobank cohorts.</w:t>
            </w:r>
            <w:r w:rsidRPr="00DD692C">
              <w:rPr>
                <w:sz w:val="18"/>
                <w:szCs w:val="18"/>
              </w:rPr>
              <w:t xml:space="preserve"> Both analyses aimed to find ascertainment-specific signals associated with OCD specifically in biobank cohorts. (</w:t>
            </w:r>
            <w:proofErr w:type="gramStart"/>
            <w:r w:rsidRPr="00DD692C">
              <w:rPr>
                <w:sz w:val="18"/>
                <w:szCs w:val="18"/>
              </w:rPr>
              <w:t>A,C</w:t>
            </w:r>
            <w:proofErr w:type="gramEnd"/>
            <w:r w:rsidRPr="00DD692C">
              <w:rPr>
                <w:sz w:val="18"/>
                <w:szCs w:val="18"/>
              </w:rPr>
              <w:t>)</w:t>
            </w:r>
            <w:r w:rsidRPr="00DD692C">
              <w:rPr>
                <w:b/>
                <w:sz w:val="18"/>
                <w:szCs w:val="18"/>
              </w:rPr>
              <w:t xml:space="preserve"> </w:t>
            </w:r>
            <w:r w:rsidRPr="00DD692C">
              <w:rPr>
                <w:sz w:val="18"/>
                <w:szCs w:val="18"/>
              </w:rPr>
              <w:t xml:space="preserve">The x-axis shows the position in the genome (chromosome 1 to 22), the y-axis represents –log10 p-values for the association of variants with OCD from </w:t>
            </w:r>
            <w:proofErr w:type="spellStart"/>
            <w:r w:rsidRPr="00DD692C">
              <w:rPr>
                <w:sz w:val="18"/>
                <w:szCs w:val="18"/>
              </w:rPr>
              <w:t>metaanalysis</w:t>
            </w:r>
            <w:proofErr w:type="spellEnd"/>
            <w:r w:rsidRPr="00DD692C">
              <w:rPr>
                <w:sz w:val="18"/>
                <w:szCs w:val="18"/>
              </w:rPr>
              <w:t xml:space="preserve"> using an inverse-variance weighted fixed effects model (A) or MTAG (C). The horizontal red line shows the threshold for genome-wide significance (</w:t>
            </w:r>
            <m:oMath>
              <m:r>
                <w:rPr>
                  <w:rFonts w:ascii="Cambria Math" w:hAnsi="Cambria Math"/>
                  <w:sz w:val="18"/>
                  <w:szCs w:val="18"/>
                </w:rPr>
                <m:t>5x1</m:t>
              </m:r>
              <m:sSup>
                <m:sSupPr>
                  <m:ctrlPr>
                    <w:rPr>
                      <w:rFonts w:ascii="Cambria Math" w:hAnsi="Cambria Math"/>
                      <w:sz w:val="18"/>
                      <w:szCs w:val="18"/>
                    </w:rPr>
                  </m:ctrlPr>
                </m:sSupPr>
                <m:e>
                  <m:r>
                    <w:rPr>
                      <w:rFonts w:ascii="Cambria Math" w:hAnsi="Cambria Math"/>
                      <w:sz w:val="18"/>
                      <w:szCs w:val="18"/>
                    </w:rPr>
                    <m:t>0</m:t>
                  </m:r>
                </m:e>
                <m:sup>
                  <m:r>
                    <w:rPr>
                      <w:rFonts w:ascii="Cambria Math" w:hAnsi="Cambria Math"/>
                      <w:sz w:val="18"/>
                      <w:szCs w:val="18"/>
                    </w:rPr>
                    <m:t>-08</m:t>
                  </m:r>
                </m:sup>
              </m:sSup>
            </m:oMath>
            <w:r w:rsidRPr="00DD692C">
              <w:rPr>
                <w:sz w:val="18"/>
                <w:szCs w:val="18"/>
              </w:rPr>
              <w:t>). Each dot represents one SNP that was tested in the GWAS, with a green diamond indicating the lead SNP of a genome-wide significant locus, with green dots below belonging to that locus. (B) the expected -log10(p) under the null is plotted against the observed -log10(p). The shading indicates the 95% confidence region under the null. Lambda and Lambda1000 (which is the Lambda if the GWAS contained 1000 cases and 1000 controls) indicate genomic inflation factors. Number of SNPs (N (pvals)) and Number of cases and controls are given in parentheses.</w:t>
            </w:r>
          </w:p>
        </w:tc>
      </w:tr>
      <w:tr w:rsidR="008E545C" w:rsidRPr="00DD692C" w14:paraId="1FB89CC7" w14:textId="77777777">
        <w:tc>
          <w:tcPr>
            <w:tcW w:w="9360" w:type="dxa"/>
            <w:shd w:val="clear" w:color="auto" w:fill="auto"/>
            <w:tcMar>
              <w:top w:w="100" w:type="dxa"/>
              <w:left w:w="100" w:type="dxa"/>
              <w:bottom w:w="100" w:type="dxa"/>
              <w:right w:w="100" w:type="dxa"/>
            </w:tcMar>
          </w:tcPr>
          <w:p w14:paraId="000000C7" w14:textId="77777777" w:rsidR="008E545C" w:rsidRPr="00DD692C" w:rsidRDefault="00000000">
            <w:pPr>
              <w:rPr>
                <w:b/>
                <w:sz w:val="18"/>
                <w:szCs w:val="18"/>
              </w:rPr>
            </w:pPr>
            <w:r w:rsidRPr="00DD692C">
              <w:rPr>
                <w:noProof/>
              </w:rPr>
              <w:lastRenderedPageBreak/>
              <w:drawing>
                <wp:inline distT="114300" distB="114300" distL="114300" distR="114300" wp14:anchorId="61163C1E" wp14:editId="2D0D3CA4">
                  <wp:extent cx="5810250" cy="5156200"/>
                  <wp:effectExtent l="0" t="0" r="0" b="0"/>
                  <wp:docPr id="68"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50"/>
                          <a:srcRect/>
                          <a:stretch>
                            <a:fillRect/>
                          </a:stretch>
                        </pic:blipFill>
                        <pic:spPr>
                          <a:xfrm>
                            <a:off x="0" y="0"/>
                            <a:ext cx="5810250" cy="5156200"/>
                          </a:xfrm>
                          <a:prstGeom prst="rect">
                            <a:avLst/>
                          </a:prstGeom>
                          <a:ln/>
                        </pic:spPr>
                      </pic:pic>
                    </a:graphicData>
                  </a:graphic>
                </wp:inline>
              </w:drawing>
            </w:r>
          </w:p>
        </w:tc>
      </w:tr>
      <w:tr w:rsidR="008E545C" w:rsidRPr="00DD692C" w14:paraId="73662F8A" w14:textId="77777777">
        <w:tc>
          <w:tcPr>
            <w:tcW w:w="9360" w:type="dxa"/>
            <w:shd w:val="clear" w:color="auto" w:fill="auto"/>
            <w:tcMar>
              <w:top w:w="100" w:type="dxa"/>
              <w:left w:w="100" w:type="dxa"/>
              <w:bottom w:w="100" w:type="dxa"/>
              <w:right w:w="100" w:type="dxa"/>
            </w:tcMar>
          </w:tcPr>
          <w:p w14:paraId="000000C8" w14:textId="77777777" w:rsidR="008E545C" w:rsidRPr="00DD692C" w:rsidRDefault="00000000">
            <w:pPr>
              <w:jc w:val="both"/>
              <w:rPr>
                <w:b/>
                <w:sz w:val="18"/>
                <w:szCs w:val="18"/>
              </w:rPr>
            </w:pPr>
            <w:r w:rsidRPr="00DD692C">
              <w:rPr>
                <w:b/>
                <w:sz w:val="18"/>
                <w:szCs w:val="18"/>
              </w:rPr>
              <w:t>Supplementary Figure S35: Manhattan-plot (A) and QQ-plot (B) of the sub-group specific GWAS analysis, including only comorbid cohorts and Manhattan-plot (C) and QQ-plot (D) of the MTAG analysis specific to comorbid cohorts.</w:t>
            </w:r>
            <w:r w:rsidRPr="00DD692C">
              <w:rPr>
                <w:sz w:val="18"/>
                <w:szCs w:val="18"/>
              </w:rPr>
              <w:t xml:space="preserve"> Both analyses aimed to find ascertainment-specific signals associated with OCD specifically in comorbid cohorts. (</w:t>
            </w:r>
            <w:proofErr w:type="gramStart"/>
            <w:r w:rsidRPr="00DD692C">
              <w:rPr>
                <w:sz w:val="18"/>
                <w:szCs w:val="18"/>
              </w:rPr>
              <w:t>A,C</w:t>
            </w:r>
            <w:proofErr w:type="gramEnd"/>
            <w:r w:rsidRPr="00DD692C">
              <w:rPr>
                <w:sz w:val="18"/>
                <w:szCs w:val="18"/>
              </w:rPr>
              <w:t>)</w:t>
            </w:r>
            <w:r w:rsidRPr="00DD692C">
              <w:rPr>
                <w:b/>
                <w:sz w:val="18"/>
                <w:szCs w:val="18"/>
              </w:rPr>
              <w:t xml:space="preserve"> </w:t>
            </w:r>
            <w:r w:rsidRPr="00DD692C">
              <w:rPr>
                <w:sz w:val="18"/>
                <w:szCs w:val="18"/>
              </w:rPr>
              <w:t xml:space="preserve">The x-axis shows the position in the genome (chromosome 1 to 22), the y-axis represents –log10 p-values for the association of variants with OCD from </w:t>
            </w:r>
            <w:proofErr w:type="spellStart"/>
            <w:r w:rsidRPr="00DD692C">
              <w:rPr>
                <w:sz w:val="18"/>
                <w:szCs w:val="18"/>
              </w:rPr>
              <w:t>metaanalysis</w:t>
            </w:r>
            <w:proofErr w:type="spellEnd"/>
            <w:r w:rsidRPr="00DD692C">
              <w:rPr>
                <w:sz w:val="18"/>
                <w:szCs w:val="18"/>
              </w:rPr>
              <w:t xml:space="preserve"> using an inverse-variance weighted fixed effects model (A) or MTAG (C). The horizontal red line shows the threshold for genome-wide significance (</w:t>
            </w:r>
            <m:oMath>
              <m:r>
                <w:rPr>
                  <w:rFonts w:ascii="Cambria Math" w:hAnsi="Cambria Math"/>
                  <w:sz w:val="18"/>
                  <w:szCs w:val="18"/>
                </w:rPr>
                <m:t>5x1</m:t>
              </m:r>
              <m:sSup>
                <m:sSupPr>
                  <m:ctrlPr>
                    <w:rPr>
                      <w:rFonts w:ascii="Cambria Math" w:hAnsi="Cambria Math"/>
                      <w:sz w:val="18"/>
                      <w:szCs w:val="18"/>
                    </w:rPr>
                  </m:ctrlPr>
                </m:sSupPr>
                <m:e>
                  <m:r>
                    <w:rPr>
                      <w:rFonts w:ascii="Cambria Math" w:hAnsi="Cambria Math"/>
                      <w:sz w:val="18"/>
                      <w:szCs w:val="18"/>
                    </w:rPr>
                    <m:t>0</m:t>
                  </m:r>
                </m:e>
                <m:sup>
                  <m:r>
                    <w:rPr>
                      <w:rFonts w:ascii="Cambria Math" w:hAnsi="Cambria Math"/>
                      <w:sz w:val="18"/>
                      <w:szCs w:val="18"/>
                    </w:rPr>
                    <m:t>-08</m:t>
                  </m:r>
                </m:sup>
              </m:sSup>
            </m:oMath>
            <w:r w:rsidRPr="00DD692C">
              <w:rPr>
                <w:sz w:val="18"/>
                <w:szCs w:val="18"/>
              </w:rPr>
              <w:t>). Each dot represents one SNP that was tested in the GWAS, with a green diamond indicating the lead SNP of a genome-wide significant locus, with green dots below belonging to that locus. (B) the expected -log10(p) under the null is plotted against the observed -log10(p). The shading indicates the 95% confidence region under the null. Lambda and Lambda1000 (which is the Lambda if the GWAS contained 1000 cases and 1000 controls) indicate genomic inflation factors. Number of SNPs (N (pvals)) and Number of cases and controls are given in parentheses.</w:t>
            </w:r>
          </w:p>
        </w:tc>
      </w:tr>
      <w:tr w:rsidR="008E545C" w:rsidRPr="00DD692C" w14:paraId="323AABC2" w14:textId="77777777">
        <w:tc>
          <w:tcPr>
            <w:tcW w:w="9360" w:type="dxa"/>
            <w:shd w:val="clear" w:color="auto" w:fill="auto"/>
            <w:tcMar>
              <w:top w:w="100" w:type="dxa"/>
              <w:left w:w="100" w:type="dxa"/>
              <w:bottom w:w="100" w:type="dxa"/>
              <w:right w:w="100" w:type="dxa"/>
            </w:tcMar>
          </w:tcPr>
          <w:p w14:paraId="000000C9" w14:textId="77777777" w:rsidR="008E545C" w:rsidRPr="00DD692C" w:rsidRDefault="00000000">
            <w:pPr>
              <w:rPr>
                <w:b/>
                <w:sz w:val="18"/>
                <w:szCs w:val="18"/>
              </w:rPr>
            </w:pPr>
            <w:r w:rsidRPr="00DD692C">
              <w:rPr>
                <w:noProof/>
              </w:rPr>
              <w:lastRenderedPageBreak/>
              <w:drawing>
                <wp:inline distT="114300" distB="114300" distL="114300" distR="114300" wp14:anchorId="6FDC2F13" wp14:editId="6D06E163">
                  <wp:extent cx="5810250" cy="5156200"/>
                  <wp:effectExtent l="0" t="0" r="0" b="0"/>
                  <wp:docPr id="7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1"/>
                          <a:srcRect/>
                          <a:stretch>
                            <a:fillRect/>
                          </a:stretch>
                        </pic:blipFill>
                        <pic:spPr>
                          <a:xfrm>
                            <a:off x="0" y="0"/>
                            <a:ext cx="5810250" cy="5156200"/>
                          </a:xfrm>
                          <a:prstGeom prst="rect">
                            <a:avLst/>
                          </a:prstGeom>
                          <a:ln/>
                        </pic:spPr>
                      </pic:pic>
                    </a:graphicData>
                  </a:graphic>
                </wp:inline>
              </w:drawing>
            </w:r>
          </w:p>
        </w:tc>
      </w:tr>
      <w:tr w:rsidR="008E545C" w:rsidRPr="00DD692C" w14:paraId="55C5ABEF" w14:textId="77777777">
        <w:tc>
          <w:tcPr>
            <w:tcW w:w="9360" w:type="dxa"/>
            <w:shd w:val="clear" w:color="auto" w:fill="auto"/>
            <w:tcMar>
              <w:top w:w="100" w:type="dxa"/>
              <w:left w:w="100" w:type="dxa"/>
              <w:bottom w:w="100" w:type="dxa"/>
              <w:right w:w="100" w:type="dxa"/>
            </w:tcMar>
          </w:tcPr>
          <w:p w14:paraId="000000CA" w14:textId="77777777" w:rsidR="008E545C" w:rsidRPr="00DD692C" w:rsidRDefault="00000000">
            <w:pPr>
              <w:jc w:val="both"/>
              <w:rPr>
                <w:b/>
                <w:sz w:val="18"/>
                <w:szCs w:val="18"/>
              </w:rPr>
            </w:pPr>
            <w:r w:rsidRPr="00DD692C">
              <w:rPr>
                <w:b/>
                <w:sz w:val="18"/>
                <w:szCs w:val="18"/>
              </w:rPr>
              <w:t>Supplementary Figure S36: Manhattan-plot (A) and QQ-plot (B) of the sub-group specific GWAS analysis, including only 23andMe and Manhattan-plot (C) and QQ-plot (D) of the MTAG analysis specific to 23andMe.</w:t>
            </w:r>
            <w:r w:rsidRPr="00DD692C">
              <w:rPr>
                <w:sz w:val="18"/>
                <w:szCs w:val="18"/>
              </w:rPr>
              <w:t xml:space="preserve"> Both analyses aimed to find ascertainment-specific signals associated with OCD specifically in 23andMe. (</w:t>
            </w:r>
            <w:proofErr w:type="gramStart"/>
            <w:r w:rsidRPr="00DD692C">
              <w:rPr>
                <w:sz w:val="18"/>
                <w:szCs w:val="18"/>
              </w:rPr>
              <w:t>A,C</w:t>
            </w:r>
            <w:proofErr w:type="gramEnd"/>
            <w:r w:rsidRPr="00DD692C">
              <w:rPr>
                <w:sz w:val="18"/>
                <w:szCs w:val="18"/>
              </w:rPr>
              <w:t>)</w:t>
            </w:r>
            <w:r w:rsidRPr="00DD692C">
              <w:rPr>
                <w:b/>
                <w:sz w:val="18"/>
                <w:szCs w:val="18"/>
              </w:rPr>
              <w:t xml:space="preserve"> </w:t>
            </w:r>
            <w:r w:rsidRPr="00DD692C">
              <w:rPr>
                <w:sz w:val="18"/>
                <w:szCs w:val="18"/>
              </w:rPr>
              <w:t xml:space="preserve">The x-axis shows the position in the genome (chromosome 1 to 22), the y-axis represents –log10 p-values for the association of variants with OCD from </w:t>
            </w:r>
            <w:proofErr w:type="spellStart"/>
            <w:r w:rsidRPr="00DD692C">
              <w:rPr>
                <w:sz w:val="18"/>
                <w:szCs w:val="18"/>
              </w:rPr>
              <w:t>metaanalysis</w:t>
            </w:r>
            <w:proofErr w:type="spellEnd"/>
            <w:r w:rsidRPr="00DD692C">
              <w:rPr>
                <w:sz w:val="18"/>
                <w:szCs w:val="18"/>
              </w:rPr>
              <w:t xml:space="preserve"> using an inverse-variance weighted fixed effects model (A) or MTAG (C). The horizontal red line shows the threshold for genome-wide significance (</w:t>
            </w:r>
            <m:oMath>
              <m:r>
                <w:rPr>
                  <w:rFonts w:ascii="Cambria Math" w:hAnsi="Cambria Math"/>
                  <w:sz w:val="18"/>
                  <w:szCs w:val="18"/>
                </w:rPr>
                <m:t>5x1</m:t>
              </m:r>
              <m:sSup>
                <m:sSupPr>
                  <m:ctrlPr>
                    <w:rPr>
                      <w:rFonts w:ascii="Cambria Math" w:hAnsi="Cambria Math"/>
                      <w:sz w:val="18"/>
                      <w:szCs w:val="18"/>
                    </w:rPr>
                  </m:ctrlPr>
                </m:sSupPr>
                <m:e>
                  <m:r>
                    <w:rPr>
                      <w:rFonts w:ascii="Cambria Math" w:hAnsi="Cambria Math"/>
                      <w:sz w:val="18"/>
                      <w:szCs w:val="18"/>
                    </w:rPr>
                    <m:t>0</m:t>
                  </m:r>
                </m:e>
                <m:sup>
                  <m:r>
                    <w:rPr>
                      <w:rFonts w:ascii="Cambria Math" w:hAnsi="Cambria Math"/>
                      <w:sz w:val="18"/>
                      <w:szCs w:val="18"/>
                    </w:rPr>
                    <m:t>-08</m:t>
                  </m:r>
                </m:sup>
              </m:sSup>
            </m:oMath>
            <w:r w:rsidRPr="00DD692C">
              <w:rPr>
                <w:sz w:val="18"/>
                <w:szCs w:val="18"/>
              </w:rPr>
              <w:t>). Each dot represents one SNP that was tested in the GWAS, with a green diamond indicating the lead SNP of a genome-wide significant locus, with green dots below belonging to that locus. (B) the expected -log10(p) under the null is plotted against the observed -log10(p). The shading indicates the 95% confidence region under the null. Lambda and Lambda1000 (which is the Lambda if the GWAS contained 1000 cases and 1000 controls) indicate genomic inflation factors. Number of SNPs (N (pvals)) and Number of cases and controls are given in parentheses.</w:t>
            </w:r>
          </w:p>
        </w:tc>
      </w:tr>
    </w:tbl>
    <w:p w14:paraId="000000CB" w14:textId="77777777" w:rsidR="008E545C" w:rsidRPr="00DD692C" w:rsidRDefault="008E545C"/>
    <w:p w14:paraId="000000CC" w14:textId="77777777" w:rsidR="008E545C" w:rsidRPr="00DD692C" w:rsidRDefault="008E545C"/>
    <w:p w14:paraId="000000CD" w14:textId="77777777" w:rsidR="008E545C" w:rsidRPr="00DD692C" w:rsidRDefault="008E545C"/>
    <w:p w14:paraId="000000CE" w14:textId="77777777" w:rsidR="008E545C" w:rsidRPr="00DD692C" w:rsidRDefault="008E545C"/>
    <w:p w14:paraId="000000CF" w14:textId="77777777" w:rsidR="008E545C" w:rsidRPr="00DD692C" w:rsidRDefault="008E545C"/>
    <w:p w14:paraId="000000D0" w14:textId="77777777" w:rsidR="008E545C" w:rsidRPr="00DD692C" w:rsidRDefault="008E545C"/>
    <w:p w14:paraId="000000D1" w14:textId="77777777" w:rsidR="008E545C" w:rsidRPr="00DD692C" w:rsidRDefault="008E545C"/>
    <w:p w14:paraId="000000D2" w14:textId="77777777" w:rsidR="008E545C" w:rsidRPr="00DD692C" w:rsidRDefault="008E545C"/>
    <w:p w14:paraId="000000D3" w14:textId="77777777" w:rsidR="008E545C" w:rsidRPr="00DD692C" w:rsidRDefault="00000000">
      <w:pPr>
        <w:pStyle w:val="berschrift2"/>
      </w:pPr>
      <w:bookmarkStart w:id="45" w:name="_Toc161234218"/>
      <w:proofErr w:type="spellStart"/>
      <w:r w:rsidRPr="00DD692C">
        <w:lastRenderedPageBreak/>
        <w:t>GenomicSEM</w:t>
      </w:r>
      <w:proofErr w:type="spellEnd"/>
      <w:r w:rsidRPr="00DD692C">
        <w:t xml:space="preserve"> one factor model of the four OCD ascertainment sub-groups</w:t>
      </w:r>
      <w:bookmarkEnd w:id="45"/>
    </w:p>
    <w:p w14:paraId="000000D4" w14:textId="77777777" w:rsidR="008E545C" w:rsidRPr="00DD692C" w:rsidRDefault="008E545C"/>
    <w:tbl>
      <w:tblPr>
        <w:tblStyle w:val="a6"/>
        <w:tblW w:w="9360"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8E545C" w:rsidRPr="00DD692C" w14:paraId="1B61E012" w14:textId="77777777">
        <w:tc>
          <w:tcPr>
            <w:tcW w:w="9360" w:type="dxa"/>
            <w:shd w:val="clear" w:color="auto" w:fill="auto"/>
            <w:tcMar>
              <w:top w:w="100" w:type="dxa"/>
              <w:left w:w="100" w:type="dxa"/>
              <w:bottom w:w="100" w:type="dxa"/>
              <w:right w:w="100" w:type="dxa"/>
            </w:tcMar>
          </w:tcPr>
          <w:p w14:paraId="000000D5" w14:textId="77777777" w:rsidR="008E545C" w:rsidRPr="00DD692C" w:rsidRDefault="00000000">
            <w:r w:rsidRPr="00DD692C">
              <w:rPr>
                <w:noProof/>
              </w:rPr>
              <w:drawing>
                <wp:inline distT="114300" distB="114300" distL="114300" distR="114300" wp14:anchorId="3C018BF9" wp14:editId="2263B6C9">
                  <wp:extent cx="5810250" cy="4114800"/>
                  <wp:effectExtent l="0" t="0" r="0" b="0"/>
                  <wp:docPr id="7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2"/>
                          <a:srcRect/>
                          <a:stretch>
                            <a:fillRect/>
                          </a:stretch>
                        </pic:blipFill>
                        <pic:spPr>
                          <a:xfrm>
                            <a:off x="0" y="0"/>
                            <a:ext cx="5810250" cy="4114800"/>
                          </a:xfrm>
                          <a:prstGeom prst="rect">
                            <a:avLst/>
                          </a:prstGeom>
                          <a:ln/>
                        </pic:spPr>
                      </pic:pic>
                    </a:graphicData>
                  </a:graphic>
                </wp:inline>
              </w:drawing>
            </w:r>
          </w:p>
        </w:tc>
      </w:tr>
      <w:tr w:rsidR="008E545C" w:rsidRPr="00DD692C" w14:paraId="14DDC9C4" w14:textId="77777777">
        <w:tc>
          <w:tcPr>
            <w:tcW w:w="9360" w:type="dxa"/>
            <w:shd w:val="clear" w:color="auto" w:fill="auto"/>
            <w:tcMar>
              <w:top w:w="100" w:type="dxa"/>
              <w:left w:w="100" w:type="dxa"/>
              <w:bottom w:w="100" w:type="dxa"/>
              <w:right w:w="100" w:type="dxa"/>
            </w:tcMar>
          </w:tcPr>
          <w:p w14:paraId="000000D6" w14:textId="77777777" w:rsidR="008E545C" w:rsidRPr="00DD692C" w:rsidRDefault="00000000">
            <w:pPr>
              <w:jc w:val="both"/>
            </w:pPr>
            <w:r w:rsidRPr="00DD692C">
              <w:rPr>
                <w:b/>
                <w:sz w:val="18"/>
                <w:szCs w:val="18"/>
              </w:rPr>
              <w:t xml:space="preserve">Supplementary Figure S37: A path diagram of the common-factor </w:t>
            </w:r>
            <w:proofErr w:type="spellStart"/>
            <w:r w:rsidRPr="00DD692C">
              <w:rPr>
                <w:b/>
                <w:sz w:val="18"/>
                <w:szCs w:val="18"/>
              </w:rPr>
              <w:t>GenomicSEM</w:t>
            </w:r>
            <w:proofErr w:type="spellEnd"/>
            <w:r w:rsidRPr="00DD692C">
              <w:rPr>
                <w:b/>
                <w:sz w:val="18"/>
                <w:szCs w:val="18"/>
              </w:rPr>
              <w:t xml:space="preserve"> model without SNP effects, specified with unit variance identification, fixing the variance of the common factor F1 to 1.</w:t>
            </w:r>
            <w:r w:rsidRPr="00DD692C">
              <w:rPr>
                <w:sz w:val="18"/>
                <w:szCs w:val="18"/>
              </w:rPr>
              <w:t xml:space="preserve"> All estimates are standardized. Model-fit indices below are Chi-square statistic (</w:t>
            </w:r>
            <w:proofErr w:type="spellStart"/>
            <w:r w:rsidRPr="00DD692C">
              <w:rPr>
                <w:sz w:val="18"/>
                <w:szCs w:val="18"/>
              </w:rPr>
              <w:t>Chisq</w:t>
            </w:r>
            <w:proofErr w:type="spellEnd"/>
            <w:r w:rsidRPr="00DD692C">
              <w:rPr>
                <w:sz w:val="18"/>
                <w:szCs w:val="18"/>
              </w:rPr>
              <w:t>); degrees of freedom of the model (</w:t>
            </w:r>
            <w:proofErr w:type="spellStart"/>
            <w:r w:rsidRPr="00DD692C">
              <w:rPr>
                <w:sz w:val="18"/>
                <w:szCs w:val="18"/>
              </w:rPr>
              <w:t>df</w:t>
            </w:r>
            <w:proofErr w:type="spellEnd"/>
            <w:r w:rsidRPr="00DD692C">
              <w:rPr>
                <w:sz w:val="18"/>
                <w:szCs w:val="18"/>
              </w:rPr>
              <w:t>); p-value of the Chi-square (</w:t>
            </w:r>
            <w:proofErr w:type="spellStart"/>
            <w:r w:rsidRPr="00DD692C">
              <w:rPr>
                <w:sz w:val="18"/>
                <w:szCs w:val="18"/>
              </w:rPr>
              <w:t>p_chisq</w:t>
            </w:r>
            <w:proofErr w:type="spellEnd"/>
            <w:r w:rsidRPr="00DD692C">
              <w:rPr>
                <w:sz w:val="18"/>
                <w:szCs w:val="18"/>
              </w:rPr>
              <w:t xml:space="preserve">); Akaike Information Criterion (AIC), which is a comparative  measure of fit with lower values indicating a better fit; comparative fit index (CFI) which assesses the relative improvement in fit compared with the baseline model, ranging between 0 and 1; and standardized root mean square residual (SRMR), which is an absolute measure of fit defined as the standardized difference between observed correlation and the predicted correlation with a value of 0 indicating perfect fit. </w:t>
            </w:r>
          </w:p>
        </w:tc>
      </w:tr>
      <w:tr w:rsidR="008E545C" w:rsidRPr="00DD692C" w14:paraId="1B9212A9" w14:textId="77777777">
        <w:tc>
          <w:tcPr>
            <w:tcW w:w="9360" w:type="dxa"/>
            <w:shd w:val="clear" w:color="auto" w:fill="auto"/>
            <w:tcMar>
              <w:top w:w="100" w:type="dxa"/>
              <w:left w:w="100" w:type="dxa"/>
              <w:bottom w:w="100" w:type="dxa"/>
              <w:right w:w="100" w:type="dxa"/>
            </w:tcMar>
          </w:tcPr>
          <w:p w14:paraId="000000D7" w14:textId="77777777" w:rsidR="008E545C" w:rsidRPr="00DD692C" w:rsidRDefault="008E545C"/>
        </w:tc>
      </w:tr>
      <w:tr w:rsidR="008E545C" w:rsidRPr="00DD692C" w14:paraId="4DE2A88C" w14:textId="77777777">
        <w:tc>
          <w:tcPr>
            <w:tcW w:w="9360" w:type="dxa"/>
            <w:shd w:val="clear" w:color="auto" w:fill="auto"/>
            <w:tcMar>
              <w:top w:w="100" w:type="dxa"/>
              <w:left w:w="100" w:type="dxa"/>
              <w:bottom w:w="100" w:type="dxa"/>
              <w:right w:w="100" w:type="dxa"/>
            </w:tcMar>
          </w:tcPr>
          <w:p w14:paraId="000000D8" w14:textId="77777777" w:rsidR="008E545C" w:rsidRPr="00DD692C" w:rsidRDefault="008E545C">
            <w:pPr>
              <w:jc w:val="both"/>
            </w:pPr>
          </w:p>
        </w:tc>
      </w:tr>
    </w:tbl>
    <w:p w14:paraId="000000D9" w14:textId="77777777" w:rsidR="008E545C" w:rsidRPr="00DD692C" w:rsidRDefault="008E545C"/>
    <w:p w14:paraId="000000DA" w14:textId="77777777" w:rsidR="008E545C" w:rsidRPr="00DD692C" w:rsidRDefault="008E545C"/>
    <w:p w14:paraId="000000DB" w14:textId="77777777" w:rsidR="008E545C" w:rsidRPr="00DD692C" w:rsidRDefault="008E545C"/>
    <w:p w14:paraId="000000DC" w14:textId="77777777" w:rsidR="008E545C" w:rsidRPr="00DD692C" w:rsidRDefault="008E545C"/>
    <w:p w14:paraId="000000DD" w14:textId="77777777" w:rsidR="008E545C" w:rsidRPr="00DD692C" w:rsidRDefault="008E545C"/>
    <w:p w14:paraId="000000DE" w14:textId="77777777" w:rsidR="008E545C" w:rsidRPr="00DD692C" w:rsidRDefault="008E545C"/>
    <w:p w14:paraId="000000DF" w14:textId="77777777" w:rsidR="008E545C" w:rsidRPr="00DD692C" w:rsidRDefault="008E545C"/>
    <w:p w14:paraId="000000E0" w14:textId="77777777" w:rsidR="008E545C" w:rsidRPr="00DD692C" w:rsidRDefault="008E545C"/>
    <w:p w14:paraId="000000E1" w14:textId="77777777" w:rsidR="008E545C" w:rsidRPr="00DD692C" w:rsidRDefault="008E545C"/>
    <w:tbl>
      <w:tblPr>
        <w:tblStyle w:val="a7"/>
        <w:tblW w:w="9360"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8E545C" w:rsidRPr="00DD692C" w14:paraId="159A7872" w14:textId="77777777">
        <w:tc>
          <w:tcPr>
            <w:tcW w:w="9360" w:type="dxa"/>
            <w:shd w:val="clear" w:color="auto" w:fill="auto"/>
            <w:tcMar>
              <w:top w:w="100" w:type="dxa"/>
              <w:left w:w="100" w:type="dxa"/>
              <w:bottom w:w="100" w:type="dxa"/>
              <w:right w:w="100" w:type="dxa"/>
            </w:tcMar>
          </w:tcPr>
          <w:p w14:paraId="000000E7" w14:textId="77777777" w:rsidR="008E545C" w:rsidRPr="00DD692C" w:rsidRDefault="008E545C" w:rsidP="00810C9F">
            <w:pPr>
              <w:rPr>
                <w:b/>
                <w:sz w:val="18"/>
                <w:szCs w:val="18"/>
              </w:rPr>
            </w:pPr>
          </w:p>
        </w:tc>
      </w:tr>
    </w:tbl>
    <w:p w14:paraId="000000EF" w14:textId="3F81A26B" w:rsidR="008E545C" w:rsidRPr="00DD692C" w:rsidRDefault="00000000">
      <w:pPr>
        <w:pStyle w:val="berschrift2"/>
      </w:pPr>
      <w:bookmarkStart w:id="46" w:name="_heading=h.28h4qwu" w:colFirst="0" w:colLast="0"/>
      <w:bookmarkStart w:id="47" w:name="_heading=h.nmf14n" w:colFirst="0" w:colLast="0"/>
      <w:bookmarkStart w:id="48" w:name="_heading=h.37m2jsg" w:colFirst="0" w:colLast="0"/>
      <w:bookmarkStart w:id="49" w:name="_heading=h.1mrcu09" w:colFirst="0" w:colLast="0"/>
      <w:bookmarkStart w:id="50" w:name="_heading=h.46r0co2" w:colFirst="0" w:colLast="0"/>
      <w:bookmarkStart w:id="51" w:name="_Toc161234219"/>
      <w:bookmarkEnd w:id="46"/>
      <w:bookmarkEnd w:id="47"/>
      <w:bookmarkEnd w:id="48"/>
      <w:bookmarkEnd w:id="49"/>
      <w:bookmarkEnd w:id="50"/>
      <w:r w:rsidRPr="00DD692C">
        <w:t>Cross-trait genetic correlations of the ascertainment-specific subgroup analyses</w:t>
      </w:r>
      <w:bookmarkEnd w:id="51"/>
    </w:p>
    <w:p w14:paraId="000000F0" w14:textId="77777777" w:rsidR="008E545C" w:rsidRPr="00DD692C" w:rsidRDefault="008E545C"/>
    <w:tbl>
      <w:tblPr>
        <w:tblStyle w:val="a8"/>
        <w:tblW w:w="9360"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8E545C" w:rsidRPr="00DD692C" w14:paraId="620B7BCA" w14:textId="77777777">
        <w:tc>
          <w:tcPr>
            <w:tcW w:w="9360" w:type="dxa"/>
            <w:shd w:val="clear" w:color="auto" w:fill="auto"/>
            <w:tcMar>
              <w:top w:w="100" w:type="dxa"/>
              <w:left w:w="100" w:type="dxa"/>
              <w:bottom w:w="100" w:type="dxa"/>
              <w:right w:w="100" w:type="dxa"/>
            </w:tcMar>
          </w:tcPr>
          <w:p w14:paraId="000000F1" w14:textId="77777777" w:rsidR="008E545C" w:rsidRPr="00DD692C" w:rsidRDefault="00000000">
            <w:pPr>
              <w:widowControl w:val="0"/>
              <w:pBdr>
                <w:top w:val="nil"/>
                <w:left w:val="nil"/>
                <w:bottom w:val="nil"/>
                <w:right w:val="nil"/>
                <w:between w:val="nil"/>
              </w:pBdr>
              <w:spacing w:line="240" w:lineRule="auto"/>
            </w:pPr>
            <w:r w:rsidRPr="00DD692C">
              <w:rPr>
                <w:noProof/>
              </w:rPr>
              <w:drawing>
                <wp:inline distT="114300" distB="114300" distL="114300" distR="114300" wp14:anchorId="49AF4E95" wp14:editId="65668829">
                  <wp:extent cx="5810250" cy="3594100"/>
                  <wp:effectExtent l="0" t="0" r="0" b="0"/>
                  <wp:docPr id="7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3"/>
                          <a:srcRect l="853" r="853"/>
                          <a:stretch>
                            <a:fillRect/>
                          </a:stretch>
                        </pic:blipFill>
                        <pic:spPr>
                          <a:xfrm>
                            <a:off x="0" y="0"/>
                            <a:ext cx="5810250" cy="3594100"/>
                          </a:xfrm>
                          <a:prstGeom prst="rect">
                            <a:avLst/>
                          </a:prstGeom>
                          <a:ln/>
                        </pic:spPr>
                      </pic:pic>
                    </a:graphicData>
                  </a:graphic>
                </wp:inline>
              </w:drawing>
            </w:r>
          </w:p>
        </w:tc>
      </w:tr>
      <w:tr w:rsidR="008E545C" w:rsidRPr="00DD692C" w14:paraId="6D98CE12" w14:textId="77777777">
        <w:tc>
          <w:tcPr>
            <w:tcW w:w="9360" w:type="dxa"/>
            <w:shd w:val="clear" w:color="auto" w:fill="auto"/>
            <w:tcMar>
              <w:top w:w="100" w:type="dxa"/>
              <w:left w:w="100" w:type="dxa"/>
              <w:bottom w:w="100" w:type="dxa"/>
              <w:right w:w="100" w:type="dxa"/>
            </w:tcMar>
          </w:tcPr>
          <w:p w14:paraId="000000F2" w14:textId="2A69C843" w:rsidR="008E545C" w:rsidRPr="00DD692C" w:rsidRDefault="00000000">
            <w:pPr>
              <w:widowControl w:val="0"/>
              <w:pBdr>
                <w:top w:val="nil"/>
                <w:left w:val="nil"/>
                <w:bottom w:val="nil"/>
                <w:right w:val="nil"/>
                <w:between w:val="nil"/>
              </w:pBdr>
              <w:spacing w:line="240" w:lineRule="auto"/>
              <w:jc w:val="both"/>
              <w:rPr>
                <w:sz w:val="18"/>
                <w:szCs w:val="18"/>
              </w:rPr>
            </w:pPr>
            <w:r w:rsidRPr="00DD692C">
              <w:rPr>
                <w:b/>
                <w:sz w:val="18"/>
                <w:szCs w:val="18"/>
              </w:rPr>
              <w:t>Supplementary Figure S3</w:t>
            </w:r>
            <w:r w:rsidR="00810C9F">
              <w:rPr>
                <w:b/>
                <w:sz w:val="18"/>
                <w:szCs w:val="18"/>
              </w:rPr>
              <w:t>8</w:t>
            </w:r>
            <w:r w:rsidRPr="00DD692C">
              <w:rPr>
                <w:b/>
                <w:sz w:val="18"/>
                <w:szCs w:val="18"/>
              </w:rPr>
              <w:t>: Genetic correlations (</w:t>
            </w:r>
            <w:proofErr w:type="spellStart"/>
            <w:r w:rsidRPr="00DD692C">
              <w:rPr>
                <w:b/>
                <w:sz w:val="18"/>
                <w:szCs w:val="18"/>
              </w:rPr>
              <w:t>rg</w:t>
            </w:r>
            <w:proofErr w:type="spellEnd"/>
            <w:r w:rsidRPr="00DD692C">
              <w:rPr>
                <w:b/>
                <w:sz w:val="18"/>
                <w:szCs w:val="18"/>
              </w:rPr>
              <w:t>) between the ascertainment-specific OCD GWASs (23andMe, Biobank, Clinical, comorbid) and 112 psychiatric, substance use, cognition/socioeconomic status (SES), personality, psychological, neurological, autoimmune, cardiovascular, anthropomorphic/diet, fertility, and other phenotypes</w:t>
            </w:r>
            <w:r w:rsidRPr="00DD692C">
              <w:rPr>
                <w:sz w:val="18"/>
                <w:szCs w:val="18"/>
              </w:rPr>
              <w:t xml:space="preserve">. References of the corresponding summary statistics of the GWAS studies can be found in </w:t>
            </w:r>
            <w:r w:rsidRPr="00DD692C">
              <w:rPr>
                <w:b/>
                <w:sz w:val="18"/>
                <w:szCs w:val="18"/>
              </w:rPr>
              <w:t>Supplementary Table S1</w:t>
            </w:r>
            <w:r w:rsidR="002C15D0">
              <w:rPr>
                <w:b/>
                <w:sz w:val="18"/>
                <w:szCs w:val="18"/>
              </w:rPr>
              <w:t>7</w:t>
            </w:r>
            <w:r w:rsidRPr="00DD692C">
              <w:rPr>
                <w:sz w:val="18"/>
                <w:szCs w:val="18"/>
              </w:rPr>
              <w:t>. Genetic correlations of OCD specific to 23andMe are in green, specific to biobanks are in yellow, specific to clinical cohorts are in pink, and specific to comorbid cohorts are in blue. Error bars represent confidence intervals, black encircled estimates indicate significant associations after FDR correction for multiple testing, corrected separately for each OCD ascertainment-specific subgroup (see full list of results in Supplementary Table S1</w:t>
            </w:r>
            <w:r w:rsidR="002C15D0">
              <w:rPr>
                <w:sz w:val="18"/>
                <w:szCs w:val="18"/>
              </w:rPr>
              <w:t>8</w:t>
            </w:r>
            <w:r w:rsidRPr="00DD692C">
              <w:rPr>
                <w:sz w:val="18"/>
                <w:szCs w:val="18"/>
              </w:rPr>
              <w:t>).</w:t>
            </w:r>
          </w:p>
          <w:p w14:paraId="000000F3" w14:textId="77777777" w:rsidR="008E545C" w:rsidRPr="00DD692C" w:rsidRDefault="008E545C">
            <w:pPr>
              <w:widowControl w:val="0"/>
              <w:pBdr>
                <w:top w:val="nil"/>
                <w:left w:val="nil"/>
                <w:bottom w:val="nil"/>
                <w:right w:val="nil"/>
                <w:between w:val="nil"/>
              </w:pBdr>
              <w:spacing w:line="240" w:lineRule="auto"/>
              <w:jc w:val="both"/>
              <w:rPr>
                <w:sz w:val="18"/>
                <w:szCs w:val="18"/>
              </w:rPr>
            </w:pPr>
          </w:p>
          <w:p w14:paraId="000000F4" w14:textId="77777777" w:rsidR="008E545C" w:rsidRPr="00DD692C" w:rsidRDefault="008E545C">
            <w:pPr>
              <w:widowControl w:val="0"/>
              <w:pBdr>
                <w:top w:val="nil"/>
                <w:left w:val="nil"/>
                <w:bottom w:val="nil"/>
                <w:right w:val="nil"/>
                <w:between w:val="nil"/>
              </w:pBdr>
              <w:spacing w:line="240" w:lineRule="auto"/>
              <w:jc w:val="both"/>
              <w:rPr>
                <w:sz w:val="18"/>
                <w:szCs w:val="18"/>
              </w:rPr>
            </w:pPr>
          </w:p>
        </w:tc>
      </w:tr>
      <w:tr w:rsidR="008E545C" w:rsidRPr="00DD692C" w14:paraId="1A2672A4" w14:textId="77777777">
        <w:tc>
          <w:tcPr>
            <w:tcW w:w="9360" w:type="dxa"/>
            <w:shd w:val="clear" w:color="auto" w:fill="auto"/>
            <w:tcMar>
              <w:top w:w="100" w:type="dxa"/>
              <w:left w:w="100" w:type="dxa"/>
              <w:bottom w:w="100" w:type="dxa"/>
              <w:right w:w="100" w:type="dxa"/>
            </w:tcMar>
          </w:tcPr>
          <w:p w14:paraId="000000F5" w14:textId="77777777" w:rsidR="008E545C" w:rsidRPr="00DD692C" w:rsidRDefault="00000000">
            <w:pPr>
              <w:widowControl w:val="0"/>
              <w:pBdr>
                <w:top w:val="nil"/>
                <w:left w:val="nil"/>
                <w:bottom w:val="nil"/>
                <w:right w:val="nil"/>
                <w:between w:val="nil"/>
              </w:pBdr>
              <w:spacing w:line="240" w:lineRule="auto"/>
              <w:jc w:val="both"/>
              <w:rPr>
                <w:b/>
                <w:sz w:val="18"/>
                <w:szCs w:val="18"/>
              </w:rPr>
            </w:pPr>
            <w:r w:rsidRPr="00DD692C">
              <w:rPr>
                <w:b/>
                <w:noProof/>
                <w:sz w:val="18"/>
                <w:szCs w:val="18"/>
              </w:rPr>
              <w:lastRenderedPageBreak/>
              <w:drawing>
                <wp:inline distT="114300" distB="114300" distL="114300" distR="114300" wp14:anchorId="29828B86" wp14:editId="102F6C79">
                  <wp:extent cx="5810250" cy="3530600"/>
                  <wp:effectExtent l="0" t="0" r="0" b="0"/>
                  <wp:docPr id="78"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54"/>
                          <a:srcRect/>
                          <a:stretch>
                            <a:fillRect/>
                          </a:stretch>
                        </pic:blipFill>
                        <pic:spPr>
                          <a:xfrm>
                            <a:off x="0" y="0"/>
                            <a:ext cx="5810250" cy="3530600"/>
                          </a:xfrm>
                          <a:prstGeom prst="rect">
                            <a:avLst/>
                          </a:prstGeom>
                          <a:ln/>
                        </pic:spPr>
                      </pic:pic>
                    </a:graphicData>
                  </a:graphic>
                </wp:inline>
              </w:drawing>
            </w:r>
          </w:p>
        </w:tc>
      </w:tr>
      <w:tr w:rsidR="008E545C" w:rsidRPr="00DD692C" w14:paraId="5008B8D9" w14:textId="77777777">
        <w:tc>
          <w:tcPr>
            <w:tcW w:w="9360" w:type="dxa"/>
            <w:shd w:val="clear" w:color="auto" w:fill="auto"/>
            <w:tcMar>
              <w:top w:w="100" w:type="dxa"/>
              <w:left w:w="100" w:type="dxa"/>
              <w:bottom w:w="100" w:type="dxa"/>
              <w:right w:w="100" w:type="dxa"/>
            </w:tcMar>
          </w:tcPr>
          <w:p w14:paraId="000000F6" w14:textId="6BEE9DF4" w:rsidR="008E545C" w:rsidRPr="00DD692C" w:rsidRDefault="00000000">
            <w:pPr>
              <w:widowControl w:val="0"/>
              <w:spacing w:line="240" w:lineRule="auto"/>
              <w:jc w:val="both"/>
              <w:rPr>
                <w:b/>
                <w:sz w:val="18"/>
                <w:szCs w:val="18"/>
              </w:rPr>
            </w:pPr>
            <w:r w:rsidRPr="00DD692C">
              <w:rPr>
                <w:b/>
                <w:sz w:val="18"/>
                <w:szCs w:val="18"/>
              </w:rPr>
              <w:t>Supplementary Figure S</w:t>
            </w:r>
            <w:r w:rsidR="00810C9F">
              <w:rPr>
                <w:b/>
                <w:sz w:val="18"/>
                <w:szCs w:val="18"/>
              </w:rPr>
              <w:t>39</w:t>
            </w:r>
            <w:r w:rsidRPr="00DD692C">
              <w:rPr>
                <w:b/>
                <w:sz w:val="18"/>
                <w:szCs w:val="18"/>
              </w:rPr>
              <w:t>: Genetic correlations (</w:t>
            </w:r>
            <w:proofErr w:type="spellStart"/>
            <w:r w:rsidRPr="00DD692C">
              <w:rPr>
                <w:b/>
                <w:sz w:val="18"/>
                <w:szCs w:val="18"/>
              </w:rPr>
              <w:t>rg</w:t>
            </w:r>
            <w:proofErr w:type="spellEnd"/>
            <w:r w:rsidRPr="00DD692C">
              <w:rPr>
                <w:b/>
                <w:sz w:val="18"/>
                <w:szCs w:val="18"/>
              </w:rPr>
              <w:t>) of the OCD GWASs including only 23andMe and the OCD GWAS leaving out 23andMe (Clinician-reported) with 112 psychiatric, substance use, cognition/socioeconomic status (SES), personality, psychological, neurological, autoimmune, cardiovascular, anthropomorphic/diet, fertility, and other phenotypes</w:t>
            </w:r>
            <w:r w:rsidRPr="00DD692C">
              <w:rPr>
                <w:sz w:val="18"/>
                <w:szCs w:val="18"/>
              </w:rPr>
              <w:t xml:space="preserve">. References of the corresponding summary statistics of the GWAS studies can be found in </w:t>
            </w:r>
            <w:r w:rsidRPr="00DD692C">
              <w:rPr>
                <w:b/>
                <w:sz w:val="18"/>
                <w:szCs w:val="18"/>
              </w:rPr>
              <w:t>Supplementary Table S1</w:t>
            </w:r>
            <w:r w:rsidR="002C15D0">
              <w:rPr>
                <w:b/>
                <w:sz w:val="18"/>
                <w:szCs w:val="18"/>
              </w:rPr>
              <w:t>7</w:t>
            </w:r>
            <w:r w:rsidRPr="00DD692C">
              <w:rPr>
                <w:sz w:val="18"/>
                <w:szCs w:val="18"/>
              </w:rPr>
              <w:t xml:space="preserve">. Genetic correlations of OCD specific to 23andMe are in green, specific to the GWAS excluding 23andMe (Clinician-reported) in orange. Error bars represent confidence intervals, black encircled estimates indicate significant associations after FDR correction for multiple testing, corrected separately for each OCD subgroup.  </w:t>
            </w:r>
          </w:p>
        </w:tc>
      </w:tr>
    </w:tbl>
    <w:p w14:paraId="000000F7" w14:textId="77777777" w:rsidR="008E545C" w:rsidRPr="00DD692C" w:rsidRDefault="008E545C"/>
    <w:p w14:paraId="000000F8" w14:textId="77777777" w:rsidR="008E545C" w:rsidRDefault="008E545C">
      <w:pPr>
        <w:rPr>
          <w:b/>
        </w:rPr>
      </w:pPr>
    </w:p>
    <w:p w14:paraId="568C1122" w14:textId="77777777" w:rsidR="00810C9F" w:rsidRDefault="00810C9F">
      <w:pPr>
        <w:rPr>
          <w:b/>
        </w:rPr>
      </w:pPr>
    </w:p>
    <w:p w14:paraId="24F49905" w14:textId="77777777" w:rsidR="00810C9F" w:rsidRDefault="00810C9F">
      <w:pPr>
        <w:rPr>
          <w:b/>
        </w:rPr>
      </w:pPr>
    </w:p>
    <w:p w14:paraId="50E17771" w14:textId="77777777" w:rsidR="00810C9F" w:rsidRDefault="00810C9F">
      <w:pPr>
        <w:rPr>
          <w:b/>
        </w:rPr>
      </w:pPr>
    </w:p>
    <w:p w14:paraId="7C237DB0" w14:textId="77777777" w:rsidR="00810C9F" w:rsidRDefault="00810C9F">
      <w:pPr>
        <w:rPr>
          <w:b/>
        </w:rPr>
      </w:pPr>
    </w:p>
    <w:p w14:paraId="11F28130" w14:textId="77777777" w:rsidR="00810C9F" w:rsidRDefault="00810C9F">
      <w:pPr>
        <w:rPr>
          <w:b/>
        </w:rPr>
      </w:pPr>
    </w:p>
    <w:p w14:paraId="2C0AA157" w14:textId="77777777" w:rsidR="00810C9F" w:rsidRDefault="00810C9F">
      <w:pPr>
        <w:rPr>
          <w:b/>
        </w:rPr>
      </w:pPr>
    </w:p>
    <w:p w14:paraId="7C3DD2FC" w14:textId="77777777" w:rsidR="00810C9F" w:rsidRDefault="00810C9F">
      <w:pPr>
        <w:rPr>
          <w:b/>
        </w:rPr>
      </w:pPr>
    </w:p>
    <w:p w14:paraId="41A1F0F8" w14:textId="77777777" w:rsidR="00810C9F" w:rsidRDefault="00810C9F">
      <w:pPr>
        <w:rPr>
          <w:b/>
        </w:rPr>
      </w:pPr>
    </w:p>
    <w:p w14:paraId="1576CEC1" w14:textId="77777777" w:rsidR="00810C9F" w:rsidRDefault="00810C9F">
      <w:pPr>
        <w:rPr>
          <w:b/>
        </w:rPr>
      </w:pPr>
    </w:p>
    <w:p w14:paraId="4B86D251" w14:textId="77777777" w:rsidR="00810C9F" w:rsidRDefault="00810C9F">
      <w:pPr>
        <w:rPr>
          <w:b/>
        </w:rPr>
      </w:pPr>
    </w:p>
    <w:p w14:paraId="169121F1" w14:textId="77777777" w:rsidR="00810C9F" w:rsidRDefault="00810C9F">
      <w:pPr>
        <w:rPr>
          <w:b/>
        </w:rPr>
      </w:pPr>
    </w:p>
    <w:p w14:paraId="56E5664A" w14:textId="77777777" w:rsidR="00810C9F" w:rsidRDefault="00810C9F">
      <w:pPr>
        <w:rPr>
          <w:b/>
        </w:rPr>
      </w:pPr>
    </w:p>
    <w:p w14:paraId="6A05C149" w14:textId="77777777" w:rsidR="00810C9F" w:rsidRDefault="00810C9F">
      <w:pPr>
        <w:rPr>
          <w:b/>
        </w:rPr>
      </w:pPr>
    </w:p>
    <w:p w14:paraId="2517E8EB" w14:textId="77777777" w:rsidR="00810C9F" w:rsidRDefault="00810C9F">
      <w:pPr>
        <w:rPr>
          <w:b/>
        </w:rPr>
      </w:pPr>
    </w:p>
    <w:p w14:paraId="12E91BED" w14:textId="77777777" w:rsidR="00810C9F" w:rsidRDefault="00810C9F">
      <w:pPr>
        <w:rPr>
          <w:b/>
        </w:rPr>
      </w:pPr>
    </w:p>
    <w:p w14:paraId="1EE2182E" w14:textId="77777777" w:rsidR="00810C9F" w:rsidRPr="00DD692C" w:rsidRDefault="00810C9F">
      <w:pPr>
        <w:rPr>
          <w:b/>
        </w:rPr>
      </w:pPr>
    </w:p>
    <w:p w14:paraId="3C2E8A69" w14:textId="77777777" w:rsidR="00810C9F" w:rsidRPr="00DD692C" w:rsidRDefault="00810C9F" w:rsidP="00810C9F">
      <w:pPr>
        <w:pStyle w:val="berschrift2"/>
      </w:pPr>
      <w:bookmarkStart w:id="52" w:name="_heading=h.111kx3o" w:colFirst="0" w:colLast="0"/>
      <w:bookmarkStart w:id="53" w:name="_Toc161234220"/>
      <w:bookmarkEnd w:id="52"/>
      <w:r w:rsidRPr="00DD692C">
        <w:lastRenderedPageBreak/>
        <w:t>Consistency of SNP findings across OCD GWAS versions</w:t>
      </w:r>
      <w:bookmarkEnd w:id="53"/>
    </w:p>
    <w:p w14:paraId="60809FDB" w14:textId="77777777" w:rsidR="00810C9F" w:rsidRPr="00DD692C" w:rsidRDefault="00810C9F" w:rsidP="00810C9F"/>
    <w:p w14:paraId="418179DD" w14:textId="77777777" w:rsidR="00810C9F" w:rsidRPr="00DD692C" w:rsidRDefault="00810C9F" w:rsidP="00810C9F"/>
    <w:tbl>
      <w:tblPr>
        <w:tblW w:w="936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810C9F" w:rsidRPr="00DD692C" w14:paraId="1724D23C" w14:textId="77777777" w:rsidTr="00783BB6">
        <w:tc>
          <w:tcPr>
            <w:tcW w:w="9360" w:type="dxa"/>
            <w:shd w:val="clear" w:color="auto" w:fill="auto"/>
            <w:tcMar>
              <w:top w:w="100" w:type="dxa"/>
              <w:left w:w="100" w:type="dxa"/>
              <w:bottom w:w="100" w:type="dxa"/>
              <w:right w:w="100" w:type="dxa"/>
            </w:tcMar>
          </w:tcPr>
          <w:p w14:paraId="1F2CDCF1" w14:textId="77777777" w:rsidR="00810C9F" w:rsidRPr="00DD692C" w:rsidRDefault="00810C9F" w:rsidP="00783BB6">
            <w:r w:rsidRPr="00DD692C">
              <w:rPr>
                <w:noProof/>
              </w:rPr>
              <w:drawing>
                <wp:inline distT="114300" distB="114300" distL="114300" distR="114300" wp14:anchorId="43B40E1F" wp14:editId="6D8E87D6">
                  <wp:extent cx="5810250" cy="3162300"/>
                  <wp:effectExtent l="0" t="0" r="0" b="0"/>
                  <wp:docPr id="74" name="image29.jpg" descr="Ein Bild, das Screenshot, Reihe, Diagramm,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74" name="image29.jpg" descr="Ein Bild, das Screenshot, Reihe, Diagramm, Text enthält.&#10;&#10;Automatisch generierte Beschreibung"/>
                          <pic:cNvPicPr preferRelativeResize="0"/>
                        </pic:nvPicPr>
                        <pic:blipFill>
                          <a:blip r:embed="rId55"/>
                          <a:srcRect/>
                          <a:stretch>
                            <a:fillRect/>
                          </a:stretch>
                        </pic:blipFill>
                        <pic:spPr>
                          <a:xfrm>
                            <a:off x="0" y="0"/>
                            <a:ext cx="5810250" cy="3162300"/>
                          </a:xfrm>
                          <a:prstGeom prst="rect">
                            <a:avLst/>
                          </a:prstGeom>
                          <a:ln/>
                        </pic:spPr>
                      </pic:pic>
                    </a:graphicData>
                  </a:graphic>
                </wp:inline>
              </w:drawing>
            </w:r>
          </w:p>
        </w:tc>
      </w:tr>
      <w:tr w:rsidR="00810C9F" w:rsidRPr="00DD692C" w14:paraId="344B316E" w14:textId="77777777" w:rsidTr="00783BB6">
        <w:tc>
          <w:tcPr>
            <w:tcW w:w="9360" w:type="dxa"/>
            <w:shd w:val="clear" w:color="auto" w:fill="auto"/>
            <w:tcMar>
              <w:top w:w="100" w:type="dxa"/>
              <w:left w:w="100" w:type="dxa"/>
              <w:bottom w:w="100" w:type="dxa"/>
              <w:right w:w="100" w:type="dxa"/>
            </w:tcMar>
          </w:tcPr>
          <w:p w14:paraId="7AA2029D" w14:textId="24B6748A" w:rsidR="00810C9F" w:rsidRPr="00DD692C" w:rsidRDefault="00810C9F" w:rsidP="00783BB6">
            <w:pPr>
              <w:rPr>
                <w:sz w:val="18"/>
                <w:szCs w:val="18"/>
              </w:rPr>
            </w:pPr>
            <w:r w:rsidRPr="00DD692C">
              <w:rPr>
                <w:b/>
                <w:sz w:val="18"/>
                <w:szCs w:val="18"/>
              </w:rPr>
              <w:t>Supplementary Figure S</w:t>
            </w:r>
            <w:r>
              <w:rPr>
                <w:b/>
                <w:sz w:val="18"/>
                <w:szCs w:val="18"/>
              </w:rPr>
              <w:t>40</w:t>
            </w:r>
            <w:r w:rsidRPr="00DD692C">
              <w:rPr>
                <w:b/>
                <w:sz w:val="18"/>
                <w:szCs w:val="18"/>
              </w:rPr>
              <w:t>: Number of GWAS cases (x-axis) and the respective number of independent significant SNPs they identified (y-axis).</w:t>
            </w:r>
            <w:r w:rsidRPr="00DD692C">
              <w:rPr>
                <w:sz w:val="18"/>
                <w:szCs w:val="18"/>
              </w:rPr>
              <w:t xml:space="preserve"> Shown are seven GWAS studies - PGC1</w:t>
            </w:r>
            <w:sdt>
              <w:sdtPr>
                <w:tag w:val="goog_rdk_88"/>
                <w:id w:val="-1544514161"/>
              </w:sdtPr>
              <w:sdtContent>
                <w:r w:rsidRPr="0089583A">
                  <w:rPr>
                    <w:color w:val="212121"/>
                    <w:sz w:val="18"/>
                    <w:szCs w:val="18"/>
                  </w:rPr>
                  <w:t xml:space="preserve"> </w:t>
                </w:r>
              </w:sdtContent>
            </w:sdt>
            <w:hyperlink r:id="rId56">
              <w:sdt>
                <w:sdtPr>
                  <w:tag w:val="goog_rdk_89"/>
                  <w:id w:val="16817816"/>
                </w:sdtPr>
                <w:sdtContent>
                  <w:r w:rsidRPr="0089583A">
                    <w:rPr>
                      <w:color w:val="212121"/>
                      <w:sz w:val="18"/>
                      <w:szCs w:val="18"/>
                      <w:vertAlign w:val="superscript"/>
                    </w:rPr>
                    <w:t>26</w:t>
                  </w:r>
                </w:sdtContent>
              </w:sdt>
            </w:hyperlink>
            <w:r w:rsidRPr="00DD692C">
              <w:rPr>
                <w:sz w:val="18"/>
                <w:szCs w:val="18"/>
              </w:rPr>
              <w:t>; PGC OCD2 GWAS (medRxiv1)</w:t>
            </w:r>
            <w:sdt>
              <w:sdtPr>
                <w:tag w:val="goog_rdk_90"/>
                <w:id w:val="-2076120025"/>
              </w:sdtPr>
              <w:sdtContent>
                <w:r w:rsidRPr="0089583A">
                  <w:rPr>
                    <w:color w:val="212121"/>
                    <w:sz w:val="18"/>
                    <w:szCs w:val="18"/>
                  </w:rPr>
                  <w:t xml:space="preserve"> </w:t>
                </w:r>
              </w:sdtContent>
            </w:sdt>
            <w:hyperlink r:id="rId57">
              <w:sdt>
                <w:sdtPr>
                  <w:tag w:val="goog_rdk_91"/>
                  <w:id w:val="224189947"/>
                </w:sdtPr>
                <w:sdtContent>
                  <w:r w:rsidRPr="0089583A">
                    <w:rPr>
                      <w:color w:val="212121"/>
                      <w:sz w:val="18"/>
                      <w:szCs w:val="18"/>
                      <w:vertAlign w:val="superscript"/>
                    </w:rPr>
                    <w:t>43</w:t>
                  </w:r>
                </w:sdtContent>
              </w:sdt>
            </w:hyperlink>
            <w:r w:rsidRPr="00DD692C">
              <w:rPr>
                <w:sz w:val="18"/>
                <w:szCs w:val="18"/>
              </w:rPr>
              <w:t xml:space="preserve">; the meta-analysis of the current paper (META) excluding 23andMe (META_excl23andMe); 23andMe, iPSYCH-PGC-23andMe GWAS (medRxiv2; </w:t>
            </w:r>
            <w:r w:rsidRPr="0089583A">
              <w:rPr>
                <w:sz w:val="18"/>
                <w:szCs w:val="18"/>
                <w:highlight w:val="yellow"/>
                <w:shd w:val="clear" w:color="auto" w:fill="CCCCCC"/>
              </w:rPr>
              <w:t>Strom et al. 2023</w:t>
            </w:r>
            <w:r w:rsidRPr="0089583A">
              <w:rPr>
                <w:sz w:val="18"/>
                <w:szCs w:val="18"/>
                <w:highlight w:val="yellow"/>
              </w:rPr>
              <w:t>),</w:t>
            </w:r>
            <w:r w:rsidRPr="00DD692C">
              <w:rPr>
                <w:sz w:val="18"/>
                <w:szCs w:val="18"/>
              </w:rPr>
              <w:t xml:space="preserve"> PGC OCD2 GWAS and 23andMe (medRxic1_23andMe), and the current meta-analysis (META). Please also see </w:t>
            </w:r>
            <w:r w:rsidRPr="00DD692C">
              <w:rPr>
                <w:b/>
                <w:sz w:val="18"/>
                <w:szCs w:val="18"/>
              </w:rPr>
              <w:t>Supplementary Table S</w:t>
            </w:r>
            <w:r>
              <w:rPr>
                <w:b/>
                <w:sz w:val="18"/>
                <w:szCs w:val="18"/>
              </w:rPr>
              <w:t>19</w:t>
            </w:r>
            <w:r w:rsidRPr="00DD692C">
              <w:rPr>
                <w:sz w:val="18"/>
                <w:szCs w:val="18"/>
              </w:rPr>
              <w:t xml:space="preserve"> for details.</w:t>
            </w:r>
          </w:p>
        </w:tc>
      </w:tr>
    </w:tbl>
    <w:p w14:paraId="000000F9" w14:textId="77777777" w:rsidR="008E545C" w:rsidRPr="00DD692C" w:rsidRDefault="008E545C">
      <w:pPr>
        <w:pStyle w:val="berschrift2"/>
      </w:pPr>
    </w:p>
    <w:p w14:paraId="000000FA" w14:textId="77777777" w:rsidR="008E545C" w:rsidRPr="00DD692C" w:rsidRDefault="008E545C"/>
    <w:p w14:paraId="000000FB" w14:textId="77777777" w:rsidR="008E545C" w:rsidRPr="00DD692C" w:rsidRDefault="008E545C"/>
    <w:p w14:paraId="000000FC" w14:textId="77777777" w:rsidR="008E545C" w:rsidRPr="00DD692C" w:rsidRDefault="008E545C"/>
    <w:p w14:paraId="000000FD" w14:textId="77777777" w:rsidR="008E545C" w:rsidRPr="00DD692C" w:rsidRDefault="008E545C"/>
    <w:p w14:paraId="000000FE" w14:textId="77777777" w:rsidR="008E545C" w:rsidRPr="00DD692C" w:rsidRDefault="008E545C"/>
    <w:p w14:paraId="000000FF" w14:textId="77777777" w:rsidR="008E545C" w:rsidRPr="00DD692C" w:rsidRDefault="008E545C"/>
    <w:p w14:paraId="00000100" w14:textId="77777777" w:rsidR="008E545C" w:rsidRPr="00DD692C" w:rsidRDefault="008E545C"/>
    <w:p w14:paraId="00000101" w14:textId="77777777" w:rsidR="008E545C" w:rsidRPr="00DD692C" w:rsidRDefault="008E545C"/>
    <w:p w14:paraId="00000102" w14:textId="77777777" w:rsidR="008E545C" w:rsidRPr="00DD692C" w:rsidRDefault="008E545C"/>
    <w:p w14:paraId="00000103" w14:textId="77777777" w:rsidR="008E545C" w:rsidRPr="00DD692C" w:rsidRDefault="008E545C"/>
    <w:p w14:paraId="00000104" w14:textId="77777777" w:rsidR="008E545C" w:rsidRPr="00DD692C" w:rsidRDefault="008E545C"/>
    <w:p w14:paraId="00000105" w14:textId="77777777" w:rsidR="008E545C" w:rsidRPr="00DD692C" w:rsidRDefault="008E545C"/>
    <w:bookmarkStart w:id="54" w:name="_Toc161234221"/>
    <w:p w14:paraId="00000106" w14:textId="77777777" w:rsidR="008E545C" w:rsidRDefault="00000000">
      <w:pPr>
        <w:pStyle w:val="berschrift1"/>
      </w:pPr>
      <w:sdt>
        <w:sdtPr>
          <w:tag w:val="goog_rdk_92"/>
          <w:id w:val="-212891945"/>
        </w:sdtPr>
        <w:sdtContent/>
      </w:sdt>
      <w:r w:rsidRPr="00DD692C">
        <w:t>References</w:t>
      </w:r>
      <w:bookmarkEnd w:id="54"/>
    </w:p>
    <w:p w14:paraId="47F0FD1D" w14:textId="77777777" w:rsidR="00695C1F" w:rsidRDefault="006D710A" w:rsidP="00695C1F">
      <w:pPr>
        <w:pStyle w:val="Literaturverzeichnis"/>
      </w:pPr>
      <w:r>
        <w:fldChar w:fldCharType="begin"/>
      </w:r>
      <w:r>
        <w:instrText xml:space="preserve"> ADDIN ZOTERO_BIBL {"uncited":[],"omitted":[],"custom":[]} CSL_BIBLIOGRAPHY </w:instrText>
      </w:r>
      <w:r>
        <w:fldChar w:fldCharType="separate"/>
      </w:r>
      <w:r w:rsidR="00695C1F">
        <w:t xml:space="preserve">Abraham, G., &amp; Inouye, M. (2014). Fast Principal Component Analysis of Large-Scale Genome-Wide Data. </w:t>
      </w:r>
      <w:r w:rsidR="00695C1F">
        <w:rPr>
          <w:i/>
          <w:iCs/>
        </w:rPr>
        <w:t>PLOS ONE</w:t>
      </w:r>
      <w:r w:rsidR="00695C1F">
        <w:t xml:space="preserve">, </w:t>
      </w:r>
      <w:r w:rsidR="00695C1F">
        <w:rPr>
          <w:i/>
          <w:iCs/>
        </w:rPr>
        <w:t>9</w:t>
      </w:r>
      <w:r w:rsidR="00695C1F">
        <w:t>(4), e93766. https://doi.org/10.1371/journal.pone.0093766</w:t>
      </w:r>
    </w:p>
    <w:p w14:paraId="032B2006" w14:textId="77777777" w:rsidR="00695C1F" w:rsidRDefault="00695C1F" w:rsidP="00695C1F">
      <w:pPr>
        <w:pStyle w:val="Literaturverzeichnis"/>
      </w:pPr>
      <w:r>
        <w:t xml:space="preserve">Altshuler, D. M., Gibbs, R. A., Peltonen, L., Schaffner, S. F., Yu, F., Dermitzakis, E., Bonnen, P. E., De Bakker, P. I. W., Deloukas, P., Gabriel, S. B., Gwilliam, R., Hunt, S., Inouye, M., Jia, X., Aarno Palotie, Parkin, M., Whittaker, P., Chang, K., Hawes, A., … McEwen, J. E. (2010). Integrating common and rare genetic variation in diverse human populations. </w:t>
      </w:r>
      <w:r>
        <w:rPr>
          <w:i/>
          <w:iCs/>
        </w:rPr>
        <w:t>Nature</w:t>
      </w:r>
      <w:r>
        <w:t xml:space="preserve">, </w:t>
      </w:r>
      <w:r>
        <w:rPr>
          <w:i/>
          <w:iCs/>
        </w:rPr>
        <w:t>467</w:t>
      </w:r>
      <w:r>
        <w:t>(7311), 52–58. https://doi.org/10.1038/nature09298</w:t>
      </w:r>
    </w:p>
    <w:p w14:paraId="28783B88" w14:textId="77777777" w:rsidR="00695C1F" w:rsidRDefault="00695C1F" w:rsidP="00695C1F">
      <w:pPr>
        <w:pStyle w:val="Literaturverzeichnis"/>
      </w:pPr>
      <w:r>
        <w:t xml:space="preserve">Arnold, P. D., Askland, K. D., Barlassina, C., Bellodi, L., Bienvenu, O. J., Black, D., Bloch, M., Brentani, H., Burton, C. L., Camarena, B., Cappi, C., Cath, D., Cavallini, M., Conti, D., Cook, E., Coric, V., Cullen, B. A., Cusi, D., Davis, L. K., … Zai, G. (2018). Revealing the complex genetic architecture of obsessive-compulsive disorder using meta-analysis. </w:t>
      </w:r>
      <w:r>
        <w:rPr>
          <w:i/>
          <w:iCs/>
        </w:rPr>
        <w:t>Molecular Psychiatry</w:t>
      </w:r>
      <w:r>
        <w:t xml:space="preserve">, </w:t>
      </w:r>
      <w:r>
        <w:rPr>
          <w:i/>
          <w:iCs/>
        </w:rPr>
        <w:t>23</w:t>
      </w:r>
      <w:r>
        <w:t>(5). https://doi.org/10.1038/mp.2017.154</w:t>
      </w:r>
    </w:p>
    <w:p w14:paraId="27909079" w14:textId="77777777" w:rsidR="00695C1F" w:rsidRDefault="00695C1F" w:rsidP="00695C1F">
      <w:pPr>
        <w:pStyle w:val="Literaturverzeichnis"/>
      </w:pPr>
      <w:r>
        <w:t xml:space="preserve">Bosch, R., Pagerols, M., Rivas, C., Sixto, L., Bricollé, L., Español-Martín, G., Prat, R., Ramos-Quiroga, J. A., &amp; Casas, M. (2021). Neurodevelopmental disorders among Spanish school-age children: Prevalence and sociodemographic correlates. </w:t>
      </w:r>
      <w:r>
        <w:rPr>
          <w:i/>
          <w:iCs/>
        </w:rPr>
        <w:t>Psychological Medicine</w:t>
      </w:r>
      <w:r>
        <w:t>, 1–11. https://doi.org/10.1017/S0033291720005115</w:t>
      </w:r>
    </w:p>
    <w:p w14:paraId="7003480C" w14:textId="77777777" w:rsidR="00695C1F" w:rsidRDefault="00695C1F" w:rsidP="00695C1F">
      <w:pPr>
        <w:pStyle w:val="Literaturverzeichnis"/>
      </w:pPr>
      <w:r>
        <w:t xml:space="preserve">Browning, B. L. (2017). Beagle 4.1. </w:t>
      </w:r>
      <w:r>
        <w:rPr>
          <w:i/>
          <w:iCs/>
        </w:rPr>
        <w:t>Https://Faculty.Washington.Edu/Browning/Beagle/Beagle_4.1_21Jan17.Pdf</w:t>
      </w:r>
      <w:r>
        <w:t>. https://doi.org/10.1086/521987</w:t>
      </w:r>
    </w:p>
    <w:p w14:paraId="48EFE93F" w14:textId="77777777" w:rsidR="00695C1F" w:rsidRDefault="00695C1F" w:rsidP="00695C1F">
      <w:pPr>
        <w:pStyle w:val="Literaturverzeichnis"/>
      </w:pPr>
      <w:r>
        <w:t xml:space="preserve">Browning, B. L., Zhou, Y., &amp; Browning, S. R. (2018). A One-Penny Imputed Genome from Next-Generation Reference Panels. </w:t>
      </w:r>
      <w:r>
        <w:rPr>
          <w:i/>
          <w:iCs/>
        </w:rPr>
        <w:t>American Journal of Human Genetics</w:t>
      </w:r>
      <w:r>
        <w:t xml:space="preserve">, </w:t>
      </w:r>
      <w:r>
        <w:rPr>
          <w:i/>
          <w:iCs/>
        </w:rPr>
        <w:t>103</w:t>
      </w:r>
      <w:r>
        <w:t>(3), 338–348. https://doi.org/10.1016/j.ajhg.2018.07.015</w:t>
      </w:r>
    </w:p>
    <w:p w14:paraId="36D3FD83" w14:textId="77777777" w:rsidR="00695C1F" w:rsidRDefault="00695C1F" w:rsidP="00695C1F">
      <w:pPr>
        <w:pStyle w:val="Literaturverzeichnis"/>
      </w:pPr>
      <w:r>
        <w:t xml:space="preserve">Browning, S. R., &amp; Browning, B. L. (2007). Rapid and accurate haplotype phasing and missing-data inference for whole-genome association studies by use of localized haplotype clustering. </w:t>
      </w:r>
      <w:r>
        <w:rPr>
          <w:i/>
          <w:iCs/>
        </w:rPr>
        <w:t>American Journal of Human Genetics</w:t>
      </w:r>
      <w:r>
        <w:t xml:space="preserve">, </w:t>
      </w:r>
      <w:r>
        <w:rPr>
          <w:i/>
          <w:iCs/>
        </w:rPr>
        <w:t>81</w:t>
      </w:r>
      <w:r>
        <w:t>(5). https://doi.org/10.1086/521987</w:t>
      </w:r>
    </w:p>
    <w:p w14:paraId="7DB16C71" w14:textId="77777777" w:rsidR="00695C1F" w:rsidRDefault="00695C1F" w:rsidP="00695C1F">
      <w:pPr>
        <w:pStyle w:val="Literaturverzeichnis"/>
      </w:pPr>
      <w:r>
        <w:lastRenderedPageBreak/>
        <w:t xml:space="preserve">Burton, C. L., Lemire, M., Xiao, B., Corfield, E. C., Erdman, L., Bralten, J., Poelmans, G., Yu, D., Shaheen, S. M., Goodale, T., Sinopoli, V. M., Askland, K. D., Barlassina, C., Bienvenu, O. J., Black, D., Bloch, M., Brentani, H., Camarena, B., Cappi, C., … Arnold, P. D. (2021). Genome-wide association study of pediatric obsessive-compulsive traits: Shared genetic risk between traits and disorder. </w:t>
      </w:r>
      <w:r>
        <w:rPr>
          <w:i/>
          <w:iCs/>
        </w:rPr>
        <w:t>Translational Psychiatry 2021 11:1</w:t>
      </w:r>
      <w:r>
        <w:t xml:space="preserve">, </w:t>
      </w:r>
      <w:r>
        <w:rPr>
          <w:i/>
          <w:iCs/>
        </w:rPr>
        <w:t>11</w:t>
      </w:r>
      <w:r>
        <w:t>(1), 1–10. https://doi.org/10.1038/s41398-020-01121-9</w:t>
      </w:r>
    </w:p>
    <w:p w14:paraId="1A9A33CC" w14:textId="77777777" w:rsidR="00695C1F" w:rsidRDefault="00695C1F" w:rsidP="00695C1F">
      <w:pPr>
        <w:pStyle w:val="Literaturverzeichnis"/>
      </w:pPr>
      <w:r>
        <w:t xml:space="preserve">Bybjerg-Grauholm, J., Pedersen, C. B., Bækvad-Hansen, M., Pedersen, M. G., Adamsen, D., Hansen, C. S., Agerbo, E., Grove, J., Als, T. D., Schork, A. J., Buil, A., Mors, O., Nordentoft, M., Werge, T., Børglum, A. D., Hougaard, D. M., &amp; Mortensen, P. B. (2020). </w:t>
      </w:r>
      <w:r>
        <w:rPr>
          <w:i/>
          <w:iCs/>
        </w:rPr>
        <w:t>The iPSYCH2015 Case-Cohort sample: Updated directions for unravelling genetic and environmental architectures of severe mental disorders</w:t>
      </w:r>
      <w:r>
        <w:t xml:space="preserve"> (p. 2020.11.30.20237768). medRxiv. https://doi.org/10.1101/2020.11.30.20237768</w:t>
      </w:r>
    </w:p>
    <w:p w14:paraId="28C1DF9E" w14:textId="77777777" w:rsidR="00695C1F" w:rsidRDefault="00695C1F" w:rsidP="00695C1F">
      <w:pPr>
        <w:pStyle w:val="Literaturverzeichnis"/>
      </w:pPr>
      <w:r>
        <w:t xml:space="preserve">Bycroft, C., Freeman, C., Petkova, D., Band, G., Elliott, L. T., Sharp, K., Motyer, A., Vukcevic, D., Delaneau, O., O’Connell, J., Cortes, A., Welsh, S., Young, A., Effingham, M., McVean, G., Leslie, S., Allen, N., Donnelly, P., &amp; Marchini, J. (2018). The UK Biobank resource with deep phenotyping and genomic data. </w:t>
      </w:r>
      <w:r>
        <w:rPr>
          <w:i/>
          <w:iCs/>
        </w:rPr>
        <w:t>Nature 2018 562:7726</w:t>
      </w:r>
      <w:r>
        <w:t xml:space="preserve">, </w:t>
      </w:r>
      <w:r>
        <w:rPr>
          <w:i/>
          <w:iCs/>
        </w:rPr>
        <w:t>562</w:t>
      </w:r>
      <w:r>
        <w:t>(7726), 203–209. https://doi.org/10.1038/s41586-018-0579-z</w:t>
      </w:r>
    </w:p>
    <w:p w14:paraId="30AC8751" w14:textId="77777777" w:rsidR="00695C1F" w:rsidRDefault="00695C1F" w:rsidP="00695C1F">
      <w:pPr>
        <w:pStyle w:val="Literaturverzeichnis"/>
      </w:pPr>
      <w:r>
        <w:t xml:space="preserve">Calkins, M. E., Merikangas, K. R., Moore, T. M., Burstein, M., Behr, M. A., Satterthwaite, T. D., Ruparel, K., Wolf, D. H., Roalf, D. R., Mentch, F. D., Qiu, H., Chiavacci, R., Connolly, J. J., Sleiman, P. M. A., Gur, R. C., Hakonarson, H., &amp; Gur, R. E. (2015). The Philadelphia Neurodevelopmental Cohort: Constructing a deep phenotyping collaborative. </w:t>
      </w:r>
      <w:r>
        <w:rPr>
          <w:i/>
          <w:iCs/>
        </w:rPr>
        <w:t>Journal of Child Psychology and Psychiatry, and Allied Disciplines</w:t>
      </w:r>
      <w:r>
        <w:t xml:space="preserve">, </w:t>
      </w:r>
      <w:r>
        <w:rPr>
          <w:i/>
          <w:iCs/>
        </w:rPr>
        <w:t>56</w:t>
      </w:r>
      <w:r>
        <w:t>(12), 1356–1369. https://doi.org/10.1111/jcpp.12416</w:t>
      </w:r>
    </w:p>
    <w:p w14:paraId="65CFFCE0" w14:textId="77777777" w:rsidR="00695C1F" w:rsidRDefault="00695C1F" w:rsidP="00695C1F">
      <w:pPr>
        <w:pStyle w:val="Literaturverzeichnis"/>
      </w:pPr>
      <w:r>
        <w:t xml:space="preserve">Calkins, M. E., Moore, T. M., Merikangas, K. R., Burstein, M., Satterthwaite, T. D., Bilker, W. B., Ruparel, K., Chiavacci, R., Wolf, D. H., Mentch, F., Qiu, H., Connolly, J. J., Sleiman, P. A., Hakonarson, H., Gur, R. C., &amp; Gur, R. E. (2014). The psychosis spectrum in a young U.S. community sample: Findings from the Philadelphia Neurodevelopmental Cohort. </w:t>
      </w:r>
      <w:r>
        <w:rPr>
          <w:i/>
          <w:iCs/>
        </w:rPr>
        <w:lastRenderedPageBreak/>
        <w:t>World Psychiatry: Official Journal of the World Psychiatric Association (WPA)</w:t>
      </w:r>
      <w:r>
        <w:t xml:space="preserve">, </w:t>
      </w:r>
      <w:r>
        <w:rPr>
          <w:i/>
          <w:iCs/>
        </w:rPr>
        <w:t>13</w:t>
      </w:r>
      <w:r>
        <w:t>(3), 296–305. https://doi.org/10.1002/wps.20152</w:t>
      </w:r>
    </w:p>
    <w:p w14:paraId="7724FE08" w14:textId="77777777" w:rsidR="00695C1F" w:rsidRPr="00695C1F" w:rsidRDefault="00695C1F" w:rsidP="00695C1F">
      <w:pPr>
        <w:pStyle w:val="Literaturverzeichnis"/>
        <w:rPr>
          <w:lang w:val="de-DE"/>
        </w:rPr>
      </w:pPr>
      <w:r>
        <w:t xml:space="preserve">Chang, C. C., Chow, C. C., Tellier, L. C. A. M., Vattikuti, S., Purcell, S. M., &amp; Lee, J. J. (2015). Second-generation PLINK: Rising to the challenge of larger and richer datasets. </w:t>
      </w:r>
      <w:r w:rsidRPr="00695C1F">
        <w:rPr>
          <w:i/>
          <w:iCs/>
          <w:lang w:val="de-DE"/>
        </w:rPr>
        <w:t>GigaScience</w:t>
      </w:r>
      <w:r w:rsidRPr="00695C1F">
        <w:rPr>
          <w:lang w:val="de-DE"/>
        </w:rPr>
        <w:t xml:space="preserve">, </w:t>
      </w:r>
      <w:r w:rsidRPr="00695C1F">
        <w:rPr>
          <w:i/>
          <w:iCs/>
          <w:lang w:val="de-DE"/>
        </w:rPr>
        <w:t>4</w:t>
      </w:r>
      <w:r w:rsidRPr="00695C1F">
        <w:rPr>
          <w:lang w:val="de-DE"/>
        </w:rPr>
        <w:t>(1), 7. https://doi.org/10.1186/S13742-015-0047-8/2707533</w:t>
      </w:r>
    </w:p>
    <w:p w14:paraId="61325EE2" w14:textId="77777777" w:rsidR="00695C1F" w:rsidRDefault="00695C1F" w:rsidP="00695C1F">
      <w:pPr>
        <w:pStyle w:val="Literaturverzeichnis"/>
      </w:pPr>
      <w:r w:rsidRPr="00695C1F">
        <w:rPr>
          <w:lang w:val="de-DE"/>
        </w:rPr>
        <w:t xml:space="preserve">Cheng, Z., Zhou, H., Sherva, R., Farrer, L. A., Kranzler, H. R., &amp; Gelernter, J. (2018). </w:t>
      </w:r>
      <w:r>
        <w:t xml:space="preserve">Genome-wide Association Study Identifies a Regulatory Variant of RGMA Associated With Opioid Dependence in European Americans. </w:t>
      </w:r>
      <w:r>
        <w:rPr>
          <w:i/>
          <w:iCs/>
        </w:rPr>
        <w:t>Biological Psychiatry</w:t>
      </w:r>
      <w:r>
        <w:t xml:space="preserve">, </w:t>
      </w:r>
      <w:r>
        <w:rPr>
          <w:i/>
          <w:iCs/>
        </w:rPr>
        <w:t>84</w:t>
      </w:r>
      <w:r>
        <w:t>(10), 762–770. https://doi.org/10.1016/j.biopsych.2017.12.016</w:t>
      </w:r>
    </w:p>
    <w:p w14:paraId="646EE62E" w14:textId="77777777" w:rsidR="00695C1F" w:rsidRDefault="00695C1F" w:rsidP="00695C1F">
      <w:pPr>
        <w:pStyle w:val="Literaturverzeichnis"/>
      </w:pPr>
      <w:r>
        <w:t xml:space="preserve">Das, S., Forer, L., Schönherr, S., Sidore, C., Locke, A. E., Kwong, A., Vrieze, S. I., Chew, E. Y., Levy, S., McGue, M., Schlessinger, D., Stambolian, D., Loh, P. R., Iacono, W. G., Swaroop, A., Scott, L. J., Cucca, F., Kronenberg, F., Boehnke, M., … Fuchsberger, C. (2016). Next-generation genotype imputation service and methods. </w:t>
      </w:r>
      <w:r>
        <w:rPr>
          <w:i/>
          <w:iCs/>
        </w:rPr>
        <w:t>Nature Genetics</w:t>
      </w:r>
      <w:r>
        <w:t xml:space="preserve">, </w:t>
      </w:r>
      <w:r>
        <w:rPr>
          <w:i/>
          <w:iCs/>
        </w:rPr>
        <w:t>48</w:t>
      </w:r>
      <w:r>
        <w:t>(10), 1284–1287. https://doi.org/10.1038/NG.3656</w:t>
      </w:r>
    </w:p>
    <w:p w14:paraId="0D816A00" w14:textId="77777777" w:rsidR="00695C1F" w:rsidRDefault="00695C1F" w:rsidP="00695C1F">
      <w:pPr>
        <w:pStyle w:val="Literaturverzeichnis"/>
      </w:pPr>
      <w:r>
        <w:t xml:space="preserve">de Klein, N., Tsai, E. A., Vochteloo, M., Baird, D., Huang, Y., Chen, C.-Y., van Dam, S., Oelen, R., Deelen, P., Bakker, O. B., El Garwany, O., Ouyang, Z., Marshall, E. E., Zavodszky, M. I., van Rheenen, W., Bakker, M. K., Veldink, J., Gaunt, T. R., Runz, H., … Westra, H.-J. (2023). Brain expression quantitative trait locus and network analyses reveal downstream effects and putative drivers for brain-related diseases. </w:t>
      </w:r>
      <w:r>
        <w:rPr>
          <w:i/>
          <w:iCs/>
        </w:rPr>
        <w:t>Nature Genetics</w:t>
      </w:r>
      <w:r>
        <w:t xml:space="preserve">, </w:t>
      </w:r>
      <w:r>
        <w:rPr>
          <w:i/>
          <w:iCs/>
        </w:rPr>
        <w:t>55</w:t>
      </w:r>
      <w:r>
        <w:t>(3), Article 3. https://doi.org/10.1038/s41588-023-01300-6</w:t>
      </w:r>
    </w:p>
    <w:p w14:paraId="38CC3C12" w14:textId="77777777" w:rsidR="00695C1F" w:rsidRDefault="00695C1F" w:rsidP="00695C1F">
      <w:pPr>
        <w:pStyle w:val="Literaturverzeichnis"/>
      </w:pPr>
      <w:r>
        <w:t xml:space="preserve">Delaneau, O., Marchini, J., &amp; Zagury, J. F. (2011). A linear complexity phasing method for thousands of genomes. </w:t>
      </w:r>
      <w:r>
        <w:rPr>
          <w:i/>
          <w:iCs/>
        </w:rPr>
        <w:t>Nature Methods 2011 9:2</w:t>
      </w:r>
      <w:r>
        <w:t xml:space="preserve">, </w:t>
      </w:r>
      <w:r>
        <w:rPr>
          <w:i/>
          <w:iCs/>
        </w:rPr>
        <w:t>9</w:t>
      </w:r>
      <w:r>
        <w:t>(2), 179–181. https://doi.org/10.1038/nmeth.1785</w:t>
      </w:r>
    </w:p>
    <w:p w14:paraId="0E294F9D" w14:textId="77777777" w:rsidR="00695C1F" w:rsidRDefault="00695C1F" w:rsidP="00695C1F">
      <w:pPr>
        <w:pStyle w:val="Literaturverzeichnis"/>
      </w:pPr>
      <w:r>
        <w:t xml:space="preserve">Delaneau, O., Zagury, J.-F., &amp; Marchini, J. (2013). Improved whole-chromosome phasing for disease and population genetic studies. </w:t>
      </w:r>
      <w:r>
        <w:rPr>
          <w:i/>
          <w:iCs/>
        </w:rPr>
        <w:t>Nature Methods</w:t>
      </w:r>
      <w:r>
        <w:t xml:space="preserve">, </w:t>
      </w:r>
      <w:r>
        <w:rPr>
          <w:i/>
          <w:iCs/>
        </w:rPr>
        <w:t>10</w:t>
      </w:r>
      <w:r>
        <w:t>(1), Article 1. https://doi.org/10.1038/nmeth.2307</w:t>
      </w:r>
    </w:p>
    <w:p w14:paraId="61E0020A" w14:textId="77777777" w:rsidR="00695C1F" w:rsidRDefault="00695C1F" w:rsidP="00695C1F">
      <w:pPr>
        <w:pStyle w:val="Literaturverzeichnis"/>
      </w:pPr>
      <w:r>
        <w:t xml:space="preserve">Dunham, I., Kundaje, A., Aldred, S. F., Collins, P. J., Davis, C. A., Doyle, F., Epstein, C. B., Frietze, S., Harrow, J., Kaul, R., Khatun, J., Lajoie, B. R., Landt, S. G., Lee, B. K., Pauli, </w:t>
      </w:r>
      <w:r>
        <w:lastRenderedPageBreak/>
        <w:t xml:space="preserve">F., Rosenbloom, K. R., Sabo, P., Safi, A., Sanyal, A., … Lochovsky, L. (2012). An integrated encyclopedia of DNA elements in the human genome. </w:t>
      </w:r>
      <w:r>
        <w:rPr>
          <w:i/>
          <w:iCs/>
        </w:rPr>
        <w:t>Nature</w:t>
      </w:r>
      <w:r>
        <w:t xml:space="preserve">, </w:t>
      </w:r>
      <w:r>
        <w:rPr>
          <w:i/>
          <w:iCs/>
        </w:rPr>
        <w:t>489</w:t>
      </w:r>
      <w:r>
        <w:t>(7414), 57–74. https://doi.org/10.1038/nature11247</w:t>
      </w:r>
    </w:p>
    <w:p w14:paraId="69BB28D3" w14:textId="77777777" w:rsidR="00695C1F" w:rsidRDefault="00695C1F" w:rsidP="00695C1F">
      <w:pPr>
        <w:pStyle w:val="Literaturverzeichnis"/>
      </w:pPr>
      <w:r>
        <w:t xml:space="preserve">Durbin, R. M., Altshuler, D., Durbin, R. M., Abecasis, G. R., Bentley, D. R., Chakravarti, A., Clark, A. G., Collins, F. S., De La Vega, F. M., Donnelly, P., Egholm, M., Flicek, P., Gabriel, S. B., Gibbs, R. A., Knoppers, B. M., Lander, E. S., Lehrach, H., Mardis, E. R., McVean, G. A., … The Translational Genomics Research Institute. (2010). A map of human genome variation from population-scale sequencing. </w:t>
      </w:r>
      <w:r>
        <w:rPr>
          <w:i/>
          <w:iCs/>
        </w:rPr>
        <w:t>Nature</w:t>
      </w:r>
      <w:r>
        <w:t xml:space="preserve">, </w:t>
      </w:r>
      <w:r>
        <w:rPr>
          <w:i/>
          <w:iCs/>
        </w:rPr>
        <w:t>467</w:t>
      </w:r>
      <w:r>
        <w:t>(7319), Article 7319. https://doi.org/10.1038/nature09534</w:t>
      </w:r>
    </w:p>
    <w:p w14:paraId="4C1A15C5" w14:textId="77777777" w:rsidR="00695C1F" w:rsidRDefault="00695C1F" w:rsidP="00695C1F">
      <w:pPr>
        <w:pStyle w:val="Literaturverzeichnis"/>
      </w:pPr>
      <w:r>
        <w:t xml:space="preserve">Gaziano, J. M., Concato, J., Brophy, M., Fiore, L., Pyarajan, S., Breeling, J., Whitbourne, S., Deen, J., Shannon, C., Humphries, D., Guarino, P., Aslan, M., Anderson, D., LaFleur, R., Hammond, T., Schaa, K., Moser, J., Huang, G., Muralidhar, S., … O’Leary, T. J. (2016). Million Veteran Program: A mega-biobank to study genetic influences on health and disease. </w:t>
      </w:r>
      <w:r>
        <w:rPr>
          <w:i/>
          <w:iCs/>
        </w:rPr>
        <w:t>Journal of Clinical Epidemiology</w:t>
      </w:r>
      <w:r>
        <w:t xml:space="preserve">, </w:t>
      </w:r>
      <w:r>
        <w:rPr>
          <w:i/>
          <w:iCs/>
        </w:rPr>
        <w:t>70</w:t>
      </w:r>
      <w:r>
        <w:t>, 214–223. https://doi.org/10.1016/j.jclinepi.2015.09.016</w:t>
      </w:r>
    </w:p>
    <w:p w14:paraId="1FC20EB8" w14:textId="77777777" w:rsidR="00695C1F" w:rsidRDefault="00695C1F" w:rsidP="00695C1F">
      <w:pPr>
        <w:pStyle w:val="Literaturverzeichnis"/>
      </w:pPr>
      <w:r>
        <w:t xml:space="preserve">Gazzellone, M. J., Zarrei, M., Burton, C. L., Walker, S., Uddin, M., Shaheen, S. M., Coste, J., Rajendram, R., Schachter, R. J., Colasanto, M., Hanna, G. L., Rosenberg, D. R., Soreni, N., Fitzgerald, K. D., Marshall, C. R., Buchanan, J. A., Merico, D., Arnold, P. D., &amp; Scherer, S. W. (2016). Uncovering obsessive-compulsive disorder risk genes in a pediatric cohort by high-resolution analysis of copy number variation. </w:t>
      </w:r>
      <w:r>
        <w:rPr>
          <w:i/>
          <w:iCs/>
        </w:rPr>
        <w:t>Journal of Neurodevelopmental Disorders</w:t>
      </w:r>
      <w:r>
        <w:t xml:space="preserve">, </w:t>
      </w:r>
      <w:r>
        <w:rPr>
          <w:i/>
          <w:iCs/>
        </w:rPr>
        <w:t>8</w:t>
      </w:r>
      <w:r>
        <w:t>(1), 1–10. https://doi.org/10.1186/s11689-016-9170-9</w:t>
      </w:r>
    </w:p>
    <w:p w14:paraId="72BB6EC0" w14:textId="77777777" w:rsidR="00695C1F" w:rsidRDefault="00695C1F" w:rsidP="00695C1F">
      <w:pPr>
        <w:pStyle w:val="Literaturverzeichnis"/>
      </w:pPr>
      <w:r>
        <w:t xml:space="preserve">Goldstein, J. I., Crenshaw, A., Carey, J., Grant, G. B., Maguire, J., Fromer, M., O’Dushlaine, C., Moran, J. L., Chambert, K., Stevens, C., Swedish Schizophrenia Consortium, ARRA Autism Sequencing Consortium, Sklar, P., Hultman, C. M., Purcell, S., McCarroll, S. A., Sullivan, P. F., Daly, M. J., &amp; Neale, B. M. (2012). zCall: A rare variant caller for array-based genotyping: genetics and population analysis. </w:t>
      </w:r>
      <w:r>
        <w:rPr>
          <w:i/>
          <w:iCs/>
        </w:rPr>
        <w:t>Bioinformatics (Oxford, England)</w:t>
      </w:r>
      <w:r>
        <w:t xml:space="preserve">, </w:t>
      </w:r>
      <w:r>
        <w:rPr>
          <w:i/>
          <w:iCs/>
        </w:rPr>
        <w:t>28</w:t>
      </w:r>
      <w:r>
        <w:t>(19), 2543–2545. https://doi.org/10.1093/bioinformatics/bts479</w:t>
      </w:r>
    </w:p>
    <w:p w14:paraId="1B94A7A6" w14:textId="77777777" w:rsidR="00695C1F" w:rsidRDefault="00695C1F" w:rsidP="00695C1F">
      <w:pPr>
        <w:pStyle w:val="Literaturverzeichnis"/>
      </w:pPr>
      <w:r>
        <w:lastRenderedPageBreak/>
        <w:t xml:space="preserve">Guo, Y., He, J., Zhao, S., Wu, H., Zhong, X., Sheng, Q., Samuels, D. C., Shyr, Y., &amp; Long, J. (2014). Illumina human exome genotyping array clustering and quality control. </w:t>
      </w:r>
      <w:r>
        <w:rPr>
          <w:i/>
          <w:iCs/>
        </w:rPr>
        <w:t>Nature Protocols</w:t>
      </w:r>
      <w:r>
        <w:t xml:space="preserve">, </w:t>
      </w:r>
      <w:r>
        <w:rPr>
          <w:i/>
          <w:iCs/>
        </w:rPr>
        <w:t>9</w:t>
      </w:r>
      <w:r>
        <w:t>(11), 2643–2662. https://doi.org/10.1038/nprot.2014.174</w:t>
      </w:r>
    </w:p>
    <w:p w14:paraId="30F0545C" w14:textId="77777777" w:rsidR="00695C1F" w:rsidRDefault="00695C1F" w:rsidP="00695C1F">
      <w:pPr>
        <w:pStyle w:val="Literaturverzeichnis"/>
      </w:pPr>
      <w:r>
        <w:t xml:space="preserve">Gur, R. C., Richard, J., Calkins, M. E., Chiavacci, R., Hansen, J. A., Bilker, W. B., Loughead, J., Connolly, J. J., Qiu, H., Mentch, F. D., Abou-Sleiman, P. M., Hakonarson, H., &amp; Gur, R. E. (2012). Age group and sex differences in performance on a computerized neurocognitive battery in children age 8-21. </w:t>
      </w:r>
      <w:r>
        <w:rPr>
          <w:i/>
          <w:iCs/>
        </w:rPr>
        <w:t>Neuropsychology</w:t>
      </w:r>
      <w:r>
        <w:t xml:space="preserve">, </w:t>
      </w:r>
      <w:r>
        <w:rPr>
          <w:i/>
          <w:iCs/>
        </w:rPr>
        <w:t>26</w:t>
      </w:r>
      <w:r>
        <w:t>(2), 251–265. https://doi.org/10.1037/a0026712</w:t>
      </w:r>
    </w:p>
    <w:p w14:paraId="0EE12B16" w14:textId="77777777" w:rsidR="00695C1F" w:rsidRDefault="00695C1F" w:rsidP="00695C1F">
      <w:pPr>
        <w:pStyle w:val="Literaturverzeichnis"/>
      </w:pPr>
      <w:r>
        <w:t xml:space="preserve">Harrington, K. M., Nguyen, X.-M. T., Song, R. J., Hannagan, K., Quaden, R., Gagnon, D. R., Cho, K., Deen, J. E., Muralidhar, S., O’Leary, T. J., Gaziano, J. M., Whitbourne, S. B., &amp; VA Million Veteran Program. (2019). Gender Differences in Demographic and Health Characteristics of the Million Veteran Program Cohort. </w:t>
      </w:r>
      <w:r>
        <w:rPr>
          <w:i/>
          <w:iCs/>
        </w:rPr>
        <w:t>Women’s Health Issues: Official Publication of the Jacobs Institute of Women’s Health</w:t>
      </w:r>
      <w:r>
        <w:t xml:space="preserve">, </w:t>
      </w:r>
      <w:r>
        <w:rPr>
          <w:i/>
          <w:iCs/>
        </w:rPr>
        <w:t>29 Suppl 1</w:t>
      </w:r>
      <w:r>
        <w:t>, S56–S66. https://doi.org/10.1016/j.whi.2019.04.012</w:t>
      </w:r>
    </w:p>
    <w:p w14:paraId="6F3EA06A" w14:textId="77777777" w:rsidR="00695C1F" w:rsidRDefault="00695C1F" w:rsidP="00695C1F">
      <w:pPr>
        <w:pStyle w:val="Literaturverzeichnis"/>
      </w:pPr>
      <w:r>
        <w:t xml:space="preserve">Helgeland, Ø., Vaudel, M., Juliusson, P. B., Lingaas Holmen, O., Juodakis, J., Bacelis, J., Jacobsson, B., Lindekleiv, H., Hveem, K., Lie, R. T., Knudsen, G. P., Stoltenberg, C., Magnus, P., Sagen, J. V., Molven, A., Johansson, S., &amp; Njølstad, P. R. (2019). Genome-wide association study reveals dynamic role of genetic variation in infant and early childhood growth. </w:t>
      </w:r>
      <w:r>
        <w:rPr>
          <w:i/>
          <w:iCs/>
        </w:rPr>
        <w:t>Nature Communications</w:t>
      </w:r>
      <w:r>
        <w:t xml:space="preserve">, </w:t>
      </w:r>
      <w:r>
        <w:rPr>
          <w:i/>
          <w:iCs/>
        </w:rPr>
        <w:t>10</w:t>
      </w:r>
      <w:r>
        <w:t>(1), 1–10. https://doi.org/10.1038/s41467-019-12308-0</w:t>
      </w:r>
    </w:p>
    <w:p w14:paraId="509CEFE7" w14:textId="77777777" w:rsidR="00695C1F" w:rsidRDefault="00695C1F" w:rsidP="00695C1F">
      <w:pPr>
        <w:pStyle w:val="Literaturverzeichnis"/>
      </w:pPr>
      <w:r>
        <w:t xml:space="preserve">Howie, B. N., Donnelly, P., &amp; Marchini, J. (2009). A Flexible and Accurate Genotype Imputation Method for the Next Generation of Genome-Wide Association Studies. </w:t>
      </w:r>
      <w:r>
        <w:rPr>
          <w:i/>
          <w:iCs/>
        </w:rPr>
        <w:t>PLOS Genetics</w:t>
      </w:r>
      <w:r>
        <w:t xml:space="preserve">, </w:t>
      </w:r>
      <w:r>
        <w:rPr>
          <w:i/>
          <w:iCs/>
        </w:rPr>
        <w:t>5</w:t>
      </w:r>
      <w:r>
        <w:t>(6), e1000529. https://doi.org/10.1371/journal.pgen.1000529</w:t>
      </w:r>
    </w:p>
    <w:p w14:paraId="2FAC5240" w14:textId="77777777" w:rsidR="00695C1F" w:rsidRDefault="00695C1F" w:rsidP="00695C1F">
      <w:pPr>
        <w:pStyle w:val="Literaturverzeichnis"/>
      </w:pPr>
      <w:r>
        <w:t xml:space="preserve">Hunter-Zinck, H., Shi, Y., Li, M., Gorman, B. R., Ji, S.-G., Sun, N., Webster, T., Liem, A., Hsieh, P., Devineni, P., Karnam, P., Gong, X., Radhakrishnan, L., Schmidt, J., Assimes, T. L., Huang, J., Pan, C., Humphries, D., Brophy, M., … Pyarajan, S. (2020). Genotyping Array Design and Data Quality Control in the Million Veteran Program. </w:t>
      </w:r>
      <w:r>
        <w:rPr>
          <w:i/>
          <w:iCs/>
        </w:rPr>
        <w:t>American Journal of Human Genetics</w:t>
      </w:r>
      <w:r>
        <w:t xml:space="preserve">, </w:t>
      </w:r>
      <w:r>
        <w:rPr>
          <w:i/>
          <w:iCs/>
        </w:rPr>
        <w:t>106</w:t>
      </w:r>
      <w:r>
        <w:t>(4), 535–548. https://doi.org/10.1016/j.ajhg.2020.03.004</w:t>
      </w:r>
    </w:p>
    <w:p w14:paraId="00DC3938" w14:textId="77777777" w:rsidR="00695C1F" w:rsidRDefault="00695C1F" w:rsidP="00695C1F">
      <w:pPr>
        <w:pStyle w:val="Literaturverzeichnis"/>
      </w:pPr>
      <w:r>
        <w:lastRenderedPageBreak/>
        <w:t xml:space="preserve">Hyde, C., Nagle, M., Tian, C., Chen, X., Paciga, S., Wendland, J., Tung, J., Hinds, D., Perlis, R., &amp; Winslow, A. (2016). Identification of 15 genetic loci associated with risk of major depression in individuals of European descent. </w:t>
      </w:r>
      <w:r>
        <w:rPr>
          <w:i/>
          <w:iCs/>
        </w:rPr>
        <w:t>Nature Genetics</w:t>
      </w:r>
      <w:r>
        <w:t xml:space="preserve">, </w:t>
      </w:r>
      <w:r>
        <w:rPr>
          <w:i/>
          <w:iCs/>
        </w:rPr>
        <w:t>48</w:t>
      </w:r>
      <w:r>
        <w:t>(9), 1031–1036. https://doi.org/10.1038/NG.3623</w:t>
      </w:r>
    </w:p>
    <w:p w14:paraId="1B8BD643" w14:textId="77777777" w:rsidR="00695C1F" w:rsidRDefault="00695C1F" w:rsidP="00695C1F">
      <w:pPr>
        <w:pStyle w:val="Literaturverzeichnis"/>
      </w:pPr>
      <w:r>
        <w:t xml:space="preserve">Jun, G., Flickinger, M., Hetrick, K. N., Romm, J. M., Doheny, K. F., Abecasis, G. R., Boehnke, M., &amp; Kang, H. M. (2012). Detecting and estimating contamination of human DNA samples in sequencing and array-based genotype data. </w:t>
      </w:r>
      <w:r>
        <w:rPr>
          <w:i/>
          <w:iCs/>
        </w:rPr>
        <w:t>American Journal of Human Genetics</w:t>
      </w:r>
      <w:r>
        <w:t xml:space="preserve">, </w:t>
      </w:r>
      <w:r>
        <w:rPr>
          <w:i/>
          <w:iCs/>
        </w:rPr>
        <w:t>91</w:t>
      </w:r>
      <w:r>
        <w:t>(5), 839–848. https://doi.org/10.1016/j.ajhg.2012.09.004</w:t>
      </w:r>
    </w:p>
    <w:p w14:paraId="5EA795AA" w14:textId="77777777" w:rsidR="00695C1F" w:rsidRDefault="00695C1F" w:rsidP="00695C1F">
      <w:pPr>
        <w:pStyle w:val="Literaturverzeichnis"/>
      </w:pPr>
      <w:r>
        <w:t xml:space="preserve">Kaufman, J., Birmaher, B., Brent, D. A., Ryan, N. D., &amp; Rao, U. (2000). K-SADS-PL. </w:t>
      </w:r>
      <w:r>
        <w:rPr>
          <w:i/>
          <w:iCs/>
        </w:rPr>
        <w:t>Journal of the American Academy of Child &amp; Adolescent Psychiatry</w:t>
      </w:r>
      <w:r>
        <w:t xml:space="preserve">, </w:t>
      </w:r>
      <w:r>
        <w:rPr>
          <w:i/>
          <w:iCs/>
        </w:rPr>
        <w:t>39</w:t>
      </w:r>
      <w:r>
        <w:t>(10), 1208–1208. https://doi.org/10.1097/00004583-200010000-00002</w:t>
      </w:r>
    </w:p>
    <w:p w14:paraId="5E25917B" w14:textId="77777777" w:rsidR="00695C1F" w:rsidRDefault="00695C1F" w:rsidP="00695C1F">
      <w:pPr>
        <w:pStyle w:val="Literaturverzeichnis"/>
      </w:pPr>
      <w:r>
        <w:t xml:space="preserve">Korn, J. M., Kuruvilla, F. G., McCarroll, S. A., Wysoker, A., Nemesh, J., Cawley, S., Hubbell, E., Veitch, J., Collins, P. J., Darvishi, K., Lee, C., Nizzari, M. M., Gabriel, S. B., Purcell, S., Daly, M. J., &amp; Altshuler, D. (2008). Integrated genotype calling and association analysis of SNPs, common copy number polymorphisms and rare CNVs. </w:t>
      </w:r>
      <w:r>
        <w:rPr>
          <w:i/>
          <w:iCs/>
        </w:rPr>
        <w:t>Nature Genetics</w:t>
      </w:r>
      <w:r>
        <w:t xml:space="preserve">, </w:t>
      </w:r>
      <w:r>
        <w:rPr>
          <w:i/>
          <w:iCs/>
        </w:rPr>
        <w:t>40</w:t>
      </w:r>
      <w:r>
        <w:t>(10), Article 10. https://doi.org/10.1038/ng.237</w:t>
      </w:r>
    </w:p>
    <w:p w14:paraId="624B016F" w14:textId="77777777" w:rsidR="00695C1F" w:rsidRDefault="00695C1F" w:rsidP="00695C1F">
      <w:pPr>
        <w:pStyle w:val="Literaturverzeichnis"/>
      </w:pPr>
      <w:r>
        <w:t xml:space="preserve">Krokstad, S., Langhammer, A., Hveem, K., Holmen, T. L., Midthjell, K., Stene, T. R., Bratberg, G., Heggland, J., &amp; Holmen, J. (2013). Cohort profile: The HUNT study, Norway. </w:t>
      </w:r>
      <w:r>
        <w:rPr>
          <w:i/>
          <w:iCs/>
        </w:rPr>
        <w:t>International Journal of Epidemiology</w:t>
      </w:r>
      <w:r>
        <w:t>. https://doi.org/10.1093/ije/dys095</w:t>
      </w:r>
    </w:p>
    <w:p w14:paraId="7282F2C9" w14:textId="77777777" w:rsidR="00695C1F" w:rsidRDefault="00695C1F" w:rsidP="00695C1F">
      <w:pPr>
        <w:pStyle w:val="Literaturverzeichnis"/>
      </w:pPr>
      <w:r w:rsidRPr="00695C1F">
        <w:rPr>
          <w:lang w:val="de-DE"/>
        </w:rPr>
        <w:t xml:space="preserve">Lai, D., Wetherill, L., Bertelsen, S., Carey, C. E., Kamarajan, C., Kapoor, M., Meyers, J. L., Anokhin, A. P., Bennett, D. A., Bucholz, K. K., Chang, K. K., De Jager, P. L., Dick, D. M., Hesselbrock, V., Kramer, J., Kuperman, S., Nurnberger Jr, J. I., Raj, T., Schuckit, M., … </w:t>
      </w:r>
      <w:r>
        <w:t xml:space="preserve">Foroud, T. (2019). Genome-wide association studies of alcohol dependence, DSM-IV criterion count and individual criteria. </w:t>
      </w:r>
      <w:r>
        <w:rPr>
          <w:i/>
          <w:iCs/>
        </w:rPr>
        <w:t>Genes, Brain and Behavior</w:t>
      </w:r>
      <w:r>
        <w:t xml:space="preserve">, </w:t>
      </w:r>
      <w:r>
        <w:rPr>
          <w:i/>
          <w:iCs/>
        </w:rPr>
        <w:t>18</w:t>
      </w:r>
      <w:r>
        <w:t>(6), e12579. https://doi.org/10.1111/gbb.12579</w:t>
      </w:r>
    </w:p>
    <w:p w14:paraId="24A905B4" w14:textId="77777777" w:rsidR="00695C1F" w:rsidRDefault="00695C1F" w:rsidP="00695C1F">
      <w:pPr>
        <w:pStyle w:val="Literaturverzeichnis"/>
      </w:pPr>
      <w:r>
        <w:t xml:space="preserve">Lai, D., Wetherill, L., Kapoor, M., Johnson, E. C., Schwandt, M., Ramchandani, V. A., Goldman, D., Joslyn, G., Rao, X., Liu, Y., Farris, S., Mayfield, R. D., Dick, D., Hesselbrock, V., Kramer, J., McCutcheon, V. V., Nurnberger, J., Tischfield, J., Goate, A., … Schuckit, M. </w:t>
      </w:r>
      <w:r>
        <w:lastRenderedPageBreak/>
        <w:t xml:space="preserve">(2020). Genome-wide association studies of the self-rating of effects of ethanol (SRE). </w:t>
      </w:r>
      <w:r>
        <w:rPr>
          <w:i/>
          <w:iCs/>
        </w:rPr>
        <w:t>Addiction Biology</w:t>
      </w:r>
      <w:r>
        <w:t xml:space="preserve">, </w:t>
      </w:r>
      <w:r>
        <w:rPr>
          <w:i/>
          <w:iCs/>
        </w:rPr>
        <w:t>25</w:t>
      </w:r>
      <w:r>
        <w:t>(2), e12800. https://doi.org/10.1111/adb.12800</w:t>
      </w:r>
    </w:p>
    <w:p w14:paraId="034C8776" w14:textId="77777777" w:rsidR="00695C1F" w:rsidRDefault="00695C1F" w:rsidP="00695C1F">
      <w:pPr>
        <w:pStyle w:val="Literaturverzeichnis"/>
      </w:pPr>
      <w:r>
        <w:t xml:space="preserve">Lam, M., Awasthi, S., Watson, H. J., Goldstein, J., Panagiotaropoulou, G., Trubetskoy, V., Karlsson, R., Frei, O., Fan, C. C., De Witte, W., Mota, N. R., Mullins, N., Brügger, K., Hong Lee, S., Wray, N. R., Skarabis, N., Huang, H., Neale, B., Daly, M. J., … Ripke, S. (2020). RICOPILI: Rapid Imputation for COnsortias PIpeLIne. </w:t>
      </w:r>
      <w:r>
        <w:rPr>
          <w:i/>
          <w:iCs/>
        </w:rPr>
        <w:t>Bioinformatics</w:t>
      </w:r>
      <w:r>
        <w:t xml:space="preserve">, </w:t>
      </w:r>
      <w:r>
        <w:rPr>
          <w:i/>
          <w:iCs/>
        </w:rPr>
        <w:t>36</w:t>
      </w:r>
      <w:r>
        <w:t>(3), 930–933. https://doi.org/10.1093/bioinformatics/btz633</w:t>
      </w:r>
    </w:p>
    <w:p w14:paraId="29F56EC5" w14:textId="77777777" w:rsidR="00695C1F" w:rsidRDefault="00695C1F" w:rsidP="00695C1F">
      <w:pPr>
        <w:pStyle w:val="Literaturverzeichnis"/>
      </w:pPr>
      <w:r>
        <w:t xml:space="preserve">Leckman, J. F., Riddle, M. A., Hardin, M. T., Ort, S. I., Swartz, K. L., Stevenson, J., &amp; Cohen, D. J. (1989). The Yale Global Tic Severity Scale: Initial Testing of a Clinician-Rated Scale of Tic Severity. </w:t>
      </w:r>
      <w:r>
        <w:rPr>
          <w:i/>
          <w:iCs/>
        </w:rPr>
        <w:t>Journal of the American Academy of Child and Adolescent Psychiatry</w:t>
      </w:r>
      <w:r>
        <w:t xml:space="preserve">, </w:t>
      </w:r>
      <w:r>
        <w:rPr>
          <w:i/>
          <w:iCs/>
        </w:rPr>
        <w:t>28</w:t>
      </w:r>
      <w:r>
        <w:t>(4), 566–573. https://doi.org/10.1097/00004583-198907000-00015</w:t>
      </w:r>
    </w:p>
    <w:p w14:paraId="47A73830" w14:textId="77777777" w:rsidR="00695C1F" w:rsidRDefault="00695C1F" w:rsidP="00695C1F">
      <w:pPr>
        <w:pStyle w:val="Literaturverzeichnis"/>
      </w:pPr>
      <w:r>
        <w:t xml:space="preserve">Lee, J. H., Cheng, R., Graff-Radford, N., Foroud, T., &amp; Mayeux, R. (2008). Analyses of the national institute on aging late-onset Alzheimer’s disease family study: Implication of additional loci. </w:t>
      </w:r>
      <w:r>
        <w:rPr>
          <w:i/>
          <w:iCs/>
        </w:rPr>
        <w:t>Archives of Neurology</w:t>
      </w:r>
      <w:r>
        <w:t xml:space="preserve">, </w:t>
      </w:r>
      <w:r>
        <w:rPr>
          <w:i/>
          <w:iCs/>
        </w:rPr>
        <w:t>65</w:t>
      </w:r>
      <w:r>
        <w:t>(11), 1518–1526. https://doi.org/10.1001/archneur.65.11.1518</w:t>
      </w:r>
    </w:p>
    <w:p w14:paraId="752351E4" w14:textId="77777777" w:rsidR="00695C1F" w:rsidRDefault="00695C1F" w:rsidP="00695C1F">
      <w:pPr>
        <w:pStyle w:val="Literaturverzeichnis"/>
      </w:pPr>
      <w:r>
        <w:t xml:space="preserve">Leitsalu, L., Alavere, H., Tammesoo, M. L., Leego, E., &amp; Metspalu, A. (2015). Linking a population biobank with national health registries—The Estonian experience. </w:t>
      </w:r>
      <w:r>
        <w:rPr>
          <w:i/>
          <w:iCs/>
        </w:rPr>
        <w:t>Journal of Personalized Medicine</w:t>
      </w:r>
      <w:r>
        <w:t xml:space="preserve">, </w:t>
      </w:r>
      <w:r>
        <w:rPr>
          <w:i/>
          <w:iCs/>
        </w:rPr>
        <w:t>5</w:t>
      </w:r>
      <w:r>
        <w:t>(2). https://doi.org/10.3390/jpm5020096</w:t>
      </w:r>
    </w:p>
    <w:p w14:paraId="67098A77" w14:textId="77777777" w:rsidR="00695C1F" w:rsidRDefault="00695C1F" w:rsidP="00695C1F">
      <w:pPr>
        <w:pStyle w:val="Literaturverzeichnis"/>
      </w:pPr>
      <w:r>
        <w:t xml:space="preserve">Li, J. Z., Absher, D. M., Tang, H., Southwick, A. M., Casto, A. M., Ramachandran, S., Cann, H. M., Barsh, G. S., Feldman, M., Cavalli-Sforza, L. L., &amp; Myers, R. M. (2008). Worldwide human relationships inferred from genome-wide patterns of variation. </w:t>
      </w:r>
      <w:r>
        <w:rPr>
          <w:i/>
          <w:iCs/>
        </w:rPr>
        <w:t>Science</w:t>
      </w:r>
      <w:r>
        <w:t xml:space="preserve">, </w:t>
      </w:r>
      <w:r>
        <w:rPr>
          <w:i/>
          <w:iCs/>
        </w:rPr>
        <w:t>319</w:t>
      </w:r>
      <w:r>
        <w:t>(5866), 1100–1104. https://doi.org/10.1126/science.1153717</w:t>
      </w:r>
    </w:p>
    <w:p w14:paraId="7411F422" w14:textId="77777777" w:rsidR="00695C1F" w:rsidRDefault="00695C1F" w:rsidP="00695C1F">
      <w:pPr>
        <w:pStyle w:val="Literaturverzeichnis"/>
      </w:pPr>
      <w:r>
        <w:t xml:space="preserve">Loh, P. R., Danecek, P., Palamara, P. F., Fuchsberger, C., Reshef, Y. A., Finucane, H. K., Schoenherr, S., Forer, L., McCarthy, S., Abecasis, G. R., Durbin, R., &amp; Price, A. L. (2016). Reference-based phasing using the Haplotype Reference Consortium panel. </w:t>
      </w:r>
      <w:r>
        <w:rPr>
          <w:i/>
          <w:iCs/>
        </w:rPr>
        <w:t>Nature Genetics 2016 48:11</w:t>
      </w:r>
      <w:r>
        <w:t xml:space="preserve">, </w:t>
      </w:r>
      <w:r>
        <w:rPr>
          <w:i/>
          <w:iCs/>
        </w:rPr>
        <w:t>48</w:t>
      </w:r>
      <w:r>
        <w:t>(11), 1443–1448. https://doi.org/10.1038/ng.3679</w:t>
      </w:r>
    </w:p>
    <w:p w14:paraId="6FCFB4AF" w14:textId="77777777" w:rsidR="00695C1F" w:rsidRPr="00695C1F" w:rsidRDefault="00695C1F" w:rsidP="00695C1F">
      <w:pPr>
        <w:pStyle w:val="Literaturverzeichnis"/>
        <w:rPr>
          <w:lang w:val="de-DE"/>
        </w:rPr>
      </w:pPr>
      <w:r>
        <w:lastRenderedPageBreak/>
        <w:t xml:space="preserve">Loh, P. R., Palamara, P. F., &amp; Price, A. L. (2016). Fast and accurate long-range phasing in a UK Biobank cohort. </w:t>
      </w:r>
      <w:r w:rsidRPr="00695C1F">
        <w:rPr>
          <w:i/>
          <w:iCs/>
          <w:lang w:val="de-DE"/>
        </w:rPr>
        <w:t>Nature Genetics 2016 48:7</w:t>
      </w:r>
      <w:r w:rsidRPr="00695C1F">
        <w:rPr>
          <w:lang w:val="de-DE"/>
        </w:rPr>
        <w:t xml:space="preserve">, </w:t>
      </w:r>
      <w:r w:rsidRPr="00695C1F">
        <w:rPr>
          <w:i/>
          <w:iCs/>
          <w:lang w:val="de-DE"/>
        </w:rPr>
        <w:t>48</w:t>
      </w:r>
      <w:r w:rsidRPr="00695C1F">
        <w:rPr>
          <w:lang w:val="de-DE"/>
        </w:rPr>
        <w:t>(7), 811–816. https://doi.org/10.1038/ng.3571</w:t>
      </w:r>
    </w:p>
    <w:p w14:paraId="0E5392FD" w14:textId="77777777" w:rsidR="00695C1F" w:rsidRDefault="00695C1F" w:rsidP="00695C1F">
      <w:pPr>
        <w:pStyle w:val="Literaturverzeichnis"/>
      </w:pPr>
      <w:r w:rsidRPr="00695C1F">
        <w:rPr>
          <w:lang w:val="de-DE"/>
        </w:rPr>
        <w:t xml:space="preserve">Mahjani, B., Dellenvall, K., Grahnat, A. C. S., Karlsson, G., Tuuliainen, A., Reichert, J., Mahjani, C. G., Klei, L., De Rubeis, S., Reichenberg, A., Devlin, B., Hultman, C. M., Buxbaum, J. D., Sandin, S., &amp; Grice, D. E. (2020). </w:t>
      </w:r>
      <w:r>
        <w:t xml:space="preserve">Cohort profile: Epidemiology and Genetics of Obsessive–compulsive disorder and chronic tic disorders in Sweden (EGOS). </w:t>
      </w:r>
      <w:r>
        <w:rPr>
          <w:i/>
          <w:iCs/>
        </w:rPr>
        <w:t>Social Psychiatry and Psychiatric Epidemiology</w:t>
      </w:r>
      <w:r>
        <w:t xml:space="preserve">, </w:t>
      </w:r>
      <w:r>
        <w:rPr>
          <w:i/>
          <w:iCs/>
        </w:rPr>
        <w:t>55</w:t>
      </w:r>
      <w:r>
        <w:t>(10), 1383–1393. https://doi.org/10.1007/s00127-019-01822-7</w:t>
      </w:r>
    </w:p>
    <w:p w14:paraId="373ABFAA" w14:textId="77777777" w:rsidR="00695C1F" w:rsidRDefault="00695C1F" w:rsidP="00695C1F">
      <w:pPr>
        <w:pStyle w:val="Literaturverzeichnis"/>
      </w:pPr>
      <w:r>
        <w:t xml:space="preserve">Manichaikul, A., Mychaleckyj, J. C., Rich, S. S., Daly, K., Sale, M., &amp; Chen, W. M. (2010). Robust relationship inference in genome-wide association studies. </w:t>
      </w:r>
      <w:r>
        <w:rPr>
          <w:i/>
          <w:iCs/>
        </w:rPr>
        <w:t>Bioinformatics</w:t>
      </w:r>
      <w:r>
        <w:t xml:space="preserve">, </w:t>
      </w:r>
      <w:r>
        <w:rPr>
          <w:i/>
          <w:iCs/>
        </w:rPr>
        <w:t>26</w:t>
      </w:r>
      <w:r>
        <w:t>(22), 2867–2873. https://doi.org/10.1093/BIOINFORMATICS/BTQ559</w:t>
      </w:r>
    </w:p>
    <w:p w14:paraId="63D7A8BC" w14:textId="77777777" w:rsidR="00695C1F" w:rsidRPr="00695C1F" w:rsidRDefault="00695C1F" w:rsidP="00695C1F">
      <w:pPr>
        <w:pStyle w:val="Literaturverzeichnis"/>
        <w:rPr>
          <w:lang w:val="de-DE"/>
        </w:rPr>
      </w:pPr>
      <w:r>
        <w:t xml:space="preserve">Marchini, J., Howie, B., Myers, S., McVean, G., &amp; Donnelly, P. (2007). A new multipoint method for genome-wide association studies by imputation of genotypes. </w:t>
      </w:r>
      <w:r w:rsidRPr="00695C1F">
        <w:rPr>
          <w:i/>
          <w:iCs/>
          <w:lang w:val="de-DE"/>
        </w:rPr>
        <w:t>Nature Genetics</w:t>
      </w:r>
      <w:r w:rsidRPr="00695C1F">
        <w:rPr>
          <w:lang w:val="de-DE"/>
        </w:rPr>
        <w:t xml:space="preserve">, </w:t>
      </w:r>
      <w:r w:rsidRPr="00695C1F">
        <w:rPr>
          <w:i/>
          <w:iCs/>
          <w:lang w:val="de-DE"/>
        </w:rPr>
        <w:t>39</w:t>
      </w:r>
      <w:r w:rsidRPr="00695C1F">
        <w:rPr>
          <w:lang w:val="de-DE"/>
        </w:rPr>
        <w:t>(7), Article 7. https://doi.org/10.1038/ng2088</w:t>
      </w:r>
    </w:p>
    <w:p w14:paraId="6371152D" w14:textId="77777777" w:rsidR="00695C1F" w:rsidRPr="00695C1F" w:rsidRDefault="00695C1F" w:rsidP="00695C1F">
      <w:pPr>
        <w:pStyle w:val="Literaturverzeichnis"/>
        <w:rPr>
          <w:lang w:val="de-DE"/>
        </w:rPr>
      </w:pPr>
      <w:r w:rsidRPr="00695C1F">
        <w:rPr>
          <w:lang w:val="de-DE"/>
        </w:rPr>
        <w:t xml:space="preserve">Margraf, J., Cwik, J. C., Pflug, V., &amp; Schneider, S. (2017). Strukturierte klinische Interviews zur Erfassung psychischer                     Störungen über die Lebensspanne. </w:t>
      </w:r>
      <w:r w:rsidRPr="00695C1F">
        <w:rPr>
          <w:i/>
          <w:iCs/>
          <w:lang w:val="de-DE"/>
        </w:rPr>
        <w:t>Zeitschrift Für Klinische Psychologie Und Psychotherapie</w:t>
      </w:r>
      <w:r w:rsidRPr="00695C1F">
        <w:rPr>
          <w:lang w:val="de-DE"/>
        </w:rPr>
        <w:t xml:space="preserve">, </w:t>
      </w:r>
      <w:r w:rsidRPr="00695C1F">
        <w:rPr>
          <w:i/>
          <w:iCs/>
          <w:lang w:val="de-DE"/>
        </w:rPr>
        <w:t>46</w:t>
      </w:r>
      <w:r w:rsidRPr="00695C1F">
        <w:rPr>
          <w:lang w:val="de-DE"/>
        </w:rPr>
        <w:t>(3), 176–186. https://doi.org/10.1026/1616-3443/a000430</w:t>
      </w:r>
    </w:p>
    <w:p w14:paraId="04465A3C" w14:textId="77777777" w:rsidR="00695C1F" w:rsidRDefault="00695C1F" w:rsidP="00695C1F">
      <w:pPr>
        <w:pStyle w:val="Literaturverzeichnis"/>
      </w:pPr>
      <w:r w:rsidRPr="00695C1F">
        <w:rPr>
          <w:lang w:val="de-DE"/>
        </w:rPr>
        <w:t xml:space="preserve">Mars, N., Koskela, J. T., Ripatti, P., Kiiskinen, T. T. J., Havulinna, A. S., Lindbohm, J. V., Ahola-Olli, A., Kurki, M., Karjalainen, J., Palta, P., Neale, B. M., Daly, M., Salomaa, V., Palotie, A., Widén, E., &amp; Ripatti, S. (2020). </w:t>
      </w:r>
      <w:r>
        <w:t xml:space="preserve">Polygenic and clinical risk scores and their impact on age at onset and prediction of cardiometabolic diseases and common cancers. </w:t>
      </w:r>
      <w:r>
        <w:rPr>
          <w:i/>
          <w:iCs/>
        </w:rPr>
        <w:t>Nature Medicine</w:t>
      </w:r>
      <w:r>
        <w:t xml:space="preserve">, </w:t>
      </w:r>
      <w:r>
        <w:rPr>
          <w:i/>
          <w:iCs/>
        </w:rPr>
        <w:t>26</w:t>
      </w:r>
      <w:r>
        <w:t>(4), 549–557. https://doi.org/10.1038/s41591-020-0800-0</w:t>
      </w:r>
    </w:p>
    <w:p w14:paraId="1A005F14" w14:textId="77777777" w:rsidR="00695C1F" w:rsidRDefault="00695C1F" w:rsidP="00695C1F">
      <w:pPr>
        <w:pStyle w:val="Literaturverzeichnis"/>
      </w:pPr>
      <w:r>
        <w:t xml:space="preserve">Mataix-Cols, D., Hansen, B., Mattheisen, M., Karlsson, E. K., Addington, A. M., Boberg, J., Djurfeldt, D. R., Halvorsen, M., Lichtenstein, P., Solem, S., Lindblad-Toh, K., Nordic OCD and Related Disorders Consortium (NORDiC), Haavik, J., Kvale, G., Rück, C., &amp; Crowley, J. J. (2020). Nordic OCD &amp; Related Disorders Consortium: Rationale, design, </w:t>
      </w:r>
      <w:r>
        <w:lastRenderedPageBreak/>
        <w:t xml:space="preserve">and methods. </w:t>
      </w:r>
      <w:r>
        <w:rPr>
          <w:i/>
          <w:iCs/>
        </w:rPr>
        <w:t>American Journal of Medical Genetics. Part B, Neuropsychiatric Genetics: The Official Publication of the International Society of Psychiatric Genetics</w:t>
      </w:r>
      <w:r>
        <w:t xml:space="preserve">, </w:t>
      </w:r>
      <w:r>
        <w:rPr>
          <w:i/>
          <w:iCs/>
        </w:rPr>
        <w:t>183</w:t>
      </w:r>
      <w:r>
        <w:t>(1), 38–50. https://doi.org/10.1002/ajmg.b.32756</w:t>
      </w:r>
    </w:p>
    <w:p w14:paraId="1B4C4D59" w14:textId="77777777" w:rsidR="00695C1F" w:rsidRDefault="00695C1F" w:rsidP="00695C1F">
      <w:pPr>
        <w:pStyle w:val="Literaturverzeichnis"/>
      </w:pPr>
      <w:r>
        <w:t xml:space="preserve">Mattheisen, M., Samuels, J. F., Wang, Y., Greenberg, B. D., Fyer, A. J., Mccracken, J. T., Geller, D. A., Murphy, D. L., Knowles, J. A., Grados, M. A., Riddle, M. A., Rasmussen, S. A., Mclaughlin, N. C., Nurmi, E. L., Askland, K. D., Qin, H. D., Cullen, B. A., Piacentini, J., Pauls, D. L., … Nestadt, G. (2015). Genome-wide association study in obsessive-compulsive disorder: Results from the OCGAS. </w:t>
      </w:r>
      <w:r>
        <w:rPr>
          <w:i/>
          <w:iCs/>
        </w:rPr>
        <w:t>Molecular Psychiatry</w:t>
      </w:r>
      <w:r>
        <w:t xml:space="preserve">, </w:t>
      </w:r>
      <w:r>
        <w:rPr>
          <w:i/>
          <w:iCs/>
        </w:rPr>
        <w:t>20</w:t>
      </w:r>
      <w:r>
        <w:t>(3), 337–344. https://doi.org/10.1038/mp.2014.43</w:t>
      </w:r>
    </w:p>
    <w:p w14:paraId="594002F5" w14:textId="77777777" w:rsidR="00695C1F" w:rsidRDefault="00695C1F" w:rsidP="00695C1F">
      <w:pPr>
        <w:pStyle w:val="Literaturverzeichnis"/>
      </w:pPr>
      <w:r>
        <w:t xml:space="preserve">Mbatchou, J., Barnard, L., Backman, J., Marcketta, A., Kosmicki, J. A., Ziyatdinov, A., Benner, C., O’Dushlaine, C., Barber, M., Boutkov, B., Habegger, L., Ferreira, M., Baras, A., Reid, J., Abecasis, G., Maxwell, E., &amp; Marchini, J. (2021). Computationally efficient whole-genome regression for quantitative and binary traits. </w:t>
      </w:r>
      <w:r>
        <w:rPr>
          <w:i/>
          <w:iCs/>
        </w:rPr>
        <w:t>Nature Genetics</w:t>
      </w:r>
      <w:r>
        <w:t xml:space="preserve">, </w:t>
      </w:r>
      <w:r>
        <w:rPr>
          <w:i/>
          <w:iCs/>
        </w:rPr>
        <w:t>53</w:t>
      </w:r>
      <w:r>
        <w:t>(7), Article 7. https://doi.org/10.1038/s41588-021-00870-7</w:t>
      </w:r>
    </w:p>
    <w:p w14:paraId="07BE509E" w14:textId="77777777" w:rsidR="00695C1F" w:rsidRDefault="00695C1F" w:rsidP="00695C1F">
      <w:pPr>
        <w:pStyle w:val="Literaturverzeichnis"/>
      </w:pPr>
      <w:r>
        <w:t xml:space="preserve">McCarthy, S., Das, S., Kretzschmar, W., Delaneau, O., Wood, A. R., Teumer, A., Kang, H. M., Fuchsberger, C., Danecek, P., Sharp, K., Luo, Y., Sidore, C., Kwong, A., Timpson, N., Koskinen, S., Vrieze, S., Scott, L. J., Zhang, H., Mahajan, A., … Marchini, J. (2016). A reference panel of 64,976 haplotypes for genotype imputation. </w:t>
      </w:r>
      <w:r>
        <w:rPr>
          <w:i/>
          <w:iCs/>
        </w:rPr>
        <w:t>Nature Genetics 2016 48:10</w:t>
      </w:r>
      <w:r>
        <w:t xml:space="preserve">, </w:t>
      </w:r>
      <w:r>
        <w:rPr>
          <w:i/>
          <w:iCs/>
        </w:rPr>
        <w:t>48</w:t>
      </w:r>
      <w:r>
        <w:t>(10), 1279–1283. https://doi.org/10.1038/ng.3643</w:t>
      </w:r>
    </w:p>
    <w:p w14:paraId="2B27682F" w14:textId="77777777" w:rsidR="00695C1F" w:rsidRDefault="00695C1F" w:rsidP="00695C1F">
      <w:pPr>
        <w:pStyle w:val="Literaturverzeichnis"/>
      </w:pPr>
      <w:r>
        <w:t xml:space="preserve">Mitt, M., Kals, M., Pärn, K., Gabriel, S. B., Lander, E. S., Palotie, A., Ripatti, S., Morris, A. P., Metspalu, A., Esko, T., Mägi, R., &amp; Palta, P. (2017). Improved imputation accuracy of rare and low-frequency variants using population-specific high-coverage WGS-based imputation reference panel. </w:t>
      </w:r>
      <w:r>
        <w:rPr>
          <w:i/>
          <w:iCs/>
        </w:rPr>
        <w:t>European Journal of Human Genetics</w:t>
      </w:r>
      <w:r>
        <w:t xml:space="preserve">, </w:t>
      </w:r>
      <w:r>
        <w:rPr>
          <w:i/>
          <w:iCs/>
        </w:rPr>
        <w:t>25</w:t>
      </w:r>
      <w:r>
        <w:t>(7). https://doi.org/10.1038/ejhg.2017.51</w:t>
      </w:r>
    </w:p>
    <w:p w14:paraId="21D4A20D" w14:textId="77777777" w:rsidR="00695C1F" w:rsidRDefault="00695C1F" w:rsidP="00695C1F">
      <w:pPr>
        <w:pStyle w:val="Literaturverzeichnis"/>
      </w:pPr>
      <w:r>
        <w:t xml:space="preserve">O’Connell, J. R., &amp; Weeks, D. E. (1998). PedCheck: A program for identification of genotype incompatibilities in linkage analysis. </w:t>
      </w:r>
      <w:r>
        <w:rPr>
          <w:i/>
          <w:iCs/>
        </w:rPr>
        <w:t>American Journal of Human Genetics</w:t>
      </w:r>
      <w:r>
        <w:t xml:space="preserve">, </w:t>
      </w:r>
      <w:r>
        <w:rPr>
          <w:i/>
          <w:iCs/>
        </w:rPr>
        <w:t>63</w:t>
      </w:r>
      <w:r>
        <w:t>(1), 259–266. https://doi.org/10.1086/301904</w:t>
      </w:r>
    </w:p>
    <w:p w14:paraId="7559916E" w14:textId="77777777" w:rsidR="00695C1F" w:rsidRDefault="00695C1F" w:rsidP="00695C1F">
      <w:pPr>
        <w:pStyle w:val="Literaturverzeichnis"/>
      </w:pPr>
      <w:r>
        <w:lastRenderedPageBreak/>
        <w:t xml:space="preserve">Pato, M. T., Sobell, J. L., Medeiros, H., Abbott, C., Sklar, B. M., Buckley, P. F., Bromet, E. J., Escamilla, M. A., Fanous, A. H., Lehrer, D. S., Macciardi, F., Malaspina, D., McCarroll, S. A., Marder, S. R., Moran, J., Morley, C. P., Nicolini, H., Perkins, D. O., Purcell, S. M., … Pato, C. N. (2013). The genomic psychiatry cohort: Partners in discovery. </w:t>
      </w:r>
      <w:r>
        <w:rPr>
          <w:i/>
          <w:iCs/>
        </w:rPr>
        <w:t>American Journal of Medical Genetics. Part B, Neuropsychiatric Genetics: The Official Publication of the International Society of Psychiatric Genetics</w:t>
      </w:r>
      <w:r>
        <w:t xml:space="preserve">, </w:t>
      </w:r>
      <w:r>
        <w:rPr>
          <w:i/>
          <w:iCs/>
        </w:rPr>
        <w:t>162B</w:t>
      </w:r>
      <w:r>
        <w:t>(4), 306–312. https://doi.org/10.1002/ajmg.b.32160</w:t>
      </w:r>
    </w:p>
    <w:p w14:paraId="082D1875" w14:textId="77777777" w:rsidR="00695C1F" w:rsidRDefault="00695C1F" w:rsidP="00695C1F">
      <w:pPr>
        <w:pStyle w:val="Literaturverzeichnis"/>
      </w:pPr>
      <w:r w:rsidRPr="002E56D9">
        <w:rPr>
          <w:lang w:val="de-DE"/>
        </w:rPr>
        <w:t xml:space="preserve">Pedersen, B. S., &amp; Quinlan, A. R. (2017). </w:t>
      </w:r>
      <w:r>
        <w:t xml:space="preserve">Who’s Who? Detecting and Resolving Sample Anomalies in Human DNA Sequencing Studies with Peddy. </w:t>
      </w:r>
      <w:r>
        <w:rPr>
          <w:i/>
          <w:iCs/>
        </w:rPr>
        <w:t>The American Journal of Human Genetics</w:t>
      </w:r>
      <w:r>
        <w:t xml:space="preserve">, </w:t>
      </w:r>
      <w:r>
        <w:rPr>
          <w:i/>
          <w:iCs/>
        </w:rPr>
        <w:t>100</w:t>
      </w:r>
      <w:r>
        <w:t>(3), 406–413. https://doi.org/10.1016/j.ajhg.2017.01.017</w:t>
      </w:r>
    </w:p>
    <w:p w14:paraId="450FFEC5" w14:textId="77777777" w:rsidR="00695C1F" w:rsidRDefault="00695C1F" w:rsidP="00695C1F">
      <w:pPr>
        <w:pStyle w:val="Literaturverzeichnis"/>
      </w:pPr>
      <w:r>
        <w:t xml:space="preserve">Pedersen, C. B., Bybjerg-Grauholm, J., Pedersen, M. G., Grove, J., Agerbo, E., Bækvad-Hansen, M., Poulsen, J. B., Hansen, C. S., McGrath, J. J., Als, T. D., Goldstein, J. I., Neale, B. M., Daly, M. J., Hougaard, D. M., Mors, O., Nordentoft, M., Børglum, A. D., Werge, T., &amp; Mortensen, P. B. (2018). The iPSYCH2012 case-cohort sample: New directions for unravelling genetic and environmental architectures of severe mental disorders. </w:t>
      </w:r>
      <w:r>
        <w:rPr>
          <w:i/>
          <w:iCs/>
        </w:rPr>
        <w:t>Mol Psychiatry</w:t>
      </w:r>
      <w:r>
        <w:t xml:space="preserve">, </w:t>
      </w:r>
      <w:r>
        <w:rPr>
          <w:i/>
          <w:iCs/>
        </w:rPr>
        <w:t>23</w:t>
      </w:r>
      <w:r>
        <w:t>(1), 6–14. https://doi.org/10.1038/mp.2017.196</w:t>
      </w:r>
    </w:p>
    <w:p w14:paraId="11ADA33C" w14:textId="77777777" w:rsidR="00695C1F" w:rsidRDefault="00695C1F" w:rsidP="00695C1F">
      <w:pPr>
        <w:pStyle w:val="Literaturverzeichnis"/>
      </w:pPr>
      <w:r>
        <w:t xml:space="preserve">Price, A. L., Patterson, N. J., Plenge, R. M., Weinblatt, M. E., Shadick, N. A., &amp; Reich, D. (2006). Principal components analysis corrects for stratification in genome-wide association studies. </w:t>
      </w:r>
      <w:r>
        <w:rPr>
          <w:i/>
          <w:iCs/>
        </w:rPr>
        <w:t>Nature Genetics</w:t>
      </w:r>
      <w:r>
        <w:t xml:space="preserve">, </w:t>
      </w:r>
      <w:r>
        <w:rPr>
          <w:i/>
          <w:iCs/>
        </w:rPr>
        <w:t>38</w:t>
      </w:r>
      <w:r>
        <w:t>(8), 904–909. https://doi.org/10.1038/NG1847</w:t>
      </w:r>
    </w:p>
    <w:p w14:paraId="4D5BFC34" w14:textId="77777777" w:rsidR="00695C1F" w:rsidRDefault="00695C1F" w:rsidP="00695C1F">
      <w:pPr>
        <w:pStyle w:val="Literaturverzeichnis"/>
      </w:pPr>
      <w:r>
        <w:t xml:space="preserve">Purcell, S., Neale, B., Todd-Brown, K., Thomas, L., Ferreira, M. A. R., Bender, D., Maller, J., Sklar, P., De Bakker, P. I. W., Daly, M. J., &amp; Sham, P. C. (2007). PLINK: a tool set for whole-genome association and population-based linkage analyses. </w:t>
      </w:r>
      <w:r>
        <w:rPr>
          <w:i/>
          <w:iCs/>
        </w:rPr>
        <w:t>American Journal of Human Genetics</w:t>
      </w:r>
      <w:r>
        <w:t xml:space="preserve">, </w:t>
      </w:r>
      <w:r>
        <w:rPr>
          <w:i/>
          <w:iCs/>
        </w:rPr>
        <w:t>81</w:t>
      </w:r>
      <w:r>
        <w:t>(3), 559–575. https://doi.org/10.1086/519795</w:t>
      </w:r>
    </w:p>
    <w:p w14:paraId="5CE734B3" w14:textId="77777777" w:rsidR="00695C1F" w:rsidRDefault="00695C1F" w:rsidP="00695C1F">
      <w:pPr>
        <w:pStyle w:val="Literaturverzeichnis"/>
      </w:pPr>
      <w:r>
        <w:t xml:space="preserve">Rovira, P., Demontis, D., Sánchez-Mora, C., Zayats, T., Klein, M., Mota, N. R., Weber, H., Garcia-Martínez, I., Pagerols, M., Vilar-Ribó, L., Arribas, L., Richarte, V., Corrales, M., Fadeuilhe, C., Bosch, R., Martin, G. E., Almos, P., Doyle, A. E., Grevet, E. H., … Ribasés, M. (2020). Shared genetic background between children and adults with </w:t>
      </w:r>
      <w:r>
        <w:lastRenderedPageBreak/>
        <w:t xml:space="preserve">attention deficit/hyperactivity disorder. </w:t>
      </w:r>
      <w:r>
        <w:rPr>
          <w:i/>
          <w:iCs/>
        </w:rPr>
        <w:t>Neuropsychopharmacology</w:t>
      </w:r>
      <w:r>
        <w:t xml:space="preserve">, </w:t>
      </w:r>
      <w:r>
        <w:rPr>
          <w:i/>
          <w:iCs/>
        </w:rPr>
        <w:t>45</w:t>
      </w:r>
      <w:r>
        <w:t>(10), Article 10. https://doi.org/10.1038/s41386-020-0664-5</w:t>
      </w:r>
    </w:p>
    <w:p w14:paraId="2CDDA0C1" w14:textId="77777777" w:rsidR="00695C1F" w:rsidRDefault="00695C1F" w:rsidP="00695C1F">
      <w:pPr>
        <w:pStyle w:val="Literaturverzeichnis"/>
      </w:pPr>
      <w:r>
        <w:t xml:space="preserve">Satterthwaite, T. D., Connolly, J. J., Ruparel, K., Calkins, M. E., Jackson, C., Elliott, M. A., Roalf, D. R., Hopson, R., Prabhakaran, K., Behr, M., Qiu, H., Mentch, F. D., Chiavacci, R., Sleiman, P. M. A., Gur, R. C., Hakonarson, H., &amp; Gur, R. E. (2016). The Philadelphia Neurodevelopmental Cohort: A publicly available resource for the study of normal and abnormal brain development in youth. </w:t>
      </w:r>
      <w:r>
        <w:rPr>
          <w:i/>
          <w:iCs/>
        </w:rPr>
        <w:t>NeuroImage</w:t>
      </w:r>
      <w:r>
        <w:t xml:space="preserve">, </w:t>
      </w:r>
      <w:r>
        <w:rPr>
          <w:i/>
          <w:iCs/>
        </w:rPr>
        <w:t>124</w:t>
      </w:r>
      <w:r>
        <w:t>(Pt B), 1115–1119. https://doi.org/10.1016/j.neuroimage.2015.03.056</w:t>
      </w:r>
    </w:p>
    <w:p w14:paraId="4D6CCAE7" w14:textId="77777777" w:rsidR="00695C1F" w:rsidRDefault="00695C1F" w:rsidP="00695C1F">
      <w:pPr>
        <w:pStyle w:val="Literaturverzeichnis"/>
      </w:pPr>
      <w:r>
        <w:t xml:space="preserve">Scahill, L., Riddle, M. A., McSwiggin-Hardin, M., Ort, S. I., King, R. A., Goodman, W. K., Cicchetti, D., &amp; Leckman, J. F. (1997). Children’s Yale-Brown Obsessive Compulsive Scale: Reliability and validity. </w:t>
      </w:r>
      <w:r>
        <w:rPr>
          <w:i/>
          <w:iCs/>
        </w:rPr>
        <w:t>Journal of the American Academy of Child and Adolescent Psychiatry</w:t>
      </w:r>
      <w:r>
        <w:t xml:space="preserve">, </w:t>
      </w:r>
      <w:r>
        <w:rPr>
          <w:i/>
          <w:iCs/>
        </w:rPr>
        <w:t>36</w:t>
      </w:r>
      <w:r>
        <w:t>(6), 844–852. https://doi.org/10.1097/00004583-199706000-00023</w:t>
      </w:r>
    </w:p>
    <w:p w14:paraId="61B0E1FF" w14:textId="77777777" w:rsidR="00695C1F" w:rsidRPr="002E56D9" w:rsidRDefault="00695C1F" w:rsidP="00695C1F">
      <w:pPr>
        <w:pStyle w:val="Literaturverzeichnis"/>
        <w:rPr>
          <w:lang w:val="de-DE"/>
        </w:rPr>
      </w:pPr>
      <w:r w:rsidRPr="002E56D9">
        <w:rPr>
          <w:lang w:val="de-DE"/>
        </w:rPr>
        <w:t xml:space="preserve">Schmidt, M. H., Döpfner, M., Berner, W., Flechtner, H., Lehmkuhl, G., &amp; Steinhausen, H.-C. E. (2000). </w:t>
      </w:r>
      <w:r w:rsidRPr="002E56D9">
        <w:rPr>
          <w:i/>
          <w:iCs/>
          <w:lang w:val="de-DE"/>
        </w:rPr>
        <w:t>Psychopathologisches Befund-System für Kinder und Jugendliche (CASCAP-D)</w:t>
      </w:r>
      <w:r w:rsidRPr="002E56D9">
        <w:rPr>
          <w:lang w:val="de-DE"/>
        </w:rPr>
        <w:t>. 28(1):64-64. https://doi.org/10.1024//1422-4917.28.1.64</w:t>
      </w:r>
    </w:p>
    <w:p w14:paraId="59DAEAEC" w14:textId="77777777" w:rsidR="00695C1F" w:rsidRPr="002E56D9" w:rsidRDefault="00695C1F" w:rsidP="00695C1F">
      <w:pPr>
        <w:pStyle w:val="Literaturverzeichnis"/>
        <w:rPr>
          <w:lang w:val="de-DE"/>
        </w:rPr>
      </w:pPr>
      <w:r>
        <w:t xml:space="preserve">Schumacher, F. R., Berndt, S. I., Siddiq, A., Jacobs, K. B., Wang, Z., Lindstrom, S., Stevens, V. L., Chen, C., Mondul, A. M., Travis, R. C., Stram, D. O., Eeles, R. A., Easton, D. F., Giles, G., Hopper, J. L., Neal, D. E., Hamdy, F. C., Donovan, J. L., Muir, K., … Kraft, P. (2011). Genome-wide association study identifies new prostate cancer susceptibility loci. </w:t>
      </w:r>
      <w:r w:rsidRPr="002E56D9">
        <w:rPr>
          <w:i/>
          <w:iCs/>
          <w:lang w:val="de-DE"/>
        </w:rPr>
        <w:t>Human Molecular Genetics</w:t>
      </w:r>
      <w:r w:rsidRPr="002E56D9">
        <w:rPr>
          <w:lang w:val="de-DE"/>
        </w:rPr>
        <w:t xml:space="preserve">, </w:t>
      </w:r>
      <w:r w:rsidRPr="002E56D9">
        <w:rPr>
          <w:i/>
          <w:iCs/>
          <w:lang w:val="de-DE"/>
        </w:rPr>
        <w:t>20</w:t>
      </w:r>
      <w:r w:rsidRPr="002E56D9">
        <w:rPr>
          <w:lang w:val="de-DE"/>
        </w:rPr>
        <w:t>(19), 3867–3875. https://doi.org/10.1093/hmg/ddr295</w:t>
      </w:r>
    </w:p>
    <w:p w14:paraId="3E73402B" w14:textId="77777777" w:rsidR="00695C1F" w:rsidRDefault="00695C1F" w:rsidP="00695C1F">
      <w:pPr>
        <w:pStyle w:val="Literaturverzeichnis"/>
      </w:pPr>
      <w:r w:rsidRPr="002E56D9">
        <w:rPr>
          <w:lang w:val="de-DE"/>
        </w:rPr>
        <w:t xml:space="preserve">Sherva, R., Wang, Q., Kranzler, H., Zhao, H., Koesterer, R., Herman, A., Farrer, L. A., &amp; Gelernter, J. (2016). </w:t>
      </w:r>
      <w:r>
        <w:t xml:space="preserve">Genome-wide Association Study of Cannabis Dependence Severity, Novel Risk Variants, and Shared Genetic Risks. </w:t>
      </w:r>
      <w:r>
        <w:rPr>
          <w:i/>
          <w:iCs/>
        </w:rPr>
        <w:t>JAMA Psychiatry</w:t>
      </w:r>
      <w:r>
        <w:t xml:space="preserve">, </w:t>
      </w:r>
      <w:r>
        <w:rPr>
          <w:i/>
          <w:iCs/>
        </w:rPr>
        <w:t>73</w:t>
      </w:r>
      <w:r>
        <w:t>(5), 472–480. https://doi.org/10.1001/jamapsychiatry.2016.0036</w:t>
      </w:r>
    </w:p>
    <w:p w14:paraId="667182B1" w14:textId="77777777" w:rsidR="00695C1F" w:rsidRDefault="00695C1F" w:rsidP="00695C1F">
      <w:pPr>
        <w:pStyle w:val="Literaturverzeichnis"/>
      </w:pPr>
      <w:r>
        <w:t xml:space="preserve">Solovieff, N., Hartley, S. W., Baldwin, C. T., Perls, T. T., Steinberg, M. H., &amp; Sebastiani, P. (2010). Clustering by genetic ancestry using genome-wide SNP data. </w:t>
      </w:r>
      <w:r>
        <w:rPr>
          <w:i/>
          <w:iCs/>
        </w:rPr>
        <w:t>BMC Genetics</w:t>
      </w:r>
      <w:r>
        <w:t xml:space="preserve">, </w:t>
      </w:r>
      <w:r>
        <w:rPr>
          <w:i/>
          <w:iCs/>
        </w:rPr>
        <w:t>11</w:t>
      </w:r>
      <w:r>
        <w:t>, 108. https://doi.org/10.1186/1471-2156-11-108</w:t>
      </w:r>
    </w:p>
    <w:p w14:paraId="2BAFAEAC" w14:textId="77777777" w:rsidR="00695C1F" w:rsidRDefault="00695C1F" w:rsidP="00695C1F">
      <w:pPr>
        <w:pStyle w:val="Literaturverzeichnis"/>
      </w:pPr>
      <w:r>
        <w:lastRenderedPageBreak/>
        <w:t xml:space="preserve">Stewart, S. E., Mayerfeld, C., Arnold, P. D., Crane, J. R., O’Dushlaine, C., Fagerness, J. A., Yu, D., Scharf, J. M., Chan, E., Kassam, F., Moya, P. R., Wendland, J. R., Delorme, R., Richter, M. A., Kennedy, J. L., Veenstra-Vanderweele, J., Samuels, J., Greenberg, B. D., Mccracken, J. T., … Mathews, C. A. (2013). Meta-analysis of association between obsessive-compulsive disorder and the 3′ region of neuronal glutamate transporter gene SLC1A1. </w:t>
      </w:r>
      <w:r>
        <w:rPr>
          <w:i/>
          <w:iCs/>
        </w:rPr>
        <w:t>American Journal of Medical Genetics, Part B: Neuropsychiatric Genetics</w:t>
      </w:r>
      <w:r>
        <w:t xml:space="preserve">, </w:t>
      </w:r>
      <w:r>
        <w:rPr>
          <w:i/>
          <w:iCs/>
        </w:rPr>
        <w:t>162</w:t>
      </w:r>
      <w:r>
        <w:t>(4), 367–379. https://doi.org/10.1002/ajmg.b.32137</w:t>
      </w:r>
    </w:p>
    <w:p w14:paraId="0DCCC551" w14:textId="77777777" w:rsidR="00695C1F" w:rsidRDefault="00695C1F" w:rsidP="00695C1F">
      <w:pPr>
        <w:pStyle w:val="Literaturverzeichnis"/>
      </w:pPr>
      <w:r>
        <w:t xml:space="preserve">The 1000 Genomes Project Consortium. (2015). A global reference for human genetic variation. </w:t>
      </w:r>
      <w:r>
        <w:rPr>
          <w:i/>
          <w:iCs/>
        </w:rPr>
        <w:t>Nature</w:t>
      </w:r>
      <w:r>
        <w:t xml:space="preserve">, </w:t>
      </w:r>
      <w:r>
        <w:rPr>
          <w:i/>
          <w:iCs/>
        </w:rPr>
        <w:t>526</w:t>
      </w:r>
      <w:r>
        <w:t>(7571), 68–74. https://doi.org/10.1038/nature15393</w:t>
      </w:r>
    </w:p>
    <w:p w14:paraId="03BA7D2F" w14:textId="77777777" w:rsidR="00695C1F" w:rsidRDefault="00695C1F" w:rsidP="00695C1F">
      <w:pPr>
        <w:pStyle w:val="Literaturverzeichnis"/>
      </w:pPr>
      <w:r>
        <w:t xml:space="preserve">Võsa, U., Claringbould, A., Westra, H.-J., Bonder, M. J., Deelen, P., Zeng, B., Kirsten, H., Saha, A., Kreuzhuber, R., Yazar, S., Brugge, H., Oelen, R., de Vries, D. H., van der Wijst, M. G. P., Kasela, S., Pervjakova, N., Alves, I., Favé, M.-J., Agbessi, M., … Franke, L. (2021). Large-scale cis- and trans-eQTL analyses identify thousands of genetic loci and polygenic scores that regulate blood gene expression. </w:t>
      </w:r>
      <w:r>
        <w:rPr>
          <w:i/>
          <w:iCs/>
        </w:rPr>
        <w:t>Nature Genetics</w:t>
      </w:r>
      <w:r>
        <w:t xml:space="preserve">, </w:t>
      </w:r>
      <w:r>
        <w:rPr>
          <w:i/>
          <w:iCs/>
        </w:rPr>
        <w:t>53</w:t>
      </w:r>
      <w:r>
        <w:t>(9), 1300–1310. https://doi.org/10.1038/s41588-021-00913-z</w:t>
      </w:r>
    </w:p>
    <w:p w14:paraId="246135DD" w14:textId="77777777" w:rsidR="00695C1F" w:rsidRDefault="00695C1F" w:rsidP="00695C1F">
      <w:pPr>
        <w:pStyle w:val="Literaturverzeichnis"/>
      </w:pPr>
      <w:r>
        <w:t xml:space="preserve">Wainberg, M., Merico, D., Keller, M. C., Fauman, E. B., &amp; Tripathy, S. J. (2022). Predicting causal genes from psychiatric genome-wide association studies using high-level etiological knowledge. </w:t>
      </w:r>
      <w:r>
        <w:rPr>
          <w:i/>
          <w:iCs/>
        </w:rPr>
        <w:t>Molecular Psychiatry</w:t>
      </w:r>
      <w:r>
        <w:t xml:space="preserve">, </w:t>
      </w:r>
      <w:r>
        <w:rPr>
          <w:i/>
          <w:iCs/>
        </w:rPr>
        <w:t>27</w:t>
      </w:r>
      <w:r>
        <w:t>(7), Article 7. https://doi.org/10.1038/s41380-022-01542-6</w:t>
      </w:r>
    </w:p>
    <w:p w14:paraId="405C2532" w14:textId="77777777" w:rsidR="00695C1F" w:rsidRDefault="00695C1F" w:rsidP="00695C1F">
      <w:pPr>
        <w:pStyle w:val="Literaturverzeichnis"/>
      </w:pPr>
      <w:r>
        <w:t xml:space="preserve">Wang, C., Zhan, X., Bragg-Gresham, J., Kang, H. M., Stambolian, D., Chew, E. Y., Branham, K. E., Heckenlively, J., Fulton, R., Wilson, R. K., Mardis, E. R., Lin, X., Swaroop, A., Zöllner, S., &amp; Abecasis, G. R. (2014). Ancestry estimation and control of population stratification for sequence-based association studies. </w:t>
      </w:r>
      <w:r>
        <w:rPr>
          <w:i/>
          <w:iCs/>
        </w:rPr>
        <w:t>Nature Genetics</w:t>
      </w:r>
      <w:r>
        <w:t xml:space="preserve">, </w:t>
      </w:r>
      <w:r>
        <w:rPr>
          <w:i/>
          <w:iCs/>
        </w:rPr>
        <w:t>46</w:t>
      </w:r>
      <w:r>
        <w:t>(4), 409–415. https://doi.org/10.1038/ng.2924</w:t>
      </w:r>
    </w:p>
    <w:p w14:paraId="2A0BB4B3" w14:textId="77777777" w:rsidR="00695C1F" w:rsidRPr="002E56D9" w:rsidRDefault="00695C1F" w:rsidP="00695C1F">
      <w:pPr>
        <w:pStyle w:val="Literaturverzeichnis"/>
        <w:rPr>
          <w:lang w:val="de-DE"/>
        </w:rPr>
      </w:pPr>
      <w:r>
        <w:t xml:space="preserve">Warren, H. R., Evangelou, E., Cabrera, C. P., Gao, H., Ren, M., Mifsud, B., Ntalla, I., Surendran, P., Liu, C., Cook, J. P., Kraja, A. T., Drenos, F., Loh, M., Verweij, N., Marten, J., Karaman, I., Segura Lepe, M. P., O’Reilly, P. F., Knight, J., … Morris, A. P. (2017). Genome-wide association analysis identifies novel blood pressure loci and offers </w:t>
      </w:r>
      <w:r>
        <w:lastRenderedPageBreak/>
        <w:t xml:space="preserve">biological insights into cardiovascular risk. </w:t>
      </w:r>
      <w:r w:rsidRPr="002E56D9">
        <w:rPr>
          <w:i/>
          <w:iCs/>
          <w:lang w:val="de-DE"/>
        </w:rPr>
        <w:t>Nature Genetics</w:t>
      </w:r>
      <w:r w:rsidRPr="002E56D9">
        <w:rPr>
          <w:lang w:val="de-DE"/>
        </w:rPr>
        <w:t xml:space="preserve">, </w:t>
      </w:r>
      <w:r w:rsidRPr="002E56D9">
        <w:rPr>
          <w:i/>
          <w:iCs/>
          <w:lang w:val="de-DE"/>
        </w:rPr>
        <w:t>49</w:t>
      </w:r>
      <w:r w:rsidRPr="002E56D9">
        <w:rPr>
          <w:lang w:val="de-DE"/>
        </w:rPr>
        <w:t>(3), 403–415. https://doi.org/10.1038/ng.3768</w:t>
      </w:r>
    </w:p>
    <w:p w14:paraId="1E200016" w14:textId="77777777" w:rsidR="00695C1F" w:rsidRDefault="00695C1F" w:rsidP="00695C1F">
      <w:pPr>
        <w:pStyle w:val="Literaturverzeichnis"/>
      </w:pPr>
      <w:r w:rsidRPr="002E56D9">
        <w:rPr>
          <w:lang w:val="de-DE"/>
        </w:rPr>
        <w:t xml:space="preserve">Zhou, W., Nielsen, J. B., Fritsche, L. G., Dey, R., Gabrielsen, M. E., Wolford, B. N., LeFaive, J., VandeHaar, P., Gagliano, S. A., Gifford, A., Bastarache, L. A., Wei, W. Q., Denny, J. C., Lin, M., Hveem, K., Kang, H. M., Abecasis, G. R., Willer, C. J., &amp; Lee, S. (2018). </w:t>
      </w:r>
      <w:r>
        <w:t xml:space="preserve">Efficiently controlling for case-control imbalance and sample relatedness in large-scale genetic association studies. </w:t>
      </w:r>
      <w:r>
        <w:rPr>
          <w:i/>
          <w:iCs/>
        </w:rPr>
        <w:t>Nature Genetics</w:t>
      </w:r>
      <w:r>
        <w:t xml:space="preserve">, </w:t>
      </w:r>
      <w:r>
        <w:rPr>
          <w:i/>
          <w:iCs/>
        </w:rPr>
        <w:t>50</w:t>
      </w:r>
      <w:r>
        <w:t>(9), 1335–1341. https://doi.org/10.1038/s41588-018-0184-y</w:t>
      </w:r>
    </w:p>
    <w:p w14:paraId="7169C29F" w14:textId="662ED284" w:rsidR="006D710A" w:rsidRPr="006D710A" w:rsidRDefault="006D710A" w:rsidP="000F585A">
      <w:pPr>
        <w:spacing w:line="240" w:lineRule="auto"/>
      </w:pPr>
      <w:r>
        <w:fldChar w:fldCharType="end"/>
      </w:r>
    </w:p>
    <w:p w14:paraId="00000131" w14:textId="7E10F50D" w:rsidR="008E545C" w:rsidRPr="00DD692C" w:rsidRDefault="008E545C" w:rsidP="000F585A">
      <w:pPr>
        <w:widowControl w:val="0"/>
        <w:pBdr>
          <w:top w:val="nil"/>
          <w:left w:val="nil"/>
          <w:bottom w:val="nil"/>
          <w:right w:val="nil"/>
          <w:between w:val="nil"/>
        </w:pBdr>
        <w:spacing w:line="240" w:lineRule="auto"/>
        <w:ind w:left="384" w:hanging="384"/>
      </w:pPr>
    </w:p>
    <w:sectPr w:rsidR="008E545C" w:rsidRPr="00DD692C" w:rsidSect="00DC5CD7">
      <w:headerReference w:type="default" r:id="rId58"/>
      <w:headerReference w:type="first" r:id="rId59"/>
      <w:pgSz w:w="12240" w:h="15840"/>
      <w:pgMar w:top="720" w:right="1440" w:bottom="90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BC3AFB" w14:textId="77777777" w:rsidR="00DC5CD7" w:rsidRDefault="00DC5CD7">
      <w:pPr>
        <w:spacing w:line="240" w:lineRule="auto"/>
      </w:pPr>
      <w:r>
        <w:separator/>
      </w:r>
    </w:p>
  </w:endnote>
  <w:endnote w:type="continuationSeparator" w:id="0">
    <w:p w14:paraId="3CA2662A" w14:textId="77777777" w:rsidR="00DC5CD7" w:rsidRDefault="00DC5CD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00"/>
    <w:family w:val="auto"/>
    <w:pitch w:val="default"/>
  </w:font>
  <w:font w:name="Roboto">
    <w:charset w:val="00"/>
    <w:family w:val="auto"/>
    <w:pitch w:val="variable"/>
    <w:sig w:usb0="E0000AFF" w:usb1="5000217F" w:usb2="00000021" w:usb3="00000000" w:csb0="0000019F" w:csb1="00000000"/>
  </w:font>
  <w:font w:name="Arimo">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3556DE" w14:textId="77777777" w:rsidR="00DC5CD7" w:rsidRDefault="00DC5CD7">
      <w:pPr>
        <w:spacing w:line="240" w:lineRule="auto"/>
      </w:pPr>
      <w:r>
        <w:separator/>
      </w:r>
    </w:p>
  </w:footnote>
  <w:footnote w:type="continuationSeparator" w:id="0">
    <w:p w14:paraId="6814892C" w14:textId="77777777" w:rsidR="00DC5CD7" w:rsidRDefault="00DC5CD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33" w14:textId="03224F36" w:rsidR="008E545C" w:rsidRDefault="00000000">
    <w:pPr>
      <w:jc w:val="right"/>
    </w:pPr>
    <w:r>
      <w:fldChar w:fldCharType="begin"/>
    </w:r>
    <w:r>
      <w:instrText>PAGE</w:instrText>
    </w:r>
    <w:r>
      <w:fldChar w:fldCharType="separate"/>
    </w:r>
    <w:r w:rsidR="00DD692C">
      <w:rPr>
        <w:noProof/>
      </w:rPr>
      <w:t>1</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32" w14:textId="77777777" w:rsidR="008E545C" w:rsidRDefault="008E545C"/>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545C"/>
    <w:rsid w:val="00023B3B"/>
    <w:rsid w:val="00042F2D"/>
    <w:rsid w:val="00065EA0"/>
    <w:rsid w:val="000E2493"/>
    <w:rsid w:val="000F585A"/>
    <w:rsid w:val="00135AD7"/>
    <w:rsid w:val="00157254"/>
    <w:rsid w:val="00163366"/>
    <w:rsid w:val="00196A4E"/>
    <w:rsid w:val="001B4629"/>
    <w:rsid w:val="001D0F65"/>
    <w:rsid w:val="001D3CF9"/>
    <w:rsid w:val="001D76CD"/>
    <w:rsid w:val="001E4992"/>
    <w:rsid w:val="001F066A"/>
    <w:rsid w:val="00262479"/>
    <w:rsid w:val="002B38B1"/>
    <w:rsid w:val="002B7A8A"/>
    <w:rsid w:val="002C15D0"/>
    <w:rsid w:val="002E56D9"/>
    <w:rsid w:val="00301158"/>
    <w:rsid w:val="00302EE6"/>
    <w:rsid w:val="003136E8"/>
    <w:rsid w:val="00316A97"/>
    <w:rsid w:val="00322384"/>
    <w:rsid w:val="00325EA1"/>
    <w:rsid w:val="00351B9C"/>
    <w:rsid w:val="00381117"/>
    <w:rsid w:val="00441BB3"/>
    <w:rsid w:val="00465EFC"/>
    <w:rsid w:val="00494CF1"/>
    <w:rsid w:val="00561C75"/>
    <w:rsid w:val="005944C3"/>
    <w:rsid w:val="005D60A4"/>
    <w:rsid w:val="005E689A"/>
    <w:rsid w:val="00656168"/>
    <w:rsid w:val="00662D24"/>
    <w:rsid w:val="00671FAF"/>
    <w:rsid w:val="00693630"/>
    <w:rsid w:val="00695C1F"/>
    <w:rsid w:val="006D710A"/>
    <w:rsid w:val="00810C9F"/>
    <w:rsid w:val="0086149C"/>
    <w:rsid w:val="00862BFC"/>
    <w:rsid w:val="00867E80"/>
    <w:rsid w:val="00872FF2"/>
    <w:rsid w:val="0089583A"/>
    <w:rsid w:val="008E545C"/>
    <w:rsid w:val="00916018"/>
    <w:rsid w:val="009444A4"/>
    <w:rsid w:val="00944AFF"/>
    <w:rsid w:val="00970648"/>
    <w:rsid w:val="009926FD"/>
    <w:rsid w:val="00A16DDA"/>
    <w:rsid w:val="00A821F7"/>
    <w:rsid w:val="00AC1016"/>
    <w:rsid w:val="00AD62FC"/>
    <w:rsid w:val="00B575AF"/>
    <w:rsid w:val="00C05F4F"/>
    <w:rsid w:val="00C1160D"/>
    <w:rsid w:val="00C41D11"/>
    <w:rsid w:val="00CA3554"/>
    <w:rsid w:val="00D0382E"/>
    <w:rsid w:val="00D4634B"/>
    <w:rsid w:val="00DC5CD7"/>
    <w:rsid w:val="00DD692C"/>
    <w:rsid w:val="00DD6D2B"/>
    <w:rsid w:val="00E23A18"/>
    <w:rsid w:val="00E419DC"/>
    <w:rsid w:val="00E66CEA"/>
    <w:rsid w:val="00F03477"/>
    <w:rsid w:val="00F622B4"/>
    <w:rsid w:val="00FC38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4EF165"/>
  <w15:docId w15:val="{B4F477D8-EFCA-4B2B-80A9-6C16751A8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A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keepNext/>
      <w:keepLines/>
      <w:spacing w:before="400" w:after="120"/>
      <w:outlineLvl w:val="0"/>
    </w:pPr>
    <w:rPr>
      <w:sz w:val="40"/>
      <w:szCs w:val="40"/>
    </w:rPr>
  </w:style>
  <w:style w:type="paragraph" w:styleId="berschrift2">
    <w:name w:val="heading 2"/>
    <w:basedOn w:val="Standard"/>
    <w:next w:val="Standard"/>
    <w:link w:val="berschrift2Zchn"/>
    <w:uiPriority w:val="9"/>
    <w:unhideWhenUsed/>
    <w:qFormat/>
    <w:pPr>
      <w:keepNext/>
      <w:keepLines/>
      <w:spacing w:before="360" w:after="120"/>
      <w:outlineLvl w:val="1"/>
    </w:pPr>
    <w:rPr>
      <w:sz w:val="32"/>
      <w:szCs w:val="32"/>
    </w:rPr>
  </w:style>
  <w:style w:type="paragraph" w:styleId="berschrift3">
    <w:name w:val="heading 3"/>
    <w:basedOn w:val="Standard"/>
    <w:next w:val="Standard"/>
    <w:uiPriority w:val="9"/>
    <w:unhideWhenUsed/>
    <w:qFormat/>
    <w:pPr>
      <w:keepNext/>
      <w:keepLines/>
      <w:spacing w:before="320" w:after="80"/>
      <w:outlineLvl w:val="2"/>
    </w:pPr>
    <w:rPr>
      <w:i/>
      <w:color w:val="434343"/>
      <w:sz w:val="26"/>
      <w:szCs w:val="26"/>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table" w:customStyle="1" w:styleId="a1">
    <w:basedOn w:val="TableNormal0"/>
    <w:tblPr>
      <w:tblStyleRowBandSize w:val="1"/>
      <w:tblStyleColBandSize w:val="1"/>
      <w:tblCellMar>
        <w:top w:w="100" w:type="dxa"/>
        <w:left w:w="100" w:type="dxa"/>
        <w:bottom w:w="100" w:type="dxa"/>
        <w:right w:w="100"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 w:type="table" w:customStyle="1" w:styleId="a3">
    <w:basedOn w:val="TableNormal0"/>
    <w:tblPr>
      <w:tblStyleRowBandSize w:val="1"/>
      <w:tblStyleColBandSize w:val="1"/>
      <w:tblCellMar>
        <w:top w:w="100" w:type="dxa"/>
        <w:left w:w="100" w:type="dxa"/>
        <w:bottom w:w="100" w:type="dxa"/>
        <w:right w:w="100"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paragraph" w:styleId="Kommentartext">
    <w:name w:val="annotation text"/>
    <w:basedOn w:val="Standard"/>
    <w:link w:val="KommentartextZchn"/>
    <w:uiPriority w:val="99"/>
    <w:unhideWhenUsed/>
    <w:pPr>
      <w:spacing w:line="240" w:lineRule="auto"/>
    </w:pPr>
    <w:rPr>
      <w:sz w:val="20"/>
      <w:szCs w:val="20"/>
    </w:rPr>
  </w:style>
  <w:style w:type="character" w:customStyle="1" w:styleId="KommentartextZchn">
    <w:name w:val="Kommentartext Zchn"/>
    <w:basedOn w:val="Absatz-Standardschriftart"/>
    <w:link w:val="Kommentartext"/>
    <w:uiPriority w:val="99"/>
    <w:rPr>
      <w:sz w:val="20"/>
      <w:szCs w:val="20"/>
    </w:rPr>
  </w:style>
  <w:style w:type="character" w:styleId="Kommentarzeichen">
    <w:name w:val="annotation reference"/>
    <w:basedOn w:val="Absatz-Standardschriftart"/>
    <w:uiPriority w:val="99"/>
    <w:semiHidden/>
    <w:unhideWhenUsed/>
    <w:rPr>
      <w:sz w:val="16"/>
      <w:szCs w:val="16"/>
    </w:rPr>
  </w:style>
  <w:style w:type="character" w:styleId="Platzhaltertext">
    <w:name w:val="Placeholder Text"/>
    <w:basedOn w:val="Absatz-Standardschriftart"/>
    <w:uiPriority w:val="99"/>
    <w:semiHidden/>
    <w:rsid w:val="00DD692C"/>
    <w:rPr>
      <w:color w:val="666666"/>
    </w:rPr>
  </w:style>
  <w:style w:type="paragraph" w:styleId="Kommentarthema">
    <w:name w:val="annotation subject"/>
    <w:basedOn w:val="Kommentartext"/>
    <w:next w:val="Kommentartext"/>
    <w:link w:val="KommentarthemaZchn"/>
    <w:uiPriority w:val="99"/>
    <w:semiHidden/>
    <w:unhideWhenUsed/>
    <w:rsid w:val="000E2493"/>
    <w:rPr>
      <w:b/>
      <w:bCs/>
    </w:rPr>
  </w:style>
  <w:style w:type="character" w:customStyle="1" w:styleId="KommentarthemaZchn">
    <w:name w:val="Kommentarthema Zchn"/>
    <w:basedOn w:val="KommentartextZchn"/>
    <w:link w:val="Kommentarthema"/>
    <w:uiPriority w:val="99"/>
    <w:semiHidden/>
    <w:rsid w:val="000E2493"/>
    <w:rPr>
      <w:b/>
      <w:bCs/>
      <w:sz w:val="20"/>
      <w:szCs w:val="20"/>
    </w:rPr>
  </w:style>
  <w:style w:type="character" w:styleId="Hyperlink">
    <w:name w:val="Hyperlink"/>
    <w:basedOn w:val="Absatz-Standardschriftart"/>
    <w:uiPriority w:val="99"/>
    <w:unhideWhenUsed/>
    <w:rsid w:val="00F03477"/>
    <w:rPr>
      <w:color w:val="0000FF" w:themeColor="hyperlink"/>
      <w:u w:val="single"/>
    </w:rPr>
  </w:style>
  <w:style w:type="character" w:styleId="NichtaufgelsteErwhnung">
    <w:name w:val="Unresolved Mention"/>
    <w:basedOn w:val="Absatz-Standardschriftart"/>
    <w:uiPriority w:val="99"/>
    <w:semiHidden/>
    <w:unhideWhenUsed/>
    <w:rsid w:val="00F03477"/>
    <w:rPr>
      <w:color w:val="605E5C"/>
      <w:shd w:val="clear" w:color="auto" w:fill="E1DFDD"/>
    </w:rPr>
  </w:style>
  <w:style w:type="paragraph" w:styleId="Literaturverzeichnis">
    <w:name w:val="Bibliography"/>
    <w:basedOn w:val="Standard"/>
    <w:next w:val="Standard"/>
    <w:uiPriority w:val="37"/>
    <w:unhideWhenUsed/>
    <w:rsid w:val="006D710A"/>
    <w:pPr>
      <w:spacing w:line="480" w:lineRule="auto"/>
      <w:ind w:left="720" w:hanging="720"/>
    </w:pPr>
  </w:style>
  <w:style w:type="paragraph" w:styleId="Inhaltsverzeichnisberschrift">
    <w:name w:val="TOC Heading"/>
    <w:basedOn w:val="berschrift1"/>
    <w:next w:val="Standard"/>
    <w:uiPriority w:val="39"/>
    <w:unhideWhenUsed/>
    <w:qFormat/>
    <w:rsid w:val="000F585A"/>
    <w:pPr>
      <w:spacing w:before="240" w:after="0" w:line="259" w:lineRule="auto"/>
      <w:outlineLvl w:val="9"/>
    </w:pPr>
    <w:rPr>
      <w:rFonts w:asciiTheme="majorHAnsi" w:eastAsiaTheme="majorEastAsia" w:hAnsiTheme="majorHAnsi" w:cstheme="majorBidi"/>
      <w:color w:val="365F91" w:themeColor="accent1" w:themeShade="BF"/>
      <w:sz w:val="32"/>
      <w:szCs w:val="32"/>
      <w:lang w:val="en-AU"/>
    </w:rPr>
  </w:style>
  <w:style w:type="paragraph" w:styleId="Verzeichnis1">
    <w:name w:val="toc 1"/>
    <w:basedOn w:val="Standard"/>
    <w:next w:val="Standard"/>
    <w:autoRedefine/>
    <w:uiPriority w:val="39"/>
    <w:unhideWhenUsed/>
    <w:rsid w:val="000F585A"/>
    <w:pPr>
      <w:spacing w:after="100"/>
    </w:pPr>
  </w:style>
  <w:style w:type="paragraph" w:styleId="Verzeichnis2">
    <w:name w:val="toc 2"/>
    <w:basedOn w:val="Standard"/>
    <w:next w:val="Standard"/>
    <w:autoRedefine/>
    <w:uiPriority w:val="39"/>
    <w:unhideWhenUsed/>
    <w:rsid w:val="000F585A"/>
    <w:pPr>
      <w:spacing w:after="100"/>
      <w:ind w:left="220"/>
    </w:pPr>
  </w:style>
  <w:style w:type="paragraph" w:styleId="Verzeichnis3">
    <w:name w:val="toc 3"/>
    <w:basedOn w:val="Standard"/>
    <w:next w:val="Standard"/>
    <w:autoRedefine/>
    <w:uiPriority w:val="39"/>
    <w:unhideWhenUsed/>
    <w:rsid w:val="000F585A"/>
    <w:pPr>
      <w:spacing w:after="100"/>
      <w:ind w:left="440"/>
    </w:pPr>
  </w:style>
  <w:style w:type="character" w:customStyle="1" w:styleId="berschrift2Zchn">
    <w:name w:val="Überschrift 2 Zchn"/>
    <w:basedOn w:val="Absatz-Standardschriftart"/>
    <w:link w:val="berschrift2"/>
    <w:uiPriority w:val="9"/>
    <w:rsid w:val="00810C9F"/>
    <w:rPr>
      <w:sz w:val="32"/>
      <w:szCs w:val="32"/>
    </w:rPr>
  </w:style>
  <w:style w:type="paragraph" w:styleId="berarbeitung">
    <w:name w:val="Revision"/>
    <w:hidden/>
    <w:uiPriority w:val="99"/>
    <w:semiHidden/>
    <w:rsid w:val="00D0382E"/>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156673">
      <w:bodyDiv w:val="1"/>
      <w:marLeft w:val="0"/>
      <w:marRight w:val="0"/>
      <w:marTop w:val="0"/>
      <w:marBottom w:val="0"/>
      <w:divBdr>
        <w:top w:val="none" w:sz="0" w:space="0" w:color="auto"/>
        <w:left w:val="none" w:sz="0" w:space="0" w:color="auto"/>
        <w:bottom w:val="none" w:sz="0" w:space="0" w:color="auto"/>
        <w:right w:val="none" w:sz="0" w:space="0" w:color="auto"/>
      </w:divBdr>
      <w:divsChild>
        <w:div w:id="1955212788">
          <w:blockQuote w:val="1"/>
          <w:marLeft w:val="75"/>
          <w:marRight w:val="75"/>
          <w:marTop w:val="75"/>
          <w:marBottom w:val="75"/>
          <w:divBdr>
            <w:top w:val="none" w:sz="0" w:space="0" w:color="auto"/>
            <w:left w:val="none" w:sz="0" w:space="0" w:color="auto"/>
            <w:bottom w:val="none" w:sz="0" w:space="0" w:color="auto"/>
            <w:right w:val="none" w:sz="0" w:space="0" w:color="auto"/>
          </w:divBdr>
          <w:divsChild>
            <w:div w:id="1842306635">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02845975">
                  <w:marLeft w:val="0"/>
                  <w:marRight w:val="0"/>
                  <w:marTop w:val="0"/>
                  <w:marBottom w:val="0"/>
                  <w:divBdr>
                    <w:top w:val="none" w:sz="0" w:space="0" w:color="auto"/>
                    <w:left w:val="none" w:sz="0" w:space="0" w:color="auto"/>
                    <w:bottom w:val="none" w:sz="0" w:space="0" w:color="auto"/>
                    <w:right w:val="none" w:sz="0" w:space="0" w:color="auto"/>
                  </w:divBdr>
                  <w:divsChild>
                    <w:div w:id="1260213180">
                      <w:marLeft w:val="0"/>
                      <w:marRight w:val="0"/>
                      <w:marTop w:val="0"/>
                      <w:marBottom w:val="0"/>
                      <w:divBdr>
                        <w:top w:val="none" w:sz="0" w:space="0" w:color="auto"/>
                        <w:left w:val="none" w:sz="0" w:space="0" w:color="auto"/>
                        <w:bottom w:val="none" w:sz="0" w:space="0" w:color="auto"/>
                        <w:right w:val="none" w:sz="0" w:space="0" w:color="auto"/>
                      </w:divBdr>
                      <w:divsChild>
                        <w:div w:id="1158231489">
                          <w:marLeft w:val="0"/>
                          <w:marRight w:val="0"/>
                          <w:marTop w:val="0"/>
                          <w:marBottom w:val="0"/>
                          <w:divBdr>
                            <w:top w:val="none" w:sz="0" w:space="0" w:color="auto"/>
                            <w:left w:val="none" w:sz="0" w:space="0" w:color="auto"/>
                            <w:bottom w:val="none" w:sz="0" w:space="0" w:color="auto"/>
                            <w:right w:val="none" w:sz="0" w:space="0" w:color="auto"/>
                          </w:divBdr>
                          <w:divsChild>
                            <w:div w:id="223641430">
                              <w:blockQuote w:val="1"/>
                              <w:marLeft w:val="75"/>
                              <w:marRight w:val="75"/>
                              <w:marTop w:val="75"/>
                              <w:marBottom w:val="75"/>
                              <w:divBdr>
                                <w:top w:val="none" w:sz="0" w:space="0" w:color="auto"/>
                                <w:left w:val="none" w:sz="0" w:space="0" w:color="auto"/>
                                <w:bottom w:val="none" w:sz="0" w:space="0" w:color="auto"/>
                                <w:right w:val="none" w:sz="0" w:space="0" w:color="auto"/>
                              </w:divBdr>
                              <w:divsChild>
                                <w:div w:id="1904749958">
                                  <w:marLeft w:val="0"/>
                                  <w:marRight w:val="0"/>
                                  <w:marTop w:val="0"/>
                                  <w:marBottom w:val="0"/>
                                  <w:divBdr>
                                    <w:top w:val="none" w:sz="0" w:space="0" w:color="auto"/>
                                    <w:left w:val="none" w:sz="0" w:space="0" w:color="auto"/>
                                    <w:bottom w:val="none" w:sz="0" w:space="0" w:color="auto"/>
                                    <w:right w:val="none" w:sz="0" w:space="0" w:color="auto"/>
                                  </w:divBdr>
                                  <w:divsChild>
                                    <w:div w:id="101001959">
                                      <w:marLeft w:val="0"/>
                                      <w:marRight w:val="0"/>
                                      <w:marTop w:val="0"/>
                                      <w:marBottom w:val="0"/>
                                      <w:divBdr>
                                        <w:top w:val="none" w:sz="0" w:space="0" w:color="auto"/>
                                        <w:left w:val="none" w:sz="0" w:space="0" w:color="auto"/>
                                        <w:bottom w:val="none" w:sz="0" w:space="0" w:color="auto"/>
                                        <w:right w:val="none" w:sz="0" w:space="0" w:color="auto"/>
                                      </w:divBdr>
                                      <w:divsChild>
                                        <w:div w:id="919171924">
                                          <w:marLeft w:val="0"/>
                                          <w:marRight w:val="0"/>
                                          <w:marTop w:val="0"/>
                                          <w:marBottom w:val="0"/>
                                          <w:divBdr>
                                            <w:top w:val="none" w:sz="0" w:space="0" w:color="auto"/>
                                            <w:left w:val="none" w:sz="0" w:space="0" w:color="auto"/>
                                            <w:bottom w:val="none" w:sz="0" w:space="0" w:color="auto"/>
                                            <w:right w:val="none" w:sz="0" w:space="0" w:color="auto"/>
                                          </w:divBdr>
                                          <w:divsChild>
                                            <w:div w:id="959265764">
                                              <w:marLeft w:val="0"/>
                                              <w:marRight w:val="0"/>
                                              <w:marTop w:val="0"/>
                                              <w:marBottom w:val="0"/>
                                              <w:divBdr>
                                                <w:top w:val="none" w:sz="0" w:space="0" w:color="auto"/>
                                                <w:left w:val="none" w:sz="0" w:space="0" w:color="auto"/>
                                                <w:bottom w:val="none" w:sz="0" w:space="0" w:color="auto"/>
                                                <w:right w:val="none" w:sz="0" w:space="0" w:color="auto"/>
                                              </w:divBdr>
                                              <w:divsChild>
                                                <w:div w:id="77124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54111339">
      <w:bodyDiv w:val="1"/>
      <w:marLeft w:val="0"/>
      <w:marRight w:val="0"/>
      <w:marTop w:val="0"/>
      <w:marBottom w:val="0"/>
      <w:divBdr>
        <w:top w:val="none" w:sz="0" w:space="0" w:color="auto"/>
        <w:left w:val="none" w:sz="0" w:space="0" w:color="auto"/>
        <w:bottom w:val="none" w:sz="0" w:space="0" w:color="auto"/>
        <w:right w:val="none" w:sz="0" w:space="0" w:color="auto"/>
      </w:divBdr>
    </w:div>
    <w:div w:id="516191565">
      <w:bodyDiv w:val="1"/>
      <w:marLeft w:val="0"/>
      <w:marRight w:val="0"/>
      <w:marTop w:val="0"/>
      <w:marBottom w:val="0"/>
      <w:divBdr>
        <w:top w:val="none" w:sz="0" w:space="0" w:color="auto"/>
        <w:left w:val="none" w:sz="0" w:space="0" w:color="auto"/>
        <w:bottom w:val="none" w:sz="0" w:space="0" w:color="auto"/>
        <w:right w:val="none" w:sz="0" w:space="0" w:color="auto"/>
      </w:divBdr>
      <w:divsChild>
        <w:div w:id="1755317179">
          <w:blockQuote w:val="1"/>
          <w:marLeft w:val="75"/>
          <w:marRight w:val="75"/>
          <w:marTop w:val="75"/>
          <w:marBottom w:val="75"/>
          <w:divBdr>
            <w:top w:val="none" w:sz="0" w:space="0" w:color="auto"/>
            <w:left w:val="none" w:sz="0" w:space="0" w:color="auto"/>
            <w:bottom w:val="none" w:sz="0" w:space="0" w:color="auto"/>
            <w:right w:val="none" w:sz="0" w:space="0" w:color="auto"/>
          </w:divBdr>
          <w:divsChild>
            <w:div w:id="1931812842">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088768365">
                  <w:marLeft w:val="0"/>
                  <w:marRight w:val="0"/>
                  <w:marTop w:val="0"/>
                  <w:marBottom w:val="0"/>
                  <w:divBdr>
                    <w:top w:val="none" w:sz="0" w:space="0" w:color="auto"/>
                    <w:left w:val="none" w:sz="0" w:space="0" w:color="auto"/>
                    <w:bottom w:val="none" w:sz="0" w:space="0" w:color="auto"/>
                    <w:right w:val="none" w:sz="0" w:space="0" w:color="auto"/>
                  </w:divBdr>
                  <w:divsChild>
                    <w:div w:id="444545510">
                      <w:marLeft w:val="0"/>
                      <w:marRight w:val="0"/>
                      <w:marTop w:val="0"/>
                      <w:marBottom w:val="0"/>
                      <w:divBdr>
                        <w:top w:val="none" w:sz="0" w:space="0" w:color="auto"/>
                        <w:left w:val="none" w:sz="0" w:space="0" w:color="auto"/>
                        <w:bottom w:val="none" w:sz="0" w:space="0" w:color="auto"/>
                        <w:right w:val="none" w:sz="0" w:space="0" w:color="auto"/>
                      </w:divBdr>
                      <w:divsChild>
                        <w:div w:id="141967395">
                          <w:marLeft w:val="0"/>
                          <w:marRight w:val="0"/>
                          <w:marTop w:val="0"/>
                          <w:marBottom w:val="0"/>
                          <w:divBdr>
                            <w:top w:val="none" w:sz="0" w:space="0" w:color="auto"/>
                            <w:left w:val="none" w:sz="0" w:space="0" w:color="auto"/>
                            <w:bottom w:val="none" w:sz="0" w:space="0" w:color="auto"/>
                            <w:right w:val="none" w:sz="0" w:space="0" w:color="auto"/>
                          </w:divBdr>
                          <w:divsChild>
                            <w:div w:id="1288123279">
                              <w:blockQuote w:val="1"/>
                              <w:marLeft w:val="75"/>
                              <w:marRight w:val="75"/>
                              <w:marTop w:val="75"/>
                              <w:marBottom w:val="75"/>
                              <w:divBdr>
                                <w:top w:val="none" w:sz="0" w:space="0" w:color="auto"/>
                                <w:left w:val="none" w:sz="0" w:space="0" w:color="auto"/>
                                <w:bottom w:val="none" w:sz="0" w:space="0" w:color="auto"/>
                                <w:right w:val="none" w:sz="0" w:space="0" w:color="auto"/>
                              </w:divBdr>
                              <w:divsChild>
                                <w:div w:id="1662345071">
                                  <w:marLeft w:val="0"/>
                                  <w:marRight w:val="0"/>
                                  <w:marTop w:val="0"/>
                                  <w:marBottom w:val="0"/>
                                  <w:divBdr>
                                    <w:top w:val="none" w:sz="0" w:space="0" w:color="auto"/>
                                    <w:left w:val="none" w:sz="0" w:space="0" w:color="auto"/>
                                    <w:bottom w:val="none" w:sz="0" w:space="0" w:color="auto"/>
                                    <w:right w:val="none" w:sz="0" w:space="0" w:color="auto"/>
                                  </w:divBdr>
                                  <w:divsChild>
                                    <w:div w:id="1311669526">
                                      <w:marLeft w:val="0"/>
                                      <w:marRight w:val="0"/>
                                      <w:marTop w:val="0"/>
                                      <w:marBottom w:val="0"/>
                                      <w:divBdr>
                                        <w:top w:val="none" w:sz="0" w:space="0" w:color="auto"/>
                                        <w:left w:val="none" w:sz="0" w:space="0" w:color="auto"/>
                                        <w:bottom w:val="none" w:sz="0" w:space="0" w:color="auto"/>
                                        <w:right w:val="none" w:sz="0" w:space="0" w:color="auto"/>
                                      </w:divBdr>
                                      <w:divsChild>
                                        <w:div w:id="1225025395">
                                          <w:marLeft w:val="0"/>
                                          <w:marRight w:val="0"/>
                                          <w:marTop w:val="0"/>
                                          <w:marBottom w:val="0"/>
                                          <w:divBdr>
                                            <w:top w:val="none" w:sz="0" w:space="0" w:color="auto"/>
                                            <w:left w:val="none" w:sz="0" w:space="0" w:color="auto"/>
                                            <w:bottom w:val="none" w:sz="0" w:space="0" w:color="auto"/>
                                            <w:right w:val="none" w:sz="0" w:space="0" w:color="auto"/>
                                          </w:divBdr>
                                          <w:divsChild>
                                            <w:div w:id="309142996">
                                              <w:marLeft w:val="0"/>
                                              <w:marRight w:val="0"/>
                                              <w:marTop w:val="0"/>
                                              <w:marBottom w:val="0"/>
                                              <w:divBdr>
                                                <w:top w:val="none" w:sz="0" w:space="0" w:color="auto"/>
                                                <w:left w:val="none" w:sz="0" w:space="0" w:color="auto"/>
                                                <w:bottom w:val="none" w:sz="0" w:space="0" w:color="auto"/>
                                                <w:right w:val="none" w:sz="0" w:space="0" w:color="auto"/>
                                              </w:divBdr>
                                              <w:divsChild>
                                                <w:div w:id="44604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4251390">
      <w:bodyDiv w:val="1"/>
      <w:marLeft w:val="0"/>
      <w:marRight w:val="0"/>
      <w:marTop w:val="0"/>
      <w:marBottom w:val="0"/>
      <w:divBdr>
        <w:top w:val="none" w:sz="0" w:space="0" w:color="auto"/>
        <w:left w:val="none" w:sz="0" w:space="0" w:color="auto"/>
        <w:bottom w:val="none" w:sz="0" w:space="0" w:color="auto"/>
        <w:right w:val="none" w:sz="0" w:space="0" w:color="auto"/>
      </w:divBdr>
      <w:divsChild>
        <w:div w:id="260718933">
          <w:blockQuote w:val="1"/>
          <w:marLeft w:val="75"/>
          <w:marRight w:val="75"/>
          <w:marTop w:val="75"/>
          <w:marBottom w:val="75"/>
          <w:divBdr>
            <w:top w:val="none" w:sz="0" w:space="0" w:color="auto"/>
            <w:left w:val="none" w:sz="0" w:space="0" w:color="auto"/>
            <w:bottom w:val="none" w:sz="0" w:space="0" w:color="auto"/>
            <w:right w:val="none" w:sz="0" w:space="0" w:color="auto"/>
          </w:divBdr>
          <w:divsChild>
            <w:div w:id="1916431421">
              <w:blockQuote w:val="1"/>
              <w:marLeft w:val="0"/>
              <w:marRight w:val="0"/>
              <w:marTop w:val="0"/>
              <w:marBottom w:val="0"/>
              <w:divBdr>
                <w:top w:val="none" w:sz="0" w:space="0" w:color="auto"/>
                <w:left w:val="single" w:sz="12" w:space="5" w:color="1010FF"/>
                <w:bottom w:val="none" w:sz="0" w:space="0" w:color="auto"/>
                <w:right w:val="none" w:sz="0" w:space="0" w:color="auto"/>
              </w:divBdr>
              <w:divsChild>
                <w:div w:id="811141364">
                  <w:marLeft w:val="0"/>
                  <w:marRight w:val="0"/>
                  <w:marTop w:val="0"/>
                  <w:marBottom w:val="0"/>
                  <w:divBdr>
                    <w:top w:val="none" w:sz="0" w:space="0" w:color="auto"/>
                    <w:left w:val="none" w:sz="0" w:space="0" w:color="auto"/>
                    <w:bottom w:val="none" w:sz="0" w:space="0" w:color="auto"/>
                    <w:right w:val="none" w:sz="0" w:space="0" w:color="auto"/>
                  </w:divBdr>
                  <w:divsChild>
                    <w:div w:id="557521366">
                      <w:marLeft w:val="0"/>
                      <w:marRight w:val="0"/>
                      <w:marTop w:val="0"/>
                      <w:marBottom w:val="0"/>
                      <w:divBdr>
                        <w:top w:val="none" w:sz="0" w:space="0" w:color="auto"/>
                        <w:left w:val="none" w:sz="0" w:space="0" w:color="auto"/>
                        <w:bottom w:val="none" w:sz="0" w:space="0" w:color="auto"/>
                        <w:right w:val="none" w:sz="0" w:space="0" w:color="auto"/>
                      </w:divBdr>
                      <w:divsChild>
                        <w:div w:id="1914121784">
                          <w:marLeft w:val="0"/>
                          <w:marRight w:val="0"/>
                          <w:marTop w:val="0"/>
                          <w:marBottom w:val="0"/>
                          <w:divBdr>
                            <w:top w:val="none" w:sz="0" w:space="0" w:color="auto"/>
                            <w:left w:val="none" w:sz="0" w:space="0" w:color="auto"/>
                            <w:bottom w:val="none" w:sz="0" w:space="0" w:color="auto"/>
                            <w:right w:val="none" w:sz="0" w:space="0" w:color="auto"/>
                          </w:divBdr>
                          <w:divsChild>
                            <w:div w:id="724452426">
                              <w:blockQuote w:val="1"/>
                              <w:marLeft w:val="75"/>
                              <w:marRight w:val="75"/>
                              <w:marTop w:val="75"/>
                              <w:marBottom w:val="75"/>
                              <w:divBdr>
                                <w:top w:val="none" w:sz="0" w:space="0" w:color="auto"/>
                                <w:left w:val="none" w:sz="0" w:space="0" w:color="auto"/>
                                <w:bottom w:val="none" w:sz="0" w:space="0" w:color="auto"/>
                                <w:right w:val="none" w:sz="0" w:space="0" w:color="auto"/>
                              </w:divBdr>
                              <w:divsChild>
                                <w:div w:id="303582158">
                                  <w:marLeft w:val="0"/>
                                  <w:marRight w:val="0"/>
                                  <w:marTop w:val="0"/>
                                  <w:marBottom w:val="0"/>
                                  <w:divBdr>
                                    <w:top w:val="none" w:sz="0" w:space="0" w:color="auto"/>
                                    <w:left w:val="none" w:sz="0" w:space="0" w:color="auto"/>
                                    <w:bottom w:val="none" w:sz="0" w:space="0" w:color="auto"/>
                                    <w:right w:val="none" w:sz="0" w:space="0" w:color="auto"/>
                                  </w:divBdr>
                                  <w:divsChild>
                                    <w:div w:id="1616253100">
                                      <w:marLeft w:val="0"/>
                                      <w:marRight w:val="0"/>
                                      <w:marTop w:val="0"/>
                                      <w:marBottom w:val="0"/>
                                      <w:divBdr>
                                        <w:top w:val="none" w:sz="0" w:space="0" w:color="auto"/>
                                        <w:left w:val="none" w:sz="0" w:space="0" w:color="auto"/>
                                        <w:bottom w:val="none" w:sz="0" w:space="0" w:color="auto"/>
                                        <w:right w:val="none" w:sz="0" w:space="0" w:color="auto"/>
                                      </w:divBdr>
                                      <w:divsChild>
                                        <w:div w:id="1608078885">
                                          <w:marLeft w:val="0"/>
                                          <w:marRight w:val="0"/>
                                          <w:marTop w:val="0"/>
                                          <w:marBottom w:val="0"/>
                                          <w:divBdr>
                                            <w:top w:val="none" w:sz="0" w:space="0" w:color="auto"/>
                                            <w:left w:val="none" w:sz="0" w:space="0" w:color="auto"/>
                                            <w:bottom w:val="none" w:sz="0" w:space="0" w:color="auto"/>
                                            <w:right w:val="none" w:sz="0" w:space="0" w:color="auto"/>
                                          </w:divBdr>
                                          <w:divsChild>
                                            <w:div w:id="438111565">
                                              <w:marLeft w:val="0"/>
                                              <w:marRight w:val="0"/>
                                              <w:marTop w:val="0"/>
                                              <w:marBottom w:val="0"/>
                                              <w:divBdr>
                                                <w:top w:val="none" w:sz="0" w:space="0" w:color="auto"/>
                                                <w:left w:val="none" w:sz="0" w:space="0" w:color="auto"/>
                                                <w:bottom w:val="none" w:sz="0" w:space="0" w:color="auto"/>
                                                <w:right w:val="none" w:sz="0" w:space="0" w:color="auto"/>
                                              </w:divBdr>
                                              <w:divsChild>
                                                <w:div w:id="1928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zotero.org/google-docs/?broken=YZwljy"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jpg"/><Relationship Id="rId55" Type="http://schemas.openxmlformats.org/officeDocument/2006/relationships/image" Target="media/image40.jpg"/><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http://genome.sph.umich.edu/wiki/Minimac3"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jp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hyperlink" Target="https://www.zotero.org/google-docs/?broken=gxbyV9"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jpg"/><Relationship Id="rId56" Type="http://schemas.openxmlformats.org/officeDocument/2006/relationships/hyperlink" Target="https://www.zotero.org/google-docs/?broken=oHQzHH" TargetMode="External"/><Relationship Id="rId8" Type="http://schemas.openxmlformats.org/officeDocument/2006/relationships/hyperlink" Target="https://www.versiticlinicaltrials.org/salusirb" TargetMode="External"/><Relationship Id="rId51" Type="http://schemas.openxmlformats.org/officeDocument/2006/relationships/image" Target="media/image36.jpg"/><Relationship Id="rId3" Type="http://schemas.openxmlformats.org/officeDocument/2006/relationships/styles" Target="styles.xml"/><Relationship Id="rId12" Type="http://schemas.openxmlformats.org/officeDocument/2006/relationships/hyperlink" Target="https://www.zotero.org/google-docs/?VBqemJ"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eader" Target="header2.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zotero.org/google-docs/?1Gu3w0"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jpg"/><Relationship Id="rId57" Type="http://schemas.openxmlformats.org/officeDocument/2006/relationships/hyperlink" Target="https://www.zotero.org/google-docs/?broken=jyV5j9" TargetMode="External"/><Relationship Id="rId10" Type="http://schemas.openxmlformats.org/officeDocument/2006/relationships/hyperlink" Target="http://csg.sph.umich.edu/chaolong/LASER/"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jp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zotero.org/google-docs/?Mu1U2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bkCpWpCXvGoVTiklg/tvuWc7H+w==">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</go:docsCustomData>
</go:gDocsCustomXmlDataStorage>
</file>

<file path=customXml/itemProps1.xml><?xml version="1.0" encoding="utf-8"?>
<ds:datastoreItem xmlns:ds="http://schemas.openxmlformats.org/officeDocument/2006/customXml" ds:itemID="{C909E929-A128-4F8C-84E7-5F33CC6BFB9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95</Pages>
  <Words>79714</Words>
  <Characters>454372</Characters>
  <Application>Microsoft Office Word</Application>
  <DocSecurity>0</DocSecurity>
  <Lines>3786</Lines>
  <Paragraphs>1066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533020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Nora Strom</cp:lastModifiedBy>
  <cp:revision>29</cp:revision>
  <dcterms:created xsi:type="dcterms:W3CDTF">2023-11-10T09:11:00Z</dcterms:created>
  <dcterms:modified xsi:type="dcterms:W3CDTF">2024-03-13T12:58:00Z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id="rY82tHVY"/&gt;&lt;style id="http://www.zotero.org/styles/apa" locale="en-GB"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