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CC7E" w14:textId="77777777" w:rsidR="00F476A2" w:rsidRDefault="00F476A2" w:rsidP="00F476A2">
      <w:pPr>
        <w:rPr>
          <w:rFonts w:ascii="Times New Roman" w:hAnsi="Times New Roman" w:cs="Times New Roman"/>
          <w:sz w:val="24"/>
          <w:szCs w:val="24"/>
          <w:lang w:val="en-US"/>
        </w:rPr>
      </w:pPr>
      <w:bookmarkStart w:id="0" w:name="_Hlk158114568"/>
      <w:bookmarkEnd w:id="0"/>
      <w:r>
        <w:rPr>
          <w:rFonts w:ascii="Times New Roman" w:hAnsi="Times New Roman" w:cs="Times New Roman"/>
          <w:sz w:val="24"/>
          <w:szCs w:val="24"/>
          <w:lang w:val="en-US"/>
        </w:rPr>
        <w:t xml:space="preserve">Developing multifactorial dementia prediction models using clinical variables from cohorts in the US and Australia </w:t>
      </w:r>
    </w:p>
    <w:p w14:paraId="08A9CF99" w14:textId="77777777" w:rsidR="00F476A2" w:rsidRDefault="00F476A2" w:rsidP="00F476A2">
      <w:pPr>
        <w:rPr>
          <w:rFonts w:ascii="Times New Roman" w:hAnsi="Times New Roman" w:cs="Times New Roman"/>
          <w:lang w:val="en-US"/>
        </w:rPr>
      </w:pPr>
    </w:p>
    <w:p w14:paraId="758DE18B" w14:textId="77777777" w:rsidR="00F476A2" w:rsidRPr="00925FE1" w:rsidRDefault="00F476A2" w:rsidP="00F476A2">
      <w:pPr>
        <w:rPr>
          <w:rFonts w:ascii="Times New Roman" w:hAnsi="Times New Roman" w:cs="Times New Roman"/>
          <w:lang w:val="en-US"/>
        </w:rPr>
      </w:pPr>
      <w:r>
        <w:rPr>
          <w:rFonts w:ascii="Times New Roman" w:hAnsi="Times New Roman" w:cs="Times New Roman"/>
          <w:lang w:val="en-US"/>
        </w:rPr>
        <w:t xml:space="preserve">Caitlin A. Finney </w:t>
      </w:r>
      <w:r w:rsidRPr="000C52D3">
        <w:rPr>
          <w:rFonts w:ascii="Times New Roman" w:hAnsi="Times New Roman" w:cs="Times New Roman"/>
          <w:vertAlign w:val="superscript"/>
          <w:lang w:val="en-US"/>
        </w:rPr>
        <w:t>1,2</w:t>
      </w:r>
      <w:r w:rsidRPr="001858ED">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w:t>
      </w:r>
      <w:r>
        <w:rPr>
          <w:rFonts w:ascii="Times New Roman" w:hAnsi="Times New Roman" w:cs="Times New Roman"/>
          <w:lang w:val="en-US"/>
        </w:rPr>
        <w:t xml:space="preserve">, David A. Brown </w:t>
      </w:r>
      <w:r>
        <w:rPr>
          <w:rFonts w:ascii="Times New Roman" w:hAnsi="Times New Roman" w:cs="Times New Roman"/>
          <w:vertAlign w:val="superscript"/>
          <w:lang w:val="en-US"/>
        </w:rPr>
        <w:t>1,3,4</w:t>
      </w:r>
      <w:r>
        <w:rPr>
          <w:rFonts w:ascii="Times New Roman" w:hAnsi="Times New Roman" w:cs="Times New Roman"/>
          <w:lang w:val="en-US"/>
        </w:rPr>
        <w:t xml:space="preserve">, &amp; Artur Shvetcov </w:t>
      </w:r>
      <w:r>
        <w:rPr>
          <w:rFonts w:ascii="Times New Roman" w:hAnsi="Times New Roman" w:cs="Times New Roman"/>
          <w:vertAlign w:val="superscript"/>
          <w:lang w:val="en-US"/>
        </w:rPr>
        <w:t>5,6#</w:t>
      </w:r>
      <w:r>
        <w:rPr>
          <w:rFonts w:ascii="Times New Roman" w:hAnsi="Times New Roman" w:cs="Times New Roman"/>
          <w:lang w:val="en-US"/>
        </w:rPr>
        <w:t xml:space="preserve"> for the Alzheimer’s Disease Neuroimaging Initiative </w:t>
      </w:r>
      <w:r>
        <w:rPr>
          <w:rFonts w:ascii="Times New Roman" w:hAnsi="Times New Roman" w:cs="Times New Roman"/>
          <w:vertAlign w:val="superscript"/>
          <w:lang w:val="en-US"/>
        </w:rPr>
        <w:t>7</w:t>
      </w:r>
      <w:r>
        <w:rPr>
          <w:rFonts w:ascii="Times New Roman" w:hAnsi="Times New Roman" w:cs="Times New Roman"/>
          <w:lang w:val="en-US"/>
        </w:rPr>
        <w:t xml:space="preserve">, and the Australian Imaging Biomarkers and Lifestyle Flagship Study of Ageing </w:t>
      </w:r>
      <w:r>
        <w:rPr>
          <w:rFonts w:ascii="Times New Roman" w:hAnsi="Times New Roman" w:cs="Times New Roman"/>
          <w:vertAlign w:val="superscript"/>
          <w:lang w:val="en-US"/>
        </w:rPr>
        <w:t>8</w:t>
      </w:r>
    </w:p>
    <w:p w14:paraId="5F127DD7" w14:textId="77777777" w:rsidR="00F476A2" w:rsidRDefault="00F476A2" w:rsidP="00F476A2">
      <w:pPr>
        <w:rPr>
          <w:rFonts w:ascii="Times New Roman" w:hAnsi="Times New Roman" w:cs="Times New Roman"/>
          <w:lang w:val="en-US"/>
        </w:rPr>
      </w:pPr>
    </w:p>
    <w:p w14:paraId="6372941E" w14:textId="77777777" w:rsidR="00F476A2" w:rsidRPr="000C52D3"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1</w:t>
      </w:r>
      <w:r w:rsidRPr="000C52D3">
        <w:rPr>
          <w:rFonts w:ascii="Times New Roman" w:hAnsi="Times New Roman" w:cs="Times New Roman"/>
          <w:sz w:val="20"/>
          <w:szCs w:val="20"/>
          <w:lang w:val="en-US"/>
        </w:rPr>
        <w:t>. Neuroinflammation Research Group, Centre for Immunology and Allergy Research, Westmead Institute for Medical Research, Sydney, NSW, Australia</w:t>
      </w:r>
    </w:p>
    <w:p w14:paraId="3DA93C22"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 xml:space="preserve">2. School of Medical Sciences, Faculty of Medicine and Health, The University of Sydney, Sydney, NSW, Australia </w:t>
      </w:r>
    </w:p>
    <w:p w14:paraId="2074BA26"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3. Westmead Clinical School, Faculty of Medicine and Health, The University of Sydney, Sydney, NSW, Australia</w:t>
      </w:r>
    </w:p>
    <w:p w14:paraId="3915F675" w14:textId="77777777" w:rsidR="00F476A2" w:rsidRPr="000C52D3"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 xml:space="preserve">4. Department of Immunopathology, Institute for Clinical Pathology and Medical Research-New South Wales Health Pathology, Sydney, NSW, Australia </w:t>
      </w:r>
    </w:p>
    <w:p w14:paraId="1A9CB841" w14:textId="77777777" w:rsidR="00F476A2" w:rsidRPr="000C52D3"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5</w:t>
      </w:r>
      <w:r w:rsidRPr="000C52D3">
        <w:rPr>
          <w:rFonts w:ascii="Times New Roman" w:hAnsi="Times New Roman" w:cs="Times New Roman"/>
          <w:sz w:val="20"/>
          <w:szCs w:val="20"/>
          <w:lang w:val="en-US"/>
        </w:rPr>
        <w:t>. Department of Psychological Medicine, Sydney Children’s Hospitals Network, Sydney, NSW, Australia</w:t>
      </w:r>
    </w:p>
    <w:p w14:paraId="09554F9D"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6</w:t>
      </w:r>
      <w:r w:rsidRPr="000C52D3">
        <w:rPr>
          <w:rFonts w:ascii="Times New Roman" w:hAnsi="Times New Roman" w:cs="Times New Roman"/>
          <w:sz w:val="20"/>
          <w:szCs w:val="20"/>
          <w:lang w:val="en-US"/>
        </w:rPr>
        <w:t>. Discipline of Psychiatry and Mental Health, School of Clinical Medicine, Faculty of Medicine and Health, University of New South Wales, Sydney, NSW, Australia</w:t>
      </w:r>
    </w:p>
    <w:p w14:paraId="28DBDDC7"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 xml:space="preserve">7. </w:t>
      </w:r>
      <w:r w:rsidRPr="0098442D">
        <w:rPr>
          <w:rFonts w:ascii="Times New Roman" w:hAnsi="Times New Roman" w:cs="Times New Roman"/>
          <w:sz w:val="20"/>
          <w:szCs w:val="20"/>
          <w:lang w:val="en-US"/>
        </w:rPr>
        <w:t>Data used in preparation of this article were obtained from the Alzheimer’s Disease</w:t>
      </w:r>
      <w:r>
        <w:rPr>
          <w:rFonts w:ascii="Times New Roman" w:hAnsi="Times New Roman" w:cs="Times New Roman"/>
          <w:sz w:val="20"/>
          <w:szCs w:val="20"/>
          <w:lang w:val="en-US"/>
        </w:rPr>
        <w:t xml:space="preserve"> </w:t>
      </w:r>
      <w:r w:rsidRPr="0098442D">
        <w:rPr>
          <w:rFonts w:ascii="Times New Roman" w:hAnsi="Times New Roman" w:cs="Times New Roman"/>
          <w:sz w:val="20"/>
          <w:szCs w:val="20"/>
          <w:lang w:val="en-US"/>
        </w:rPr>
        <w:t>Neuroimaging Initiative (ADNI) database (adni.loni.usc.edu). As such, the investigators</w:t>
      </w:r>
      <w:r>
        <w:rPr>
          <w:rFonts w:ascii="Times New Roman" w:hAnsi="Times New Roman" w:cs="Times New Roman"/>
          <w:sz w:val="20"/>
          <w:szCs w:val="20"/>
          <w:lang w:val="en-US"/>
        </w:rPr>
        <w:t xml:space="preserve"> </w:t>
      </w:r>
      <w:r w:rsidRPr="0098442D">
        <w:rPr>
          <w:rFonts w:ascii="Times New Roman" w:hAnsi="Times New Roman" w:cs="Times New Roman"/>
          <w:sz w:val="20"/>
          <w:szCs w:val="20"/>
          <w:lang w:val="en-US"/>
        </w:rPr>
        <w:t>within the ADNI contributed to the design and implementation of ADNI and/or provided data</w:t>
      </w:r>
      <w:r>
        <w:rPr>
          <w:rFonts w:ascii="Times New Roman" w:hAnsi="Times New Roman" w:cs="Times New Roman"/>
          <w:sz w:val="20"/>
          <w:szCs w:val="20"/>
          <w:lang w:val="en-US"/>
        </w:rPr>
        <w:t xml:space="preserve"> </w:t>
      </w:r>
      <w:r w:rsidRPr="0098442D">
        <w:rPr>
          <w:rFonts w:ascii="Times New Roman" w:hAnsi="Times New Roman" w:cs="Times New Roman"/>
          <w:sz w:val="20"/>
          <w:szCs w:val="20"/>
          <w:lang w:val="en-US"/>
        </w:rPr>
        <w:t>but did not participate in analysis or writing of this report. A complete listing of ADNI</w:t>
      </w:r>
      <w:r>
        <w:rPr>
          <w:rFonts w:ascii="Times New Roman" w:hAnsi="Times New Roman" w:cs="Times New Roman"/>
          <w:sz w:val="20"/>
          <w:szCs w:val="20"/>
          <w:lang w:val="en-US"/>
        </w:rPr>
        <w:t xml:space="preserve"> </w:t>
      </w:r>
      <w:r w:rsidRPr="0098442D">
        <w:rPr>
          <w:rFonts w:ascii="Times New Roman" w:hAnsi="Times New Roman" w:cs="Times New Roman"/>
          <w:sz w:val="20"/>
          <w:szCs w:val="20"/>
          <w:lang w:val="en-US"/>
        </w:rPr>
        <w:t>investigators can be found at:</w:t>
      </w:r>
      <w:r>
        <w:rPr>
          <w:rFonts w:ascii="Times New Roman" w:hAnsi="Times New Roman" w:cs="Times New Roman"/>
          <w:sz w:val="20"/>
          <w:szCs w:val="20"/>
          <w:lang w:val="en-US"/>
        </w:rPr>
        <w:t xml:space="preserve"> </w:t>
      </w:r>
      <w:hyperlink r:id="rId4" w:history="1">
        <w:r w:rsidRPr="002B1D79">
          <w:rPr>
            <w:rStyle w:val="Hyperlink"/>
            <w:rFonts w:ascii="Times New Roman" w:hAnsi="Times New Roman" w:cs="Times New Roman"/>
            <w:sz w:val="20"/>
            <w:szCs w:val="20"/>
            <w:lang w:val="en-US"/>
          </w:rPr>
          <w:t>http://adni.loni.usc.edu/wp-content/uploads/how_to_apply/ADNI_Acknowledgement_List.pdf</w:t>
        </w:r>
      </w:hyperlink>
    </w:p>
    <w:p w14:paraId="15D7E76C"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 xml:space="preserve">8. </w:t>
      </w:r>
      <w:r w:rsidRPr="0098442D">
        <w:rPr>
          <w:rFonts w:ascii="Times New Roman" w:hAnsi="Times New Roman" w:cs="Times New Roman"/>
          <w:sz w:val="20"/>
          <w:szCs w:val="20"/>
          <w:lang w:val="en-US"/>
        </w:rPr>
        <w:t xml:space="preserve">Data used in the preparation of this article was obtained from the Australian Imaging Biomarkers and Lifestyle flagship study of ageing (AIBL) funded by the Commonwealth Scientific and Industrial Research Organisation (CSIRO) which was made available at the ADNI database (www.loni.usc.edu/ADNI). The AIBL researchers contributed data but did not participate in analysis or writing of this report. AIBL researchers are listed at </w:t>
      </w:r>
      <w:hyperlink r:id="rId5" w:history="1">
        <w:r w:rsidRPr="002B1D79">
          <w:rPr>
            <w:rStyle w:val="Hyperlink"/>
            <w:rFonts w:ascii="Times New Roman" w:hAnsi="Times New Roman" w:cs="Times New Roman"/>
            <w:sz w:val="20"/>
            <w:szCs w:val="20"/>
            <w:lang w:val="en-US"/>
          </w:rPr>
          <w:t>www.aibl.csiro.au</w:t>
        </w:r>
      </w:hyperlink>
      <w:r w:rsidRPr="0098442D">
        <w:rPr>
          <w:rFonts w:ascii="Times New Roman" w:hAnsi="Times New Roman" w:cs="Times New Roman"/>
          <w:sz w:val="20"/>
          <w:szCs w:val="20"/>
          <w:lang w:val="en-US"/>
        </w:rPr>
        <w:t>.</w:t>
      </w:r>
    </w:p>
    <w:p w14:paraId="16D5E2B1" w14:textId="77777777" w:rsidR="00F476A2" w:rsidRDefault="00F476A2" w:rsidP="00F476A2">
      <w:pPr>
        <w:rPr>
          <w:rFonts w:ascii="Times New Roman" w:hAnsi="Times New Roman" w:cs="Times New Roman"/>
          <w:sz w:val="20"/>
          <w:szCs w:val="20"/>
          <w:lang w:val="en-US"/>
        </w:rPr>
      </w:pPr>
    </w:p>
    <w:p w14:paraId="26666C94"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 These authors contributed equally to the work.</w:t>
      </w:r>
    </w:p>
    <w:p w14:paraId="42604028" w14:textId="77777777" w:rsidR="00F476A2" w:rsidRDefault="00F476A2" w:rsidP="00F476A2">
      <w:pPr>
        <w:rPr>
          <w:rFonts w:ascii="Times New Roman" w:hAnsi="Times New Roman" w:cs="Times New Roman"/>
          <w:sz w:val="20"/>
          <w:szCs w:val="20"/>
          <w:lang w:val="en-US"/>
        </w:rPr>
      </w:pPr>
      <w:r>
        <w:rPr>
          <w:rFonts w:ascii="Times New Roman" w:hAnsi="Times New Roman" w:cs="Times New Roman"/>
          <w:sz w:val="20"/>
          <w:szCs w:val="20"/>
          <w:lang w:val="en-US"/>
        </w:rPr>
        <w:t xml:space="preserve">* Author to whom correspondence should be addressed. E: </w:t>
      </w:r>
      <w:hyperlink r:id="rId6" w:history="1">
        <w:r w:rsidRPr="00C36B35">
          <w:rPr>
            <w:rStyle w:val="Hyperlink"/>
            <w:rFonts w:ascii="Times New Roman" w:hAnsi="Times New Roman" w:cs="Times New Roman"/>
            <w:sz w:val="20"/>
            <w:szCs w:val="20"/>
            <w:lang w:val="en-US"/>
          </w:rPr>
          <w:t>caitlin.finney@wimr.org.au</w:t>
        </w:r>
      </w:hyperlink>
      <w:r>
        <w:rPr>
          <w:rFonts w:ascii="Times New Roman" w:hAnsi="Times New Roman" w:cs="Times New Roman"/>
          <w:sz w:val="20"/>
          <w:szCs w:val="20"/>
          <w:lang w:val="en-US"/>
        </w:rPr>
        <w:t xml:space="preserve">; A: 176 Hawkesbury Road, Westmead, New South Wales, Australia 2145. </w:t>
      </w:r>
    </w:p>
    <w:p w14:paraId="6D916B7A" w14:textId="77777777" w:rsidR="00DC3333" w:rsidRDefault="00DC3333"/>
    <w:p w14:paraId="2C51099B" w14:textId="77777777" w:rsidR="00F476A2" w:rsidRDefault="00F476A2"/>
    <w:p w14:paraId="241835C5" w14:textId="77777777" w:rsidR="00F476A2" w:rsidRDefault="00F476A2"/>
    <w:p w14:paraId="032DF96F" w14:textId="77777777" w:rsidR="00F476A2" w:rsidRDefault="00F476A2"/>
    <w:p w14:paraId="05E91174" w14:textId="77777777" w:rsidR="00F476A2" w:rsidRDefault="00F476A2"/>
    <w:p w14:paraId="50AFF996" w14:textId="77777777" w:rsidR="00F476A2" w:rsidRDefault="00F476A2"/>
    <w:p w14:paraId="43CDB7E0" w14:textId="77777777" w:rsidR="00F476A2" w:rsidRDefault="00F476A2"/>
    <w:p w14:paraId="04739DA8" w14:textId="77777777" w:rsidR="00F476A2" w:rsidRDefault="00F476A2"/>
    <w:p w14:paraId="281D08EB" w14:textId="77777777" w:rsidR="00F476A2" w:rsidRDefault="00F476A2"/>
    <w:p w14:paraId="03236589" w14:textId="7111F2AE" w:rsidR="00F476A2" w:rsidRPr="00DF7F70" w:rsidRDefault="00F476A2">
      <w:pPr>
        <w:rPr>
          <w:rFonts w:ascii="Times New Roman" w:hAnsi="Times New Roman" w:cs="Times New Roman"/>
          <w:sz w:val="24"/>
          <w:szCs w:val="24"/>
        </w:rPr>
      </w:pPr>
      <w:r w:rsidRPr="00F476A2">
        <w:rPr>
          <w:rFonts w:ascii="Times New Roman" w:hAnsi="Times New Roman" w:cs="Times New Roman"/>
          <w:b/>
          <w:bCs/>
          <w:sz w:val="24"/>
          <w:szCs w:val="24"/>
        </w:rPr>
        <w:lastRenderedPageBreak/>
        <w:t>Supplementary Table 1</w:t>
      </w:r>
      <w:r w:rsidR="003349ED">
        <w:rPr>
          <w:rFonts w:ascii="Times New Roman" w:hAnsi="Times New Roman" w:cs="Times New Roman"/>
          <w:b/>
          <w:bCs/>
          <w:sz w:val="24"/>
          <w:szCs w:val="24"/>
        </w:rPr>
        <w:t xml:space="preserve">. </w:t>
      </w:r>
      <w:r w:rsidR="00DF7F70" w:rsidRPr="00DF7F70">
        <w:rPr>
          <w:rFonts w:ascii="Times New Roman" w:hAnsi="Times New Roman" w:cs="Times New Roman"/>
          <w:sz w:val="24"/>
          <w:szCs w:val="24"/>
        </w:rPr>
        <w:t xml:space="preserve">Hyperparameters </w:t>
      </w:r>
      <w:r w:rsidR="00DF7F70">
        <w:rPr>
          <w:rFonts w:ascii="Times New Roman" w:hAnsi="Times New Roman" w:cs="Times New Roman"/>
          <w:sz w:val="24"/>
          <w:szCs w:val="24"/>
        </w:rPr>
        <w:t>used for machine learning models</w:t>
      </w:r>
    </w:p>
    <w:p w14:paraId="68B9F3FF" w14:textId="77777777" w:rsidR="00F476A2" w:rsidRDefault="00F476A2">
      <w:pPr>
        <w:rPr>
          <w:rFonts w:ascii="Times New Roman" w:hAnsi="Times New Roman" w:cs="Times New Roman"/>
          <w:b/>
          <w:bCs/>
          <w:sz w:val="24"/>
          <w:szCs w:val="24"/>
        </w:rPr>
      </w:pPr>
    </w:p>
    <w:tbl>
      <w:tblPr>
        <w:tblStyle w:val="TableGrid"/>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2972"/>
        <w:gridCol w:w="6044"/>
      </w:tblGrid>
      <w:tr w:rsidR="003349ED" w14:paraId="3DD1379E" w14:textId="77777777" w:rsidTr="003349ED">
        <w:tc>
          <w:tcPr>
            <w:tcW w:w="2972" w:type="dxa"/>
            <w:tcBorders>
              <w:top w:val="single" w:sz="4" w:space="0" w:color="auto"/>
              <w:left w:val="nil"/>
              <w:bottom w:val="single" w:sz="4" w:space="0" w:color="auto"/>
              <w:right w:val="single" w:sz="4" w:space="0" w:color="auto"/>
            </w:tcBorders>
            <w:hideMark/>
          </w:tcPr>
          <w:p w14:paraId="65CAB417" w14:textId="77777777" w:rsidR="003349ED" w:rsidRDefault="003349ED">
            <w:pPr>
              <w:spacing w:after="0"/>
              <w:jc w:val="center"/>
              <w:rPr>
                <w:rFonts w:ascii="Times New Roman" w:hAnsi="Times New Roman" w:cs="Times New Roman"/>
                <w:b/>
                <w:bCs/>
                <w:sz w:val="24"/>
                <w:szCs w:val="24"/>
              </w:rPr>
            </w:pPr>
            <w:r>
              <w:rPr>
                <w:rFonts w:ascii="Times New Roman" w:hAnsi="Times New Roman" w:cs="Times New Roman"/>
                <w:b/>
                <w:bCs/>
                <w:sz w:val="24"/>
                <w:szCs w:val="24"/>
              </w:rPr>
              <w:t>Model</w:t>
            </w:r>
          </w:p>
        </w:tc>
        <w:tc>
          <w:tcPr>
            <w:tcW w:w="6044" w:type="dxa"/>
            <w:tcBorders>
              <w:top w:val="single" w:sz="4" w:space="0" w:color="auto"/>
              <w:left w:val="single" w:sz="4" w:space="0" w:color="auto"/>
              <w:bottom w:val="single" w:sz="4" w:space="0" w:color="auto"/>
              <w:right w:val="nil"/>
            </w:tcBorders>
            <w:hideMark/>
          </w:tcPr>
          <w:p w14:paraId="2C6BC780" w14:textId="77777777" w:rsidR="003349ED" w:rsidRDefault="003349ED">
            <w:pPr>
              <w:jc w:val="center"/>
              <w:rPr>
                <w:rFonts w:ascii="Times New Roman" w:hAnsi="Times New Roman" w:cs="Times New Roman"/>
                <w:b/>
                <w:bCs/>
                <w:sz w:val="24"/>
                <w:szCs w:val="24"/>
              </w:rPr>
            </w:pPr>
            <w:r>
              <w:rPr>
                <w:rFonts w:ascii="Times New Roman" w:hAnsi="Times New Roman" w:cs="Times New Roman"/>
                <w:b/>
                <w:bCs/>
                <w:sz w:val="24"/>
                <w:szCs w:val="24"/>
              </w:rPr>
              <w:t>Parameters</w:t>
            </w:r>
          </w:p>
        </w:tc>
      </w:tr>
      <w:tr w:rsidR="003349ED" w14:paraId="7AAA1332" w14:textId="77777777" w:rsidTr="003349ED">
        <w:tc>
          <w:tcPr>
            <w:tcW w:w="2972" w:type="dxa"/>
            <w:tcBorders>
              <w:top w:val="single" w:sz="4" w:space="0" w:color="auto"/>
              <w:left w:val="nil"/>
              <w:bottom w:val="single" w:sz="4" w:space="0" w:color="auto"/>
              <w:right w:val="single" w:sz="4" w:space="0" w:color="auto"/>
            </w:tcBorders>
            <w:hideMark/>
          </w:tcPr>
          <w:p w14:paraId="1E4F7221"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Linear regression</w:t>
            </w:r>
          </w:p>
        </w:tc>
        <w:tc>
          <w:tcPr>
            <w:tcW w:w="6044" w:type="dxa"/>
            <w:tcBorders>
              <w:top w:val="single" w:sz="4" w:space="0" w:color="auto"/>
              <w:left w:val="single" w:sz="4" w:space="0" w:color="auto"/>
              <w:bottom w:val="single" w:sz="4" w:space="0" w:color="auto"/>
              <w:right w:val="nil"/>
            </w:tcBorders>
            <w:hideMark/>
          </w:tcPr>
          <w:p w14:paraId="68DA2BA3"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α: 0, 1</w:t>
            </w:r>
          </w:p>
          <w:p w14:paraId="14C8E947"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λ: 0.001-1</w:t>
            </w:r>
          </w:p>
        </w:tc>
      </w:tr>
      <w:tr w:rsidR="003349ED" w14:paraId="38FC74F1" w14:textId="77777777" w:rsidTr="003349ED">
        <w:tc>
          <w:tcPr>
            <w:tcW w:w="2972" w:type="dxa"/>
            <w:tcBorders>
              <w:top w:val="single" w:sz="4" w:space="0" w:color="auto"/>
              <w:left w:val="nil"/>
              <w:bottom w:val="single" w:sz="4" w:space="0" w:color="auto"/>
              <w:right w:val="single" w:sz="4" w:space="0" w:color="auto"/>
            </w:tcBorders>
            <w:hideMark/>
          </w:tcPr>
          <w:p w14:paraId="69AF4D2A"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Shrinkage discriminant analysis (SDA)</w:t>
            </w:r>
          </w:p>
        </w:tc>
        <w:tc>
          <w:tcPr>
            <w:tcW w:w="6044" w:type="dxa"/>
            <w:tcBorders>
              <w:top w:val="single" w:sz="4" w:space="0" w:color="auto"/>
              <w:left w:val="single" w:sz="4" w:space="0" w:color="auto"/>
              <w:bottom w:val="single" w:sz="4" w:space="0" w:color="auto"/>
              <w:right w:val="nil"/>
            </w:tcBorders>
            <w:hideMark/>
          </w:tcPr>
          <w:p w14:paraId="05302299"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 xml:space="preserve">Diagonal: true, false </w:t>
            </w:r>
          </w:p>
          <w:p w14:paraId="22ABEEFF"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λ: 0.001-1</w:t>
            </w:r>
          </w:p>
        </w:tc>
      </w:tr>
      <w:tr w:rsidR="003349ED" w14:paraId="46F7DC89" w14:textId="77777777" w:rsidTr="003349ED">
        <w:tc>
          <w:tcPr>
            <w:tcW w:w="2972" w:type="dxa"/>
            <w:tcBorders>
              <w:top w:val="single" w:sz="4" w:space="0" w:color="auto"/>
              <w:left w:val="nil"/>
              <w:bottom w:val="single" w:sz="4" w:space="0" w:color="auto"/>
              <w:right w:val="single" w:sz="4" w:space="0" w:color="auto"/>
            </w:tcBorders>
            <w:hideMark/>
          </w:tcPr>
          <w:p w14:paraId="481F2641"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K-nearest neighbour (KNN)</w:t>
            </w:r>
          </w:p>
        </w:tc>
        <w:tc>
          <w:tcPr>
            <w:tcW w:w="6044" w:type="dxa"/>
            <w:tcBorders>
              <w:top w:val="single" w:sz="4" w:space="0" w:color="auto"/>
              <w:left w:val="single" w:sz="4" w:space="0" w:color="auto"/>
              <w:bottom w:val="single" w:sz="4" w:space="0" w:color="auto"/>
              <w:right w:val="nil"/>
            </w:tcBorders>
            <w:hideMark/>
          </w:tcPr>
          <w:p w14:paraId="6E0B6A3F"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Number of the nearest neighbours: 1-15</w:t>
            </w:r>
          </w:p>
        </w:tc>
      </w:tr>
      <w:tr w:rsidR="003349ED" w14:paraId="5AB679CC" w14:textId="77777777" w:rsidTr="003349ED">
        <w:tc>
          <w:tcPr>
            <w:tcW w:w="2972" w:type="dxa"/>
            <w:tcBorders>
              <w:top w:val="single" w:sz="4" w:space="0" w:color="auto"/>
              <w:left w:val="nil"/>
              <w:bottom w:val="single" w:sz="4" w:space="0" w:color="auto"/>
              <w:right w:val="single" w:sz="4" w:space="0" w:color="auto"/>
            </w:tcBorders>
            <w:hideMark/>
          </w:tcPr>
          <w:p w14:paraId="2DD4521B"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Classification and regression trees (CART)</w:t>
            </w:r>
          </w:p>
        </w:tc>
        <w:tc>
          <w:tcPr>
            <w:tcW w:w="6044" w:type="dxa"/>
            <w:tcBorders>
              <w:top w:val="single" w:sz="4" w:space="0" w:color="auto"/>
              <w:left w:val="single" w:sz="4" w:space="0" w:color="auto"/>
              <w:bottom w:val="single" w:sz="4" w:space="0" w:color="auto"/>
              <w:right w:val="nil"/>
            </w:tcBorders>
            <w:hideMark/>
          </w:tcPr>
          <w:p w14:paraId="455EA396"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Complexity parameter: 0.0001-0.2</w:t>
            </w:r>
          </w:p>
        </w:tc>
      </w:tr>
      <w:tr w:rsidR="003349ED" w14:paraId="07E60CD1" w14:textId="77777777" w:rsidTr="003349ED">
        <w:tc>
          <w:tcPr>
            <w:tcW w:w="2972" w:type="dxa"/>
            <w:tcBorders>
              <w:top w:val="single" w:sz="4" w:space="0" w:color="auto"/>
              <w:left w:val="nil"/>
              <w:bottom w:val="single" w:sz="4" w:space="0" w:color="auto"/>
              <w:right w:val="single" w:sz="4" w:space="0" w:color="auto"/>
            </w:tcBorders>
            <w:hideMark/>
          </w:tcPr>
          <w:p w14:paraId="256B6BD1"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 xml:space="preserve">Random forest </w:t>
            </w:r>
          </w:p>
        </w:tc>
        <w:tc>
          <w:tcPr>
            <w:tcW w:w="6044" w:type="dxa"/>
            <w:tcBorders>
              <w:top w:val="single" w:sz="4" w:space="0" w:color="auto"/>
              <w:left w:val="single" w:sz="4" w:space="0" w:color="auto"/>
              <w:bottom w:val="single" w:sz="4" w:space="0" w:color="auto"/>
              <w:right w:val="nil"/>
            </w:tcBorders>
            <w:hideMark/>
          </w:tcPr>
          <w:p w14:paraId="2513E933"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Number of randomly selected predictors: 1-# of features in dataset</w:t>
            </w:r>
          </w:p>
        </w:tc>
      </w:tr>
      <w:tr w:rsidR="003349ED" w14:paraId="01EE461B" w14:textId="77777777" w:rsidTr="003349ED">
        <w:tc>
          <w:tcPr>
            <w:tcW w:w="2972" w:type="dxa"/>
            <w:tcBorders>
              <w:top w:val="single" w:sz="4" w:space="0" w:color="auto"/>
              <w:left w:val="nil"/>
              <w:bottom w:val="single" w:sz="4" w:space="0" w:color="auto"/>
              <w:right w:val="single" w:sz="4" w:space="0" w:color="auto"/>
            </w:tcBorders>
            <w:hideMark/>
          </w:tcPr>
          <w:p w14:paraId="1F8665C0"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GBM</w:t>
            </w:r>
          </w:p>
        </w:tc>
        <w:tc>
          <w:tcPr>
            <w:tcW w:w="6044" w:type="dxa"/>
            <w:tcBorders>
              <w:top w:val="single" w:sz="4" w:space="0" w:color="auto"/>
              <w:left w:val="single" w:sz="4" w:space="0" w:color="auto"/>
              <w:bottom w:val="single" w:sz="4" w:space="0" w:color="auto"/>
              <w:right w:val="nil"/>
            </w:tcBorders>
            <w:hideMark/>
          </w:tcPr>
          <w:p w14:paraId="01FA3698"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Number of boosting iterations: 1-1000,</w:t>
            </w:r>
          </w:p>
          <w:p w14:paraId="770D0F66"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Maximum tree depth: 1:100,</w:t>
            </w:r>
          </w:p>
          <w:p w14:paraId="4B14C660"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η: 0.00001:0.1</w:t>
            </w:r>
          </w:p>
          <w:p w14:paraId="770B2744"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Minimum terminal node size: 1:50</w:t>
            </w:r>
          </w:p>
        </w:tc>
      </w:tr>
      <w:tr w:rsidR="003349ED" w14:paraId="0CB4CD67" w14:textId="77777777" w:rsidTr="003349ED">
        <w:tc>
          <w:tcPr>
            <w:tcW w:w="2972" w:type="dxa"/>
            <w:tcBorders>
              <w:top w:val="single" w:sz="4" w:space="0" w:color="auto"/>
              <w:left w:val="nil"/>
              <w:bottom w:val="single" w:sz="4" w:space="0" w:color="auto"/>
              <w:right w:val="single" w:sz="4" w:space="0" w:color="auto"/>
            </w:tcBorders>
            <w:hideMark/>
          </w:tcPr>
          <w:p w14:paraId="2D042A97"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XGBoost</w:t>
            </w:r>
          </w:p>
        </w:tc>
        <w:tc>
          <w:tcPr>
            <w:tcW w:w="6044" w:type="dxa"/>
            <w:tcBorders>
              <w:top w:val="single" w:sz="4" w:space="0" w:color="auto"/>
              <w:left w:val="single" w:sz="4" w:space="0" w:color="auto"/>
              <w:bottom w:val="single" w:sz="4" w:space="0" w:color="auto"/>
              <w:right w:val="nil"/>
            </w:tcBorders>
            <w:hideMark/>
          </w:tcPr>
          <w:p w14:paraId="13E29FDA"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 xml:space="preserve">Number of boosting iterations: 1-1000,  </w:t>
            </w:r>
          </w:p>
          <w:p w14:paraId="781B3320"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Maximum tree depth: 1:100,</w:t>
            </w:r>
          </w:p>
          <w:p w14:paraId="46855706"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η: 0.00001:0.1,</w:t>
            </w:r>
          </w:p>
          <w:p w14:paraId="04685986"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Minimum loss reduction: 0.05-3,</w:t>
            </w:r>
          </w:p>
          <w:p w14:paraId="323F2313"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Subsample ratio of columns: 0.1-5</w:t>
            </w:r>
          </w:p>
          <w:p w14:paraId="3B316EFD"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Minimum size of instance weight: 1:30</w:t>
            </w:r>
          </w:p>
          <w:p w14:paraId="727BA6A4"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Subsample percentage: 1:50</w:t>
            </w:r>
          </w:p>
        </w:tc>
      </w:tr>
      <w:tr w:rsidR="003349ED" w14:paraId="1D1DBFF8" w14:textId="77777777" w:rsidTr="003349ED">
        <w:tc>
          <w:tcPr>
            <w:tcW w:w="2972" w:type="dxa"/>
            <w:tcBorders>
              <w:top w:val="single" w:sz="4" w:space="0" w:color="auto"/>
              <w:left w:val="nil"/>
              <w:bottom w:val="single" w:sz="4" w:space="0" w:color="auto"/>
              <w:right w:val="single" w:sz="4" w:space="0" w:color="auto"/>
            </w:tcBorders>
            <w:hideMark/>
          </w:tcPr>
          <w:p w14:paraId="0F38AA95" w14:textId="38AFE24B" w:rsidR="003349ED" w:rsidRDefault="003349ED">
            <w:pPr>
              <w:rPr>
                <w:rFonts w:ascii="Times New Roman" w:hAnsi="Times New Roman" w:cs="Times New Roman"/>
                <w:sz w:val="24"/>
                <w:szCs w:val="24"/>
              </w:rPr>
            </w:pPr>
            <w:r>
              <w:rPr>
                <w:rFonts w:ascii="Times New Roman" w:hAnsi="Times New Roman" w:cs="Times New Roman"/>
                <w:sz w:val="24"/>
                <w:szCs w:val="24"/>
              </w:rPr>
              <w:t>Neural network</w:t>
            </w:r>
          </w:p>
        </w:tc>
        <w:tc>
          <w:tcPr>
            <w:tcW w:w="6044" w:type="dxa"/>
            <w:tcBorders>
              <w:top w:val="single" w:sz="4" w:space="0" w:color="auto"/>
              <w:left w:val="single" w:sz="4" w:space="0" w:color="auto"/>
              <w:bottom w:val="single" w:sz="4" w:space="0" w:color="auto"/>
              <w:right w:val="nil"/>
            </w:tcBorders>
            <w:hideMark/>
          </w:tcPr>
          <w:p w14:paraId="0BF4D885"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Number of hidden layers: 0 and 1</w:t>
            </w:r>
          </w:p>
          <w:p w14:paraId="4B23173F"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Number of neurons in hidden layers: 3-50</w:t>
            </w:r>
          </w:p>
          <w:p w14:paraId="1C3F96D1"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Activation function: tanh, relu, leaky relu</w:t>
            </w:r>
          </w:p>
          <w:p w14:paraId="4E899BFA"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Optimization algorithm: Adam, RMSprop, SGD</w:t>
            </w:r>
          </w:p>
          <w:p w14:paraId="1031ADAD"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Learning rate: 0.01-0.00001</w:t>
            </w:r>
          </w:p>
          <w:p w14:paraId="5CE06FE2"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Batch size: 16-32</w:t>
            </w:r>
          </w:p>
          <w:p w14:paraId="2931071F"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Epochs: 10-100</w:t>
            </w:r>
          </w:p>
          <w:p w14:paraId="58EAF7D1"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Regularization dropout layer with probability: 0.1-0.8</w:t>
            </w:r>
          </w:p>
          <w:p w14:paraId="4931F8AC" w14:textId="77777777" w:rsidR="003349ED" w:rsidRDefault="003349ED">
            <w:pPr>
              <w:rPr>
                <w:rFonts w:ascii="Times New Roman" w:hAnsi="Times New Roman" w:cs="Times New Roman"/>
                <w:sz w:val="24"/>
                <w:szCs w:val="24"/>
              </w:rPr>
            </w:pPr>
            <w:r>
              <w:rPr>
                <w:rFonts w:ascii="Times New Roman" w:hAnsi="Times New Roman" w:cs="Times New Roman"/>
                <w:sz w:val="24"/>
                <w:szCs w:val="24"/>
              </w:rPr>
              <w:t>Kernel regularizer: L1, L2</w:t>
            </w:r>
          </w:p>
        </w:tc>
      </w:tr>
    </w:tbl>
    <w:p w14:paraId="63E24D6B" w14:textId="77777777" w:rsidR="00F476A2" w:rsidRPr="00F476A2" w:rsidRDefault="00F476A2">
      <w:pPr>
        <w:rPr>
          <w:rFonts w:ascii="Times New Roman" w:hAnsi="Times New Roman" w:cs="Times New Roman"/>
          <w:sz w:val="24"/>
          <w:szCs w:val="24"/>
        </w:rPr>
      </w:pPr>
    </w:p>
    <w:sectPr w:rsidR="00F476A2" w:rsidRPr="00F47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A2"/>
    <w:rsid w:val="003349ED"/>
    <w:rsid w:val="00DC3333"/>
    <w:rsid w:val="00DF7F70"/>
    <w:rsid w:val="00F47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1A32"/>
  <w15:chartTrackingRefBased/>
  <w15:docId w15:val="{CDEBAE2D-D7E1-4C88-9C30-398F9EDA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A2"/>
    <w:rPr>
      <w:color w:val="0563C1" w:themeColor="hyperlink"/>
      <w:u w:val="single"/>
    </w:rPr>
  </w:style>
  <w:style w:type="table" w:styleId="TableGrid">
    <w:name w:val="Table Grid"/>
    <w:basedOn w:val="TableNormal"/>
    <w:uiPriority w:val="39"/>
    <w:rsid w:val="003349E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tlin.finney@wimr.org.au" TargetMode="External"/><Relationship Id="rId5" Type="http://schemas.openxmlformats.org/officeDocument/2006/relationships/hyperlink" Target="http://www.aibl.csiro.au" TargetMode="External"/><Relationship Id="rId4" Type="http://schemas.openxmlformats.org/officeDocument/2006/relationships/hyperlink" Target="http://adni.loni.usc.edu/wp-content/uploads/how_to_apply/ADNI_Acknowledgement_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Finney</dc:creator>
  <cp:keywords/>
  <dc:description/>
  <cp:lastModifiedBy>Caitlin Finney</cp:lastModifiedBy>
  <cp:revision>3</cp:revision>
  <dcterms:created xsi:type="dcterms:W3CDTF">2024-03-10T22:27:00Z</dcterms:created>
  <dcterms:modified xsi:type="dcterms:W3CDTF">2024-03-10T23:55:00Z</dcterms:modified>
</cp:coreProperties>
</file>