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62386" w14:textId="4226F571" w:rsidR="00476A6B" w:rsidRDefault="00B640F5" w:rsidP="00476A6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A2D9FF" wp14:editId="0D512811">
            <wp:extent cx="5296172" cy="3638737"/>
            <wp:effectExtent l="0" t="0" r="0" b="0"/>
            <wp:docPr id="77945889" name="Picture 1" descr="A group of graphs showing different types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5889" name="Picture 1" descr="A group of graphs showing different types of data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172" cy="36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023D" w14:textId="0C1F3B2A" w:rsidR="00873BD6" w:rsidRDefault="00873BD6">
      <w:pPr>
        <w:rPr>
          <w:rFonts w:ascii="Arial" w:hAnsi="Arial" w:cs="Arial"/>
        </w:rPr>
      </w:pPr>
    </w:p>
    <w:p w14:paraId="101A1B81" w14:textId="40C4CA85" w:rsidR="00552582" w:rsidRDefault="00873BD6">
      <w:pPr>
        <w:rPr>
          <w:rFonts w:ascii="Arial" w:hAnsi="Arial" w:cs="Arial"/>
        </w:rPr>
      </w:pPr>
      <w:r w:rsidRPr="003C3E99">
        <w:rPr>
          <w:rFonts w:ascii="Arial" w:hAnsi="Arial" w:cs="Arial"/>
          <w:b/>
          <w:bCs/>
        </w:rPr>
        <w:t xml:space="preserve">Supplementary Figure 1. </w:t>
      </w:r>
      <w:r w:rsidR="00B640F5" w:rsidRPr="003C3E99">
        <w:rPr>
          <w:rFonts w:ascii="Arial" w:hAnsi="Arial" w:cs="Arial"/>
          <w:b/>
          <w:bCs/>
        </w:rPr>
        <w:t>Distributions of the sequencing quality m</w:t>
      </w:r>
      <w:r w:rsidR="00695BAA">
        <w:rPr>
          <w:rFonts w:ascii="Arial" w:hAnsi="Arial" w:cs="Arial"/>
          <w:b/>
          <w:bCs/>
        </w:rPr>
        <w:t>e</w:t>
      </w:r>
      <w:r w:rsidR="00B640F5" w:rsidRPr="003C3E99">
        <w:rPr>
          <w:rFonts w:ascii="Arial" w:hAnsi="Arial" w:cs="Arial"/>
          <w:b/>
          <w:bCs/>
        </w:rPr>
        <w:t>tri</w:t>
      </w:r>
      <w:r w:rsidR="00FA34F2">
        <w:rPr>
          <w:rFonts w:ascii="Arial" w:hAnsi="Arial" w:cs="Arial"/>
          <w:b/>
          <w:bCs/>
        </w:rPr>
        <w:t>cs</w:t>
      </w:r>
      <w:r w:rsidR="00B640F5" w:rsidRPr="003C3E99">
        <w:rPr>
          <w:rFonts w:ascii="Arial" w:hAnsi="Arial" w:cs="Arial"/>
          <w:b/>
          <w:bCs/>
        </w:rPr>
        <w:t xml:space="preserve"> of YP WES data.</w:t>
      </w:r>
      <w:r w:rsidR="00F11488">
        <w:rPr>
          <w:rFonts w:ascii="Arial" w:hAnsi="Arial" w:cs="Arial"/>
        </w:rPr>
        <w:t xml:space="preserve"> Het/Hom, ratio of the</w:t>
      </w:r>
      <w:r w:rsidR="00F11488" w:rsidRPr="00D9015C">
        <w:rPr>
          <w:rFonts w:ascii="Arial" w:hAnsi="Arial" w:cs="Arial"/>
        </w:rPr>
        <w:t xml:space="preserve"> heterozygous </w:t>
      </w:r>
      <w:r w:rsidR="00F11488">
        <w:rPr>
          <w:rFonts w:ascii="Arial" w:hAnsi="Arial" w:cs="Arial"/>
        </w:rPr>
        <w:t xml:space="preserve">variants </w:t>
      </w:r>
      <w:r w:rsidR="00F11488" w:rsidRPr="00D9015C">
        <w:rPr>
          <w:rFonts w:ascii="Arial" w:hAnsi="Arial" w:cs="Arial"/>
        </w:rPr>
        <w:t>to nonreference homozygous variants</w:t>
      </w:r>
      <w:r w:rsidR="00F11488">
        <w:rPr>
          <w:rFonts w:ascii="Arial" w:hAnsi="Arial" w:cs="Arial"/>
        </w:rPr>
        <w:t xml:space="preserve">. Ti/Tv, </w:t>
      </w:r>
      <w:r w:rsidR="00F11488" w:rsidRPr="006F6ED2">
        <w:rPr>
          <w:rFonts w:ascii="Arial" w:hAnsi="Arial" w:cs="Arial"/>
        </w:rPr>
        <w:t>the ratio of transitions to transversions</w:t>
      </w:r>
      <w:r w:rsidR="00F11488">
        <w:rPr>
          <w:rFonts w:ascii="Arial" w:hAnsi="Arial" w:cs="Arial"/>
        </w:rPr>
        <w:t>.</w:t>
      </w:r>
      <w:r w:rsidR="00552582">
        <w:rPr>
          <w:rFonts w:ascii="Arial" w:hAnsi="Arial" w:cs="Arial"/>
        </w:rPr>
        <w:br w:type="page"/>
      </w:r>
    </w:p>
    <w:p w14:paraId="45CFCA40" w14:textId="07E6EC54" w:rsidR="00CC574E" w:rsidRDefault="00F1148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1050099" wp14:editId="6190B8DB">
            <wp:extent cx="5943600" cy="3241040"/>
            <wp:effectExtent l="0" t="0" r="0" b="0"/>
            <wp:docPr id="1702553408" name="Picture 2" descr="A graph of a bar and a bar of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3408" name="Picture 2" descr="A graph of a bar and a bar of graph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D54D" w14:textId="1B33DBE7" w:rsidR="00CC574E" w:rsidRDefault="00A66198" w:rsidP="00111E90">
      <w:pPr>
        <w:jc w:val="both"/>
        <w:rPr>
          <w:rFonts w:ascii="Arial" w:hAnsi="Arial" w:cs="Arial"/>
        </w:rPr>
      </w:pPr>
      <w:r w:rsidRPr="003C3E99">
        <w:rPr>
          <w:rFonts w:ascii="Arial" w:hAnsi="Arial" w:cs="Arial"/>
          <w:b/>
          <w:bCs/>
        </w:rPr>
        <w:t xml:space="preserve">Supplementary Figure 2. </w:t>
      </w:r>
      <w:r w:rsidR="00517AD4" w:rsidRPr="003C3E99">
        <w:rPr>
          <w:rFonts w:ascii="Arial" w:hAnsi="Arial" w:cs="Arial"/>
          <w:b/>
          <w:bCs/>
        </w:rPr>
        <w:t xml:space="preserve">The allele frequency spectrum of variants </w:t>
      </w:r>
      <w:r w:rsidR="00392005" w:rsidRPr="003C3E99">
        <w:rPr>
          <w:rFonts w:ascii="Arial" w:hAnsi="Arial" w:cs="Arial"/>
          <w:b/>
          <w:bCs/>
        </w:rPr>
        <w:t xml:space="preserve">and novel variants </w:t>
      </w:r>
      <w:r w:rsidR="00517AD4" w:rsidRPr="003C3E99">
        <w:rPr>
          <w:rFonts w:ascii="Arial" w:hAnsi="Arial" w:cs="Arial"/>
          <w:b/>
          <w:bCs/>
        </w:rPr>
        <w:t xml:space="preserve">identified </w:t>
      </w:r>
      <w:r w:rsidR="003C3E99" w:rsidRPr="003C3E99">
        <w:rPr>
          <w:rFonts w:ascii="Arial" w:hAnsi="Arial" w:cs="Arial"/>
          <w:b/>
          <w:bCs/>
        </w:rPr>
        <w:t>in</w:t>
      </w:r>
      <w:r w:rsidR="00517AD4" w:rsidRPr="003C3E99">
        <w:rPr>
          <w:rFonts w:ascii="Arial" w:hAnsi="Arial" w:cs="Arial"/>
          <w:b/>
          <w:bCs/>
        </w:rPr>
        <w:t xml:space="preserve"> </w:t>
      </w:r>
      <w:r w:rsidR="003C3E99">
        <w:rPr>
          <w:rFonts w:ascii="Arial" w:hAnsi="Arial" w:cs="Arial"/>
          <w:b/>
          <w:bCs/>
        </w:rPr>
        <w:t xml:space="preserve">the </w:t>
      </w:r>
      <w:r w:rsidR="00517AD4" w:rsidRPr="003C3E99">
        <w:rPr>
          <w:rFonts w:ascii="Arial" w:hAnsi="Arial" w:cs="Arial"/>
          <w:b/>
          <w:bCs/>
        </w:rPr>
        <w:t>YP dataset.</w:t>
      </w:r>
      <w:r w:rsidR="00392005">
        <w:rPr>
          <w:rFonts w:ascii="Arial" w:hAnsi="Arial" w:cs="Arial"/>
        </w:rPr>
        <w:t xml:space="preserve"> Proportions of variants from YP that are not identified by either </w:t>
      </w:r>
      <w:proofErr w:type="spellStart"/>
      <w:r w:rsidR="00392005">
        <w:rPr>
          <w:rFonts w:ascii="Arial" w:hAnsi="Arial" w:cs="Arial"/>
        </w:rPr>
        <w:t>ExAC</w:t>
      </w:r>
      <w:proofErr w:type="spellEnd"/>
      <w:r w:rsidR="00392005">
        <w:rPr>
          <w:rFonts w:ascii="Arial" w:hAnsi="Arial" w:cs="Arial"/>
        </w:rPr>
        <w:t xml:space="preserve"> or whole-genome sequences from gnomAD v3.1.2, exist only in one of them or both were indicated.</w:t>
      </w:r>
    </w:p>
    <w:p w14:paraId="3D1D91E6" w14:textId="77777777" w:rsidR="00CC574E" w:rsidRDefault="00CC574E">
      <w:pPr>
        <w:rPr>
          <w:rFonts w:ascii="Arial" w:hAnsi="Arial" w:cs="Arial"/>
        </w:rPr>
      </w:pPr>
    </w:p>
    <w:p w14:paraId="7F880684" w14:textId="77777777" w:rsidR="00CC574E" w:rsidRDefault="00CC574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6FA3BB" w14:textId="7AD795D6" w:rsidR="00093889" w:rsidRDefault="007A11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B9C19B2" wp14:editId="700D4617">
            <wp:extent cx="5943600" cy="3964305"/>
            <wp:effectExtent l="0" t="0" r="0" b="0"/>
            <wp:docPr id="197340759" name="Picture 3" descr="A group of graphs showing different types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0759" name="Picture 3" descr="A group of graphs showing different types of numbers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DA2A" w14:textId="6044752A" w:rsidR="006120FF" w:rsidRDefault="006120FF" w:rsidP="00185601">
      <w:pPr>
        <w:rPr>
          <w:rFonts w:ascii="Arial" w:hAnsi="Arial" w:cs="Arial"/>
        </w:rPr>
      </w:pPr>
      <w:r w:rsidRPr="007A115B">
        <w:rPr>
          <w:rFonts w:ascii="Arial" w:hAnsi="Arial" w:cs="Arial"/>
          <w:b/>
          <w:bCs/>
        </w:rPr>
        <w:t xml:space="preserve">Supplementary Figure </w:t>
      </w:r>
      <w:r w:rsidR="007A115B" w:rsidRPr="007A115B">
        <w:rPr>
          <w:rFonts w:ascii="Arial" w:hAnsi="Arial" w:cs="Arial"/>
          <w:b/>
          <w:bCs/>
        </w:rPr>
        <w:t>3</w:t>
      </w:r>
      <w:r w:rsidRPr="007A115B">
        <w:rPr>
          <w:rFonts w:ascii="Arial" w:hAnsi="Arial" w:cs="Arial"/>
          <w:b/>
          <w:bCs/>
        </w:rPr>
        <w:t xml:space="preserve">. Single-variant association analysis </w:t>
      </w:r>
      <w:r w:rsidR="00957E8D" w:rsidRPr="007A115B">
        <w:rPr>
          <w:rFonts w:ascii="Arial" w:hAnsi="Arial" w:cs="Arial"/>
          <w:b/>
          <w:bCs/>
        </w:rPr>
        <w:t xml:space="preserve">results </w:t>
      </w:r>
      <w:r w:rsidRPr="007A115B">
        <w:rPr>
          <w:rFonts w:ascii="Arial" w:hAnsi="Arial" w:cs="Arial"/>
          <w:b/>
          <w:bCs/>
        </w:rPr>
        <w:t>of the YP dataset.</w:t>
      </w:r>
      <w:r>
        <w:rPr>
          <w:rFonts w:ascii="Arial" w:hAnsi="Arial" w:cs="Arial"/>
        </w:rPr>
        <w:t xml:space="preserve"> Manhattan plot and QQ plot for EUR (A) and AFR (B) in YP. </w:t>
      </w:r>
    </w:p>
    <w:p w14:paraId="7F20C232" w14:textId="5A0C3553" w:rsidR="00585BA8" w:rsidRDefault="00585BA8">
      <w:pPr>
        <w:rPr>
          <w:rFonts w:ascii="Arial" w:hAnsi="Arial" w:cs="Arial"/>
        </w:rPr>
      </w:pPr>
    </w:p>
    <w:p w14:paraId="216685E6" w14:textId="77777777" w:rsidR="00585BA8" w:rsidRDefault="00585B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A102FF1" w14:textId="4EE9EEDF" w:rsidR="00585BA8" w:rsidRDefault="004465C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F7DC304" wp14:editId="6AFCD5D4">
            <wp:extent cx="5943600" cy="8063865"/>
            <wp:effectExtent l="0" t="0" r="0" b="0"/>
            <wp:docPr id="1034169735" name="Picture 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69735" name="Picture 4" descr="A screenshot of a graph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4283" w14:textId="0FB0F0C6" w:rsidR="00160FFB" w:rsidRDefault="00160FFB" w:rsidP="00111E90">
      <w:pPr>
        <w:jc w:val="both"/>
        <w:rPr>
          <w:rFonts w:ascii="Arial" w:hAnsi="Arial" w:cs="Arial"/>
        </w:rPr>
      </w:pPr>
      <w:r w:rsidRPr="00253323">
        <w:rPr>
          <w:rFonts w:ascii="Arial" w:hAnsi="Arial" w:cs="Arial"/>
          <w:b/>
          <w:bCs/>
        </w:rPr>
        <w:lastRenderedPageBreak/>
        <w:t>Supplementary</w:t>
      </w:r>
      <w:r w:rsidR="00957E8D" w:rsidRPr="00253323">
        <w:rPr>
          <w:rFonts w:ascii="Arial" w:hAnsi="Arial" w:cs="Arial"/>
          <w:b/>
          <w:bCs/>
        </w:rPr>
        <w:t xml:space="preserve"> Figure </w:t>
      </w:r>
      <w:r w:rsidR="004F4202" w:rsidRPr="00253323">
        <w:rPr>
          <w:rFonts w:ascii="Arial" w:hAnsi="Arial" w:cs="Arial"/>
          <w:b/>
          <w:bCs/>
        </w:rPr>
        <w:t>4</w:t>
      </w:r>
      <w:r w:rsidR="00957E8D" w:rsidRPr="00253323">
        <w:rPr>
          <w:rFonts w:ascii="Arial" w:hAnsi="Arial" w:cs="Arial"/>
          <w:b/>
          <w:bCs/>
        </w:rPr>
        <w:t>. Single-variant association analysis in UKB.</w:t>
      </w:r>
      <w:r w:rsidR="00957E8D">
        <w:rPr>
          <w:rFonts w:ascii="Arial" w:hAnsi="Arial" w:cs="Arial"/>
        </w:rPr>
        <w:t xml:space="preserve"> Manhattan plot and QQ plot for EUR1 subpopulation, EUR2 subpopulation, AFR subpopulation and SAS subpopulation</w:t>
      </w:r>
      <w:r w:rsidR="006245B1">
        <w:rPr>
          <w:rFonts w:ascii="Arial" w:hAnsi="Arial" w:cs="Arial"/>
        </w:rPr>
        <w:t xml:space="preserve"> from upper panel to lower panel.</w:t>
      </w:r>
    </w:p>
    <w:p w14:paraId="048EC304" w14:textId="034AED77" w:rsidR="00A75BEF" w:rsidRDefault="00A75BEF">
      <w:pPr>
        <w:rPr>
          <w:rFonts w:ascii="Arial" w:hAnsi="Arial" w:cs="Arial"/>
        </w:rPr>
      </w:pPr>
    </w:p>
    <w:p w14:paraId="1301A4D9" w14:textId="078DB3CD" w:rsidR="00585BA8" w:rsidRDefault="00585B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23705">
        <w:rPr>
          <w:rFonts w:ascii="Arial" w:hAnsi="Arial" w:cs="Arial"/>
        </w:rPr>
        <w:lastRenderedPageBreak/>
        <w:t xml:space="preserve"> </w:t>
      </w:r>
      <w:r w:rsidR="00850309">
        <w:rPr>
          <w:rFonts w:ascii="Arial" w:hAnsi="Arial" w:cs="Arial"/>
          <w:noProof/>
        </w:rPr>
        <w:drawing>
          <wp:inline distT="0" distB="0" distL="0" distR="0" wp14:anchorId="623780F5" wp14:editId="39FB9358">
            <wp:extent cx="5943600" cy="4858385"/>
            <wp:effectExtent l="0" t="0" r="0" b="0"/>
            <wp:docPr id="121278822" name="Picture 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8822" name="Picture 5" descr="A screenshot of a graph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AD7C" w14:textId="14869DC3" w:rsidR="00E23024" w:rsidRDefault="00701AB8" w:rsidP="00F85562">
      <w:pPr>
        <w:jc w:val="both"/>
        <w:rPr>
          <w:rFonts w:ascii="Arial" w:hAnsi="Arial" w:cs="Arial"/>
        </w:rPr>
      </w:pPr>
      <w:r w:rsidRPr="00850309">
        <w:rPr>
          <w:rFonts w:ascii="Arial" w:hAnsi="Arial" w:cs="Arial"/>
          <w:b/>
          <w:bCs/>
        </w:rPr>
        <w:t xml:space="preserve">Supplementary Figure </w:t>
      </w:r>
      <w:r w:rsidR="00850309" w:rsidRPr="00850309">
        <w:rPr>
          <w:rFonts w:ascii="Arial" w:hAnsi="Arial" w:cs="Arial"/>
          <w:b/>
          <w:bCs/>
        </w:rPr>
        <w:t>5</w:t>
      </w:r>
      <w:r w:rsidR="002D1A96" w:rsidRPr="00850309">
        <w:rPr>
          <w:rFonts w:ascii="Arial" w:hAnsi="Arial" w:cs="Arial"/>
          <w:b/>
          <w:bCs/>
        </w:rPr>
        <w:t xml:space="preserve">. </w:t>
      </w:r>
      <w:r w:rsidR="00853C4D" w:rsidRPr="00850309">
        <w:rPr>
          <w:rFonts w:ascii="Arial" w:hAnsi="Arial" w:cs="Arial"/>
          <w:b/>
          <w:bCs/>
        </w:rPr>
        <w:t>Gene-based association analysis for EUR1 and AFR subpopulation in UKB.</w:t>
      </w:r>
      <w:r w:rsidR="00853C4D">
        <w:rPr>
          <w:rFonts w:ascii="Arial" w:hAnsi="Arial" w:cs="Arial"/>
        </w:rPr>
        <w:t xml:space="preserve"> </w:t>
      </w:r>
      <w:r w:rsidR="00201601">
        <w:rPr>
          <w:rFonts w:ascii="Arial" w:hAnsi="Arial" w:cs="Arial"/>
        </w:rPr>
        <w:t>Manhattan plots showed the combined gene-based results under each MAF and variant class combination groups. Red dashed horizontal line represents exome-wide significance under Bonferroni correction.</w:t>
      </w:r>
      <w:r w:rsidR="00AF11C1">
        <w:rPr>
          <w:rFonts w:ascii="Arial" w:hAnsi="Arial" w:cs="Arial"/>
        </w:rPr>
        <w:t xml:space="preserve"> Signals passed the threshold were highlighted in red. A signal from </w:t>
      </w:r>
      <w:r w:rsidR="00AF11C1" w:rsidRPr="00AF11C1">
        <w:rPr>
          <w:rFonts w:ascii="Arial" w:hAnsi="Arial" w:cs="Arial"/>
          <w:i/>
          <w:iCs/>
        </w:rPr>
        <w:t>CNST</w:t>
      </w:r>
      <w:r w:rsidR="00AF11C1">
        <w:rPr>
          <w:rFonts w:ascii="Arial" w:hAnsi="Arial" w:cs="Arial"/>
        </w:rPr>
        <w:t xml:space="preserve"> gene almost reached the Bonferroni-corrected exome</w:t>
      </w:r>
      <w:r w:rsidR="00404D63">
        <w:rPr>
          <w:rFonts w:ascii="Arial" w:hAnsi="Arial" w:cs="Arial"/>
        </w:rPr>
        <w:t>-wide significance</w:t>
      </w:r>
      <w:r w:rsidR="0003681B">
        <w:rPr>
          <w:rFonts w:ascii="Arial" w:hAnsi="Arial" w:cs="Arial"/>
        </w:rPr>
        <w:t xml:space="preserve"> in EUR1 subpopulation</w:t>
      </w:r>
      <w:r w:rsidR="00404D63">
        <w:rPr>
          <w:rFonts w:ascii="Arial" w:hAnsi="Arial" w:cs="Arial"/>
        </w:rPr>
        <w:t xml:space="preserve"> was marked.</w:t>
      </w:r>
      <w:r w:rsidR="004E365C">
        <w:rPr>
          <w:rFonts w:ascii="Arial" w:hAnsi="Arial" w:cs="Arial"/>
        </w:rPr>
        <w:t xml:space="preserve"> Manhattan plots were not presented for EUR2 and SAS due to no significant results from these two subpopulations after Bonferroni corrections.</w:t>
      </w:r>
    </w:p>
    <w:p w14:paraId="79AE1848" w14:textId="77777777" w:rsidR="00E23024" w:rsidRDefault="00E23024">
      <w:pPr>
        <w:rPr>
          <w:rFonts w:ascii="Arial" w:hAnsi="Arial" w:cs="Arial"/>
        </w:rPr>
      </w:pPr>
    </w:p>
    <w:p w14:paraId="6D6C5340" w14:textId="77777777" w:rsidR="004217A9" w:rsidRDefault="004217A9">
      <w:pPr>
        <w:rPr>
          <w:rFonts w:ascii="Arial" w:hAnsi="Arial" w:cs="Arial"/>
        </w:rPr>
      </w:pPr>
    </w:p>
    <w:p w14:paraId="18A1CCE6" w14:textId="77777777" w:rsidR="004217A9" w:rsidRDefault="004217A9">
      <w:pPr>
        <w:rPr>
          <w:rFonts w:ascii="Arial" w:hAnsi="Arial" w:cs="Arial"/>
        </w:rPr>
      </w:pPr>
    </w:p>
    <w:p w14:paraId="7CA4B3A4" w14:textId="77777777" w:rsidR="004217A9" w:rsidRDefault="004217A9">
      <w:pPr>
        <w:rPr>
          <w:rFonts w:ascii="Arial" w:hAnsi="Arial" w:cs="Arial"/>
        </w:rPr>
      </w:pPr>
    </w:p>
    <w:p w14:paraId="0CDE8AA2" w14:textId="77777777" w:rsidR="004217A9" w:rsidRDefault="004217A9">
      <w:pPr>
        <w:rPr>
          <w:rFonts w:ascii="Arial" w:hAnsi="Arial" w:cs="Arial"/>
        </w:rPr>
      </w:pPr>
    </w:p>
    <w:p w14:paraId="3F092EED" w14:textId="77777777" w:rsidR="004217A9" w:rsidRDefault="004217A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56CB0E5" w14:textId="7631D8A3" w:rsidR="002F608A" w:rsidRDefault="007843A1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B4F590E" wp14:editId="2CF2B5B6">
            <wp:extent cx="5730240" cy="4693920"/>
            <wp:effectExtent l="0" t="0" r="3810" b="0"/>
            <wp:docPr id="4617872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F6E4" w14:textId="2C6EAE7D" w:rsidR="00AD7E43" w:rsidRDefault="00A4046C" w:rsidP="00F85562">
      <w:pPr>
        <w:jc w:val="both"/>
        <w:rPr>
          <w:rFonts w:ascii="Arial" w:hAnsi="Arial" w:cs="Arial"/>
        </w:rPr>
      </w:pPr>
      <w:r w:rsidRPr="006C3B32">
        <w:rPr>
          <w:rFonts w:ascii="Arial" w:hAnsi="Arial" w:cs="Arial"/>
          <w:b/>
          <w:bCs/>
        </w:rPr>
        <w:t xml:space="preserve">Supplementary Figure </w:t>
      </w:r>
      <w:r w:rsidR="00AC4C3D" w:rsidRPr="006C3B32">
        <w:rPr>
          <w:rFonts w:ascii="Arial" w:hAnsi="Arial" w:cs="Arial"/>
          <w:b/>
          <w:bCs/>
        </w:rPr>
        <w:t>6</w:t>
      </w:r>
      <w:r w:rsidR="005105B7" w:rsidRPr="006C3B32">
        <w:rPr>
          <w:rFonts w:ascii="Arial" w:hAnsi="Arial" w:cs="Arial"/>
          <w:b/>
          <w:bCs/>
        </w:rPr>
        <w:t xml:space="preserve">. </w:t>
      </w:r>
      <w:r w:rsidR="00C515FD" w:rsidRPr="006C3B32">
        <w:rPr>
          <w:rFonts w:ascii="Arial" w:hAnsi="Arial" w:cs="Arial"/>
          <w:b/>
          <w:bCs/>
        </w:rPr>
        <w:t>Within-ancestry meta-analyses of the gene-based association results for EUR and AFR across YP and UKB.</w:t>
      </w:r>
      <w:r w:rsidR="00C515FD">
        <w:rPr>
          <w:rFonts w:ascii="Arial" w:hAnsi="Arial" w:cs="Arial"/>
        </w:rPr>
        <w:t xml:space="preserve"> </w:t>
      </w:r>
      <w:r w:rsidR="00706340">
        <w:rPr>
          <w:rFonts w:ascii="Arial" w:hAnsi="Arial" w:cs="Arial"/>
        </w:rPr>
        <w:t>Manhattan plots showed the</w:t>
      </w:r>
      <w:r w:rsidR="00F770E3">
        <w:rPr>
          <w:rFonts w:ascii="Arial" w:hAnsi="Arial" w:cs="Arial"/>
        </w:rPr>
        <w:t xml:space="preserve"> combined gene-based results under each MAF and variant class combination groups. Red dashed horizontal line represents exome-wide significance under Bonferroni correction. </w:t>
      </w:r>
      <w:r w:rsidR="000D728B">
        <w:rPr>
          <w:rFonts w:ascii="Arial" w:hAnsi="Arial" w:cs="Arial"/>
        </w:rPr>
        <w:t>Marker</w:t>
      </w:r>
      <w:r w:rsidR="00F770E3">
        <w:rPr>
          <w:rFonts w:ascii="Arial" w:hAnsi="Arial" w:cs="Arial"/>
        </w:rPr>
        <w:t xml:space="preserve">s passed the </w:t>
      </w:r>
      <w:r w:rsidR="000D728B">
        <w:rPr>
          <w:rFonts w:ascii="Arial" w:hAnsi="Arial" w:cs="Arial"/>
        </w:rPr>
        <w:t xml:space="preserve">Bonferroni-corrected </w:t>
      </w:r>
      <w:r w:rsidR="00F770E3">
        <w:rPr>
          <w:rFonts w:ascii="Arial" w:hAnsi="Arial" w:cs="Arial"/>
        </w:rPr>
        <w:t>threshold were highlighted in red.</w:t>
      </w:r>
      <w:r w:rsidR="000D728B">
        <w:rPr>
          <w:rFonts w:ascii="Arial" w:hAnsi="Arial" w:cs="Arial"/>
        </w:rPr>
        <w:t xml:space="preserve"> Markers passed FDR-corrected </w:t>
      </w:r>
      <w:r w:rsidR="000D728B" w:rsidRPr="000D728B">
        <w:rPr>
          <w:rFonts w:ascii="Arial" w:hAnsi="Arial" w:cs="Arial"/>
          <w:i/>
          <w:iCs/>
        </w:rPr>
        <w:t>P</w:t>
      </w:r>
      <w:r w:rsidR="000D728B">
        <w:rPr>
          <w:rFonts w:ascii="Arial" w:hAnsi="Arial" w:cs="Arial"/>
        </w:rPr>
        <w:t>-value&lt;0.1 were marked in black.</w:t>
      </w:r>
      <w:r w:rsidR="00F770E3">
        <w:rPr>
          <w:rFonts w:ascii="Arial" w:hAnsi="Arial" w:cs="Arial"/>
        </w:rPr>
        <w:t xml:space="preserve"> MAF groups of cutoff 0.0001 were not considered in the meta-analyses because there were no variants under the MAF cutoff of 0.0001 in YP cohort.</w:t>
      </w:r>
    </w:p>
    <w:p w14:paraId="51310F2A" w14:textId="77777777" w:rsidR="005D051C" w:rsidRDefault="005D051C">
      <w:pPr>
        <w:rPr>
          <w:rFonts w:ascii="Arial" w:hAnsi="Arial" w:cs="Arial"/>
        </w:rPr>
      </w:pPr>
    </w:p>
    <w:p w14:paraId="71E11FD4" w14:textId="77777777" w:rsidR="005D051C" w:rsidRDefault="005D051C">
      <w:pPr>
        <w:rPr>
          <w:rFonts w:ascii="Arial" w:hAnsi="Arial" w:cs="Arial"/>
        </w:rPr>
      </w:pPr>
    </w:p>
    <w:p w14:paraId="5BCB5A3A" w14:textId="77777777" w:rsidR="005D051C" w:rsidRDefault="005D051C">
      <w:pPr>
        <w:rPr>
          <w:rFonts w:ascii="Arial" w:hAnsi="Arial" w:cs="Arial"/>
        </w:rPr>
      </w:pPr>
    </w:p>
    <w:p w14:paraId="512C7518" w14:textId="77777777" w:rsidR="004217A9" w:rsidRDefault="004217A9">
      <w:pPr>
        <w:rPr>
          <w:rFonts w:ascii="Arial" w:hAnsi="Arial" w:cs="Arial"/>
        </w:rPr>
      </w:pPr>
    </w:p>
    <w:p w14:paraId="38D237D2" w14:textId="77777777" w:rsidR="004217A9" w:rsidRDefault="004217A9">
      <w:pPr>
        <w:rPr>
          <w:rFonts w:ascii="Arial" w:hAnsi="Arial" w:cs="Arial"/>
        </w:rPr>
      </w:pPr>
    </w:p>
    <w:p w14:paraId="68950A6C" w14:textId="77777777" w:rsidR="004217A9" w:rsidRDefault="004217A9">
      <w:pPr>
        <w:rPr>
          <w:rFonts w:ascii="Arial" w:hAnsi="Arial" w:cs="Arial"/>
        </w:rPr>
      </w:pPr>
    </w:p>
    <w:p w14:paraId="1DA6EA15" w14:textId="4D45E730" w:rsidR="00B0673C" w:rsidRDefault="00B0673C">
      <w:pPr>
        <w:rPr>
          <w:rFonts w:ascii="Arial" w:hAnsi="Arial" w:cs="Arial"/>
        </w:rPr>
      </w:pPr>
    </w:p>
    <w:p w14:paraId="4EB9E96F" w14:textId="77777777" w:rsidR="001522C3" w:rsidRDefault="001522C3" w:rsidP="001362A9">
      <w:pPr>
        <w:jc w:val="both"/>
        <w:rPr>
          <w:rFonts w:ascii="Arial" w:hAnsi="Arial" w:cs="Arial"/>
        </w:rPr>
      </w:pPr>
    </w:p>
    <w:p w14:paraId="7510482D" w14:textId="52A080BD" w:rsidR="004217A9" w:rsidRDefault="00F9279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77B3FD" wp14:editId="58D3EF35">
            <wp:extent cx="5943600" cy="4133215"/>
            <wp:effectExtent l="0" t="0" r="0" b="635"/>
            <wp:docPr id="1047297943" name="Picture 8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97943" name="Picture 8" descr="A graph of different colored lin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FF29" w14:textId="77D1C2DA" w:rsidR="00585BA8" w:rsidRDefault="00BF7157" w:rsidP="001A05FF">
      <w:pPr>
        <w:jc w:val="both"/>
        <w:rPr>
          <w:rFonts w:ascii="Arial" w:hAnsi="Arial" w:cs="Arial"/>
        </w:rPr>
      </w:pPr>
      <w:r w:rsidRPr="00F92798">
        <w:rPr>
          <w:rFonts w:ascii="Arial" w:hAnsi="Arial" w:cs="Arial"/>
          <w:b/>
          <w:bCs/>
        </w:rPr>
        <w:t xml:space="preserve">Supplementary Figure </w:t>
      </w:r>
      <w:r w:rsidR="00B36498">
        <w:rPr>
          <w:rFonts w:ascii="Arial" w:hAnsi="Arial" w:cs="Arial"/>
          <w:b/>
          <w:bCs/>
        </w:rPr>
        <w:t>7</w:t>
      </w:r>
      <w:r w:rsidRPr="00F92798">
        <w:rPr>
          <w:rFonts w:ascii="Arial" w:hAnsi="Arial" w:cs="Arial"/>
          <w:b/>
          <w:bCs/>
        </w:rPr>
        <w:t>. GO enrichment analysis for nominally significant genes from the cross-ancestry meta-analysis of the gene-based association results.</w:t>
      </w:r>
      <w:r>
        <w:rPr>
          <w:rFonts w:ascii="Arial" w:hAnsi="Arial" w:cs="Arial"/>
        </w:rPr>
        <w:t xml:space="preserve"> Genes that were nominally significant in at least one of the MAF and variant class combination groups were selected. Selected genes were ranked based on the meta-analysis Z-scores. Each vertical line in the figure represents one gene. </w:t>
      </w:r>
      <w:r w:rsidR="00431748">
        <w:rPr>
          <w:rFonts w:ascii="Arial" w:hAnsi="Arial" w:cs="Arial"/>
        </w:rPr>
        <w:t>The top 5 nominally significant GO terms were shown.</w:t>
      </w:r>
    </w:p>
    <w:sectPr w:rsidR="00585BA8" w:rsidSect="00552F58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pd9z25095t9voevtvepwsxd2rwp2sfatvv5&quot;&gt;Endnote_refs.manuscript.EM&lt;record-ids&gt;&lt;item&gt;29&lt;/item&gt;&lt;item&gt;269&lt;/item&gt;&lt;item&gt;270&lt;/item&gt;&lt;item&gt;271&lt;/item&gt;&lt;item&gt;273&lt;/item&gt;&lt;item&gt;274&lt;/item&gt;&lt;item&gt;275&lt;/item&gt;&lt;item&gt;276&lt;/item&gt;&lt;item&gt;277&lt;/item&gt;&lt;item&gt;278&lt;/item&gt;&lt;item&gt;279&lt;/item&gt;&lt;item&gt;280&lt;/item&gt;&lt;item&gt;281&lt;/item&gt;&lt;item&gt;282&lt;/item&gt;&lt;item&gt;283&lt;/item&gt;&lt;item&gt;284&lt;/item&gt;&lt;item&gt;285&lt;/item&gt;&lt;item&gt;286&lt;/item&gt;&lt;item&gt;287&lt;/item&gt;&lt;item&gt;288&lt;/item&gt;&lt;item&gt;289&lt;/item&gt;&lt;item&gt;290&lt;/item&gt;&lt;item&gt;291&lt;/item&gt;&lt;item&gt;292&lt;/item&gt;&lt;item&gt;293&lt;/item&gt;&lt;item&gt;294&lt;/item&gt;&lt;item&gt;295&lt;/item&gt;&lt;item&gt;296&lt;/item&gt;&lt;item&gt;297&lt;/item&gt;&lt;item&gt;298&lt;/item&gt;&lt;item&gt;299&lt;/item&gt;&lt;item&gt;300&lt;/item&gt;&lt;item&gt;301&lt;/item&gt;&lt;item&gt;302&lt;/item&gt;&lt;item&gt;303&lt;/item&gt;&lt;item&gt;304&lt;/item&gt;&lt;item&gt;305&lt;/item&gt;&lt;item&gt;306&lt;/item&gt;&lt;item&gt;307&lt;/item&gt;&lt;item&gt;308&lt;/item&gt;&lt;item&gt;309&lt;/item&gt;&lt;item&gt;310&lt;/item&gt;&lt;item&gt;311&lt;/item&gt;&lt;/record-ids&gt;&lt;/item&gt;&lt;/Libraries&gt;"/>
  </w:docVars>
  <w:rsids>
    <w:rsidRoot w:val="00214310"/>
    <w:rsid w:val="00002653"/>
    <w:rsid w:val="00002F08"/>
    <w:rsid w:val="00004280"/>
    <w:rsid w:val="00005188"/>
    <w:rsid w:val="00007D0C"/>
    <w:rsid w:val="000120EA"/>
    <w:rsid w:val="00012353"/>
    <w:rsid w:val="0001504C"/>
    <w:rsid w:val="00015A44"/>
    <w:rsid w:val="00016297"/>
    <w:rsid w:val="00020811"/>
    <w:rsid w:val="000213BA"/>
    <w:rsid w:val="00022C64"/>
    <w:rsid w:val="00025E39"/>
    <w:rsid w:val="000272F3"/>
    <w:rsid w:val="0002795B"/>
    <w:rsid w:val="00027B5F"/>
    <w:rsid w:val="00035C01"/>
    <w:rsid w:val="0003681B"/>
    <w:rsid w:val="00042CDD"/>
    <w:rsid w:val="0004589B"/>
    <w:rsid w:val="00045A12"/>
    <w:rsid w:val="00046D82"/>
    <w:rsid w:val="00047922"/>
    <w:rsid w:val="00050961"/>
    <w:rsid w:val="00050F04"/>
    <w:rsid w:val="00051B8F"/>
    <w:rsid w:val="00053CC9"/>
    <w:rsid w:val="00053EC5"/>
    <w:rsid w:val="00055E27"/>
    <w:rsid w:val="00057F59"/>
    <w:rsid w:val="0006050A"/>
    <w:rsid w:val="00061CCB"/>
    <w:rsid w:val="000635D3"/>
    <w:rsid w:val="00064411"/>
    <w:rsid w:val="00070BA5"/>
    <w:rsid w:val="00071E46"/>
    <w:rsid w:val="00072D8F"/>
    <w:rsid w:val="000735FA"/>
    <w:rsid w:val="000738DA"/>
    <w:rsid w:val="00074C77"/>
    <w:rsid w:val="000805AD"/>
    <w:rsid w:val="00080E1E"/>
    <w:rsid w:val="0008164D"/>
    <w:rsid w:val="00085AD5"/>
    <w:rsid w:val="00085DA1"/>
    <w:rsid w:val="000873E8"/>
    <w:rsid w:val="00091186"/>
    <w:rsid w:val="00091207"/>
    <w:rsid w:val="0009183A"/>
    <w:rsid w:val="00093889"/>
    <w:rsid w:val="0009497B"/>
    <w:rsid w:val="00094DA1"/>
    <w:rsid w:val="000A157B"/>
    <w:rsid w:val="000A236F"/>
    <w:rsid w:val="000A3F3B"/>
    <w:rsid w:val="000A721E"/>
    <w:rsid w:val="000B0739"/>
    <w:rsid w:val="000B2950"/>
    <w:rsid w:val="000B31E9"/>
    <w:rsid w:val="000B3A22"/>
    <w:rsid w:val="000B5043"/>
    <w:rsid w:val="000B7D7A"/>
    <w:rsid w:val="000C0478"/>
    <w:rsid w:val="000C0DD9"/>
    <w:rsid w:val="000C42A3"/>
    <w:rsid w:val="000D1BB9"/>
    <w:rsid w:val="000D2177"/>
    <w:rsid w:val="000D6CCB"/>
    <w:rsid w:val="000D728B"/>
    <w:rsid w:val="000E2E3E"/>
    <w:rsid w:val="000E304F"/>
    <w:rsid w:val="000E337D"/>
    <w:rsid w:val="000E3C1B"/>
    <w:rsid w:val="000E4FFC"/>
    <w:rsid w:val="000E547D"/>
    <w:rsid w:val="000F6BEF"/>
    <w:rsid w:val="000F7633"/>
    <w:rsid w:val="00103D9A"/>
    <w:rsid w:val="001050FC"/>
    <w:rsid w:val="001051AD"/>
    <w:rsid w:val="001056DF"/>
    <w:rsid w:val="00106320"/>
    <w:rsid w:val="00110E11"/>
    <w:rsid w:val="00111E90"/>
    <w:rsid w:val="001170B0"/>
    <w:rsid w:val="00120073"/>
    <w:rsid w:val="00120195"/>
    <w:rsid w:val="00120CCD"/>
    <w:rsid w:val="00124108"/>
    <w:rsid w:val="00124EF9"/>
    <w:rsid w:val="00131748"/>
    <w:rsid w:val="00132760"/>
    <w:rsid w:val="001327B7"/>
    <w:rsid w:val="00132805"/>
    <w:rsid w:val="001362A9"/>
    <w:rsid w:val="00137C7C"/>
    <w:rsid w:val="0014279A"/>
    <w:rsid w:val="001522C3"/>
    <w:rsid w:val="0015282F"/>
    <w:rsid w:val="00154460"/>
    <w:rsid w:val="0015519B"/>
    <w:rsid w:val="001552A3"/>
    <w:rsid w:val="001556C8"/>
    <w:rsid w:val="00156D5C"/>
    <w:rsid w:val="00157723"/>
    <w:rsid w:val="001579D6"/>
    <w:rsid w:val="00160FFB"/>
    <w:rsid w:val="00161B08"/>
    <w:rsid w:val="00162817"/>
    <w:rsid w:val="00162E74"/>
    <w:rsid w:val="001658AE"/>
    <w:rsid w:val="00172EDE"/>
    <w:rsid w:val="001737B7"/>
    <w:rsid w:val="0017719C"/>
    <w:rsid w:val="001771B0"/>
    <w:rsid w:val="001844B6"/>
    <w:rsid w:val="001848B5"/>
    <w:rsid w:val="00184B6E"/>
    <w:rsid w:val="00185601"/>
    <w:rsid w:val="00187896"/>
    <w:rsid w:val="001879BA"/>
    <w:rsid w:val="00190A6B"/>
    <w:rsid w:val="001937CC"/>
    <w:rsid w:val="0019691F"/>
    <w:rsid w:val="00196AA4"/>
    <w:rsid w:val="00197447"/>
    <w:rsid w:val="001A05FF"/>
    <w:rsid w:val="001A13B7"/>
    <w:rsid w:val="001A2C69"/>
    <w:rsid w:val="001A41DC"/>
    <w:rsid w:val="001B0CE1"/>
    <w:rsid w:val="001B36BA"/>
    <w:rsid w:val="001B5E5C"/>
    <w:rsid w:val="001B6913"/>
    <w:rsid w:val="001B7964"/>
    <w:rsid w:val="001C06EB"/>
    <w:rsid w:val="001C10BF"/>
    <w:rsid w:val="001C1459"/>
    <w:rsid w:val="001C2DA0"/>
    <w:rsid w:val="001C450B"/>
    <w:rsid w:val="001C5271"/>
    <w:rsid w:val="001C62F2"/>
    <w:rsid w:val="001D1AD9"/>
    <w:rsid w:val="001D2640"/>
    <w:rsid w:val="001D7F4E"/>
    <w:rsid w:val="001E1895"/>
    <w:rsid w:val="001F0427"/>
    <w:rsid w:val="001F28A6"/>
    <w:rsid w:val="001F3C6F"/>
    <w:rsid w:val="001F4F3A"/>
    <w:rsid w:val="001F5C32"/>
    <w:rsid w:val="001F723D"/>
    <w:rsid w:val="00200275"/>
    <w:rsid w:val="00201601"/>
    <w:rsid w:val="00205E8D"/>
    <w:rsid w:val="0021050C"/>
    <w:rsid w:val="00213873"/>
    <w:rsid w:val="00214310"/>
    <w:rsid w:val="00215D72"/>
    <w:rsid w:val="00216CC1"/>
    <w:rsid w:val="00217863"/>
    <w:rsid w:val="00217B01"/>
    <w:rsid w:val="002225EF"/>
    <w:rsid w:val="00223295"/>
    <w:rsid w:val="00224DC8"/>
    <w:rsid w:val="0022607D"/>
    <w:rsid w:val="00231021"/>
    <w:rsid w:val="002314E7"/>
    <w:rsid w:val="00232A01"/>
    <w:rsid w:val="00232E74"/>
    <w:rsid w:val="002334D8"/>
    <w:rsid w:val="00234B94"/>
    <w:rsid w:val="002410CB"/>
    <w:rsid w:val="00241654"/>
    <w:rsid w:val="00245F80"/>
    <w:rsid w:val="002506D9"/>
    <w:rsid w:val="00251B72"/>
    <w:rsid w:val="00251F6E"/>
    <w:rsid w:val="0025236D"/>
    <w:rsid w:val="00253323"/>
    <w:rsid w:val="00254BEF"/>
    <w:rsid w:val="00262018"/>
    <w:rsid w:val="00262925"/>
    <w:rsid w:val="0026567D"/>
    <w:rsid w:val="002664B7"/>
    <w:rsid w:val="00270B75"/>
    <w:rsid w:val="00272451"/>
    <w:rsid w:val="002731A5"/>
    <w:rsid w:val="0027352C"/>
    <w:rsid w:val="002753CF"/>
    <w:rsid w:val="00276DD6"/>
    <w:rsid w:val="00280206"/>
    <w:rsid w:val="00280C3C"/>
    <w:rsid w:val="00281EAF"/>
    <w:rsid w:val="0028362C"/>
    <w:rsid w:val="002860FA"/>
    <w:rsid w:val="00292012"/>
    <w:rsid w:val="0029207D"/>
    <w:rsid w:val="0029498F"/>
    <w:rsid w:val="00294EDD"/>
    <w:rsid w:val="00295B33"/>
    <w:rsid w:val="00296F89"/>
    <w:rsid w:val="00297886"/>
    <w:rsid w:val="002A2D0B"/>
    <w:rsid w:val="002A6797"/>
    <w:rsid w:val="002C288A"/>
    <w:rsid w:val="002C38FA"/>
    <w:rsid w:val="002C3F0B"/>
    <w:rsid w:val="002C76F4"/>
    <w:rsid w:val="002D0643"/>
    <w:rsid w:val="002D0EF4"/>
    <w:rsid w:val="002D14F5"/>
    <w:rsid w:val="002D1A96"/>
    <w:rsid w:val="002D1F93"/>
    <w:rsid w:val="002D20FD"/>
    <w:rsid w:val="002D459C"/>
    <w:rsid w:val="002D46BA"/>
    <w:rsid w:val="002D48BD"/>
    <w:rsid w:val="002D492D"/>
    <w:rsid w:val="002E0B13"/>
    <w:rsid w:val="002E0C65"/>
    <w:rsid w:val="002E28AF"/>
    <w:rsid w:val="002E379F"/>
    <w:rsid w:val="002E790B"/>
    <w:rsid w:val="002F4CB3"/>
    <w:rsid w:val="002F608A"/>
    <w:rsid w:val="002F741D"/>
    <w:rsid w:val="002F7F46"/>
    <w:rsid w:val="0030165C"/>
    <w:rsid w:val="00303436"/>
    <w:rsid w:val="0030379D"/>
    <w:rsid w:val="003065AC"/>
    <w:rsid w:val="0031272C"/>
    <w:rsid w:val="00315140"/>
    <w:rsid w:val="00317DF3"/>
    <w:rsid w:val="00321BC7"/>
    <w:rsid w:val="003228CE"/>
    <w:rsid w:val="003307E2"/>
    <w:rsid w:val="00330862"/>
    <w:rsid w:val="003330BB"/>
    <w:rsid w:val="0033688F"/>
    <w:rsid w:val="00337279"/>
    <w:rsid w:val="00343AAC"/>
    <w:rsid w:val="00347005"/>
    <w:rsid w:val="00352B25"/>
    <w:rsid w:val="00352C22"/>
    <w:rsid w:val="00357279"/>
    <w:rsid w:val="00357882"/>
    <w:rsid w:val="0036057C"/>
    <w:rsid w:val="003609EC"/>
    <w:rsid w:val="00360A88"/>
    <w:rsid w:val="00360AD9"/>
    <w:rsid w:val="00363893"/>
    <w:rsid w:val="00364A41"/>
    <w:rsid w:val="00365E21"/>
    <w:rsid w:val="00367558"/>
    <w:rsid w:val="003679FA"/>
    <w:rsid w:val="00376234"/>
    <w:rsid w:val="003809A5"/>
    <w:rsid w:val="00380E40"/>
    <w:rsid w:val="003823C7"/>
    <w:rsid w:val="0038305D"/>
    <w:rsid w:val="00383F16"/>
    <w:rsid w:val="00384451"/>
    <w:rsid w:val="0038511A"/>
    <w:rsid w:val="00385B6E"/>
    <w:rsid w:val="0038748A"/>
    <w:rsid w:val="00392005"/>
    <w:rsid w:val="00394095"/>
    <w:rsid w:val="00394B13"/>
    <w:rsid w:val="003A0E07"/>
    <w:rsid w:val="003A63FE"/>
    <w:rsid w:val="003A7166"/>
    <w:rsid w:val="003B21C3"/>
    <w:rsid w:val="003B49C7"/>
    <w:rsid w:val="003C1339"/>
    <w:rsid w:val="003C3E99"/>
    <w:rsid w:val="003C490E"/>
    <w:rsid w:val="003C6D39"/>
    <w:rsid w:val="003C6F02"/>
    <w:rsid w:val="003D2A19"/>
    <w:rsid w:val="003D477D"/>
    <w:rsid w:val="003D53D9"/>
    <w:rsid w:val="003D6ED2"/>
    <w:rsid w:val="003E164C"/>
    <w:rsid w:val="003E27B0"/>
    <w:rsid w:val="003E4F15"/>
    <w:rsid w:val="003E6FD5"/>
    <w:rsid w:val="003E70EC"/>
    <w:rsid w:val="003F0E45"/>
    <w:rsid w:val="003F2F39"/>
    <w:rsid w:val="003F7D81"/>
    <w:rsid w:val="0040096B"/>
    <w:rsid w:val="00400C01"/>
    <w:rsid w:val="004011C6"/>
    <w:rsid w:val="0040422E"/>
    <w:rsid w:val="00404D63"/>
    <w:rsid w:val="00405EE6"/>
    <w:rsid w:val="004126D0"/>
    <w:rsid w:val="00414359"/>
    <w:rsid w:val="004158B8"/>
    <w:rsid w:val="004160EE"/>
    <w:rsid w:val="004217A9"/>
    <w:rsid w:val="00421981"/>
    <w:rsid w:val="00423D35"/>
    <w:rsid w:val="00423D51"/>
    <w:rsid w:val="00430DCE"/>
    <w:rsid w:val="00431748"/>
    <w:rsid w:val="00431C80"/>
    <w:rsid w:val="00432C52"/>
    <w:rsid w:val="00433449"/>
    <w:rsid w:val="00435B98"/>
    <w:rsid w:val="00437A5A"/>
    <w:rsid w:val="00440CCF"/>
    <w:rsid w:val="00441A03"/>
    <w:rsid w:val="004436A4"/>
    <w:rsid w:val="00443B5F"/>
    <w:rsid w:val="0044550B"/>
    <w:rsid w:val="004463C0"/>
    <w:rsid w:val="004465C0"/>
    <w:rsid w:val="004518B3"/>
    <w:rsid w:val="004521B4"/>
    <w:rsid w:val="0045450E"/>
    <w:rsid w:val="00455C97"/>
    <w:rsid w:val="00456D75"/>
    <w:rsid w:val="004571C1"/>
    <w:rsid w:val="00457462"/>
    <w:rsid w:val="00457D63"/>
    <w:rsid w:val="00457DBD"/>
    <w:rsid w:val="00460884"/>
    <w:rsid w:val="0046183D"/>
    <w:rsid w:val="00462F69"/>
    <w:rsid w:val="0046567E"/>
    <w:rsid w:val="00466018"/>
    <w:rsid w:val="0046719A"/>
    <w:rsid w:val="00467C27"/>
    <w:rsid w:val="004714ED"/>
    <w:rsid w:val="004716DB"/>
    <w:rsid w:val="00476A6B"/>
    <w:rsid w:val="0047768C"/>
    <w:rsid w:val="004843A1"/>
    <w:rsid w:val="00484C6A"/>
    <w:rsid w:val="004917EF"/>
    <w:rsid w:val="004920A8"/>
    <w:rsid w:val="00494814"/>
    <w:rsid w:val="004965E5"/>
    <w:rsid w:val="00496ED8"/>
    <w:rsid w:val="004A03B2"/>
    <w:rsid w:val="004A3226"/>
    <w:rsid w:val="004A38FD"/>
    <w:rsid w:val="004A4644"/>
    <w:rsid w:val="004A669B"/>
    <w:rsid w:val="004A7810"/>
    <w:rsid w:val="004B0000"/>
    <w:rsid w:val="004B453F"/>
    <w:rsid w:val="004B65C2"/>
    <w:rsid w:val="004B77A0"/>
    <w:rsid w:val="004B7BBF"/>
    <w:rsid w:val="004C00E1"/>
    <w:rsid w:val="004C2D8B"/>
    <w:rsid w:val="004C60B2"/>
    <w:rsid w:val="004C6710"/>
    <w:rsid w:val="004C6BE8"/>
    <w:rsid w:val="004D04A7"/>
    <w:rsid w:val="004D2FA5"/>
    <w:rsid w:val="004E1607"/>
    <w:rsid w:val="004E2479"/>
    <w:rsid w:val="004E365C"/>
    <w:rsid w:val="004E4491"/>
    <w:rsid w:val="004E5313"/>
    <w:rsid w:val="004E606E"/>
    <w:rsid w:val="004F32ED"/>
    <w:rsid w:val="004F4202"/>
    <w:rsid w:val="004F5E44"/>
    <w:rsid w:val="004F7F20"/>
    <w:rsid w:val="00500E3E"/>
    <w:rsid w:val="005039DC"/>
    <w:rsid w:val="005105B7"/>
    <w:rsid w:val="005129EB"/>
    <w:rsid w:val="005130AA"/>
    <w:rsid w:val="00513416"/>
    <w:rsid w:val="00514521"/>
    <w:rsid w:val="00515A4E"/>
    <w:rsid w:val="00515BBD"/>
    <w:rsid w:val="005176B4"/>
    <w:rsid w:val="00517AD4"/>
    <w:rsid w:val="00525C89"/>
    <w:rsid w:val="00525FCE"/>
    <w:rsid w:val="00530401"/>
    <w:rsid w:val="00531810"/>
    <w:rsid w:val="0053284C"/>
    <w:rsid w:val="00533662"/>
    <w:rsid w:val="00535F43"/>
    <w:rsid w:val="0053710E"/>
    <w:rsid w:val="00540497"/>
    <w:rsid w:val="00543057"/>
    <w:rsid w:val="00543DC4"/>
    <w:rsid w:val="005462F8"/>
    <w:rsid w:val="00551A1B"/>
    <w:rsid w:val="00552582"/>
    <w:rsid w:val="00552780"/>
    <w:rsid w:val="00552F58"/>
    <w:rsid w:val="00554853"/>
    <w:rsid w:val="005548D7"/>
    <w:rsid w:val="00556224"/>
    <w:rsid w:val="005575C4"/>
    <w:rsid w:val="005634CA"/>
    <w:rsid w:val="00564031"/>
    <w:rsid w:val="00566531"/>
    <w:rsid w:val="005669A6"/>
    <w:rsid w:val="0057030A"/>
    <w:rsid w:val="00572B0D"/>
    <w:rsid w:val="00573284"/>
    <w:rsid w:val="00573368"/>
    <w:rsid w:val="00573432"/>
    <w:rsid w:val="00573700"/>
    <w:rsid w:val="00575655"/>
    <w:rsid w:val="005828B0"/>
    <w:rsid w:val="00583F29"/>
    <w:rsid w:val="0058465C"/>
    <w:rsid w:val="00585BA8"/>
    <w:rsid w:val="00587935"/>
    <w:rsid w:val="00593A30"/>
    <w:rsid w:val="0059439B"/>
    <w:rsid w:val="00597611"/>
    <w:rsid w:val="00597F30"/>
    <w:rsid w:val="005A0B16"/>
    <w:rsid w:val="005A13EE"/>
    <w:rsid w:val="005A2216"/>
    <w:rsid w:val="005A37AA"/>
    <w:rsid w:val="005A6D55"/>
    <w:rsid w:val="005B24CF"/>
    <w:rsid w:val="005B3F4F"/>
    <w:rsid w:val="005B53EE"/>
    <w:rsid w:val="005B5888"/>
    <w:rsid w:val="005C03FB"/>
    <w:rsid w:val="005C7145"/>
    <w:rsid w:val="005D051C"/>
    <w:rsid w:val="005D0E70"/>
    <w:rsid w:val="005D2DC9"/>
    <w:rsid w:val="005D4E08"/>
    <w:rsid w:val="005D74DF"/>
    <w:rsid w:val="005E1A9B"/>
    <w:rsid w:val="005E443A"/>
    <w:rsid w:val="005E4E06"/>
    <w:rsid w:val="005E6409"/>
    <w:rsid w:val="005E6E9F"/>
    <w:rsid w:val="005E7D9A"/>
    <w:rsid w:val="005F1A2B"/>
    <w:rsid w:val="005F2753"/>
    <w:rsid w:val="005F496C"/>
    <w:rsid w:val="005F566B"/>
    <w:rsid w:val="005F6094"/>
    <w:rsid w:val="005F71E5"/>
    <w:rsid w:val="00600200"/>
    <w:rsid w:val="0060092B"/>
    <w:rsid w:val="00601A17"/>
    <w:rsid w:val="006021A8"/>
    <w:rsid w:val="00602FCB"/>
    <w:rsid w:val="00603DE2"/>
    <w:rsid w:val="0060457B"/>
    <w:rsid w:val="006069E5"/>
    <w:rsid w:val="00607638"/>
    <w:rsid w:val="006120FF"/>
    <w:rsid w:val="0061456F"/>
    <w:rsid w:val="006146DA"/>
    <w:rsid w:val="00617EAA"/>
    <w:rsid w:val="00621D73"/>
    <w:rsid w:val="00623D7B"/>
    <w:rsid w:val="006245B1"/>
    <w:rsid w:val="00625FA4"/>
    <w:rsid w:val="00631773"/>
    <w:rsid w:val="006332A9"/>
    <w:rsid w:val="006338D0"/>
    <w:rsid w:val="006353D9"/>
    <w:rsid w:val="00636F56"/>
    <w:rsid w:val="0063739B"/>
    <w:rsid w:val="0064168D"/>
    <w:rsid w:val="0064667F"/>
    <w:rsid w:val="00647A06"/>
    <w:rsid w:val="00650B9E"/>
    <w:rsid w:val="00651434"/>
    <w:rsid w:val="00651A1D"/>
    <w:rsid w:val="006521AF"/>
    <w:rsid w:val="00657962"/>
    <w:rsid w:val="00662607"/>
    <w:rsid w:val="00663A2A"/>
    <w:rsid w:val="006668C2"/>
    <w:rsid w:val="00672406"/>
    <w:rsid w:val="00674B3A"/>
    <w:rsid w:val="0067725E"/>
    <w:rsid w:val="00680739"/>
    <w:rsid w:val="00680894"/>
    <w:rsid w:val="0068167B"/>
    <w:rsid w:val="00682FDC"/>
    <w:rsid w:val="00683A1C"/>
    <w:rsid w:val="00686B92"/>
    <w:rsid w:val="00690B6E"/>
    <w:rsid w:val="0069370B"/>
    <w:rsid w:val="00695BAA"/>
    <w:rsid w:val="00696495"/>
    <w:rsid w:val="00697666"/>
    <w:rsid w:val="006A07E3"/>
    <w:rsid w:val="006A0B64"/>
    <w:rsid w:val="006A1628"/>
    <w:rsid w:val="006A2C32"/>
    <w:rsid w:val="006A4110"/>
    <w:rsid w:val="006B3223"/>
    <w:rsid w:val="006B7AFA"/>
    <w:rsid w:val="006C1138"/>
    <w:rsid w:val="006C2BCE"/>
    <w:rsid w:val="006C3B32"/>
    <w:rsid w:val="006C54D6"/>
    <w:rsid w:val="006C5924"/>
    <w:rsid w:val="006C5A1D"/>
    <w:rsid w:val="006D13B7"/>
    <w:rsid w:val="006D208C"/>
    <w:rsid w:val="006D3C4C"/>
    <w:rsid w:val="006D56BF"/>
    <w:rsid w:val="006D7AB3"/>
    <w:rsid w:val="006E29DE"/>
    <w:rsid w:val="006E566B"/>
    <w:rsid w:val="006E79AC"/>
    <w:rsid w:val="006F0695"/>
    <w:rsid w:val="006F0D29"/>
    <w:rsid w:val="006F136B"/>
    <w:rsid w:val="006F22A3"/>
    <w:rsid w:val="006F37FA"/>
    <w:rsid w:val="006F3A3A"/>
    <w:rsid w:val="006F53A9"/>
    <w:rsid w:val="006F5E72"/>
    <w:rsid w:val="006F6ED2"/>
    <w:rsid w:val="006F74C3"/>
    <w:rsid w:val="006F7A00"/>
    <w:rsid w:val="007013F8"/>
    <w:rsid w:val="00701AB8"/>
    <w:rsid w:val="00702C58"/>
    <w:rsid w:val="00706340"/>
    <w:rsid w:val="007124E6"/>
    <w:rsid w:val="00714DEC"/>
    <w:rsid w:val="007165A9"/>
    <w:rsid w:val="00721BC1"/>
    <w:rsid w:val="00723169"/>
    <w:rsid w:val="007237B7"/>
    <w:rsid w:val="0072639A"/>
    <w:rsid w:val="007269EA"/>
    <w:rsid w:val="007307F2"/>
    <w:rsid w:val="007319FD"/>
    <w:rsid w:val="007330DA"/>
    <w:rsid w:val="007333F4"/>
    <w:rsid w:val="007334F1"/>
    <w:rsid w:val="007338E4"/>
    <w:rsid w:val="00734569"/>
    <w:rsid w:val="007358AB"/>
    <w:rsid w:val="00743132"/>
    <w:rsid w:val="00743718"/>
    <w:rsid w:val="00750073"/>
    <w:rsid w:val="007510D7"/>
    <w:rsid w:val="007520F7"/>
    <w:rsid w:val="0075246F"/>
    <w:rsid w:val="00757DB9"/>
    <w:rsid w:val="0076092C"/>
    <w:rsid w:val="007675AE"/>
    <w:rsid w:val="00770FC4"/>
    <w:rsid w:val="007711A0"/>
    <w:rsid w:val="007807AD"/>
    <w:rsid w:val="00781C1A"/>
    <w:rsid w:val="007843A1"/>
    <w:rsid w:val="007844D8"/>
    <w:rsid w:val="00785AC3"/>
    <w:rsid w:val="00787CAE"/>
    <w:rsid w:val="00792BCF"/>
    <w:rsid w:val="00792FDE"/>
    <w:rsid w:val="00793C61"/>
    <w:rsid w:val="007978E0"/>
    <w:rsid w:val="00797A67"/>
    <w:rsid w:val="007A115B"/>
    <w:rsid w:val="007A3011"/>
    <w:rsid w:val="007A33AD"/>
    <w:rsid w:val="007A53F0"/>
    <w:rsid w:val="007A62FF"/>
    <w:rsid w:val="007A7598"/>
    <w:rsid w:val="007B3036"/>
    <w:rsid w:val="007B319A"/>
    <w:rsid w:val="007C0474"/>
    <w:rsid w:val="007C0A9B"/>
    <w:rsid w:val="007C1FE7"/>
    <w:rsid w:val="007C643C"/>
    <w:rsid w:val="007C7614"/>
    <w:rsid w:val="007C7B89"/>
    <w:rsid w:val="007D5408"/>
    <w:rsid w:val="007D6AA7"/>
    <w:rsid w:val="007D7432"/>
    <w:rsid w:val="007E03DD"/>
    <w:rsid w:val="007E6134"/>
    <w:rsid w:val="007F17AB"/>
    <w:rsid w:val="007F18FD"/>
    <w:rsid w:val="007F2FBB"/>
    <w:rsid w:val="007F61C2"/>
    <w:rsid w:val="007F6A27"/>
    <w:rsid w:val="00805B45"/>
    <w:rsid w:val="00806427"/>
    <w:rsid w:val="00814310"/>
    <w:rsid w:val="00814AEC"/>
    <w:rsid w:val="0081747E"/>
    <w:rsid w:val="00820057"/>
    <w:rsid w:val="00820D5B"/>
    <w:rsid w:val="008227A5"/>
    <w:rsid w:val="00823705"/>
    <w:rsid w:val="00823919"/>
    <w:rsid w:val="00825EAA"/>
    <w:rsid w:val="00827ACE"/>
    <w:rsid w:val="00827D33"/>
    <w:rsid w:val="00832AFB"/>
    <w:rsid w:val="00841C1A"/>
    <w:rsid w:val="00850309"/>
    <w:rsid w:val="00853C4D"/>
    <w:rsid w:val="00853FF3"/>
    <w:rsid w:val="00855B33"/>
    <w:rsid w:val="00860BAC"/>
    <w:rsid w:val="0086185F"/>
    <w:rsid w:val="0086198D"/>
    <w:rsid w:val="00865710"/>
    <w:rsid w:val="00873B8C"/>
    <w:rsid w:val="00873BD6"/>
    <w:rsid w:val="00880D98"/>
    <w:rsid w:val="0088287B"/>
    <w:rsid w:val="008843BF"/>
    <w:rsid w:val="00886031"/>
    <w:rsid w:val="00886417"/>
    <w:rsid w:val="0088663A"/>
    <w:rsid w:val="008913D2"/>
    <w:rsid w:val="008951A1"/>
    <w:rsid w:val="00895FF0"/>
    <w:rsid w:val="008A0393"/>
    <w:rsid w:val="008A552F"/>
    <w:rsid w:val="008A5865"/>
    <w:rsid w:val="008A5CF6"/>
    <w:rsid w:val="008B01EF"/>
    <w:rsid w:val="008B13BE"/>
    <w:rsid w:val="008B4B16"/>
    <w:rsid w:val="008C1048"/>
    <w:rsid w:val="008C1F25"/>
    <w:rsid w:val="008C4E3C"/>
    <w:rsid w:val="008C643F"/>
    <w:rsid w:val="008D0575"/>
    <w:rsid w:val="008D209E"/>
    <w:rsid w:val="008D2639"/>
    <w:rsid w:val="008D4AB7"/>
    <w:rsid w:val="008D54E0"/>
    <w:rsid w:val="008D5656"/>
    <w:rsid w:val="008D60B6"/>
    <w:rsid w:val="008D6790"/>
    <w:rsid w:val="008D7AB6"/>
    <w:rsid w:val="008E0F1D"/>
    <w:rsid w:val="008F0CFB"/>
    <w:rsid w:val="008F23D8"/>
    <w:rsid w:val="008F3F51"/>
    <w:rsid w:val="008F48E5"/>
    <w:rsid w:val="008F50EE"/>
    <w:rsid w:val="008F5359"/>
    <w:rsid w:val="008F6D11"/>
    <w:rsid w:val="00900CEA"/>
    <w:rsid w:val="0090145E"/>
    <w:rsid w:val="009020C0"/>
    <w:rsid w:val="00902167"/>
    <w:rsid w:val="0090278B"/>
    <w:rsid w:val="0090408D"/>
    <w:rsid w:val="0090502F"/>
    <w:rsid w:val="00907A3D"/>
    <w:rsid w:val="00916F68"/>
    <w:rsid w:val="00921694"/>
    <w:rsid w:val="00923B61"/>
    <w:rsid w:val="00930604"/>
    <w:rsid w:val="00930DBD"/>
    <w:rsid w:val="009353A5"/>
    <w:rsid w:val="00935B30"/>
    <w:rsid w:val="009367EA"/>
    <w:rsid w:val="00940E74"/>
    <w:rsid w:val="0094216C"/>
    <w:rsid w:val="00944EC9"/>
    <w:rsid w:val="00947550"/>
    <w:rsid w:val="0095346D"/>
    <w:rsid w:val="00954787"/>
    <w:rsid w:val="00954E69"/>
    <w:rsid w:val="0095554D"/>
    <w:rsid w:val="00956D83"/>
    <w:rsid w:val="00957E8D"/>
    <w:rsid w:val="00960021"/>
    <w:rsid w:val="00962CBF"/>
    <w:rsid w:val="00964364"/>
    <w:rsid w:val="0096552A"/>
    <w:rsid w:val="00970B07"/>
    <w:rsid w:val="00970B5E"/>
    <w:rsid w:val="00972B8B"/>
    <w:rsid w:val="00972EE0"/>
    <w:rsid w:val="00973889"/>
    <w:rsid w:val="00976D23"/>
    <w:rsid w:val="0097731C"/>
    <w:rsid w:val="00980E7E"/>
    <w:rsid w:val="0098295C"/>
    <w:rsid w:val="00984162"/>
    <w:rsid w:val="00996AC5"/>
    <w:rsid w:val="009A1446"/>
    <w:rsid w:val="009A23F5"/>
    <w:rsid w:val="009A26C9"/>
    <w:rsid w:val="009A41ED"/>
    <w:rsid w:val="009A45D0"/>
    <w:rsid w:val="009A60ED"/>
    <w:rsid w:val="009A682A"/>
    <w:rsid w:val="009B113F"/>
    <w:rsid w:val="009B2DFD"/>
    <w:rsid w:val="009B2E07"/>
    <w:rsid w:val="009C22B0"/>
    <w:rsid w:val="009C394B"/>
    <w:rsid w:val="009C3F74"/>
    <w:rsid w:val="009C5A15"/>
    <w:rsid w:val="009D5752"/>
    <w:rsid w:val="009E3F0A"/>
    <w:rsid w:val="009E4EBC"/>
    <w:rsid w:val="009E7E0C"/>
    <w:rsid w:val="009F2C24"/>
    <w:rsid w:val="009F6FA8"/>
    <w:rsid w:val="009F778A"/>
    <w:rsid w:val="00A0380A"/>
    <w:rsid w:val="00A03B90"/>
    <w:rsid w:val="00A04038"/>
    <w:rsid w:val="00A0412C"/>
    <w:rsid w:val="00A05AA3"/>
    <w:rsid w:val="00A075BA"/>
    <w:rsid w:val="00A104DE"/>
    <w:rsid w:val="00A114AF"/>
    <w:rsid w:val="00A12C82"/>
    <w:rsid w:val="00A2339F"/>
    <w:rsid w:val="00A2741F"/>
    <w:rsid w:val="00A30817"/>
    <w:rsid w:val="00A30E0D"/>
    <w:rsid w:val="00A31785"/>
    <w:rsid w:val="00A3264F"/>
    <w:rsid w:val="00A35D94"/>
    <w:rsid w:val="00A37917"/>
    <w:rsid w:val="00A37E5A"/>
    <w:rsid w:val="00A37E79"/>
    <w:rsid w:val="00A4046C"/>
    <w:rsid w:val="00A50441"/>
    <w:rsid w:val="00A51F0E"/>
    <w:rsid w:val="00A52668"/>
    <w:rsid w:val="00A536C3"/>
    <w:rsid w:val="00A54729"/>
    <w:rsid w:val="00A5550F"/>
    <w:rsid w:val="00A560F6"/>
    <w:rsid w:val="00A6178E"/>
    <w:rsid w:val="00A6324E"/>
    <w:rsid w:val="00A66198"/>
    <w:rsid w:val="00A727CC"/>
    <w:rsid w:val="00A72C52"/>
    <w:rsid w:val="00A75BEF"/>
    <w:rsid w:val="00A775F3"/>
    <w:rsid w:val="00A77B3B"/>
    <w:rsid w:val="00A77D30"/>
    <w:rsid w:val="00A80DDB"/>
    <w:rsid w:val="00A81FA0"/>
    <w:rsid w:val="00A82B7E"/>
    <w:rsid w:val="00A82FE7"/>
    <w:rsid w:val="00A83E1C"/>
    <w:rsid w:val="00A84B54"/>
    <w:rsid w:val="00A85021"/>
    <w:rsid w:val="00A87AB6"/>
    <w:rsid w:val="00A97C84"/>
    <w:rsid w:val="00AA230A"/>
    <w:rsid w:val="00AA2ADB"/>
    <w:rsid w:val="00AA4951"/>
    <w:rsid w:val="00AA7254"/>
    <w:rsid w:val="00AB2033"/>
    <w:rsid w:val="00AB2B05"/>
    <w:rsid w:val="00AB4220"/>
    <w:rsid w:val="00AB534E"/>
    <w:rsid w:val="00AB5C68"/>
    <w:rsid w:val="00AB7671"/>
    <w:rsid w:val="00AC2A99"/>
    <w:rsid w:val="00AC4A21"/>
    <w:rsid w:val="00AC4C3D"/>
    <w:rsid w:val="00AC6BD0"/>
    <w:rsid w:val="00AD343E"/>
    <w:rsid w:val="00AD7574"/>
    <w:rsid w:val="00AD7E43"/>
    <w:rsid w:val="00AE2FF9"/>
    <w:rsid w:val="00AE7539"/>
    <w:rsid w:val="00AF0827"/>
    <w:rsid w:val="00AF11C1"/>
    <w:rsid w:val="00AF1B6F"/>
    <w:rsid w:val="00AF7DDF"/>
    <w:rsid w:val="00B0673C"/>
    <w:rsid w:val="00B074D2"/>
    <w:rsid w:val="00B07D30"/>
    <w:rsid w:val="00B11023"/>
    <w:rsid w:val="00B12681"/>
    <w:rsid w:val="00B13B4F"/>
    <w:rsid w:val="00B14C78"/>
    <w:rsid w:val="00B167A2"/>
    <w:rsid w:val="00B203DE"/>
    <w:rsid w:val="00B216B3"/>
    <w:rsid w:val="00B237BB"/>
    <w:rsid w:val="00B2753A"/>
    <w:rsid w:val="00B27978"/>
    <w:rsid w:val="00B31F05"/>
    <w:rsid w:val="00B344F5"/>
    <w:rsid w:val="00B35EE7"/>
    <w:rsid w:val="00B36498"/>
    <w:rsid w:val="00B36C87"/>
    <w:rsid w:val="00B3795C"/>
    <w:rsid w:val="00B40E8A"/>
    <w:rsid w:val="00B420A5"/>
    <w:rsid w:val="00B42E39"/>
    <w:rsid w:val="00B42EFF"/>
    <w:rsid w:val="00B45233"/>
    <w:rsid w:val="00B51BFF"/>
    <w:rsid w:val="00B546BE"/>
    <w:rsid w:val="00B551D4"/>
    <w:rsid w:val="00B577A4"/>
    <w:rsid w:val="00B614AF"/>
    <w:rsid w:val="00B61C6D"/>
    <w:rsid w:val="00B6337F"/>
    <w:rsid w:val="00B640F5"/>
    <w:rsid w:val="00B66CA7"/>
    <w:rsid w:val="00B713E9"/>
    <w:rsid w:val="00B7221A"/>
    <w:rsid w:val="00B722AB"/>
    <w:rsid w:val="00B742C1"/>
    <w:rsid w:val="00B81CAF"/>
    <w:rsid w:val="00B81DDE"/>
    <w:rsid w:val="00B81E22"/>
    <w:rsid w:val="00B82D2E"/>
    <w:rsid w:val="00B84C0A"/>
    <w:rsid w:val="00B85878"/>
    <w:rsid w:val="00B86509"/>
    <w:rsid w:val="00B90649"/>
    <w:rsid w:val="00B945B9"/>
    <w:rsid w:val="00B94678"/>
    <w:rsid w:val="00B94CC4"/>
    <w:rsid w:val="00B977A9"/>
    <w:rsid w:val="00BA0246"/>
    <w:rsid w:val="00BA034F"/>
    <w:rsid w:val="00BA2157"/>
    <w:rsid w:val="00BA354F"/>
    <w:rsid w:val="00BA5139"/>
    <w:rsid w:val="00BA51F8"/>
    <w:rsid w:val="00BA62FD"/>
    <w:rsid w:val="00BA7FAC"/>
    <w:rsid w:val="00BB0067"/>
    <w:rsid w:val="00BB377A"/>
    <w:rsid w:val="00BB4A53"/>
    <w:rsid w:val="00BB4D19"/>
    <w:rsid w:val="00BB4DC8"/>
    <w:rsid w:val="00BC2FA2"/>
    <w:rsid w:val="00BC4E2B"/>
    <w:rsid w:val="00BC6E7D"/>
    <w:rsid w:val="00BD2B48"/>
    <w:rsid w:val="00BD37CE"/>
    <w:rsid w:val="00BD76BA"/>
    <w:rsid w:val="00BE2E7E"/>
    <w:rsid w:val="00BE3F81"/>
    <w:rsid w:val="00BE5B10"/>
    <w:rsid w:val="00BE5FE2"/>
    <w:rsid w:val="00BE74B3"/>
    <w:rsid w:val="00BF134C"/>
    <w:rsid w:val="00BF1B1E"/>
    <w:rsid w:val="00BF2BC3"/>
    <w:rsid w:val="00BF532C"/>
    <w:rsid w:val="00BF7157"/>
    <w:rsid w:val="00BF73C2"/>
    <w:rsid w:val="00C00C76"/>
    <w:rsid w:val="00C033E7"/>
    <w:rsid w:val="00C03FAC"/>
    <w:rsid w:val="00C10CCE"/>
    <w:rsid w:val="00C12E10"/>
    <w:rsid w:val="00C140D2"/>
    <w:rsid w:val="00C16274"/>
    <w:rsid w:val="00C162D6"/>
    <w:rsid w:val="00C1724C"/>
    <w:rsid w:val="00C1759B"/>
    <w:rsid w:val="00C1764B"/>
    <w:rsid w:val="00C202BD"/>
    <w:rsid w:val="00C213DD"/>
    <w:rsid w:val="00C2186A"/>
    <w:rsid w:val="00C26BBC"/>
    <w:rsid w:val="00C34849"/>
    <w:rsid w:val="00C3501D"/>
    <w:rsid w:val="00C37B2F"/>
    <w:rsid w:val="00C4253C"/>
    <w:rsid w:val="00C42574"/>
    <w:rsid w:val="00C46F53"/>
    <w:rsid w:val="00C50603"/>
    <w:rsid w:val="00C50965"/>
    <w:rsid w:val="00C515FD"/>
    <w:rsid w:val="00C55558"/>
    <w:rsid w:val="00C55ADB"/>
    <w:rsid w:val="00C55CB4"/>
    <w:rsid w:val="00C5663D"/>
    <w:rsid w:val="00C56C1E"/>
    <w:rsid w:val="00C60484"/>
    <w:rsid w:val="00C63B95"/>
    <w:rsid w:val="00C71073"/>
    <w:rsid w:val="00C713A9"/>
    <w:rsid w:val="00C7521F"/>
    <w:rsid w:val="00C76761"/>
    <w:rsid w:val="00C77105"/>
    <w:rsid w:val="00C800BE"/>
    <w:rsid w:val="00C811F9"/>
    <w:rsid w:val="00C818B9"/>
    <w:rsid w:val="00C82813"/>
    <w:rsid w:val="00C8347D"/>
    <w:rsid w:val="00C859D5"/>
    <w:rsid w:val="00C8644A"/>
    <w:rsid w:val="00C86F96"/>
    <w:rsid w:val="00C9458F"/>
    <w:rsid w:val="00CA21A8"/>
    <w:rsid w:val="00CA30FD"/>
    <w:rsid w:val="00CA4CA3"/>
    <w:rsid w:val="00CA701D"/>
    <w:rsid w:val="00CB0231"/>
    <w:rsid w:val="00CB03CC"/>
    <w:rsid w:val="00CB49DB"/>
    <w:rsid w:val="00CB4EAB"/>
    <w:rsid w:val="00CB6E6C"/>
    <w:rsid w:val="00CB7E79"/>
    <w:rsid w:val="00CC01C7"/>
    <w:rsid w:val="00CC07A2"/>
    <w:rsid w:val="00CC1616"/>
    <w:rsid w:val="00CC29E2"/>
    <w:rsid w:val="00CC574E"/>
    <w:rsid w:val="00CC5CB3"/>
    <w:rsid w:val="00CC6ED3"/>
    <w:rsid w:val="00CD01B8"/>
    <w:rsid w:val="00CD1261"/>
    <w:rsid w:val="00CD2EB0"/>
    <w:rsid w:val="00CD3671"/>
    <w:rsid w:val="00CD5200"/>
    <w:rsid w:val="00CD7852"/>
    <w:rsid w:val="00CE2A89"/>
    <w:rsid w:val="00CE3571"/>
    <w:rsid w:val="00CE40BA"/>
    <w:rsid w:val="00CE7B9F"/>
    <w:rsid w:val="00CF1148"/>
    <w:rsid w:val="00CF2664"/>
    <w:rsid w:val="00CF2758"/>
    <w:rsid w:val="00CF2830"/>
    <w:rsid w:val="00D017CF"/>
    <w:rsid w:val="00D05039"/>
    <w:rsid w:val="00D055AF"/>
    <w:rsid w:val="00D06CBB"/>
    <w:rsid w:val="00D11770"/>
    <w:rsid w:val="00D12D2C"/>
    <w:rsid w:val="00D1496B"/>
    <w:rsid w:val="00D1652B"/>
    <w:rsid w:val="00D2051A"/>
    <w:rsid w:val="00D24E57"/>
    <w:rsid w:val="00D25AC3"/>
    <w:rsid w:val="00D33F22"/>
    <w:rsid w:val="00D35D72"/>
    <w:rsid w:val="00D40087"/>
    <w:rsid w:val="00D40F83"/>
    <w:rsid w:val="00D432DD"/>
    <w:rsid w:val="00D449BE"/>
    <w:rsid w:val="00D458E4"/>
    <w:rsid w:val="00D50D0B"/>
    <w:rsid w:val="00D5130F"/>
    <w:rsid w:val="00D513F3"/>
    <w:rsid w:val="00D526EC"/>
    <w:rsid w:val="00D52B05"/>
    <w:rsid w:val="00D53A4E"/>
    <w:rsid w:val="00D57FB4"/>
    <w:rsid w:val="00D63149"/>
    <w:rsid w:val="00D6548A"/>
    <w:rsid w:val="00D711A2"/>
    <w:rsid w:val="00D7293F"/>
    <w:rsid w:val="00D746D5"/>
    <w:rsid w:val="00D74C52"/>
    <w:rsid w:val="00D7633E"/>
    <w:rsid w:val="00D76A06"/>
    <w:rsid w:val="00D8446B"/>
    <w:rsid w:val="00D86376"/>
    <w:rsid w:val="00D9015C"/>
    <w:rsid w:val="00D93A06"/>
    <w:rsid w:val="00D94B52"/>
    <w:rsid w:val="00DA0505"/>
    <w:rsid w:val="00DA3F1C"/>
    <w:rsid w:val="00DA435C"/>
    <w:rsid w:val="00DA63C5"/>
    <w:rsid w:val="00DB163D"/>
    <w:rsid w:val="00DB1AE0"/>
    <w:rsid w:val="00DB3710"/>
    <w:rsid w:val="00DB4C30"/>
    <w:rsid w:val="00DC0C6C"/>
    <w:rsid w:val="00DC0F1E"/>
    <w:rsid w:val="00DC2E72"/>
    <w:rsid w:val="00DC5926"/>
    <w:rsid w:val="00DC5FB9"/>
    <w:rsid w:val="00DC636F"/>
    <w:rsid w:val="00DD23ED"/>
    <w:rsid w:val="00DD40E7"/>
    <w:rsid w:val="00DD449E"/>
    <w:rsid w:val="00DE09BC"/>
    <w:rsid w:val="00DE14D8"/>
    <w:rsid w:val="00DE1975"/>
    <w:rsid w:val="00DE3140"/>
    <w:rsid w:val="00DE41E6"/>
    <w:rsid w:val="00DE4931"/>
    <w:rsid w:val="00DE49CC"/>
    <w:rsid w:val="00DE4B06"/>
    <w:rsid w:val="00DE4BDB"/>
    <w:rsid w:val="00DE69E2"/>
    <w:rsid w:val="00DF00AC"/>
    <w:rsid w:val="00DF18CC"/>
    <w:rsid w:val="00DF2D80"/>
    <w:rsid w:val="00DF313A"/>
    <w:rsid w:val="00DF36D0"/>
    <w:rsid w:val="00DF4A64"/>
    <w:rsid w:val="00DF5880"/>
    <w:rsid w:val="00DF6468"/>
    <w:rsid w:val="00E01003"/>
    <w:rsid w:val="00E0131C"/>
    <w:rsid w:val="00E0194E"/>
    <w:rsid w:val="00E0462E"/>
    <w:rsid w:val="00E065BC"/>
    <w:rsid w:val="00E07BC5"/>
    <w:rsid w:val="00E13827"/>
    <w:rsid w:val="00E17FBA"/>
    <w:rsid w:val="00E200AF"/>
    <w:rsid w:val="00E203FA"/>
    <w:rsid w:val="00E21EB7"/>
    <w:rsid w:val="00E23024"/>
    <w:rsid w:val="00E24B7F"/>
    <w:rsid w:val="00E24DE2"/>
    <w:rsid w:val="00E25A82"/>
    <w:rsid w:val="00E2748A"/>
    <w:rsid w:val="00E332B3"/>
    <w:rsid w:val="00E37733"/>
    <w:rsid w:val="00E4064B"/>
    <w:rsid w:val="00E40C74"/>
    <w:rsid w:val="00E45EE2"/>
    <w:rsid w:val="00E462FC"/>
    <w:rsid w:val="00E52303"/>
    <w:rsid w:val="00E53A28"/>
    <w:rsid w:val="00E55A98"/>
    <w:rsid w:val="00E55C16"/>
    <w:rsid w:val="00E56CE2"/>
    <w:rsid w:val="00E571CE"/>
    <w:rsid w:val="00E62158"/>
    <w:rsid w:val="00E63B8E"/>
    <w:rsid w:val="00E65260"/>
    <w:rsid w:val="00E677C9"/>
    <w:rsid w:val="00E70A1F"/>
    <w:rsid w:val="00E744B1"/>
    <w:rsid w:val="00E76147"/>
    <w:rsid w:val="00E77560"/>
    <w:rsid w:val="00E77C2D"/>
    <w:rsid w:val="00E80BA3"/>
    <w:rsid w:val="00E81AEB"/>
    <w:rsid w:val="00E81E6E"/>
    <w:rsid w:val="00E839D9"/>
    <w:rsid w:val="00E83C05"/>
    <w:rsid w:val="00E84A33"/>
    <w:rsid w:val="00E84F59"/>
    <w:rsid w:val="00E86D91"/>
    <w:rsid w:val="00E87529"/>
    <w:rsid w:val="00E907E4"/>
    <w:rsid w:val="00E9213D"/>
    <w:rsid w:val="00E93E58"/>
    <w:rsid w:val="00E942A4"/>
    <w:rsid w:val="00E943F7"/>
    <w:rsid w:val="00E95DDA"/>
    <w:rsid w:val="00E963E1"/>
    <w:rsid w:val="00E96A06"/>
    <w:rsid w:val="00EA1BF1"/>
    <w:rsid w:val="00EA36EF"/>
    <w:rsid w:val="00EA4CEC"/>
    <w:rsid w:val="00EA583C"/>
    <w:rsid w:val="00EA63AB"/>
    <w:rsid w:val="00EA6FC8"/>
    <w:rsid w:val="00EB0569"/>
    <w:rsid w:val="00EB15B1"/>
    <w:rsid w:val="00EB2171"/>
    <w:rsid w:val="00EB2FA4"/>
    <w:rsid w:val="00EB4D61"/>
    <w:rsid w:val="00EC18D5"/>
    <w:rsid w:val="00EC23AD"/>
    <w:rsid w:val="00EC67AC"/>
    <w:rsid w:val="00EC6D95"/>
    <w:rsid w:val="00EC7CE0"/>
    <w:rsid w:val="00ED1B19"/>
    <w:rsid w:val="00ED53F3"/>
    <w:rsid w:val="00EE39FC"/>
    <w:rsid w:val="00EF06AC"/>
    <w:rsid w:val="00EF1FB0"/>
    <w:rsid w:val="00EF4170"/>
    <w:rsid w:val="00EF5F2B"/>
    <w:rsid w:val="00EF7E79"/>
    <w:rsid w:val="00F01D31"/>
    <w:rsid w:val="00F01F6A"/>
    <w:rsid w:val="00F027EE"/>
    <w:rsid w:val="00F03836"/>
    <w:rsid w:val="00F0476A"/>
    <w:rsid w:val="00F04AD6"/>
    <w:rsid w:val="00F04DB7"/>
    <w:rsid w:val="00F06DD0"/>
    <w:rsid w:val="00F07615"/>
    <w:rsid w:val="00F11347"/>
    <w:rsid w:val="00F11488"/>
    <w:rsid w:val="00F11B98"/>
    <w:rsid w:val="00F13B08"/>
    <w:rsid w:val="00F2294B"/>
    <w:rsid w:val="00F22AF3"/>
    <w:rsid w:val="00F232AB"/>
    <w:rsid w:val="00F23F5F"/>
    <w:rsid w:val="00F25B88"/>
    <w:rsid w:val="00F271BD"/>
    <w:rsid w:val="00F30C3F"/>
    <w:rsid w:val="00F31CD5"/>
    <w:rsid w:val="00F32433"/>
    <w:rsid w:val="00F32596"/>
    <w:rsid w:val="00F4286F"/>
    <w:rsid w:val="00F45AB4"/>
    <w:rsid w:val="00F4634A"/>
    <w:rsid w:val="00F46907"/>
    <w:rsid w:val="00F46FFC"/>
    <w:rsid w:val="00F557EA"/>
    <w:rsid w:val="00F55CE0"/>
    <w:rsid w:val="00F57AF7"/>
    <w:rsid w:val="00F65831"/>
    <w:rsid w:val="00F65E0C"/>
    <w:rsid w:val="00F663FD"/>
    <w:rsid w:val="00F67D10"/>
    <w:rsid w:val="00F72D85"/>
    <w:rsid w:val="00F738DD"/>
    <w:rsid w:val="00F7651D"/>
    <w:rsid w:val="00F770E3"/>
    <w:rsid w:val="00F804AD"/>
    <w:rsid w:val="00F822B7"/>
    <w:rsid w:val="00F839AB"/>
    <w:rsid w:val="00F84621"/>
    <w:rsid w:val="00F84A51"/>
    <w:rsid w:val="00F85227"/>
    <w:rsid w:val="00F85562"/>
    <w:rsid w:val="00F85567"/>
    <w:rsid w:val="00F86791"/>
    <w:rsid w:val="00F86797"/>
    <w:rsid w:val="00F87A4E"/>
    <w:rsid w:val="00F87B20"/>
    <w:rsid w:val="00F915D2"/>
    <w:rsid w:val="00F92255"/>
    <w:rsid w:val="00F92798"/>
    <w:rsid w:val="00F93E70"/>
    <w:rsid w:val="00F956FE"/>
    <w:rsid w:val="00F95C4E"/>
    <w:rsid w:val="00F961EA"/>
    <w:rsid w:val="00F97193"/>
    <w:rsid w:val="00F97454"/>
    <w:rsid w:val="00FA09BA"/>
    <w:rsid w:val="00FA31D6"/>
    <w:rsid w:val="00FA34F2"/>
    <w:rsid w:val="00FA5383"/>
    <w:rsid w:val="00FA5F1A"/>
    <w:rsid w:val="00FB109C"/>
    <w:rsid w:val="00FB1702"/>
    <w:rsid w:val="00FB6F2D"/>
    <w:rsid w:val="00FC0344"/>
    <w:rsid w:val="00FC08C5"/>
    <w:rsid w:val="00FC7796"/>
    <w:rsid w:val="00FD24BC"/>
    <w:rsid w:val="00FD48FC"/>
    <w:rsid w:val="00FE18ED"/>
    <w:rsid w:val="00FE23EC"/>
    <w:rsid w:val="00FE2C6E"/>
    <w:rsid w:val="00FE2E87"/>
    <w:rsid w:val="00FE3787"/>
    <w:rsid w:val="00FE38F1"/>
    <w:rsid w:val="00FE3FFF"/>
    <w:rsid w:val="00FF615D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CF6CCF"/>
  <w15:chartTrackingRefBased/>
  <w15:docId w15:val="{2DBEF564-0628-45D6-AA5E-7272C8B2E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7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8F3F5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F3F51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8F3F51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F3F51"/>
    <w:rPr>
      <w:rFonts w:ascii="Calibri" w:hAnsi="Calibri" w:cs="Calibri"/>
      <w:noProof/>
    </w:rPr>
  </w:style>
  <w:style w:type="paragraph" w:styleId="Revision">
    <w:name w:val="Revision"/>
    <w:hidden/>
    <w:uiPriority w:val="99"/>
    <w:semiHidden/>
    <w:rsid w:val="003A63FE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476A6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E4F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4F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4F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4F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4F1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E4B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22B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B7D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96F8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8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6067</TotalTime>
  <Pages>8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Lu</dc:creator>
  <cp:keywords/>
  <dc:description/>
  <cp:lastModifiedBy>Wang Lu</cp:lastModifiedBy>
  <cp:revision>1138</cp:revision>
  <dcterms:created xsi:type="dcterms:W3CDTF">2023-11-14T01:35:00Z</dcterms:created>
  <dcterms:modified xsi:type="dcterms:W3CDTF">2024-03-24T00:20:00Z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ae1d7c986f75f76eba52f130db774c8c5149e1ffd0375f9e4ab5f8fd3a14bb90</vt:lpwstr>
  </property>
</Properties>
</file>