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0C7D8C36" w14:textId="77777777" w:rsidR="00FB0623" w:rsidRPr="007924D2" w:rsidRDefault="00FB0623" w:rsidP="00FB0623">
      <w:pPr>
        <w:pStyle w:val="Title"/>
      </w:pPr>
      <w:r w:rsidRPr="007924D2">
        <w:t>Retrospective impact analysis of infant antibiotic exposure on the burden of asthma</w:t>
      </w:r>
    </w:p>
    <w:p w14:paraId="2EA985B9" w14:textId="49A68674" w:rsidR="007F7516" w:rsidRPr="009B489E" w:rsidRDefault="007F7516" w:rsidP="007F7516">
      <w:pPr>
        <w:pStyle w:val="AuthorList"/>
        <w:rPr>
          <w:lang w:val="en-GB"/>
        </w:rPr>
      </w:pPr>
      <w:r w:rsidRPr="009B489E">
        <w:rPr>
          <w:lang w:val="en-GB"/>
        </w:rPr>
        <w:t>Tae Yoon Lee</w:t>
      </w:r>
      <w:r w:rsidRPr="009B489E">
        <w:rPr>
          <w:vertAlign w:val="superscript"/>
          <w:lang w:val="en-GB"/>
        </w:rPr>
        <w:t>*</w:t>
      </w:r>
      <w:r w:rsidRPr="009B489E">
        <w:rPr>
          <w:lang w:val="en-GB"/>
        </w:rPr>
        <w:t xml:space="preserve">, John Petkau, Ariana Saatchi, Fawziah </w:t>
      </w:r>
      <w:r>
        <w:rPr>
          <w:lang w:val="en-GB"/>
        </w:rPr>
        <w:t>Marra</w:t>
      </w:r>
      <w:r w:rsidRPr="009B489E">
        <w:rPr>
          <w:lang w:val="en-GB"/>
        </w:rPr>
        <w:t xml:space="preserve">, Stuart E Turvey, Hannah Lishman, David </w:t>
      </w:r>
      <w:r>
        <w:rPr>
          <w:lang w:val="en-GB"/>
        </w:rPr>
        <w:t xml:space="preserve">M </w:t>
      </w:r>
      <w:r w:rsidRPr="009B489E">
        <w:rPr>
          <w:lang w:val="en-GB"/>
        </w:rPr>
        <w:t>Patric</w:t>
      </w:r>
      <w:r>
        <w:rPr>
          <w:lang w:val="en-GB"/>
        </w:rPr>
        <w:t>k</w:t>
      </w:r>
      <w:r w:rsidRPr="009B489E">
        <w:rPr>
          <w:lang w:val="en-GB"/>
        </w:rPr>
        <w:t xml:space="preserve">, </w:t>
      </w:r>
      <w:r>
        <w:rPr>
          <w:lang w:val="en-GB"/>
        </w:rPr>
        <w:t>Jacquelyn J Cragg, Kate M Johnson,</w:t>
      </w:r>
      <w:r w:rsidR="00F74FE1">
        <w:rPr>
          <w:lang w:val="en-GB"/>
        </w:rPr>
        <w:t xml:space="preserve"> </w:t>
      </w:r>
      <w:r w:rsidRPr="009B489E">
        <w:rPr>
          <w:lang w:val="en-GB"/>
        </w:rPr>
        <w:t>Mohsen Sadatsafavi</w:t>
      </w:r>
    </w:p>
    <w:p w14:paraId="217F3AE0" w14:textId="65791C96" w:rsidR="002868E2" w:rsidRDefault="002868E2" w:rsidP="00994A3D">
      <w:pPr>
        <w:spacing w:before="240" w:after="0"/>
        <w:rPr>
          <w:rFonts w:cs="Times New Roman"/>
        </w:rPr>
      </w:pPr>
      <w:r w:rsidRPr="00994A3D">
        <w:rPr>
          <w:rFonts w:cs="Times New Roman"/>
          <w:b/>
        </w:rPr>
        <w:t xml:space="preserve">* Correspondence: </w:t>
      </w:r>
      <w:r w:rsidR="00A40C7A">
        <w:rPr>
          <w:rFonts w:cs="Times New Roman"/>
        </w:rPr>
        <w:t>Tae Yoon Lee</w:t>
      </w:r>
      <w:r w:rsidR="00994A3D" w:rsidRPr="00994A3D">
        <w:rPr>
          <w:rFonts w:cs="Times New Roman"/>
        </w:rPr>
        <w:t xml:space="preserve">: </w:t>
      </w:r>
      <w:hyperlink r:id="rId12" w:history="1">
        <w:r w:rsidR="00824644" w:rsidRPr="0082011D">
          <w:rPr>
            <w:rStyle w:val="Hyperlink"/>
            <w:rFonts w:cs="Times New Roman"/>
          </w:rPr>
          <w:t>dlxodbs@student.ubc.ca</w:t>
        </w:r>
      </w:hyperlink>
    </w:p>
    <w:p w14:paraId="1A1A6013" w14:textId="77777777" w:rsidR="00824644" w:rsidRPr="00994A3D" w:rsidRDefault="00824644" w:rsidP="00994A3D">
      <w:pPr>
        <w:spacing w:before="240" w:after="0"/>
        <w:rPr>
          <w:rFonts w:cs="Times New Roman"/>
        </w:rPr>
      </w:pPr>
    </w:p>
    <w:p w14:paraId="0A3F4885" w14:textId="526BC29A" w:rsidR="00824644" w:rsidRPr="007924D2" w:rsidRDefault="00824644" w:rsidP="00824644">
      <w:pPr>
        <w:pStyle w:val="ListParagraph"/>
        <w:numPr>
          <w:ilvl w:val="0"/>
          <w:numId w:val="20"/>
        </w:numPr>
        <w:spacing w:before="0" w:after="0"/>
        <w:rPr>
          <w:b/>
          <w:bCs/>
        </w:rPr>
      </w:pPr>
      <w:r>
        <w:rPr>
          <w:b/>
          <w:bCs/>
        </w:rPr>
        <w:t>Literature</w:t>
      </w:r>
      <w:r w:rsidRPr="007924D2">
        <w:rPr>
          <w:b/>
          <w:bCs/>
        </w:rPr>
        <w:t xml:space="preserve"> review</w:t>
      </w:r>
      <w:r>
        <w:rPr>
          <w:b/>
          <w:bCs/>
        </w:rPr>
        <w:tab/>
      </w:r>
    </w:p>
    <w:p w14:paraId="4A757A66" w14:textId="17688C68" w:rsidR="00824644" w:rsidRPr="007924D2" w:rsidRDefault="00824644" w:rsidP="00824644">
      <w:r w:rsidRPr="007924D2">
        <w:t xml:space="preserve">We performed a </w:t>
      </w:r>
      <w:r>
        <w:t>literature</w:t>
      </w:r>
      <w:r w:rsidRPr="007924D2">
        <w:t xml:space="preserve"> review to identify any relevant studies published since 2021. On September 29, 2023, MEDLINE was searched using the Ovid interface. The search terms and the resulting number of publications are provided in Supplementary Materials Table 1. A total of 13 studies were identified with the search terms, and one study</w:t>
      </w:r>
      <w:r w:rsidRPr="007924D2">
        <w:fldChar w:fldCharType="begin"/>
      </w:r>
      <w:r w:rsidR="00ED321B">
        <w:instrText xml:space="preserve"> ADDIN ZOTERO_ITEM CSL_CITATION {"citationID":"36Oxgb6W","properties":{"formattedCitation":"(1)","plainCitation":"(1)","noteIndex":0},"citationItems":[{"id":7025,"uris":["http://zotero.org/users/5985287/items/V8QWVG5D"],"itemData":{"id":7025,"type":"article-journal","abstract":"BACKGROUND: Higher risks of asthma have been observed in children with prenatal exposure to antibiotics and during early life compared with those who have not. However, the causality of such associations is unclear.\nOBJECTIVE: To assess whether exposure to antibiotics in early life had a causal effect in increasing the risk of asthma in children diagnosed at 5-8 years of life, and the impact in the target population.\nMETHODS: Data were from electronic health records and questionnaires for children and their mothers in the Born in Bradford birth cohort. Exposure variables were prescriptions of systemic antibiotics to the mother during pregnancy (prenatal) and to the children at 0-24 months of life (postnatal). We assessed the association in 12,476 children with several approaches to deal with different sources of bias (triangulation): the interactions with mother's ethnicity, mode of delivery, and between prenatal and postnatal exposures; dose-response; and estimated the population attributable risk.\nRESULTS: There was an association between prenatal exposure at 7-27 days before the child's birth and asthma (adjusted OR = 1.40; 1.05, 1.87), but no association with the negative control exposure (before pregnancy) (adjusted OR = 0.99 (0.88, 1.12)). For postnatal exposure, the adjusted OR was 2.00 (1.71, 2.34), and for sibling analysis, it was 1.99 (1.00, 3.93). For postnatal exposure, the risk of asthma increased with the number of prescriptions. The observed effect of both exposures was lower among children with mothers of Pakistani ethnicity, but inconclusive (p &gt; .25). The interaction between prenatal and postnatal exposures was also inconclusive (p = .287). The population attributable risk of postnatal exposure for asthma was 4.6% (0.1% for prenatal).\nCONCLUSIONS: We conclude that the associations between both late-pregnancy prenatal exposure to antibiotics and postnatal exposure to antibiotics and an increased risk of asthma are plausible and consistent with a causal effect.","container-title":"Clinical and Experimental Allergy: Journal of the British Society for Allergy and Clinical Immunology","DOI":"10.1111/cea.13999","ISSN":"1365-2222","issue":"11","journalAbbreviation":"Clin Exp Allergy","language":"eng","note":"PMID: 34363720","page":"1438-1448","source":"PubMed","title":"Evidence for causal associations between prenatal and postnatal antibiotic exposure and asthma in children, England","volume":"51","author":[{"family":"Souza da Cunha","given":"Sergio"},{"family":"Santorelli","given":"Gillian"},{"family":"Pearce","given":"Neil"},{"family":"Wright","given":"John"},{"family":"Oddie","given":"Sam"},{"family":"Petherick","given":"Emily"},{"family":"Pembrey","given":"Lucy"}],"issued":{"date-parts":[["2021",11]]},"citation-key":"souzadacunhaEvidenceCausalAssociations2021"}}],"schema":"https://github.com/citation-style-language/schema/raw/master/csl-citation.json"} </w:instrText>
      </w:r>
      <w:r w:rsidRPr="007924D2">
        <w:fldChar w:fldCharType="separate"/>
      </w:r>
      <w:r w:rsidR="00ED321B">
        <w:rPr>
          <w:rFonts w:cs="Times New Roman"/>
        </w:rPr>
        <w:t>(1)</w:t>
      </w:r>
      <w:r w:rsidRPr="007924D2">
        <w:fldChar w:fldCharType="end"/>
      </w:r>
      <w:r w:rsidRPr="007924D2">
        <w:t xml:space="preserve"> was found to be relevant based on titles and abstracts. However, </w:t>
      </w:r>
      <w:r>
        <w:t>that</w:t>
      </w:r>
      <w:r w:rsidRPr="007924D2">
        <w:t xml:space="preserve"> study did not meet our inclusion criteria (the exposure timing was the first two years of life)</w:t>
      </w:r>
    </w:p>
    <w:tbl>
      <w:tblPr>
        <w:tblW w:w="9767" w:type="dxa"/>
        <w:tblLook w:val="04A0" w:firstRow="1" w:lastRow="0" w:firstColumn="1" w:lastColumn="0" w:noHBand="0" w:noVBand="1"/>
      </w:tblPr>
      <w:tblGrid>
        <w:gridCol w:w="372"/>
        <w:gridCol w:w="7561"/>
        <w:gridCol w:w="1834"/>
      </w:tblGrid>
      <w:tr w:rsidR="00824644" w:rsidRPr="007924D2" w14:paraId="4FCF0E23" w14:textId="77777777" w:rsidTr="00B9098D">
        <w:trPr>
          <w:trHeight w:val="320"/>
        </w:trPr>
        <w:tc>
          <w:tcPr>
            <w:tcW w:w="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5817C" w14:textId="77777777" w:rsidR="00824644" w:rsidRPr="007924D2" w:rsidRDefault="00824644" w:rsidP="00B9098D">
            <w:pPr>
              <w:rPr>
                <w:rFonts w:ascii="Calibri" w:hAnsi="Calibri" w:cs="Calibri"/>
                <w:color w:val="000000"/>
              </w:rPr>
            </w:pPr>
            <w:r w:rsidRPr="007924D2">
              <w:rPr>
                <w:rFonts w:ascii="Calibri" w:hAnsi="Calibri" w:cs="Calibri"/>
                <w:color w:val="000000"/>
              </w:rPr>
              <w:t> </w:t>
            </w:r>
          </w:p>
        </w:tc>
        <w:tc>
          <w:tcPr>
            <w:tcW w:w="7561" w:type="dxa"/>
            <w:tcBorders>
              <w:top w:val="single" w:sz="4" w:space="0" w:color="auto"/>
              <w:left w:val="nil"/>
              <w:bottom w:val="single" w:sz="4" w:space="0" w:color="auto"/>
              <w:right w:val="single" w:sz="4" w:space="0" w:color="auto"/>
            </w:tcBorders>
            <w:shd w:val="clear" w:color="auto" w:fill="auto"/>
            <w:noWrap/>
            <w:vAlign w:val="bottom"/>
            <w:hideMark/>
          </w:tcPr>
          <w:p w14:paraId="5AA53123" w14:textId="77777777" w:rsidR="00824644" w:rsidRPr="007924D2" w:rsidRDefault="00824644" w:rsidP="00B9098D">
            <w:pPr>
              <w:rPr>
                <w:rFonts w:ascii="Calibri" w:hAnsi="Calibri" w:cs="Calibri"/>
                <w:b/>
                <w:bCs/>
                <w:color w:val="000000"/>
              </w:rPr>
            </w:pPr>
            <w:r w:rsidRPr="007924D2">
              <w:rPr>
                <w:rFonts w:ascii="Calibri" w:hAnsi="Calibri" w:cs="Calibri"/>
                <w:b/>
                <w:bCs/>
                <w:color w:val="000000"/>
              </w:rPr>
              <w:t>Search terms</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14:paraId="0E5AE34F" w14:textId="77777777" w:rsidR="00824644" w:rsidRPr="007924D2" w:rsidRDefault="00824644" w:rsidP="00B9098D">
            <w:pPr>
              <w:rPr>
                <w:rFonts w:ascii="Calibri" w:hAnsi="Calibri" w:cs="Calibri"/>
                <w:b/>
                <w:bCs/>
                <w:color w:val="000000"/>
              </w:rPr>
            </w:pPr>
            <w:r w:rsidRPr="007924D2">
              <w:rPr>
                <w:rFonts w:ascii="Calibri" w:hAnsi="Calibri" w:cs="Calibri"/>
                <w:b/>
                <w:bCs/>
                <w:color w:val="000000"/>
              </w:rPr>
              <w:t>Number of publications</w:t>
            </w:r>
          </w:p>
        </w:tc>
      </w:tr>
      <w:tr w:rsidR="00824644" w:rsidRPr="007924D2" w14:paraId="009EEA47" w14:textId="77777777" w:rsidTr="00B9098D">
        <w:trPr>
          <w:trHeight w:val="320"/>
        </w:trPr>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555E36A5" w14:textId="77777777" w:rsidR="00824644" w:rsidRPr="007924D2" w:rsidRDefault="00824644" w:rsidP="00B9098D">
            <w:pPr>
              <w:jc w:val="right"/>
              <w:rPr>
                <w:color w:val="000000"/>
              </w:rPr>
            </w:pPr>
            <w:r w:rsidRPr="007924D2">
              <w:rPr>
                <w:color w:val="000000"/>
              </w:rPr>
              <w:t>1</w:t>
            </w:r>
          </w:p>
        </w:tc>
        <w:tc>
          <w:tcPr>
            <w:tcW w:w="7561" w:type="dxa"/>
            <w:tcBorders>
              <w:top w:val="nil"/>
              <w:left w:val="nil"/>
              <w:bottom w:val="single" w:sz="4" w:space="0" w:color="auto"/>
              <w:right w:val="single" w:sz="4" w:space="0" w:color="auto"/>
            </w:tcBorders>
            <w:shd w:val="clear" w:color="auto" w:fill="auto"/>
            <w:noWrap/>
            <w:vAlign w:val="center"/>
            <w:hideMark/>
          </w:tcPr>
          <w:p w14:paraId="1A63414B" w14:textId="77777777" w:rsidR="00824644" w:rsidRPr="007924D2" w:rsidRDefault="00824644" w:rsidP="00B9098D">
            <w:pPr>
              <w:rPr>
                <w:color w:val="000000"/>
              </w:rPr>
            </w:pPr>
            <w:r w:rsidRPr="007924D2">
              <w:rPr>
                <w:color w:val="000000"/>
              </w:rPr>
              <w:t>exp Asthma/</w:t>
            </w:r>
          </w:p>
        </w:tc>
        <w:tc>
          <w:tcPr>
            <w:tcW w:w="1834" w:type="dxa"/>
            <w:tcBorders>
              <w:top w:val="nil"/>
              <w:left w:val="nil"/>
              <w:bottom w:val="single" w:sz="4" w:space="0" w:color="auto"/>
              <w:right w:val="single" w:sz="4" w:space="0" w:color="auto"/>
            </w:tcBorders>
            <w:shd w:val="clear" w:color="auto" w:fill="auto"/>
            <w:noWrap/>
            <w:vAlign w:val="center"/>
            <w:hideMark/>
          </w:tcPr>
          <w:p w14:paraId="6CCC9C8E" w14:textId="77777777" w:rsidR="00824644" w:rsidRPr="007924D2" w:rsidRDefault="00824644" w:rsidP="00B9098D">
            <w:pPr>
              <w:jc w:val="right"/>
              <w:rPr>
                <w:color w:val="000000"/>
              </w:rPr>
            </w:pPr>
            <w:r w:rsidRPr="007924D2">
              <w:rPr>
                <w:color w:val="000000"/>
              </w:rPr>
              <w:t>143</w:t>
            </w:r>
            <w:r>
              <w:rPr>
                <w:color w:val="000000"/>
              </w:rPr>
              <w:t>,</w:t>
            </w:r>
            <w:r w:rsidRPr="007924D2">
              <w:rPr>
                <w:color w:val="000000"/>
              </w:rPr>
              <w:t>117</w:t>
            </w:r>
          </w:p>
        </w:tc>
      </w:tr>
      <w:tr w:rsidR="00824644" w:rsidRPr="007924D2" w14:paraId="1C5F70D6" w14:textId="77777777" w:rsidTr="00B9098D">
        <w:trPr>
          <w:trHeight w:val="320"/>
        </w:trPr>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6B8E4E7A" w14:textId="77777777" w:rsidR="00824644" w:rsidRPr="007924D2" w:rsidRDefault="00824644" w:rsidP="00B9098D">
            <w:pPr>
              <w:jc w:val="right"/>
              <w:rPr>
                <w:color w:val="000000"/>
              </w:rPr>
            </w:pPr>
            <w:r w:rsidRPr="007924D2">
              <w:rPr>
                <w:color w:val="000000"/>
              </w:rPr>
              <w:t>2</w:t>
            </w:r>
          </w:p>
        </w:tc>
        <w:tc>
          <w:tcPr>
            <w:tcW w:w="7561" w:type="dxa"/>
            <w:tcBorders>
              <w:top w:val="nil"/>
              <w:left w:val="nil"/>
              <w:bottom w:val="single" w:sz="4" w:space="0" w:color="auto"/>
              <w:right w:val="single" w:sz="4" w:space="0" w:color="auto"/>
            </w:tcBorders>
            <w:shd w:val="clear" w:color="auto" w:fill="auto"/>
            <w:noWrap/>
            <w:vAlign w:val="center"/>
            <w:hideMark/>
          </w:tcPr>
          <w:p w14:paraId="4D65905D" w14:textId="77777777" w:rsidR="00824644" w:rsidRPr="007924D2" w:rsidRDefault="00824644" w:rsidP="00B9098D">
            <w:pPr>
              <w:rPr>
                <w:color w:val="000000"/>
              </w:rPr>
            </w:pPr>
            <w:r w:rsidRPr="007924D2">
              <w:rPr>
                <w:color w:val="000000"/>
              </w:rPr>
              <w:t xml:space="preserve">(antibiotic or antibiotics or (antibacterial* or anti-bacterial* or bacteriocid* or antimicrobial* or anti-microbial* or </w:t>
            </w:r>
            <w:r>
              <w:rPr>
                <w:color w:val="000000"/>
              </w:rPr>
              <w:pgNum/>
            </w:r>
            <w:r>
              <w:rPr>
                <w:color w:val="000000"/>
              </w:rPr>
              <w:t>ntimicrobial</w:t>
            </w:r>
            <w:r w:rsidRPr="007924D2">
              <w:rPr>
                <w:color w:val="000000"/>
              </w:rPr>
              <w:t>* or anti-mycrobial* or antiinfective or anti-infective)).mp. [mp=title, book title, abstract, original title, name of substance word, subject heading word, floating sub-heading word, keyword heading word, organism supplementary concept word, protocol supplementary concept word, rare disease supplementary concept word, unique identifier, synonyms, population supplementary concept word, anatomy supplementary concept word]</w:t>
            </w:r>
          </w:p>
        </w:tc>
        <w:tc>
          <w:tcPr>
            <w:tcW w:w="1834" w:type="dxa"/>
            <w:tcBorders>
              <w:top w:val="nil"/>
              <w:left w:val="nil"/>
              <w:bottom w:val="single" w:sz="4" w:space="0" w:color="auto"/>
              <w:right w:val="single" w:sz="4" w:space="0" w:color="auto"/>
            </w:tcBorders>
            <w:shd w:val="clear" w:color="auto" w:fill="auto"/>
            <w:noWrap/>
            <w:vAlign w:val="center"/>
            <w:hideMark/>
          </w:tcPr>
          <w:p w14:paraId="4C601055" w14:textId="77777777" w:rsidR="00824644" w:rsidRPr="007924D2" w:rsidRDefault="00824644" w:rsidP="00B9098D">
            <w:pPr>
              <w:jc w:val="right"/>
              <w:rPr>
                <w:color w:val="000000"/>
              </w:rPr>
            </w:pPr>
            <w:r w:rsidRPr="007924D2">
              <w:rPr>
                <w:color w:val="000000"/>
              </w:rPr>
              <w:t>867</w:t>
            </w:r>
            <w:r>
              <w:rPr>
                <w:color w:val="000000"/>
              </w:rPr>
              <w:t>,</w:t>
            </w:r>
            <w:r w:rsidRPr="007924D2">
              <w:rPr>
                <w:color w:val="000000"/>
              </w:rPr>
              <w:t>553</w:t>
            </w:r>
          </w:p>
        </w:tc>
      </w:tr>
      <w:tr w:rsidR="00824644" w:rsidRPr="007924D2" w14:paraId="1E5CC5CF" w14:textId="77777777" w:rsidTr="00B9098D">
        <w:trPr>
          <w:trHeight w:val="320"/>
        </w:trPr>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1478810F" w14:textId="77777777" w:rsidR="00824644" w:rsidRPr="007924D2" w:rsidRDefault="00824644" w:rsidP="00B9098D">
            <w:pPr>
              <w:jc w:val="right"/>
              <w:rPr>
                <w:color w:val="000000"/>
              </w:rPr>
            </w:pPr>
            <w:r w:rsidRPr="007924D2">
              <w:rPr>
                <w:color w:val="000000"/>
              </w:rPr>
              <w:t>3</w:t>
            </w:r>
          </w:p>
        </w:tc>
        <w:tc>
          <w:tcPr>
            <w:tcW w:w="7561" w:type="dxa"/>
            <w:tcBorders>
              <w:top w:val="nil"/>
              <w:left w:val="nil"/>
              <w:bottom w:val="single" w:sz="4" w:space="0" w:color="auto"/>
              <w:right w:val="single" w:sz="4" w:space="0" w:color="auto"/>
            </w:tcBorders>
            <w:shd w:val="clear" w:color="auto" w:fill="auto"/>
            <w:noWrap/>
            <w:vAlign w:val="center"/>
            <w:hideMark/>
          </w:tcPr>
          <w:p w14:paraId="6DFBE294" w14:textId="77777777" w:rsidR="00824644" w:rsidRPr="007924D2" w:rsidRDefault="00824644" w:rsidP="00B9098D">
            <w:pPr>
              <w:rPr>
                <w:color w:val="000000"/>
              </w:rPr>
            </w:pPr>
            <w:r w:rsidRPr="007924D2">
              <w:rPr>
                <w:color w:val="000000"/>
              </w:rPr>
              <w:t>exp *Anti-Bacterial Agents/ or exp Anti-Bacterial Agents/im, tu or *anti-infective agents/</w:t>
            </w:r>
          </w:p>
        </w:tc>
        <w:tc>
          <w:tcPr>
            <w:tcW w:w="1834" w:type="dxa"/>
            <w:tcBorders>
              <w:top w:val="nil"/>
              <w:left w:val="nil"/>
              <w:bottom w:val="single" w:sz="4" w:space="0" w:color="auto"/>
              <w:right w:val="single" w:sz="4" w:space="0" w:color="auto"/>
            </w:tcBorders>
            <w:shd w:val="clear" w:color="auto" w:fill="auto"/>
            <w:noWrap/>
            <w:vAlign w:val="center"/>
            <w:hideMark/>
          </w:tcPr>
          <w:p w14:paraId="73304891" w14:textId="77777777" w:rsidR="00824644" w:rsidRPr="007924D2" w:rsidRDefault="00824644" w:rsidP="00B9098D">
            <w:pPr>
              <w:jc w:val="right"/>
              <w:rPr>
                <w:color w:val="000000"/>
              </w:rPr>
            </w:pPr>
            <w:r w:rsidRPr="007924D2">
              <w:rPr>
                <w:color w:val="000000"/>
              </w:rPr>
              <w:t>659</w:t>
            </w:r>
            <w:r>
              <w:rPr>
                <w:color w:val="000000"/>
              </w:rPr>
              <w:t>,</w:t>
            </w:r>
            <w:r w:rsidRPr="007924D2">
              <w:rPr>
                <w:color w:val="000000"/>
              </w:rPr>
              <w:t>218</w:t>
            </w:r>
          </w:p>
        </w:tc>
      </w:tr>
      <w:tr w:rsidR="00824644" w:rsidRPr="007924D2" w14:paraId="2597F46C" w14:textId="77777777" w:rsidTr="00B9098D">
        <w:trPr>
          <w:trHeight w:val="320"/>
        </w:trPr>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681D55A9" w14:textId="77777777" w:rsidR="00824644" w:rsidRPr="007924D2" w:rsidRDefault="00824644" w:rsidP="00B9098D">
            <w:pPr>
              <w:jc w:val="right"/>
              <w:rPr>
                <w:color w:val="000000"/>
              </w:rPr>
            </w:pPr>
            <w:r w:rsidRPr="007924D2">
              <w:rPr>
                <w:color w:val="000000"/>
              </w:rPr>
              <w:t>4</w:t>
            </w:r>
          </w:p>
        </w:tc>
        <w:tc>
          <w:tcPr>
            <w:tcW w:w="7561" w:type="dxa"/>
            <w:tcBorders>
              <w:top w:val="nil"/>
              <w:left w:val="nil"/>
              <w:bottom w:val="single" w:sz="4" w:space="0" w:color="auto"/>
              <w:right w:val="single" w:sz="4" w:space="0" w:color="auto"/>
            </w:tcBorders>
            <w:shd w:val="clear" w:color="auto" w:fill="auto"/>
            <w:noWrap/>
            <w:vAlign w:val="center"/>
            <w:hideMark/>
          </w:tcPr>
          <w:p w14:paraId="486C2ED4" w14:textId="77777777" w:rsidR="00824644" w:rsidRPr="007924D2" w:rsidRDefault="00824644" w:rsidP="00B9098D">
            <w:pPr>
              <w:rPr>
                <w:color w:val="000000"/>
              </w:rPr>
            </w:pPr>
            <w:r w:rsidRPr="007924D2">
              <w:rPr>
                <w:color w:val="000000"/>
              </w:rPr>
              <w:t>2 or 3</w:t>
            </w:r>
          </w:p>
        </w:tc>
        <w:tc>
          <w:tcPr>
            <w:tcW w:w="1834" w:type="dxa"/>
            <w:tcBorders>
              <w:top w:val="nil"/>
              <w:left w:val="nil"/>
              <w:bottom w:val="single" w:sz="4" w:space="0" w:color="auto"/>
              <w:right w:val="single" w:sz="4" w:space="0" w:color="auto"/>
            </w:tcBorders>
            <w:shd w:val="clear" w:color="auto" w:fill="auto"/>
            <w:noWrap/>
            <w:vAlign w:val="center"/>
            <w:hideMark/>
          </w:tcPr>
          <w:p w14:paraId="794D4D35" w14:textId="77777777" w:rsidR="00824644" w:rsidRPr="007924D2" w:rsidRDefault="00824644" w:rsidP="00B9098D">
            <w:pPr>
              <w:jc w:val="right"/>
              <w:rPr>
                <w:color w:val="000000"/>
              </w:rPr>
            </w:pPr>
            <w:r w:rsidRPr="007924D2">
              <w:rPr>
                <w:color w:val="000000"/>
              </w:rPr>
              <w:t>1</w:t>
            </w:r>
            <w:r>
              <w:rPr>
                <w:color w:val="000000"/>
              </w:rPr>
              <w:t>,</w:t>
            </w:r>
            <w:r w:rsidRPr="007924D2">
              <w:rPr>
                <w:color w:val="000000"/>
              </w:rPr>
              <w:t>107</w:t>
            </w:r>
            <w:r>
              <w:rPr>
                <w:color w:val="000000"/>
              </w:rPr>
              <w:t>,</w:t>
            </w:r>
            <w:r w:rsidRPr="007924D2">
              <w:rPr>
                <w:color w:val="000000"/>
              </w:rPr>
              <w:t>314</w:t>
            </w:r>
          </w:p>
        </w:tc>
      </w:tr>
      <w:tr w:rsidR="00824644" w:rsidRPr="007924D2" w14:paraId="635FAF4B" w14:textId="77777777" w:rsidTr="00B9098D">
        <w:trPr>
          <w:trHeight w:val="320"/>
        </w:trPr>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5188AAFA" w14:textId="77777777" w:rsidR="00824644" w:rsidRPr="007924D2" w:rsidRDefault="00824644" w:rsidP="00B9098D">
            <w:pPr>
              <w:jc w:val="right"/>
              <w:rPr>
                <w:color w:val="000000"/>
              </w:rPr>
            </w:pPr>
            <w:r w:rsidRPr="007924D2">
              <w:rPr>
                <w:color w:val="000000"/>
              </w:rPr>
              <w:t>5</w:t>
            </w:r>
          </w:p>
        </w:tc>
        <w:tc>
          <w:tcPr>
            <w:tcW w:w="7561" w:type="dxa"/>
            <w:tcBorders>
              <w:top w:val="nil"/>
              <w:left w:val="nil"/>
              <w:bottom w:val="single" w:sz="4" w:space="0" w:color="auto"/>
              <w:right w:val="single" w:sz="4" w:space="0" w:color="auto"/>
            </w:tcBorders>
            <w:shd w:val="clear" w:color="auto" w:fill="auto"/>
            <w:noWrap/>
            <w:vAlign w:val="center"/>
            <w:hideMark/>
          </w:tcPr>
          <w:p w14:paraId="03140733" w14:textId="77777777" w:rsidR="00824644" w:rsidRPr="007924D2" w:rsidRDefault="00824644" w:rsidP="00B9098D">
            <w:pPr>
              <w:rPr>
                <w:color w:val="000000"/>
              </w:rPr>
            </w:pPr>
            <w:r w:rsidRPr="007924D2">
              <w:rPr>
                <w:color w:val="000000"/>
              </w:rPr>
              <w:t>1 and 4</w:t>
            </w:r>
          </w:p>
        </w:tc>
        <w:tc>
          <w:tcPr>
            <w:tcW w:w="1834" w:type="dxa"/>
            <w:tcBorders>
              <w:top w:val="nil"/>
              <w:left w:val="nil"/>
              <w:bottom w:val="single" w:sz="4" w:space="0" w:color="auto"/>
              <w:right w:val="single" w:sz="4" w:space="0" w:color="auto"/>
            </w:tcBorders>
            <w:shd w:val="clear" w:color="auto" w:fill="auto"/>
            <w:noWrap/>
            <w:vAlign w:val="center"/>
            <w:hideMark/>
          </w:tcPr>
          <w:p w14:paraId="3264E2DB" w14:textId="77777777" w:rsidR="00824644" w:rsidRPr="007924D2" w:rsidRDefault="00824644" w:rsidP="00B9098D">
            <w:pPr>
              <w:jc w:val="right"/>
              <w:rPr>
                <w:color w:val="000000"/>
              </w:rPr>
            </w:pPr>
            <w:r w:rsidRPr="007924D2">
              <w:rPr>
                <w:color w:val="000000"/>
              </w:rPr>
              <w:t>2</w:t>
            </w:r>
            <w:r>
              <w:rPr>
                <w:color w:val="000000"/>
              </w:rPr>
              <w:t>,</w:t>
            </w:r>
            <w:r w:rsidRPr="007924D2">
              <w:rPr>
                <w:color w:val="000000"/>
              </w:rPr>
              <w:t>598</w:t>
            </w:r>
          </w:p>
        </w:tc>
      </w:tr>
      <w:tr w:rsidR="00824644" w:rsidRPr="007924D2" w14:paraId="0ADC815F" w14:textId="77777777" w:rsidTr="00B9098D">
        <w:trPr>
          <w:trHeight w:val="320"/>
        </w:trPr>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68D4C8E1" w14:textId="77777777" w:rsidR="00824644" w:rsidRPr="007924D2" w:rsidRDefault="00824644" w:rsidP="00B9098D">
            <w:pPr>
              <w:jc w:val="right"/>
              <w:rPr>
                <w:color w:val="000000"/>
              </w:rPr>
            </w:pPr>
            <w:r w:rsidRPr="007924D2">
              <w:rPr>
                <w:color w:val="000000"/>
              </w:rPr>
              <w:t>6</w:t>
            </w:r>
          </w:p>
        </w:tc>
        <w:tc>
          <w:tcPr>
            <w:tcW w:w="7561" w:type="dxa"/>
            <w:tcBorders>
              <w:top w:val="nil"/>
              <w:left w:val="nil"/>
              <w:bottom w:val="single" w:sz="4" w:space="0" w:color="auto"/>
              <w:right w:val="single" w:sz="4" w:space="0" w:color="auto"/>
            </w:tcBorders>
            <w:shd w:val="clear" w:color="auto" w:fill="auto"/>
            <w:noWrap/>
            <w:vAlign w:val="center"/>
            <w:hideMark/>
          </w:tcPr>
          <w:p w14:paraId="462B4A83" w14:textId="77777777" w:rsidR="00824644" w:rsidRPr="007924D2" w:rsidRDefault="00824644" w:rsidP="00B9098D">
            <w:pPr>
              <w:rPr>
                <w:color w:val="000000"/>
              </w:rPr>
            </w:pPr>
            <w:r w:rsidRPr="007924D2">
              <w:rPr>
                <w:color w:val="000000"/>
              </w:rPr>
              <w:t>limit 5 to yr=</w:t>
            </w:r>
            <w:r>
              <w:rPr>
                <w:color w:val="000000"/>
              </w:rPr>
              <w:t>”</w:t>
            </w:r>
            <w:r w:rsidRPr="007924D2">
              <w:rPr>
                <w:color w:val="000000"/>
              </w:rPr>
              <w:t xml:space="preserve">2021 </w:t>
            </w:r>
            <w:r>
              <w:rPr>
                <w:color w:val="000000"/>
              </w:rPr>
              <w:t>–</w:t>
            </w:r>
            <w:r w:rsidRPr="007924D2">
              <w:rPr>
                <w:color w:val="000000"/>
              </w:rPr>
              <w:t xml:space="preserve"> 2024</w:t>
            </w:r>
            <w:r>
              <w:rPr>
                <w:color w:val="000000"/>
              </w:rPr>
              <w:t>”</w:t>
            </w:r>
          </w:p>
        </w:tc>
        <w:tc>
          <w:tcPr>
            <w:tcW w:w="1834" w:type="dxa"/>
            <w:tcBorders>
              <w:top w:val="nil"/>
              <w:left w:val="nil"/>
              <w:bottom w:val="single" w:sz="4" w:space="0" w:color="auto"/>
              <w:right w:val="single" w:sz="4" w:space="0" w:color="auto"/>
            </w:tcBorders>
            <w:shd w:val="clear" w:color="auto" w:fill="auto"/>
            <w:noWrap/>
            <w:vAlign w:val="center"/>
            <w:hideMark/>
          </w:tcPr>
          <w:p w14:paraId="05D65737" w14:textId="77777777" w:rsidR="00824644" w:rsidRPr="007924D2" w:rsidRDefault="00824644" w:rsidP="00B9098D">
            <w:pPr>
              <w:jc w:val="right"/>
              <w:rPr>
                <w:color w:val="000000"/>
              </w:rPr>
            </w:pPr>
            <w:r w:rsidRPr="007924D2">
              <w:rPr>
                <w:color w:val="000000"/>
              </w:rPr>
              <w:t>228</w:t>
            </w:r>
          </w:p>
        </w:tc>
      </w:tr>
      <w:tr w:rsidR="00824644" w:rsidRPr="007924D2" w14:paraId="27098A9C" w14:textId="77777777" w:rsidTr="00B9098D">
        <w:trPr>
          <w:trHeight w:val="320"/>
        </w:trPr>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485BC951" w14:textId="77777777" w:rsidR="00824644" w:rsidRPr="007924D2" w:rsidRDefault="00824644" w:rsidP="00B9098D">
            <w:pPr>
              <w:jc w:val="right"/>
              <w:rPr>
                <w:color w:val="000000"/>
              </w:rPr>
            </w:pPr>
            <w:r w:rsidRPr="007924D2">
              <w:rPr>
                <w:color w:val="000000"/>
              </w:rPr>
              <w:lastRenderedPageBreak/>
              <w:t>7</w:t>
            </w:r>
          </w:p>
        </w:tc>
        <w:tc>
          <w:tcPr>
            <w:tcW w:w="7561" w:type="dxa"/>
            <w:tcBorders>
              <w:top w:val="nil"/>
              <w:left w:val="nil"/>
              <w:bottom w:val="single" w:sz="4" w:space="0" w:color="auto"/>
              <w:right w:val="single" w:sz="4" w:space="0" w:color="auto"/>
            </w:tcBorders>
            <w:shd w:val="clear" w:color="auto" w:fill="auto"/>
            <w:noWrap/>
            <w:vAlign w:val="center"/>
            <w:hideMark/>
          </w:tcPr>
          <w:p w14:paraId="0446FDEC" w14:textId="77777777" w:rsidR="00824644" w:rsidRPr="007924D2" w:rsidRDefault="00824644" w:rsidP="00B9098D">
            <w:pPr>
              <w:rPr>
                <w:color w:val="000000"/>
              </w:rPr>
            </w:pPr>
            <w:r w:rsidRPr="007924D2">
              <w:rPr>
                <w:color w:val="000000"/>
              </w:rPr>
              <w:t>limit 6 to (structured abstracts and full text)</w:t>
            </w:r>
          </w:p>
        </w:tc>
        <w:tc>
          <w:tcPr>
            <w:tcW w:w="1834" w:type="dxa"/>
            <w:tcBorders>
              <w:top w:val="nil"/>
              <w:left w:val="nil"/>
              <w:bottom w:val="single" w:sz="4" w:space="0" w:color="auto"/>
              <w:right w:val="single" w:sz="4" w:space="0" w:color="auto"/>
            </w:tcBorders>
            <w:shd w:val="clear" w:color="auto" w:fill="auto"/>
            <w:noWrap/>
            <w:vAlign w:val="center"/>
            <w:hideMark/>
          </w:tcPr>
          <w:p w14:paraId="328803E1" w14:textId="77777777" w:rsidR="00824644" w:rsidRPr="007924D2" w:rsidRDefault="00824644" w:rsidP="00B9098D">
            <w:pPr>
              <w:jc w:val="right"/>
              <w:rPr>
                <w:color w:val="000000"/>
              </w:rPr>
            </w:pPr>
            <w:r w:rsidRPr="007924D2">
              <w:rPr>
                <w:color w:val="000000"/>
              </w:rPr>
              <w:t>13</w:t>
            </w:r>
          </w:p>
        </w:tc>
      </w:tr>
    </w:tbl>
    <w:p w14:paraId="34173B2B" w14:textId="77777777" w:rsidR="00824644" w:rsidRPr="007924D2" w:rsidRDefault="00824644" w:rsidP="00824644">
      <w:r w:rsidRPr="007924D2">
        <w:rPr>
          <w:b/>
          <w:bCs/>
        </w:rPr>
        <w:t>Supplementary Table 1.</w:t>
      </w:r>
      <w:r w:rsidRPr="007924D2">
        <w:t xml:space="preserve"> Search terms and results using the MEDLINE Ovid.</w:t>
      </w:r>
    </w:p>
    <w:p w14:paraId="7A45B8CF" w14:textId="77777777" w:rsidR="00824644" w:rsidRPr="00A63DBC" w:rsidRDefault="00824644" w:rsidP="00824644">
      <w:pPr>
        <w:ind w:left="1434" w:hanging="357"/>
        <w:rPr>
          <w:b/>
          <w:bCs/>
        </w:rPr>
      </w:pPr>
    </w:p>
    <w:p w14:paraId="4339F7EE" w14:textId="4C3F4AE3" w:rsidR="00824644" w:rsidRPr="00880942" w:rsidRDefault="00824644" w:rsidP="00824644">
      <w:pPr>
        <w:pStyle w:val="ListParagraph"/>
        <w:numPr>
          <w:ilvl w:val="0"/>
          <w:numId w:val="20"/>
        </w:numPr>
        <w:spacing w:before="0" w:after="0"/>
        <w:rPr>
          <w:b/>
          <w:bCs/>
        </w:rPr>
      </w:pPr>
      <w:r>
        <w:rPr>
          <w:b/>
          <w:bCs/>
        </w:rPr>
        <w:t>Midpoint approximation</w:t>
      </w:r>
    </w:p>
    <w:p w14:paraId="093480EB" w14:textId="160722FA" w:rsidR="00824644" w:rsidRDefault="00824644" w:rsidP="00824644">
      <w:r w:rsidRPr="00A81706">
        <w:t>We investigate</w:t>
      </w:r>
      <w:r>
        <w:t>d</w:t>
      </w:r>
      <w:r w:rsidRPr="00A81706">
        <w:t xml:space="preserve"> whether our single-time midpoint approximation to a short </w:t>
      </w:r>
      <w:r w:rsidR="00EE2AF4">
        <w:t>age</w:t>
      </w:r>
      <w:r w:rsidRPr="00A81706">
        <w:t xml:space="preserve"> </w:t>
      </w:r>
      <w:r>
        <w:t>range</w:t>
      </w:r>
      <w:r w:rsidRPr="00A81706">
        <w:t xml:space="preserve"> of asthma diagnosis</w:t>
      </w:r>
      <w:r>
        <w:t xml:space="preserve"> was</w:t>
      </w:r>
      <w:r w:rsidRPr="00A81706">
        <w:t xml:space="preserve"> plausible. We </w:t>
      </w:r>
      <w:r>
        <w:t>considered</w:t>
      </w:r>
      <w:r w:rsidRPr="00A81706">
        <w:t xml:space="preserve"> the binary exposure case (</w:t>
      </w:r>
      <w:r>
        <w:t>no antibiotics versus at least one course of antibiotics</w:t>
      </w:r>
      <w:r w:rsidRPr="00A81706">
        <w:t>) in the first year with a simple data</w:t>
      </w:r>
      <w:r>
        <w:t xml:space="preserve"> </w:t>
      </w:r>
      <w:r w:rsidRPr="00A81706">
        <w:t xml:space="preserve">generating mechanism. The probability of </w:t>
      </w:r>
      <w:r>
        <w:t xml:space="preserve">having </w:t>
      </w:r>
      <w:r w:rsidRPr="00A81706">
        <w:t>asthma for a given age and exposure is</w:t>
      </w:r>
      <w:r>
        <w:t xml:space="preserve"> </w:t>
      </w:r>
      <w:r w:rsidRPr="00A81706">
        <w:t>provided by the following equation:</w:t>
      </w:r>
    </w:p>
    <w:p w14:paraId="17A79A60" w14:textId="0F8C68E8" w:rsidR="00824644" w:rsidRDefault="00824644" w:rsidP="00B06B0E">
      <w:pPr>
        <w:jc w:val="center"/>
      </w:pPr>
      <w:r w:rsidRPr="007924D2">
        <w:t>Logit(asthma prevalence |</w:t>
      </w:r>
      <w:r>
        <w:t xml:space="preserve"> </w:t>
      </w:r>
      <w:r w:rsidRPr="007924D2">
        <w:t>age</w:t>
      </w:r>
      <w:r>
        <w:t>, exposure</w:t>
      </w:r>
      <w:r w:rsidRPr="007924D2">
        <w:t>) = β</w:t>
      </w:r>
      <w:r w:rsidRPr="007924D2">
        <w:rPr>
          <w:vertAlign w:val="subscript"/>
        </w:rPr>
        <w:t>0</w:t>
      </w:r>
      <w:r w:rsidRPr="007924D2">
        <w:t xml:space="preserve"> + β</w:t>
      </w:r>
      <w:r w:rsidRPr="007924D2">
        <w:rPr>
          <w:vertAlign w:val="subscript"/>
        </w:rPr>
        <w:t>age</w:t>
      </w:r>
      <w:r w:rsidRPr="007924D2">
        <w:t>*age + β</w:t>
      </w:r>
      <w:r>
        <w:rPr>
          <w:vertAlign w:val="subscript"/>
        </w:rPr>
        <w:t>exposure</w:t>
      </w:r>
      <w:r w:rsidRPr="007924D2">
        <w:t>*</w:t>
      </w:r>
      <w:r>
        <w:t>exposure+</w:t>
      </w:r>
      <w:r w:rsidRPr="007924D2">
        <w:t>β</w:t>
      </w:r>
      <w:r>
        <w:rPr>
          <w:vertAlign w:val="subscript"/>
        </w:rPr>
        <w:t>age:exposure</w:t>
      </w:r>
      <w:r w:rsidRPr="007924D2">
        <w:t>*</w:t>
      </w:r>
      <w:r>
        <w:t>age:exposure</w:t>
      </w:r>
    </w:p>
    <w:p w14:paraId="13DA06C8" w14:textId="77777777" w:rsidR="00824644" w:rsidRDefault="00824644" w:rsidP="00824644">
      <w:r w:rsidRPr="00180D95">
        <w:t>We set the parameter values such that the probability decay</w:t>
      </w:r>
      <w:r>
        <w:t>ed</w:t>
      </w:r>
      <w:r w:rsidRPr="00180D95">
        <w:t xml:space="preserve"> over time and the effect of antibiotic exposure</w:t>
      </w:r>
      <w:r>
        <w:t xml:space="preserve"> </w:t>
      </w:r>
      <w:r w:rsidRPr="00180D95">
        <w:t>in the first year diminishe</w:t>
      </w:r>
      <w:r>
        <w:t>d</w:t>
      </w:r>
      <w:r w:rsidRPr="00180D95">
        <w:t xml:space="preserve"> completely at age 10</w:t>
      </w:r>
      <w:r>
        <w:t xml:space="preserve"> (see </w:t>
      </w:r>
      <w:r w:rsidRPr="00A672E9">
        <w:rPr>
          <w:b/>
          <w:bCs/>
        </w:rPr>
        <w:t>Supplementary Figure 1</w:t>
      </w:r>
      <w:r>
        <w:t xml:space="preserve">). </w:t>
      </w:r>
      <w:r w:rsidRPr="00180D95">
        <w:t xml:space="preserve">With </w:t>
      </w:r>
      <w:r>
        <w:t xml:space="preserve">the sample size of </w:t>
      </w:r>
      <w:r w:rsidRPr="00180D95">
        <w:t>n=1</w:t>
      </w:r>
      <w:r>
        <w:t>,0</w:t>
      </w:r>
      <w:r w:rsidRPr="00180D95">
        <w:t xml:space="preserve">00,000 </w:t>
      </w:r>
      <w:r>
        <w:t>in</w:t>
      </w:r>
      <w:r w:rsidRPr="00180D95">
        <w:t>dividuals,</w:t>
      </w:r>
      <w:r>
        <w:t xml:space="preserve"> we</w:t>
      </w:r>
      <w:r w:rsidRPr="00180D95">
        <w:t xml:space="preserve"> consider</w:t>
      </w:r>
      <w:r>
        <w:t>ed</w:t>
      </w:r>
      <w:r w:rsidRPr="00180D95">
        <w:t xml:space="preserve"> </w:t>
      </w:r>
      <w:r>
        <w:t>three</w:t>
      </w:r>
      <w:r w:rsidRPr="00180D95">
        <w:t xml:space="preserve"> </w:t>
      </w:r>
      <w:r>
        <w:t>ranges</w:t>
      </w:r>
      <w:r w:rsidRPr="00180D95">
        <w:t xml:space="preserve"> of 3 (e.g., 5</w:t>
      </w:r>
      <w:r>
        <w:t>–</w:t>
      </w:r>
      <w:r w:rsidRPr="00180D95">
        <w:t>7 years of age), 5 (e.g., 1</w:t>
      </w:r>
      <w:r>
        <w:t>–</w:t>
      </w:r>
      <w:r w:rsidRPr="00180D95">
        <w:t>5 years of age),</w:t>
      </w:r>
      <w:r>
        <w:t xml:space="preserve"> and </w:t>
      </w:r>
      <w:r w:rsidRPr="00180D95">
        <w:t>7 (4</w:t>
      </w:r>
      <w:r>
        <w:t>–</w:t>
      </w:r>
      <w:r w:rsidRPr="00180D95">
        <w:t>10 years of age) in years.</w:t>
      </w:r>
      <w:r>
        <w:t xml:space="preserve"> For each individual, we randomly assigned age between 1 and 10 years with a uniform distribution, exposure status with a Bernoulli distribution with probability of 0.40, and asthma status with  </w:t>
      </w:r>
      <w:r w:rsidRPr="007924D2">
        <w:t>β</w:t>
      </w:r>
      <w:r w:rsidRPr="007924D2">
        <w:rPr>
          <w:vertAlign w:val="subscript"/>
        </w:rPr>
        <w:t>0</w:t>
      </w:r>
      <w:r>
        <w:t xml:space="preserve">=-3.5, </w:t>
      </w:r>
      <w:r w:rsidRPr="007924D2">
        <w:t>β</w:t>
      </w:r>
      <w:r w:rsidRPr="007924D2">
        <w:rPr>
          <w:vertAlign w:val="subscript"/>
        </w:rPr>
        <w:t>age</w:t>
      </w:r>
      <w:r>
        <w:t xml:space="preserve">=-0.01, </w:t>
      </w:r>
      <w:r w:rsidRPr="007924D2">
        <w:t>β</w:t>
      </w:r>
      <w:r>
        <w:rPr>
          <w:vertAlign w:val="subscript"/>
        </w:rPr>
        <w:t>exposure</w:t>
      </w:r>
      <w:r>
        <w:t xml:space="preserve">=0.8, and </w:t>
      </w:r>
      <w:r w:rsidRPr="007924D2">
        <w:t>β</w:t>
      </w:r>
      <w:r>
        <w:rPr>
          <w:vertAlign w:val="subscript"/>
        </w:rPr>
        <w:t>age:exposure</w:t>
      </w:r>
      <w:r>
        <w:t xml:space="preserve">=-0.08. </w:t>
      </w:r>
    </w:p>
    <w:p w14:paraId="2E42D916" w14:textId="77777777" w:rsidR="00824644" w:rsidRDefault="00824644" w:rsidP="00824644">
      <w:pPr>
        <w:jc w:val="center"/>
      </w:pPr>
      <w:r>
        <w:rPr>
          <w:noProof/>
        </w:rPr>
        <w:drawing>
          <wp:inline distT="0" distB="0" distL="0" distR="0" wp14:anchorId="63DF8898" wp14:editId="11880F6E">
            <wp:extent cx="5420995" cy="3348963"/>
            <wp:effectExtent l="0" t="0" r="1905" b="4445"/>
            <wp:docPr id="1918831671" name="Picture 6" descr="A graph of age and 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831671" name="Picture 6" descr="A graph of age and ag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28756" cy="3353758"/>
                    </a:xfrm>
                    <a:prstGeom prst="rect">
                      <a:avLst/>
                    </a:prstGeom>
                  </pic:spPr>
                </pic:pic>
              </a:graphicData>
            </a:graphic>
          </wp:inline>
        </w:drawing>
      </w:r>
    </w:p>
    <w:p w14:paraId="64E12119" w14:textId="18A158B6" w:rsidR="00824644" w:rsidRDefault="00824644" w:rsidP="00824644">
      <w:r w:rsidRPr="00994FDA">
        <w:rPr>
          <w:b/>
          <w:bCs/>
        </w:rPr>
        <w:t>Supplementary Figure 1</w:t>
      </w:r>
      <w:r>
        <w:rPr>
          <w:b/>
          <w:bCs/>
        </w:rPr>
        <w:t xml:space="preserve">. </w:t>
      </w:r>
      <w:r>
        <w:t>Probability of having asthma for the simulation study of the midpoint approximation.</w:t>
      </w:r>
    </w:p>
    <w:p w14:paraId="73204B49" w14:textId="554DAEE9" w:rsidR="00824644" w:rsidRPr="00994FDA" w:rsidRDefault="00824644" w:rsidP="0035529F">
      <w:pPr>
        <w:spacing w:after="200" w:line="276" w:lineRule="auto"/>
      </w:pPr>
      <w:r>
        <w:lastRenderedPageBreak/>
        <w:t xml:space="preserve">For each </w:t>
      </w:r>
      <w:r w:rsidR="001A4402">
        <w:t>age</w:t>
      </w:r>
      <w:r>
        <w:t xml:space="preserve"> rage, we computed the age-specific OR in the midpoint year and the overall OR using the simulation results (</w:t>
      </w:r>
      <w:r w:rsidRPr="006759F8">
        <w:rPr>
          <w:b/>
          <w:bCs/>
        </w:rPr>
        <w:t xml:space="preserve">Supplementary Table </w:t>
      </w:r>
      <w:r>
        <w:rPr>
          <w:b/>
          <w:bCs/>
        </w:rPr>
        <w:t>2</w:t>
      </w:r>
      <w:r w:rsidRPr="00515701">
        <w:t>)</w:t>
      </w:r>
      <w:r>
        <w:t>. T</w:t>
      </w:r>
      <w:r w:rsidRPr="00180D95">
        <w:t>he midpoint</w:t>
      </w:r>
      <w:r>
        <w:t xml:space="preserve"> approximation </w:t>
      </w:r>
      <w:r w:rsidRPr="00180D95">
        <w:t xml:space="preserve">seems to be close to the overall OR (over </w:t>
      </w:r>
      <w:r>
        <w:t>all the ages in the time range</w:t>
      </w:r>
      <w:r w:rsidRPr="00180D95">
        <w:t>)</w:t>
      </w:r>
      <w:r>
        <w:t xml:space="preserve"> for these short ranges.</w:t>
      </w:r>
    </w:p>
    <w:tbl>
      <w:tblPr>
        <w:tblW w:w="6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7"/>
        <w:gridCol w:w="1551"/>
        <w:gridCol w:w="1559"/>
        <w:gridCol w:w="1560"/>
      </w:tblGrid>
      <w:tr w:rsidR="00824644" w14:paraId="787E2AB1" w14:textId="77777777" w:rsidTr="007C57D8">
        <w:trPr>
          <w:trHeight w:hRule="exact" w:val="851"/>
        </w:trPr>
        <w:tc>
          <w:tcPr>
            <w:tcW w:w="2127" w:type="dxa"/>
            <w:shd w:val="clear" w:color="auto" w:fill="auto"/>
            <w:noWrap/>
            <w:tcMar>
              <w:top w:w="15" w:type="dxa"/>
              <w:left w:w="15" w:type="dxa"/>
              <w:bottom w:w="0" w:type="dxa"/>
              <w:right w:w="15" w:type="dxa"/>
            </w:tcMar>
            <w:hideMark/>
          </w:tcPr>
          <w:p w14:paraId="38F535CB" w14:textId="598EC079" w:rsidR="00824644" w:rsidRPr="00EF58ED" w:rsidRDefault="001A4402" w:rsidP="00B9098D">
            <w:pPr>
              <w:rPr>
                <w:b/>
                <w:bCs/>
                <w:color w:val="000000"/>
              </w:rPr>
            </w:pPr>
            <w:r w:rsidRPr="00EF58ED">
              <w:rPr>
                <w:b/>
                <w:bCs/>
                <w:color w:val="000000"/>
              </w:rPr>
              <w:t>Age</w:t>
            </w:r>
            <w:r w:rsidR="00824644" w:rsidRPr="00EF58ED">
              <w:rPr>
                <w:b/>
                <w:bCs/>
                <w:color w:val="000000"/>
              </w:rPr>
              <w:t xml:space="preserve"> range (years)</w:t>
            </w:r>
          </w:p>
        </w:tc>
        <w:tc>
          <w:tcPr>
            <w:tcW w:w="1551" w:type="dxa"/>
          </w:tcPr>
          <w:p w14:paraId="2EE11B46" w14:textId="43C1A2FB" w:rsidR="00824644" w:rsidRPr="00EF58ED" w:rsidRDefault="001A4402" w:rsidP="00EF58ED">
            <w:pPr>
              <w:rPr>
                <w:b/>
                <w:bCs/>
                <w:color w:val="000000"/>
              </w:rPr>
            </w:pPr>
            <w:r w:rsidRPr="00EF58ED">
              <w:rPr>
                <w:b/>
                <w:bCs/>
                <w:color w:val="000000"/>
              </w:rPr>
              <w:t>Length of the range</w:t>
            </w:r>
            <w:r w:rsidR="00EF58ED">
              <w:rPr>
                <w:b/>
                <w:bCs/>
                <w:color w:val="000000"/>
              </w:rPr>
              <w:t xml:space="preserve"> </w:t>
            </w:r>
            <w:r w:rsidR="00824644" w:rsidRPr="00EF58ED">
              <w:rPr>
                <w:b/>
                <w:bCs/>
                <w:color w:val="000000"/>
              </w:rPr>
              <w:t>(years)</w:t>
            </w:r>
          </w:p>
        </w:tc>
        <w:tc>
          <w:tcPr>
            <w:tcW w:w="1559" w:type="dxa"/>
            <w:shd w:val="clear" w:color="auto" w:fill="auto"/>
            <w:noWrap/>
            <w:tcMar>
              <w:top w:w="15" w:type="dxa"/>
              <w:left w:w="15" w:type="dxa"/>
              <w:bottom w:w="0" w:type="dxa"/>
              <w:right w:w="15" w:type="dxa"/>
            </w:tcMar>
            <w:hideMark/>
          </w:tcPr>
          <w:p w14:paraId="0CE012A4" w14:textId="77777777" w:rsidR="00824644" w:rsidRPr="00EF58ED" w:rsidRDefault="00824644" w:rsidP="00B9098D">
            <w:pPr>
              <w:rPr>
                <w:b/>
                <w:bCs/>
                <w:color w:val="000000"/>
              </w:rPr>
            </w:pPr>
            <w:r w:rsidRPr="00EF58ED">
              <w:rPr>
                <w:b/>
                <w:bCs/>
                <w:color w:val="000000"/>
              </w:rPr>
              <w:t>Midpoint OR</w:t>
            </w:r>
          </w:p>
        </w:tc>
        <w:tc>
          <w:tcPr>
            <w:tcW w:w="1560" w:type="dxa"/>
            <w:shd w:val="clear" w:color="auto" w:fill="auto"/>
            <w:noWrap/>
            <w:tcMar>
              <w:top w:w="15" w:type="dxa"/>
              <w:left w:w="15" w:type="dxa"/>
              <w:bottom w:w="0" w:type="dxa"/>
              <w:right w:w="15" w:type="dxa"/>
            </w:tcMar>
            <w:hideMark/>
          </w:tcPr>
          <w:p w14:paraId="0B37D8A0" w14:textId="77777777" w:rsidR="00824644" w:rsidRPr="00EF58ED" w:rsidRDefault="00824644" w:rsidP="00B9098D">
            <w:pPr>
              <w:rPr>
                <w:b/>
                <w:bCs/>
                <w:color w:val="000000"/>
              </w:rPr>
            </w:pPr>
            <w:r w:rsidRPr="00EF58ED">
              <w:rPr>
                <w:b/>
                <w:bCs/>
                <w:color w:val="000000"/>
              </w:rPr>
              <w:t>Overall OR</w:t>
            </w:r>
          </w:p>
        </w:tc>
      </w:tr>
      <w:tr w:rsidR="00824644" w14:paraId="7197A236" w14:textId="77777777" w:rsidTr="00983C19">
        <w:trPr>
          <w:trHeight w:hRule="exact" w:val="567"/>
        </w:trPr>
        <w:tc>
          <w:tcPr>
            <w:tcW w:w="2127" w:type="dxa"/>
            <w:shd w:val="clear" w:color="auto" w:fill="auto"/>
            <w:noWrap/>
            <w:tcMar>
              <w:top w:w="15" w:type="dxa"/>
              <w:left w:w="15" w:type="dxa"/>
              <w:bottom w:w="0" w:type="dxa"/>
              <w:right w:w="15" w:type="dxa"/>
            </w:tcMar>
            <w:hideMark/>
          </w:tcPr>
          <w:p w14:paraId="1B38CDD3" w14:textId="77777777" w:rsidR="00824644" w:rsidRPr="00AE179A" w:rsidRDefault="00824644" w:rsidP="00B9098D">
            <w:pPr>
              <w:rPr>
                <w:color w:val="000000"/>
              </w:rPr>
            </w:pPr>
            <w:r w:rsidRPr="00AE179A">
              <w:rPr>
                <w:color w:val="000000"/>
              </w:rPr>
              <w:t xml:space="preserve">1 </w:t>
            </w:r>
            <w:r>
              <w:rPr>
                <w:color w:val="000000"/>
              </w:rPr>
              <w:t>–</w:t>
            </w:r>
            <w:r w:rsidRPr="00AE179A">
              <w:rPr>
                <w:color w:val="000000"/>
              </w:rPr>
              <w:t xml:space="preserve"> 3</w:t>
            </w:r>
          </w:p>
        </w:tc>
        <w:tc>
          <w:tcPr>
            <w:tcW w:w="1551" w:type="dxa"/>
          </w:tcPr>
          <w:p w14:paraId="6D3CE55A" w14:textId="77777777" w:rsidR="00824644" w:rsidRPr="00AE179A" w:rsidRDefault="00824644" w:rsidP="00B9098D">
            <w:pPr>
              <w:rPr>
                <w:color w:val="000000"/>
              </w:rPr>
            </w:pPr>
            <w:r>
              <w:rPr>
                <w:color w:val="000000"/>
              </w:rPr>
              <w:t>3</w:t>
            </w:r>
          </w:p>
        </w:tc>
        <w:tc>
          <w:tcPr>
            <w:tcW w:w="1559" w:type="dxa"/>
            <w:shd w:val="clear" w:color="auto" w:fill="auto"/>
            <w:noWrap/>
            <w:tcMar>
              <w:top w:w="15" w:type="dxa"/>
              <w:left w:w="15" w:type="dxa"/>
              <w:bottom w:w="0" w:type="dxa"/>
              <w:right w:w="15" w:type="dxa"/>
            </w:tcMar>
            <w:hideMark/>
          </w:tcPr>
          <w:p w14:paraId="54379565" w14:textId="77777777" w:rsidR="00824644" w:rsidRPr="00AE179A" w:rsidRDefault="00824644" w:rsidP="00B9098D">
            <w:pPr>
              <w:rPr>
                <w:color w:val="000000"/>
              </w:rPr>
            </w:pPr>
            <w:r w:rsidRPr="00AE179A">
              <w:rPr>
                <w:color w:val="000000"/>
              </w:rPr>
              <w:t>1.91</w:t>
            </w:r>
          </w:p>
        </w:tc>
        <w:tc>
          <w:tcPr>
            <w:tcW w:w="1560" w:type="dxa"/>
            <w:shd w:val="clear" w:color="auto" w:fill="auto"/>
            <w:noWrap/>
            <w:tcMar>
              <w:top w:w="15" w:type="dxa"/>
              <w:left w:w="15" w:type="dxa"/>
              <w:bottom w:w="0" w:type="dxa"/>
              <w:right w:w="15" w:type="dxa"/>
            </w:tcMar>
            <w:hideMark/>
          </w:tcPr>
          <w:p w14:paraId="736B2C83" w14:textId="77777777" w:rsidR="00824644" w:rsidRPr="00AE179A" w:rsidRDefault="00824644" w:rsidP="00B9098D">
            <w:pPr>
              <w:rPr>
                <w:color w:val="000000"/>
              </w:rPr>
            </w:pPr>
            <w:r w:rsidRPr="00AE179A">
              <w:rPr>
                <w:color w:val="000000"/>
              </w:rPr>
              <w:t>1.91</w:t>
            </w:r>
          </w:p>
        </w:tc>
      </w:tr>
      <w:tr w:rsidR="00824644" w14:paraId="5C71D99F" w14:textId="77777777" w:rsidTr="00983C19">
        <w:trPr>
          <w:trHeight w:hRule="exact" w:val="567"/>
        </w:trPr>
        <w:tc>
          <w:tcPr>
            <w:tcW w:w="2127" w:type="dxa"/>
            <w:shd w:val="clear" w:color="auto" w:fill="auto"/>
            <w:noWrap/>
            <w:tcMar>
              <w:top w:w="15" w:type="dxa"/>
              <w:left w:w="15" w:type="dxa"/>
              <w:bottom w:w="0" w:type="dxa"/>
              <w:right w:w="15" w:type="dxa"/>
            </w:tcMar>
            <w:hideMark/>
          </w:tcPr>
          <w:p w14:paraId="6136DEC9" w14:textId="77777777" w:rsidR="00824644" w:rsidRPr="00AE179A" w:rsidRDefault="00824644" w:rsidP="00B9098D">
            <w:pPr>
              <w:rPr>
                <w:color w:val="000000"/>
              </w:rPr>
            </w:pPr>
            <w:r w:rsidRPr="00AE179A">
              <w:rPr>
                <w:color w:val="000000"/>
              </w:rPr>
              <w:t xml:space="preserve">2 </w:t>
            </w:r>
            <w:r>
              <w:rPr>
                <w:color w:val="000000"/>
              </w:rPr>
              <w:t>–</w:t>
            </w:r>
            <w:r w:rsidRPr="00AE179A">
              <w:rPr>
                <w:color w:val="000000"/>
              </w:rPr>
              <w:t xml:space="preserve"> 4</w:t>
            </w:r>
          </w:p>
        </w:tc>
        <w:tc>
          <w:tcPr>
            <w:tcW w:w="1551" w:type="dxa"/>
          </w:tcPr>
          <w:p w14:paraId="110DB7E3" w14:textId="77777777" w:rsidR="00824644" w:rsidRPr="00AE179A" w:rsidRDefault="00824644" w:rsidP="00B9098D">
            <w:pPr>
              <w:rPr>
                <w:color w:val="000000"/>
              </w:rPr>
            </w:pPr>
            <w:r>
              <w:rPr>
                <w:color w:val="000000"/>
              </w:rPr>
              <w:t>3</w:t>
            </w:r>
          </w:p>
        </w:tc>
        <w:tc>
          <w:tcPr>
            <w:tcW w:w="1559" w:type="dxa"/>
            <w:shd w:val="clear" w:color="auto" w:fill="auto"/>
            <w:noWrap/>
            <w:tcMar>
              <w:top w:w="15" w:type="dxa"/>
              <w:left w:w="15" w:type="dxa"/>
              <w:bottom w:w="0" w:type="dxa"/>
              <w:right w:w="15" w:type="dxa"/>
            </w:tcMar>
            <w:hideMark/>
          </w:tcPr>
          <w:p w14:paraId="56544466" w14:textId="77777777" w:rsidR="00824644" w:rsidRPr="00AE179A" w:rsidRDefault="00824644" w:rsidP="00B9098D">
            <w:pPr>
              <w:rPr>
                <w:color w:val="000000"/>
              </w:rPr>
            </w:pPr>
            <w:r w:rsidRPr="00AE179A">
              <w:rPr>
                <w:color w:val="000000"/>
              </w:rPr>
              <w:t>1.73</w:t>
            </w:r>
          </w:p>
        </w:tc>
        <w:tc>
          <w:tcPr>
            <w:tcW w:w="1560" w:type="dxa"/>
            <w:shd w:val="clear" w:color="auto" w:fill="auto"/>
            <w:noWrap/>
            <w:tcMar>
              <w:top w:w="15" w:type="dxa"/>
              <w:left w:w="15" w:type="dxa"/>
              <w:bottom w:w="0" w:type="dxa"/>
              <w:right w:w="15" w:type="dxa"/>
            </w:tcMar>
            <w:hideMark/>
          </w:tcPr>
          <w:p w14:paraId="79D0DB16" w14:textId="77777777" w:rsidR="00824644" w:rsidRPr="00AE179A" w:rsidRDefault="00824644" w:rsidP="00B9098D">
            <w:pPr>
              <w:rPr>
                <w:color w:val="000000"/>
              </w:rPr>
            </w:pPr>
            <w:r w:rsidRPr="00AE179A">
              <w:rPr>
                <w:color w:val="000000"/>
              </w:rPr>
              <w:t>1.74</w:t>
            </w:r>
          </w:p>
        </w:tc>
      </w:tr>
      <w:tr w:rsidR="00824644" w14:paraId="4D57FD21" w14:textId="77777777" w:rsidTr="00983C19">
        <w:trPr>
          <w:trHeight w:hRule="exact" w:val="567"/>
        </w:trPr>
        <w:tc>
          <w:tcPr>
            <w:tcW w:w="2127" w:type="dxa"/>
            <w:shd w:val="clear" w:color="auto" w:fill="auto"/>
            <w:noWrap/>
            <w:tcMar>
              <w:top w:w="15" w:type="dxa"/>
              <w:left w:w="15" w:type="dxa"/>
              <w:bottom w:w="0" w:type="dxa"/>
              <w:right w:w="15" w:type="dxa"/>
            </w:tcMar>
            <w:hideMark/>
          </w:tcPr>
          <w:p w14:paraId="16B6818E" w14:textId="77777777" w:rsidR="00824644" w:rsidRPr="00AE179A" w:rsidRDefault="00824644" w:rsidP="00B9098D">
            <w:pPr>
              <w:rPr>
                <w:color w:val="000000"/>
              </w:rPr>
            </w:pPr>
            <w:r w:rsidRPr="00AE179A">
              <w:rPr>
                <w:color w:val="000000"/>
              </w:rPr>
              <w:t xml:space="preserve">3 </w:t>
            </w:r>
            <w:r>
              <w:rPr>
                <w:color w:val="000000"/>
              </w:rPr>
              <w:t>–</w:t>
            </w:r>
            <w:r w:rsidRPr="00AE179A">
              <w:rPr>
                <w:color w:val="000000"/>
              </w:rPr>
              <w:t xml:space="preserve"> 5</w:t>
            </w:r>
          </w:p>
        </w:tc>
        <w:tc>
          <w:tcPr>
            <w:tcW w:w="1551" w:type="dxa"/>
          </w:tcPr>
          <w:p w14:paraId="7294E16D" w14:textId="77777777" w:rsidR="00824644" w:rsidRPr="00AE179A" w:rsidRDefault="00824644" w:rsidP="00B9098D">
            <w:pPr>
              <w:rPr>
                <w:color w:val="000000"/>
              </w:rPr>
            </w:pPr>
            <w:r>
              <w:rPr>
                <w:color w:val="000000"/>
              </w:rPr>
              <w:t>3</w:t>
            </w:r>
          </w:p>
        </w:tc>
        <w:tc>
          <w:tcPr>
            <w:tcW w:w="1559" w:type="dxa"/>
            <w:shd w:val="clear" w:color="auto" w:fill="auto"/>
            <w:noWrap/>
            <w:tcMar>
              <w:top w:w="15" w:type="dxa"/>
              <w:left w:w="15" w:type="dxa"/>
              <w:bottom w:w="0" w:type="dxa"/>
              <w:right w:w="15" w:type="dxa"/>
            </w:tcMar>
            <w:hideMark/>
          </w:tcPr>
          <w:p w14:paraId="5498FF51" w14:textId="77777777" w:rsidR="00824644" w:rsidRPr="00AE179A" w:rsidRDefault="00824644" w:rsidP="00B9098D">
            <w:pPr>
              <w:rPr>
                <w:color w:val="000000"/>
              </w:rPr>
            </w:pPr>
            <w:r w:rsidRPr="00AE179A">
              <w:rPr>
                <w:color w:val="000000"/>
              </w:rPr>
              <w:t>1.58</w:t>
            </w:r>
          </w:p>
        </w:tc>
        <w:tc>
          <w:tcPr>
            <w:tcW w:w="1560" w:type="dxa"/>
            <w:shd w:val="clear" w:color="auto" w:fill="auto"/>
            <w:noWrap/>
            <w:tcMar>
              <w:top w:w="15" w:type="dxa"/>
              <w:left w:w="15" w:type="dxa"/>
              <w:bottom w:w="0" w:type="dxa"/>
              <w:right w:w="15" w:type="dxa"/>
            </w:tcMar>
            <w:hideMark/>
          </w:tcPr>
          <w:p w14:paraId="0C87B5D9" w14:textId="77777777" w:rsidR="00824644" w:rsidRPr="00AE179A" w:rsidRDefault="00824644" w:rsidP="00B9098D">
            <w:pPr>
              <w:rPr>
                <w:color w:val="000000"/>
              </w:rPr>
            </w:pPr>
            <w:r w:rsidRPr="00AE179A">
              <w:rPr>
                <w:color w:val="000000"/>
              </w:rPr>
              <w:t>1.64</w:t>
            </w:r>
          </w:p>
        </w:tc>
      </w:tr>
      <w:tr w:rsidR="00824644" w14:paraId="01F51B60" w14:textId="77777777" w:rsidTr="00983C19">
        <w:trPr>
          <w:trHeight w:hRule="exact" w:val="567"/>
        </w:trPr>
        <w:tc>
          <w:tcPr>
            <w:tcW w:w="2127" w:type="dxa"/>
            <w:shd w:val="clear" w:color="auto" w:fill="auto"/>
            <w:noWrap/>
            <w:tcMar>
              <w:top w:w="15" w:type="dxa"/>
              <w:left w:w="15" w:type="dxa"/>
              <w:bottom w:w="0" w:type="dxa"/>
              <w:right w:w="15" w:type="dxa"/>
            </w:tcMar>
            <w:hideMark/>
          </w:tcPr>
          <w:p w14:paraId="4396B6C7" w14:textId="77777777" w:rsidR="00824644" w:rsidRPr="00AE179A" w:rsidRDefault="00824644" w:rsidP="00B9098D">
            <w:pPr>
              <w:rPr>
                <w:color w:val="000000"/>
              </w:rPr>
            </w:pPr>
            <w:r w:rsidRPr="00AE179A">
              <w:rPr>
                <w:color w:val="000000"/>
              </w:rPr>
              <w:t xml:space="preserve">4 </w:t>
            </w:r>
            <w:r>
              <w:rPr>
                <w:color w:val="000000"/>
              </w:rPr>
              <w:t>–</w:t>
            </w:r>
            <w:r w:rsidRPr="00AE179A">
              <w:rPr>
                <w:color w:val="000000"/>
              </w:rPr>
              <w:t xml:space="preserve"> 6</w:t>
            </w:r>
          </w:p>
        </w:tc>
        <w:tc>
          <w:tcPr>
            <w:tcW w:w="1551" w:type="dxa"/>
          </w:tcPr>
          <w:p w14:paraId="07EEB754" w14:textId="77777777" w:rsidR="00824644" w:rsidRPr="00AE179A" w:rsidRDefault="00824644" w:rsidP="00B9098D">
            <w:pPr>
              <w:rPr>
                <w:color w:val="000000"/>
              </w:rPr>
            </w:pPr>
            <w:r>
              <w:rPr>
                <w:color w:val="000000"/>
              </w:rPr>
              <w:t>3</w:t>
            </w:r>
          </w:p>
        </w:tc>
        <w:tc>
          <w:tcPr>
            <w:tcW w:w="1559" w:type="dxa"/>
            <w:shd w:val="clear" w:color="auto" w:fill="auto"/>
            <w:noWrap/>
            <w:tcMar>
              <w:top w:w="15" w:type="dxa"/>
              <w:left w:w="15" w:type="dxa"/>
              <w:bottom w:w="0" w:type="dxa"/>
              <w:right w:w="15" w:type="dxa"/>
            </w:tcMar>
            <w:hideMark/>
          </w:tcPr>
          <w:p w14:paraId="6BFBCC7B" w14:textId="77777777" w:rsidR="00824644" w:rsidRPr="00AE179A" w:rsidRDefault="00824644" w:rsidP="00B9098D">
            <w:pPr>
              <w:rPr>
                <w:color w:val="000000"/>
              </w:rPr>
            </w:pPr>
            <w:r w:rsidRPr="00AE179A">
              <w:rPr>
                <w:color w:val="000000"/>
              </w:rPr>
              <w:t>1.61</w:t>
            </w:r>
          </w:p>
        </w:tc>
        <w:tc>
          <w:tcPr>
            <w:tcW w:w="1560" w:type="dxa"/>
            <w:shd w:val="clear" w:color="auto" w:fill="auto"/>
            <w:noWrap/>
            <w:tcMar>
              <w:top w:w="15" w:type="dxa"/>
              <w:left w:w="15" w:type="dxa"/>
              <w:bottom w:w="0" w:type="dxa"/>
              <w:right w:w="15" w:type="dxa"/>
            </w:tcMar>
            <w:hideMark/>
          </w:tcPr>
          <w:p w14:paraId="35E08903" w14:textId="77777777" w:rsidR="00824644" w:rsidRPr="00AE179A" w:rsidRDefault="00824644" w:rsidP="00B9098D">
            <w:pPr>
              <w:rPr>
                <w:color w:val="000000"/>
              </w:rPr>
            </w:pPr>
            <w:r w:rsidRPr="00AE179A">
              <w:rPr>
                <w:color w:val="000000"/>
              </w:rPr>
              <w:t>1.51</w:t>
            </w:r>
          </w:p>
        </w:tc>
      </w:tr>
      <w:tr w:rsidR="00824644" w14:paraId="24F240FD" w14:textId="77777777" w:rsidTr="00983C19">
        <w:trPr>
          <w:trHeight w:hRule="exact" w:val="567"/>
        </w:trPr>
        <w:tc>
          <w:tcPr>
            <w:tcW w:w="2127" w:type="dxa"/>
            <w:shd w:val="clear" w:color="auto" w:fill="auto"/>
            <w:noWrap/>
            <w:tcMar>
              <w:top w:w="15" w:type="dxa"/>
              <w:left w:w="15" w:type="dxa"/>
              <w:bottom w:w="0" w:type="dxa"/>
              <w:right w:w="15" w:type="dxa"/>
            </w:tcMar>
            <w:hideMark/>
          </w:tcPr>
          <w:p w14:paraId="3327D8D7" w14:textId="77777777" w:rsidR="00824644" w:rsidRPr="00AE179A" w:rsidRDefault="00824644" w:rsidP="00B9098D">
            <w:pPr>
              <w:rPr>
                <w:color w:val="000000"/>
              </w:rPr>
            </w:pPr>
            <w:r w:rsidRPr="00AE179A">
              <w:rPr>
                <w:color w:val="000000"/>
              </w:rPr>
              <w:t xml:space="preserve">5 </w:t>
            </w:r>
            <w:r>
              <w:rPr>
                <w:color w:val="000000"/>
              </w:rPr>
              <w:t>–</w:t>
            </w:r>
            <w:r w:rsidRPr="00AE179A">
              <w:rPr>
                <w:color w:val="000000"/>
              </w:rPr>
              <w:t xml:space="preserve"> 7</w:t>
            </w:r>
          </w:p>
        </w:tc>
        <w:tc>
          <w:tcPr>
            <w:tcW w:w="1551" w:type="dxa"/>
          </w:tcPr>
          <w:p w14:paraId="1AB674F8" w14:textId="77777777" w:rsidR="00824644" w:rsidRPr="00AE179A" w:rsidRDefault="00824644" w:rsidP="00B9098D">
            <w:pPr>
              <w:rPr>
                <w:color w:val="000000"/>
              </w:rPr>
            </w:pPr>
            <w:r>
              <w:rPr>
                <w:color w:val="000000"/>
              </w:rPr>
              <w:t>3</w:t>
            </w:r>
          </w:p>
        </w:tc>
        <w:tc>
          <w:tcPr>
            <w:tcW w:w="1559" w:type="dxa"/>
            <w:shd w:val="clear" w:color="auto" w:fill="auto"/>
            <w:noWrap/>
            <w:tcMar>
              <w:top w:w="15" w:type="dxa"/>
              <w:left w:w="15" w:type="dxa"/>
              <w:bottom w:w="0" w:type="dxa"/>
              <w:right w:w="15" w:type="dxa"/>
            </w:tcMar>
            <w:hideMark/>
          </w:tcPr>
          <w:p w14:paraId="64B215CC" w14:textId="77777777" w:rsidR="00824644" w:rsidRPr="00AE179A" w:rsidRDefault="00824644" w:rsidP="00B9098D">
            <w:pPr>
              <w:rPr>
                <w:color w:val="000000"/>
              </w:rPr>
            </w:pPr>
            <w:r w:rsidRPr="00AE179A">
              <w:rPr>
                <w:color w:val="000000"/>
              </w:rPr>
              <w:t>1.34</w:t>
            </w:r>
          </w:p>
        </w:tc>
        <w:tc>
          <w:tcPr>
            <w:tcW w:w="1560" w:type="dxa"/>
            <w:shd w:val="clear" w:color="auto" w:fill="auto"/>
            <w:noWrap/>
            <w:tcMar>
              <w:top w:w="15" w:type="dxa"/>
              <w:left w:w="15" w:type="dxa"/>
              <w:bottom w:w="0" w:type="dxa"/>
              <w:right w:w="15" w:type="dxa"/>
            </w:tcMar>
            <w:hideMark/>
          </w:tcPr>
          <w:p w14:paraId="1EFB2CCC" w14:textId="77777777" w:rsidR="00824644" w:rsidRPr="00AE179A" w:rsidRDefault="00824644" w:rsidP="00B9098D">
            <w:pPr>
              <w:rPr>
                <w:color w:val="000000"/>
              </w:rPr>
            </w:pPr>
            <w:r w:rsidRPr="00AE179A">
              <w:rPr>
                <w:color w:val="000000"/>
              </w:rPr>
              <w:t>1.42</w:t>
            </w:r>
          </w:p>
        </w:tc>
      </w:tr>
      <w:tr w:rsidR="00824644" w14:paraId="4ED52783" w14:textId="77777777" w:rsidTr="00983C19">
        <w:trPr>
          <w:trHeight w:hRule="exact" w:val="567"/>
        </w:trPr>
        <w:tc>
          <w:tcPr>
            <w:tcW w:w="2127" w:type="dxa"/>
            <w:shd w:val="clear" w:color="auto" w:fill="auto"/>
            <w:noWrap/>
            <w:tcMar>
              <w:top w:w="15" w:type="dxa"/>
              <w:left w:w="15" w:type="dxa"/>
              <w:bottom w:w="0" w:type="dxa"/>
              <w:right w:w="15" w:type="dxa"/>
            </w:tcMar>
            <w:hideMark/>
          </w:tcPr>
          <w:p w14:paraId="7CB3EA32" w14:textId="77777777" w:rsidR="00824644" w:rsidRPr="00AE179A" w:rsidRDefault="00824644" w:rsidP="00B9098D">
            <w:pPr>
              <w:rPr>
                <w:color w:val="000000"/>
              </w:rPr>
            </w:pPr>
            <w:r w:rsidRPr="00AE179A">
              <w:rPr>
                <w:color w:val="000000"/>
              </w:rPr>
              <w:t xml:space="preserve">6 </w:t>
            </w:r>
            <w:r>
              <w:rPr>
                <w:color w:val="000000"/>
              </w:rPr>
              <w:t>–</w:t>
            </w:r>
            <w:r w:rsidRPr="00AE179A">
              <w:rPr>
                <w:color w:val="000000"/>
              </w:rPr>
              <w:t xml:space="preserve"> 8</w:t>
            </w:r>
          </w:p>
        </w:tc>
        <w:tc>
          <w:tcPr>
            <w:tcW w:w="1551" w:type="dxa"/>
          </w:tcPr>
          <w:p w14:paraId="1D2C7A86" w14:textId="77777777" w:rsidR="00824644" w:rsidRPr="00AE179A" w:rsidRDefault="00824644" w:rsidP="00B9098D">
            <w:pPr>
              <w:rPr>
                <w:color w:val="000000"/>
              </w:rPr>
            </w:pPr>
            <w:r>
              <w:rPr>
                <w:color w:val="000000"/>
              </w:rPr>
              <w:t>3</w:t>
            </w:r>
          </w:p>
        </w:tc>
        <w:tc>
          <w:tcPr>
            <w:tcW w:w="1559" w:type="dxa"/>
            <w:shd w:val="clear" w:color="auto" w:fill="auto"/>
            <w:noWrap/>
            <w:tcMar>
              <w:top w:w="15" w:type="dxa"/>
              <w:left w:w="15" w:type="dxa"/>
              <w:bottom w:w="0" w:type="dxa"/>
              <w:right w:w="15" w:type="dxa"/>
            </w:tcMar>
            <w:hideMark/>
          </w:tcPr>
          <w:p w14:paraId="4E6531FB" w14:textId="77777777" w:rsidR="00824644" w:rsidRPr="00AE179A" w:rsidRDefault="00824644" w:rsidP="00B9098D">
            <w:pPr>
              <w:rPr>
                <w:color w:val="000000"/>
              </w:rPr>
            </w:pPr>
            <w:r w:rsidRPr="00AE179A">
              <w:rPr>
                <w:color w:val="000000"/>
              </w:rPr>
              <w:t>1.31</w:t>
            </w:r>
          </w:p>
        </w:tc>
        <w:tc>
          <w:tcPr>
            <w:tcW w:w="1560" w:type="dxa"/>
            <w:shd w:val="clear" w:color="auto" w:fill="auto"/>
            <w:noWrap/>
            <w:tcMar>
              <w:top w:w="15" w:type="dxa"/>
              <w:left w:w="15" w:type="dxa"/>
              <w:bottom w:w="0" w:type="dxa"/>
              <w:right w:w="15" w:type="dxa"/>
            </w:tcMar>
            <w:hideMark/>
          </w:tcPr>
          <w:p w14:paraId="1B3B5914" w14:textId="77777777" w:rsidR="00824644" w:rsidRPr="00AE179A" w:rsidRDefault="00824644" w:rsidP="00B9098D">
            <w:pPr>
              <w:rPr>
                <w:color w:val="000000"/>
              </w:rPr>
            </w:pPr>
            <w:r w:rsidRPr="00AE179A">
              <w:rPr>
                <w:color w:val="000000"/>
              </w:rPr>
              <w:t>1.28</w:t>
            </w:r>
          </w:p>
        </w:tc>
      </w:tr>
      <w:tr w:rsidR="00824644" w14:paraId="34C6783C" w14:textId="77777777" w:rsidTr="00983C19">
        <w:trPr>
          <w:trHeight w:hRule="exact" w:val="567"/>
        </w:trPr>
        <w:tc>
          <w:tcPr>
            <w:tcW w:w="2127" w:type="dxa"/>
            <w:shd w:val="clear" w:color="auto" w:fill="auto"/>
            <w:noWrap/>
            <w:tcMar>
              <w:top w:w="15" w:type="dxa"/>
              <w:left w:w="15" w:type="dxa"/>
              <w:bottom w:w="0" w:type="dxa"/>
              <w:right w:w="15" w:type="dxa"/>
            </w:tcMar>
            <w:hideMark/>
          </w:tcPr>
          <w:p w14:paraId="62599EDC" w14:textId="77777777" w:rsidR="00824644" w:rsidRPr="00AE179A" w:rsidRDefault="00824644" w:rsidP="00B9098D">
            <w:pPr>
              <w:rPr>
                <w:color w:val="000000"/>
              </w:rPr>
            </w:pPr>
            <w:r w:rsidRPr="00AE179A">
              <w:rPr>
                <w:color w:val="000000"/>
              </w:rPr>
              <w:t xml:space="preserve">7 </w:t>
            </w:r>
            <w:r>
              <w:rPr>
                <w:color w:val="000000"/>
              </w:rPr>
              <w:t>–</w:t>
            </w:r>
            <w:r w:rsidRPr="00AE179A">
              <w:rPr>
                <w:color w:val="000000"/>
              </w:rPr>
              <w:t xml:space="preserve"> 9</w:t>
            </w:r>
          </w:p>
        </w:tc>
        <w:tc>
          <w:tcPr>
            <w:tcW w:w="1551" w:type="dxa"/>
          </w:tcPr>
          <w:p w14:paraId="233048B2" w14:textId="77777777" w:rsidR="00824644" w:rsidRPr="00AE179A" w:rsidRDefault="00824644" w:rsidP="00B9098D">
            <w:pPr>
              <w:rPr>
                <w:color w:val="000000"/>
              </w:rPr>
            </w:pPr>
            <w:r>
              <w:rPr>
                <w:color w:val="000000"/>
              </w:rPr>
              <w:t>3</w:t>
            </w:r>
          </w:p>
        </w:tc>
        <w:tc>
          <w:tcPr>
            <w:tcW w:w="1559" w:type="dxa"/>
            <w:shd w:val="clear" w:color="auto" w:fill="auto"/>
            <w:noWrap/>
            <w:tcMar>
              <w:top w:w="15" w:type="dxa"/>
              <w:left w:w="15" w:type="dxa"/>
              <w:bottom w:w="0" w:type="dxa"/>
              <w:right w:w="15" w:type="dxa"/>
            </w:tcMar>
            <w:hideMark/>
          </w:tcPr>
          <w:p w14:paraId="0E61A84A" w14:textId="77777777" w:rsidR="00824644" w:rsidRPr="00AE179A" w:rsidRDefault="00824644" w:rsidP="00B9098D">
            <w:pPr>
              <w:rPr>
                <w:color w:val="000000"/>
              </w:rPr>
            </w:pPr>
            <w:r w:rsidRPr="00AE179A">
              <w:rPr>
                <w:color w:val="000000"/>
              </w:rPr>
              <w:t>1.18</w:t>
            </w:r>
          </w:p>
        </w:tc>
        <w:tc>
          <w:tcPr>
            <w:tcW w:w="1560" w:type="dxa"/>
            <w:shd w:val="clear" w:color="auto" w:fill="auto"/>
            <w:noWrap/>
            <w:tcMar>
              <w:top w:w="15" w:type="dxa"/>
              <w:left w:w="15" w:type="dxa"/>
              <w:bottom w:w="0" w:type="dxa"/>
              <w:right w:w="15" w:type="dxa"/>
            </w:tcMar>
            <w:hideMark/>
          </w:tcPr>
          <w:p w14:paraId="5381C745" w14:textId="77777777" w:rsidR="00824644" w:rsidRPr="00AE179A" w:rsidRDefault="00824644" w:rsidP="00B9098D">
            <w:pPr>
              <w:rPr>
                <w:color w:val="000000"/>
              </w:rPr>
            </w:pPr>
            <w:r w:rsidRPr="00AE179A">
              <w:rPr>
                <w:color w:val="000000"/>
              </w:rPr>
              <w:t>1.20</w:t>
            </w:r>
          </w:p>
        </w:tc>
      </w:tr>
      <w:tr w:rsidR="00824644" w14:paraId="40383C5F" w14:textId="77777777" w:rsidTr="00983C19">
        <w:trPr>
          <w:trHeight w:hRule="exact" w:val="567"/>
        </w:trPr>
        <w:tc>
          <w:tcPr>
            <w:tcW w:w="2127" w:type="dxa"/>
            <w:shd w:val="clear" w:color="auto" w:fill="auto"/>
            <w:noWrap/>
            <w:tcMar>
              <w:top w:w="15" w:type="dxa"/>
              <w:left w:w="15" w:type="dxa"/>
              <w:bottom w:w="0" w:type="dxa"/>
              <w:right w:w="15" w:type="dxa"/>
            </w:tcMar>
            <w:hideMark/>
          </w:tcPr>
          <w:p w14:paraId="3CFF6B4A" w14:textId="77777777" w:rsidR="00824644" w:rsidRPr="00AE179A" w:rsidRDefault="00824644" w:rsidP="00B9098D">
            <w:pPr>
              <w:rPr>
                <w:color w:val="000000"/>
              </w:rPr>
            </w:pPr>
            <w:r w:rsidRPr="00AE179A">
              <w:rPr>
                <w:color w:val="000000"/>
              </w:rPr>
              <w:t xml:space="preserve">8 </w:t>
            </w:r>
            <w:r>
              <w:rPr>
                <w:color w:val="000000"/>
              </w:rPr>
              <w:t>–</w:t>
            </w:r>
            <w:r w:rsidRPr="00AE179A">
              <w:rPr>
                <w:color w:val="000000"/>
              </w:rPr>
              <w:t xml:space="preserve"> 10</w:t>
            </w:r>
          </w:p>
        </w:tc>
        <w:tc>
          <w:tcPr>
            <w:tcW w:w="1551" w:type="dxa"/>
          </w:tcPr>
          <w:p w14:paraId="2DC3D964" w14:textId="77777777" w:rsidR="00824644" w:rsidRPr="00AE179A" w:rsidRDefault="00824644" w:rsidP="00B9098D">
            <w:pPr>
              <w:rPr>
                <w:color w:val="000000"/>
              </w:rPr>
            </w:pPr>
            <w:r>
              <w:rPr>
                <w:color w:val="000000"/>
              </w:rPr>
              <w:t>3</w:t>
            </w:r>
          </w:p>
        </w:tc>
        <w:tc>
          <w:tcPr>
            <w:tcW w:w="1559" w:type="dxa"/>
            <w:shd w:val="clear" w:color="auto" w:fill="auto"/>
            <w:noWrap/>
            <w:tcMar>
              <w:top w:w="15" w:type="dxa"/>
              <w:left w:w="15" w:type="dxa"/>
              <w:bottom w:w="0" w:type="dxa"/>
              <w:right w:w="15" w:type="dxa"/>
            </w:tcMar>
            <w:hideMark/>
          </w:tcPr>
          <w:p w14:paraId="4D778D32" w14:textId="77777777" w:rsidR="00824644" w:rsidRPr="00AE179A" w:rsidRDefault="00824644" w:rsidP="00B9098D">
            <w:pPr>
              <w:rPr>
                <w:color w:val="000000"/>
              </w:rPr>
            </w:pPr>
            <w:r w:rsidRPr="00AE179A">
              <w:rPr>
                <w:color w:val="000000"/>
              </w:rPr>
              <w:t>1.10</w:t>
            </w:r>
          </w:p>
        </w:tc>
        <w:tc>
          <w:tcPr>
            <w:tcW w:w="1560" w:type="dxa"/>
            <w:shd w:val="clear" w:color="auto" w:fill="auto"/>
            <w:noWrap/>
            <w:tcMar>
              <w:top w:w="15" w:type="dxa"/>
              <w:left w:w="15" w:type="dxa"/>
              <w:bottom w:w="0" w:type="dxa"/>
              <w:right w:w="15" w:type="dxa"/>
            </w:tcMar>
            <w:hideMark/>
          </w:tcPr>
          <w:p w14:paraId="7E709605" w14:textId="77777777" w:rsidR="00824644" w:rsidRPr="00AE179A" w:rsidRDefault="00824644" w:rsidP="00B9098D">
            <w:pPr>
              <w:rPr>
                <w:color w:val="000000"/>
              </w:rPr>
            </w:pPr>
            <w:r w:rsidRPr="00AE179A">
              <w:rPr>
                <w:color w:val="000000"/>
              </w:rPr>
              <w:t>1.08</w:t>
            </w:r>
          </w:p>
        </w:tc>
      </w:tr>
      <w:tr w:rsidR="00824644" w14:paraId="5936230F" w14:textId="77777777" w:rsidTr="00983C19">
        <w:trPr>
          <w:trHeight w:hRule="exact" w:val="567"/>
        </w:trPr>
        <w:tc>
          <w:tcPr>
            <w:tcW w:w="2127" w:type="dxa"/>
            <w:shd w:val="clear" w:color="auto" w:fill="auto"/>
            <w:noWrap/>
            <w:tcMar>
              <w:top w:w="15" w:type="dxa"/>
              <w:left w:w="15" w:type="dxa"/>
              <w:bottom w:w="0" w:type="dxa"/>
              <w:right w:w="15" w:type="dxa"/>
            </w:tcMar>
            <w:hideMark/>
          </w:tcPr>
          <w:p w14:paraId="4870DA68" w14:textId="77777777" w:rsidR="00824644" w:rsidRPr="00AE179A" w:rsidRDefault="00824644" w:rsidP="00B9098D">
            <w:pPr>
              <w:rPr>
                <w:color w:val="000000"/>
              </w:rPr>
            </w:pPr>
            <w:r w:rsidRPr="00AE179A">
              <w:rPr>
                <w:color w:val="000000"/>
              </w:rPr>
              <w:t xml:space="preserve">1 </w:t>
            </w:r>
            <w:r>
              <w:rPr>
                <w:color w:val="000000"/>
              </w:rPr>
              <w:t>–</w:t>
            </w:r>
            <w:r w:rsidRPr="00AE179A">
              <w:rPr>
                <w:color w:val="000000"/>
              </w:rPr>
              <w:t xml:space="preserve"> 5</w:t>
            </w:r>
          </w:p>
        </w:tc>
        <w:tc>
          <w:tcPr>
            <w:tcW w:w="1551" w:type="dxa"/>
          </w:tcPr>
          <w:p w14:paraId="2C77B614" w14:textId="77777777" w:rsidR="00824644" w:rsidRPr="00AE179A" w:rsidRDefault="00824644" w:rsidP="00B9098D">
            <w:pPr>
              <w:rPr>
                <w:color w:val="000000"/>
              </w:rPr>
            </w:pPr>
            <w:r>
              <w:rPr>
                <w:color w:val="000000"/>
              </w:rPr>
              <w:t>5</w:t>
            </w:r>
          </w:p>
        </w:tc>
        <w:tc>
          <w:tcPr>
            <w:tcW w:w="1559" w:type="dxa"/>
            <w:shd w:val="clear" w:color="auto" w:fill="auto"/>
            <w:noWrap/>
            <w:tcMar>
              <w:top w:w="15" w:type="dxa"/>
              <w:left w:w="15" w:type="dxa"/>
              <w:bottom w:w="0" w:type="dxa"/>
              <w:right w:w="15" w:type="dxa"/>
            </w:tcMar>
            <w:hideMark/>
          </w:tcPr>
          <w:p w14:paraId="0790DF22" w14:textId="77777777" w:rsidR="00824644" w:rsidRPr="00AE179A" w:rsidRDefault="00824644" w:rsidP="00B9098D">
            <w:pPr>
              <w:rPr>
                <w:color w:val="000000"/>
              </w:rPr>
            </w:pPr>
            <w:r w:rsidRPr="00AE179A">
              <w:rPr>
                <w:color w:val="000000"/>
              </w:rPr>
              <w:t>1.73</w:t>
            </w:r>
          </w:p>
        </w:tc>
        <w:tc>
          <w:tcPr>
            <w:tcW w:w="1560" w:type="dxa"/>
            <w:shd w:val="clear" w:color="auto" w:fill="auto"/>
            <w:noWrap/>
            <w:tcMar>
              <w:top w:w="15" w:type="dxa"/>
              <w:left w:w="15" w:type="dxa"/>
              <w:bottom w:w="0" w:type="dxa"/>
              <w:right w:w="15" w:type="dxa"/>
            </w:tcMar>
            <w:hideMark/>
          </w:tcPr>
          <w:p w14:paraId="5BCCC1DD" w14:textId="77777777" w:rsidR="00824644" w:rsidRPr="00AE179A" w:rsidRDefault="00824644" w:rsidP="00B9098D">
            <w:pPr>
              <w:rPr>
                <w:color w:val="000000"/>
              </w:rPr>
            </w:pPr>
            <w:r w:rsidRPr="00AE179A">
              <w:rPr>
                <w:color w:val="000000"/>
              </w:rPr>
              <w:t>1.78</w:t>
            </w:r>
          </w:p>
        </w:tc>
      </w:tr>
      <w:tr w:rsidR="00824644" w14:paraId="41FDA03A" w14:textId="77777777" w:rsidTr="00983C19">
        <w:trPr>
          <w:trHeight w:hRule="exact" w:val="567"/>
        </w:trPr>
        <w:tc>
          <w:tcPr>
            <w:tcW w:w="2127" w:type="dxa"/>
            <w:shd w:val="clear" w:color="auto" w:fill="auto"/>
            <w:noWrap/>
            <w:tcMar>
              <w:top w:w="15" w:type="dxa"/>
              <w:left w:w="15" w:type="dxa"/>
              <w:bottom w:w="0" w:type="dxa"/>
              <w:right w:w="15" w:type="dxa"/>
            </w:tcMar>
            <w:hideMark/>
          </w:tcPr>
          <w:p w14:paraId="0CEBE63F" w14:textId="77777777" w:rsidR="00824644" w:rsidRPr="00AE179A" w:rsidRDefault="00824644" w:rsidP="00B9098D">
            <w:pPr>
              <w:rPr>
                <w:color w:val="000000"/>
              </w:rPr>
            </w:pPr>
            <w:r w:rsidRPr="00AE179A">
              <w:rPr>
                <w:color w:val="000000"/>
              </w:rPr>
              <w:t xml:space="preserve">2 </w:t>
            </w:r>
            <w:r>
              <w:rPr>
                <w:color w:val="000000"/>
              </w:rPr>
              <w:t>–</w:t>
            </w:r>
            <w:r w:rsidRPr="00AE179A">
              <w:rPr>
                <w:color w:val="000000"/>
              </w:rPr>
              <w:t xml:space="preserve"> 6</w:t>
            </w:r>
          </w:p>
        </w:tc>
        <w:tc>
          <w:tcPr>
            <w:tcW w:w="1551" w:type="dxa"/>
          </w:tcPr>
          <w:p w14:paraId="50ECB2A9" w14:textId="77777777" w:rsidR="00824644" w:rsidRPr="00AE179A" w:rsidRDefault="00824644" w:rsidP="00B9098D">
            <w:pPr>
              <w:rPr>
                <w:color w:val="000000"/>
              </w:rPr>
            </w:pPr>
            <w:r>
              <w:rPr>
                <w:color w:val="000000"/>
              </w:rPr>
              <w:t>5</w:t>
            </w:r>
          </w:p>
        </w:tc>
        <w:tc>
          <w:tcPr>
            <w:tcW w:w="1559" w:type="dxa"/>
            <w:shd w:val="clear" w:color="auto" w:fill="auto"/>
            <w:noWrap/>
            <w:tcMar>
              <w:top w:w="15" w:type="dxa"/>
              <w:left w:w="15" w:type="dxa"/>
              <w:bottom w:w="0" w:type="dxa"/>
              <w:right w:w="15" w:type="dxa"/>
            </w:tcMar>
            <w:hideMark/>
          </w:tcPr>
          <w:p w14:paraId="238EEAF1" w14:textId="77777777" w:rsidR="00824644" w:rsidRPr="00AE179A" w:rsidRDefault="00824644" w:rsidP="00B9098D">
            <w:pPr>
              <w:rPr>
                <w:color w:val="000000"/>
              </w:rPr>
            </w:pPr>
            <w:r w:rsidRPr="00AE179A">
              <w:rPr>
                <w:color w:val="000000"/>
              </w:rPr>
              <w:t>1.58</w:t>
            </w:r>
          </w:p>
        </w:tc>
        <w:tc>
          <w:tcPr>
            <w:tcW w:w="1560" w:type="dxa"/>
            <w:shd w:val="clear" w:color="auto" w:fill="auto"/>
            <w:noWrap/>
            <w:tcMar>
              <w:top w:w="15" w:type="dxa"/>
              <w:left w:w="15" w:type="dxa"/>
              <w:bottom w:w="0" w:type="dxa"/>
              <w:right w:w="15" w:type="dxa"/>
            </w:tcMar>
            <w:hideMark/>
          </w:tcPr>
          <w:p w14:paraId="3CD7E875" w14:textId="77777777" w:rsidR="00824644" w:rsidRPr="00AE179A" w:rsidRDefault="00824644" w:rsidP="00B9098D">
            <w:pPr>
              <w:rPr>
                <w:color w:val="000000"/>
              </w:rPr>
            </w:pPr>
            <w:r w:rsidRPr="00AE179A">
              <w:rPr>
                <w:color w:val="000000"/>
              </w:rPr>
              <w:t>1.64</w:t>
            </w:r>
          </w:p>
        </w:tc>
      </w:tr>
      <w:tr w:rsidR="00824644" w14:paraId="302E001B" w14:textId="77777777" w:rsidTr="00983C19">
        <w:trPr>
          <w:trHeight w:hRule="exact" w:val="567"/>
        </w:trPr>
        <w:tc>
          <w:tcPr>
            <w:tcW w:w="2127" w:type="dxa"/>
            <w:shd w:val="clear" w:color="auto" w:fill="auto"/>
            <w:noWrap/>
            <w:tcMar>
              <w:top w:w="15" w:type="dxa"/>
              <w:left w:w="15" w:type="dxa"/>
              <w:bottom w:w="0" w:type="dxa"/>
              <w:right w:w="15" w:type="dxa"/>
            </w:tcMar>
            <w:hideMark/>
          </w:tcPr>
          <w:p w14:paraId="39F8B51A" w14:textId="77777777" w:rsidR="00824644" w:rsidRPr="00AE179A" w:rsidRDefault="00824644" w:rsidP="00B9098D">
            <w:pPr>
              <w:rPr>
                <w:color w:val="000000"/>
              </w:rPr>
            </w:pPr>
            <w:r w:rsidRPr="00AE179A">
              <w:rPr>
                <w:color w:val="000000"/>
              </w:rPr>
              <w:t xml:space="preserve">3 </w:t>
            </w:r>
            <w:r>
              <w:rPr>
                <w:color w:val="000000"/>
              </w:rPr>
              <w:t>–</w:t>
            </w:r>
            <w:r w:rsidRPr="00AE179A">
              <w:rPr>
                <w:color w:val="000000"/>
              </w:rPr>
              <w:t xml:space="preserve"> 7</w:t>
            </w:r>
          </w:p>
        </w:tc>
        <w:tc>
          <w:tcPr>
            <w:tcW w:w="1551" w:type="dxa"/>
          </w:tcPr>
          <w:p w14:paraId="15486CBB" w14:textId="77777777" w:rsidR="00824644" w:rsidRPr="00AE179A" w:rsidRDefault="00824644" w:rsidP="00B9098D">
            <w:pPr>
              <w:rPr>
                <w:color w:val="000000"/>
              </w:rPr>
            </w:pPr>
            <w:r>
              <w:rPr>
                <w:color w:val="000000"/>
              </w:rPr>
              <w:t>5</w:t>
            </w:r>
          </w:p>
        </w:tc>
        <w:tc>
          <w:tcPr>
            <w:tcW w:w="1559" w:type="dxa"/>
            <w:shd w:val="clear" w:color="auto" w:fill="auto"/>
            <w:noWrap/>
            <w:tcMar>
              <w:top w:w="15" w:type="dxa"/>
              <w:left w:w="15" w:type="dxa"/>
              <w:bottom w:w="0" w:type="dxa"/>
              <w:right w:w="15" w:type="dxa"/>
            </w:tcMar>
            <w:hideMark/>
          </w:tcPr>
          <w:p w14:paraId="168003F3" w14:textId="77777777" w:rsidR="00824644" w:rsidRPr="00AE179A" w:rsidRDefault="00824644" w:rsidP="00B9098D">
            <w:pPr>
              <w:rPr>
                <w:color w:val="000000"/>
              </w:rPr>
            </w:pPr>
            <w:r w:rsidRPr="00AE179A">
              <w:rPr>
                <w:color w:val="000000"/>
              </w:rPr>
              <w:t>1.61</w:t>
            </w:r>
          </w:p>
        </w:tc>
        <w:tc>
          <w:tcPr>
            <w:tcW w:w="1560" w:type="dxa"/>
            <w:shd w:val="clear" w:color="auto" w:fill="auto"/>
            <w:noWrap/>
            <w:tcMar>
              <w:top w:w="15" w:type="dxa"/>
              <w:left w:w="15" w:type="dxa"/>
              <w:bottom w:w="0" w:type="dxa"/>
              <w:right w:w="15" w:type="dxa"/>
            </w:tcMar>
            <w:hideMark/>
          </w:tcPr>
          <w:p w14:paraId="482435BA" w14:textId="77777777" w:rsidR="00824644" w:rsidRPr="00AE179A" w:rsidRDefault="00824644" w:rsidP="00B9098D">
            <w:pPr>
              <w:rPr>
                <w:color w:val="000000"/>
              </w:rPr>
            </w:pPr>
            <w:r w:rsidRPr="00AE179A">
              <w:rPr>
                <w:color w:val="000000"/>
              </w:rPr>
              <w:t>1.52</w:t>
            </w:r>
          </w:p>
        </w:tc>
      </w:tr>
      <w:tr w:rsidR="00824644" w14:paraId="04D22AFF" w14:textId="77777777" w:rsidTr="00983C19">
        <w:trPr>
          <w:trHeight w:hRule="exact" w:val="567"/>
        </w:trPr>
        <w:tc>
          <w:tcPr>
            <w:tcW w:w="2127" w:type="dxa"/>
            <w:shd w:val="clear" w:color="auto" w:fill="auto"/>
            <w:noWrap/>
            <w:tcMar>
              <w:top w:w="15" w:type="dxa"/>
              <w:left w:w="15" w:type="dxa"/>
              <w:bottom w:w="0" w:type="dxa"/>
              <w:right w:w="15" w:type="dxa"/>
            </w:tcMar>
            <w:hideMark/>
          </w:tcPr>
          <w:p w14:paraId="6FC6D5FC" w14:textId="77777777" w:rsidR="00824644" w:rsidRPr="00AE179A" w:rsidRDefault="00824644" w:rsidP="00B9098D">
            <w:pPr>
              <w:rPr>
                <w:color w:val="000000"/>
              </w:rPr>
            </w:pPr>
            <w:r w:rsidRPr="00AE179A">
              <w:rPr>
                <w:color w:val="000000"/>
              </w:rPr>
              <w:t xml:space="preserve">4 </w:t>
            </w:r>
            <w:r>
              <w:rPr>
                <w:color w:val="000000"/>
              </w:rPr>
              <w:t>–</w:t>
            </w:r>
            <w:r w:rsidRPr="00AE179A">
              <w:rPr>
                <w:color w:val="000000"/>
              </w:rPr>
              <w:t xml:space="preserve"> 8</w:t>
            </w:r>
          </w:p>
        </w:tc>
        <w:tc>
          <w:tcPr>
            <w:tcW w:w="1551" w:type="dxa"/>
          </w:tcPr>
          <w:p w14:paraId="3A0C1E02" w14:textId="77777777" w:rsidR="00824644" w:rsidRPr="00AE179A" w:rsidRDefault="00824644" w:rsidP="00B9098D">
            <w:pPr>
              <w:rPr>
                <w:color w:val="000000"/>
              </w:rPr>
            </w:pPr>
            <w:r>
              <w:rPr>
                <w:color w:val="000000"/>
              </w:rPr>
              <w:t>5</w:t>
            </w:r>
          </w:p>
        </w:tc>
        <w:tc>
          <w:tcPr>
            <w:tcW w:w="1559" w:type="dxa"/>
            <w:shd w:val="clear" w:color="auto" w:fill="auto"/>
            <w:noWrap/>
            <w:tcMar>
              <w:top w:w="15" w:type="dxa"/>
              <w:left w:w="15" w:type="dxa"/>
              <w:bottom w:w="0" w:type="dxa"/>
              <w:right w:w="15" w:type="dxa"/>
            </w:tcMar>
            <w:hideMark/>
          </w:tcPr>
          <w:p w14:paraId="7DE7F722" w14:textId="77777777" w:rsidR="00824644" w:rsidRPr="00AE179A" w:rsidRDefault="00824644" w:rsidP="00B9098D">
            <w:pPr>
              <w:rPr>
                <w:color w:val="000000"/>
              </w:rPr>
            </w:pPr>
            <w:r w:rsidRPr="00AE179A">
              <w:rPr>
                <w:color w:val="000000"/>
              </w:rPr>
              <w:t>1.34</w:t>
            </w:r>
          </w:p>
        </w:tc>
        <w:tc>
          <w:tcPr>
            <w:tcW w:w="1560" w:type="dxa"/>
            <w:shd w:val="clear" w:color="auto" w:fill="auto"/>
            <w:noWrap/>
            <w:tcMar>
              <w:top w:w="15" w:type="dxa"/>
              <w:left w:w="15" w:type="dxa"/>
              <w:bottom w:w="0" w:type="dxa"/>
              <w:right w:w="15" w:type="dxa"/>
            </w:tcMar>
            <w:hideMark/>
          </w:tcPr>
          <w:p w14:paraId="4700CD56" w14:textId="77777777" w:rsidR="00824644" w:rsidRPr="00AE179A" w:rsidRDefault="00824644" w:rsidP="00B9098D">
            <w:pPr>
              <w:rPr>
                <w:color w:val="000000"/>
              </w:rPr>
            </w:pPr>
            <w:r w:rsidRPr="00AE179A">
              <w:rPr>
                <w:color w:val="000000"/>
              </w:rPr>
              <w:t>1.40</w:t>
            </w:r>
          </w:p>
        </w:tc>
      </w:tr>
      <w:tr w:rsidR="00824644" w14:paraId="6FD6C44A" w14:textId="77777777" w:rsidTr="00983C19">
        <w:trPr>
          <w:trHeight w:hRule="exact" w:val="567"/>
        </w:trPr>
        <w:tc>
          <w:tcPr>
            <w:tcW w:w="2127" w:type="dxa"/>
            <w:shd w:val="clear" w:color="auto" w:fill="auto"/>
            <w:noWrap/>
            <w:tcMar>
              <w:top w:w="15" w:type="dxa"/>
              <w:left w:w="15" w:type="dxa"/>
              <w:bottom w:w="0" w:type="dxa"/>
              <w:right w:w="15" w:type="dxa"/>
            </w:tcMar>
            <w:hideMark/>
          </w:tcPr>
          <w:p w14:paraId="0DC82872" w14:textId="77777777" w:rsidR="00824644" w:rsidRPr="00AE179A" w:rsidRDefault="00824644" w:rsidP="00B9098D">
            <w:pPr>
              <w:rPr>
                <w:color w:val="000000"/>
              </w:rPr>
            </w:pPr>
            <w:r w:rsidRPr="00AE179A">
              <w:rPr>
                <w:color w:val="000000"/>
              </w:rPr>
              <w:t xml:space="preserve">5 </w:t>
            </w:r>
            <w:r>
              <w:rPr>
                <w:color w:val="000000"/>
              </w:rPr>
              <w:t>–</w:t>
            </w:r>
            <w:r w:rsidRPr="00AE179A">
              <w:rPr>
                <w:color w:val="000000"/>
              </w:rPr>
              <w:t xml:space="preserve"> 9</w:t>
            </w:r>
          </w:p>
        </w:tc>
        <w:tc>
          <w:tcPr>
            <w:tcW w:w="1551" w:type="dxa"/>
          </w:tcPr>
          <w:p w14:paraId="52C44C8B" w14:textId="77777777" w:rsidR="00824644" w:rsidRPr="00AE179A" w:rsidRDefault="00824644" w:rsidP="00B9098D">
            <w:pPr>
              <w:rPr>
                <w:color w:val="000000"/>
              </w:rPr>
            </w:pPr>
            <w:r>
              <w:rPr>
                <w:color w:val="000000"/>
              </w:rPr>
              <w:t>5</w:t>
            </w:r>
          </w:p>
        </w:tc>
        <w:tc>
          <w:tcPr>
            <w:tcW w:w="1559" w:type="dxa"/>
            <w:shd w:val="clear" w:color="auto" w:fill="auto"/>
            <w:noWrap/>
            <w:tcMar>
              <w:top w:w="15" w:type="dxa"/>
              <w:left w:w="15" w:type="dxa"/>
              <w:bottom w:w="0" w:type="dxa"/>
              <w:right w:w="15" w:type="dxa"/>
            </w:tcMar>
            <w:hideMark/>
          </w:tcPr>
          <w:p w14:paraId="4FB95400" w14:textId="77777777" w:rsidR="00824644" w:rsidRPr="00AE179A" w:rsidRDefault="00824644" w:rsidP="00B9098D">
            <w:pPr>
              <w:rPr>
                <w:color w:val="000000"/>
              </w:rPr>
            </w:pPr>
            <w:r w:rsidRPr="00AE179A">
              <w:rPr>
                <w:color w:val="000000"/>
              </w:rPr>
              <w:t>1.31</w:t>
            </w:r>
          </w:p>
        </w:tc>
        <w:tc>
          <w:tcPr>
            <w:tcW w:w="1560" w:type="dxa"/>
            <w:shd w:val="clear" w:color="auto" w:fill="auto"/>
            <w:noWrap/>
            <w:tcMar>
              <w:top w:w="15" w:type="dxa"/>
              <w:left w:w="15" w:type="dxa"/>
              <w:bottom w:w="0" w:type="dxa"/>
              <w:right w:w="15" w:type="dxa"/>
            </w:tcMar>
            <w:hideMark/>
          </w:tcPr>
          <w:p w14:paraId="13D8663C" w14:textId="77777777" w:rsidR="00824644" w:rsidRPr="00AE179A" w:rsidRDefault="00824644" w:rsidP="00B9098D">
            <w:pPr>
              <w:rPr>
                <w:color w:val="000000"/>
              </w:rPr>
            </w:pPr>
            <w:r w:rsidRPr="00AE179A">
              <w:rPr>
                <w:color w:val="000000"/>
              </w:rPr>
              <w:t>1.31</w:t>
            </w:r>
          </w:p>
        </w:tc>
      </w:tr>
      <w:tr w:rsidR="00824644" w14:paraId="594643BE" w14:textId="77777777" w:rsidTr="00983C19">
        <w:trPr>
          <w:trHeight w:hRule="exact" w:val="567"/>
        </w:trPr>
        <w:tc>
          <w:tcPr>
            <w:tcW w:w="2127" w:type="dxa"/>
            <w:shd w:val="clear" w:color="auto" w:fill="auto"/>
            <w:noWrap/>
            <w:tcMar>
              <w:top w:w="15" w:type="dxa"/>
              <w:left w:w="15" w:type="dxa"/>
              <w:bottom w:w="0" w:type="dxa"/>
              <w:right w:w="15" w:type="dxa"/>
            </w:tcMar>
            <w:hideMark/>
          </w:tcPr>
          <w:p w14:paraId="1D354970" w14:textId="77777777" w:rsidR="00824644" w:rsidRPr="00AE179A" w:rsidRDefault="00824644" w:rsidP="00B9098D">
            <w:pPr>
              <w:rPr>
                <w:color w:val="000000"/>
              </w:rPr>
            </w:pPr>
            <w:r w:rsidRPr="00AE179A">
              <w:rPr>
                <w:color w:val="000000"/>
              </w:rPr>
              <w:t xml:space="preserve">6 </w:t>
            </w:r>
            <w:r>
              <w:rPr>
                <w:color w:val="000000"/>
              </w:rPr>
              <w:t>–</w:t>
            </w:r>
            <w:r w:rsidRPr="00AE179A">
              <w:rPr>
                <w:color w:val="000000"/>
              </w:rPr>
              <w:t xml:space="preserve"> 10</w:t>
            </w:r>
          </w:p>
        </w:tc>
        <w:tc>
          <w:tcPr>
            <w:tcW w:w="1551" w:type="dxa"/>
          </w:tcPr>
          <w:p w14:paraId="204F1F96" w14:textId="77777777" w:rsidR="00824644" w:rsidRPr="00AE179A" w:rsidRDefault="00824644" w:rsidP="00B9098D">
            <w:pPr>
              <w:rPr>
                <w:color w:val="000000"/>
              </w:rPr>
            </w:pPr>
            <w:r>
              <w:rPr>
                <w:color w:val="000000"/>
              </w:rPr>
              <w:t>5</w:t>
            </w:r>
          </w:p>
        </w:tc>
        <w:tc>
          <w:tcPr>
            <w:tcW w:w="1559" w:type="dxa"/>
            <w:shd w:val="clear" w:color="auto" w:fill="auto"/>
            <w:noWrap/>
            <w:tcMar>
              <w:top w:w="15" w:type="dxa"/>
              <w:left w:w="15" w:type="dxa"/>
              <w:bottom w:w="0" w:type="dxa"/>
              <w:right w:w="15" w:type="dxa"/>
            </w:tcMar>
            <w:hideMark/>
          </w:tcPr>
          <w:p w14:paraId="167B856D" w14:textId="77777777" w:rsidR="00824644" w:rsidRPr="00AE179A" w:rsidRDefault="00824644" w:rsidP="00B9098D">
            <w:pPr>
              <w:rPr>
                <w:color w:val="000000"/>
              </w:rPr>
            </w:pPr>
            <w:r w:rsidRPr="00AE179A">
              <w:rPr>
                <w:color w:val="000000"/>
              </w:rPr>
              <w:t>1.18</w:t>
            </w:r>
          </w:p>
        </w:tc>
        <w:tc>
          <w:tcPr>
            <w:tcW w:w="1560" w:type="dxa"/>
            <w:shd w:val="clear" w:color="auto" w:fill="auto"/>
            <w:noWrap/>
            <w:tcMar>
              <w:top w:w="15" w:type="dxa"/>
              <w:left w:w="15" w:type="dxa"/>
              <w:bottom w:w="0" w:type="dxa"/>
              <w:right w:w="15" w:type="dxa"/>
            </w:tcMar>
            <w:hideMark/>
          </w:tcPr>
          <w:p w14:paraId="1BBA6876" w14:textId="77777777" w:rsidR="00824644" w:rsidRPr="00AE179A" w:rsidRDefault="00824644" w:rsidP="00B9098D">
            <w:pPr>
              <w:rPr>
                <w:color w:val="000000"/>
              </w:rPr>
            </w:pPr>
            <w:r w:rsidRPr="00AE179A">
              <w:rPr>
                <w:color w:val="000000"/>
              </w:rPr>
              <w:t>1.18</w:t>
            </w:r>
          </w:p>
        </w:tc>
      </w:tr>
      <w:tr w:rsidR="00824644" w14:paraId="09A461C3" w14:textId="77777777" w:rsidTr="00983C19">
        <w:trPr>
          <w:trHeight w:hRule="exact" w:val="567"/>
        </w:trPr>
        <w:tc>
          <w:tcPr>
            <w:tcW w:w="2127" w:type="dxa"/>
            <w:shd w:val="clear" w:color="auto" w:fill="auto"/>
            <w:noWrap/>
            <w:tcMar>
              <w:top w:w="15" w:type="dxa"/>
              <w:left w:w="15" w:type="dxa"/>
              <w:bottom w:w="0" w:type="dxa"/>
              <w:right w:w="15" w:type="dxa"/>
            </w:tcMar>
            <w:hideMark/>
          </w:tcPr>
          <w:p w14:paraId="77A1B7CC" w14:textId="77777777" w:rsidR="00824644" w:rsidRPr="00AE179A" w:rsidRDefault="00824644" w:rsidP="00B9098D">
            <w:pPr>
              <w:rPr>
                <w:color w:val="000000"/>
              </w:rPr>
            </w:pPr>
            <w:r w:rsidRPr="00AE179A">
              <w:rPr>
                <w:color w:val="000000"/>
              </w:rPr>
              <w:t xml:space="preserve">1 </w:t>
            </w:r>
            <w:r>
              <w:rPr>
                <w:color w:val="000000"/>
              </w:rPr>
              <w:t>–</w:t>
            </w:r>
            <w:r w:rsidRPr="00AE179A">
              <w:rPr>
                <w:color w:val="000000"/>
              </w:rPr>
              <w:t xml:space="preserve"> 7</w:t>
            </w:r>
          </w:p>
        </w:tc>
        <w:tc>
          <w:tcPr>
            <w:tcW w:w="1551" w:type="dxa"/>
          </w:tcPr>
          <w:p w14:paraId="1214FCE8" w14:textId="77777777" w:rsidR="00824644" w:rsidRPr="00AE179A" w:rsidRDefault="00824644" w:rsidP="00B9098D">
            <w:pPr>
              <w:rPr>
                <w:color w:val="000000"/>
              </w:rPr>
            </w:pPr>
            <w:r>
              <w:rPr>
                <w:color w:val="000000"/>
              </w:rPr>
              <w:t>7</w:t>
            </w:r>
          </w:p>
        </w:tc>
        <w:tc>
          <w:tcPr>
            <w:tcW w:w="1559" w:type="dxa"/>
            <w:shd w:val="clear" w:color="auto" w:fill="auto"/>
            <w:noWrap/>
            <w:tcMar>
              <w:top w:w="15" w:type="dxa"/>
              <w:left w:w="15" w:type="dxa"/>
              <w:bottom w:w="0" w:type="dxa"/>
              <w:right w:w="15" w:type="dxa"/>
            </w:tcMar>
            <w:hideMark/>
          </w:tcPr>
          <w:p w14:paraId="4A37040E" w14:textId="77777777" w:rsidR="00824644" w:rsidRPr="00AE179A" w:rsidRDefault="00824644" w:rsidP="00B9098D">
            <w:pPr>
              <w:rPr>
                <w:color w:val="000000"/>
              </w:rPr>
            </w:pPr>
            <w:r w:rsidRPr="00AE179A">
              <w:rPr>
                <w:color w:val="000000"/>
              </w:rPr>
              <w:t>1.58</w:t>
            </w:r>
          </w:p>
        </w:tc>
        <w:tc>
          <w:tcPr>
            <w:tcW w:w="1560" w:type="dxa"/>
            <w:shd w:val="clear" w:color="auto" w:fill="auto"/>
            <w:noWrap/>
            <w:tcMar>
              <w:top w:w="15" w:type="dxa"/>
              <w:left w:w="15" w:type="dxa"/>
              <w:bottom w:w="0" w:type="dxa"/>
              <w:right w:w="15" w:type="dxa"/>
            </w:tcMar>
            <w:hideMark/>
          </w:tcPr>
          <w:p w14:paraId="3BA37AA2" w14:textId="77777777" w:rsidR="00824644" w:rsidRPr="00AE179A" w:rsidRDefault="00824644" w:rsidP="00B9098D">
            <w:pPr>
              <w:rPr>
                <w:color w:val="000000"/>
              </w:rPr>
            </w:pPr>
            <w:r w:rsidRPr="00AE179A">
              <w:rPr>
                <w:color w:val="000000"/>
              </w:rPr>
              <w:t>1.65</w:t>
            </w:r>
          </w:p>
        </w:tc>
      </w:tr>
      <w:tr w:rsidR="00824644" w14:paraId="0D4AA671" w14:textId="77777777" w:rsidTr="00983C19">
        <w:trPr>
          <w:trHeight w:hRule="exact" w:val="567"/>
        </w:trPr>
        <w:tc>
          <w:tcPr>
            <w:tcW w:w="2127" w:type="dxa"/>
            <w:shd w:val="clear" w:color="auto" w:fill="auto"/>
            <w:noWrap/>
            <w:tcMar>
              <w:top w:w="15" w:type="dxa"/>
              <w:left w:w="15" w:type="dxa"/>
              <w:bottom w:w="0" w:type="dxa"/>
              <w:right w:w="15" w:type="dxa"/>
            </w:tcMar>
            <w:hideMark/>
          </w:tcPr>
          <w:p w14:paraId="02471F34" w14:textId="77777777" w:rsidR="00824644" w:rsidRPr="00AE179A" w:rsidRDefault="00824644" w:rsidP="00B9098D">
            <w:pPr>
              <w:rPr>
                <w:color w:val="000000"/>
              </w:rPr>
            </w:pPr>
            <w:r w:rsidRPr="00AE179A">
              <w:rPr>
                <w:color w:val="000000"/>
              </w:rPr>
              <w:t xml:space="preserve">2 </w:t>
            </w:r>
            <w:r>
              <w:rPr>
                <w:color w:val="000000"/>
              </w:rPr>
              <w:t>–</w:t>
            </w:r>
            <w:r w:rsidRPr="00AE179A">
              <w:rPr>
                <w:color w:val="000000"/>
              </w:rPr>
              <w:t xml:space="preserve"> 8</w:t>
            </w:r>
          </w:p>
        </w:tc>
        <w:tc>
          <w:tcPr>
            <w:tcW w:w="1551" w:type="dxa"/>
          </w:tcPr>
          <w:p w14:paraId="7D84CB8E" w14:textId="77777777" w:rsidR="00824644" w:rsidRPr="00AE179A" w:rsidRDefault="00824644" w:rsidP="00B9098D">
            <w:pPr>
              <w:rPr>
                <w:color w:val="000000"/>
              </w:rPr>
            </w:pPr>
            <w:r>
              <w:rPr>
                <w:color w:val="000000"/>
              </w:rPr>
              <w:t>7</w:t>
            </w:r>
          </w:p>
        </w:tc>
        <w:tc>
          <w:tcPr>
            <w:tcW w:w="1559" w:type="dxa"/>
            <w:shd w:val="clear" w:color="auto" w:fill="auto"/>
            <w:noWrap/>
            <w:tcMar>
              <w:top w:w="15" w:type="dxa"/>
              <w:left w:w="15" w:type="dxa"/>
              <w:bottom w:w="0" w:type="dxa"/>
              <w:right w:w="15" w:type="dxa"/>
            </w:tcMar>
            <w:hideMark/>
          </w:tcPr>
          <w:p w14:paraId="6A81F33B" w14:textId="77777777" w:rsidR="00824644" w:rsidRPr="00AE179A" w:rsidRDefault="00824644" w:rsidP="00B9098D">
            <w:pPr>
              <w:rPr>
                <w:color w:val="000000"/>
              </w:rPr>
            </w:pPr>
            <w:r w:rsidRPr="00AE179A">
              <w:rPr>
                <w:color w:val="000000"/>
              </w:rPr>
              <w:t>1.61</w:t>
            </w:r>
          </w:p>
        </w:tc>
        <w:tc>
          <w:tcPr>
            <w:tcW w:w="1560" w:type="dxa"/>
            <w:shd w:val="clear" w:color="auto" w:fill="auto"/>
            <w:noWrap/>
            <w:tcMar>
              <w:top w:w="15" w:type="dxa"/>
              <w:left w:w="15" w:type="dxa"/>
              <w:bottom w:w="0" w:type="dxa"/>
              <w:right w:w="15" w:type="dxa"/>
            </w:tcMar>
            <w:hideMark/>
          </w:tcPr>
          <w:p w14:paraId="165D1DBD" w14:textId="77777777" w:rsidR="00824644" w:rsidRPr="00AE179A" w:rsidRDefault="00824644" w:rsidP="00B9098D">
            <w:pPr>
              <w:rPr>
                <w:color w:val="000000"/>
              </w:rPr>
            </w:pPr>
            <w:r w:rsidRPr="00AE179A">
              <w:rPr>
                <w:color w:val="000000"/>
              </w:rPr>
              <w:t>1.53</w:t>
            </w:r>
          </w:p>
        </w:tc>
      </w:tr>
      <w:tr w:rsidR="00824644" w14:paraId="0D857450" w14:textId="77777777" w:rsidTr="00983C19">
        <w:trPr>
          <w:trHeight w:hRule="exact" w:val="567"/>
        </w:trPr>
        <w:tc>
          <w:tcPr>
            <w:tcW w:w="2127" w:type="dxa"/>
            <w:shd w:val="clear" w:color="auto" w:fill="auto"/>
            <w:noWrap/>
            <w:tcMar>
              <w:top w:w="15" w:type="dxa"/>
              <w:left w:w="15" w:type="dxa"/>
              <w:bottom w:w="0" w:type="dxa"/>
              <w:right w:w="15" w:type="dxa"/>
            </w:tcMar>
            <w:hideMark/>
          </w:tcPr>
          <w:p w14:paraId="03DFFB2C" w14:textId="77777777" w:rsidR="00824644" w:rsidRPr="00AE179A" w:rsidRDefault="00824644" w:rsidP="00B9098D">
            <w:pPr>
              <w:rPr>
                <w:color w:val="000000"/>
              </w:rPr>
            </w:pPr>
            <w:r w:rsidRPr="00AE179A">
              <w:rPr>
                <w:color w:val="000000"/>
              </w:rPr>
              <w:t xml:space="preserve">3 </w:t>
            </w:r>
            <w:r>
              <w:rPr>
                <w:color w:val="000000"/>
              </w:rPr>
              <w:t>–</w:t>
            </w:r>
            <w:r w:rsidRPr="00AE179A">
              <w:rPr>
                <w:color w:val="000000"/>
              </w:rPr>
              <w:t xml:space="preserve"> 9</w:t>
            </w:r>
          </w:p>
        </w:tc>
        <w:tc>
          <w:tcPr>
            <w:tcW w:w="1551" w:type="dxa"/>
          </w:tcPr>
          <w:p w14:paraId="42B36A5A" w14:textId="77777777" w:rsidR="00824644" w:rsidRPr="00AE179A" w:rsidRDefault="00824644" w:rsidP="00B9098D">
            <w:pPr>
              <w:rPr>
                <w:color w:val="000000"/>
              </w:rPr>
            </w:pPr>
            <w:r>
              <w:rPr>
                <w:color w:val="000000"/>
              </w:rPr>
              <w:t>7</w:t>
            </w:r>
          </w:p>
        </w:tc>
        <w:tc>
          <w:tcPr>
            <w:tcW w:w="1559" w:type="dxa"/>
            <w:shd w:val="clear" w:color="auto" w:fill="auto"/>
            <w:noWrap/>
            <w:tcMar>
              <w:top w:w="15" w:type="dxa"/>
              <w:left w:w="15" w:type="dxa"/>
              <w:bottom w:w="0" w:type="dxa"/>
              <w:right w:w="15" w:type="dxa"/>
            </w:tcMar>
            <w:hideMark/>
          </w:tcPr>
          <w:p w14:paraId="7803CE57" w14:textId="77777777" w:rsidR="00824644" w:rsidRPr="00AE179A" w:rsidRDefault="00824644" w:rsidP="00B9098D">
            <w:pPr>
              <w:rPr>
                <w:color w:val="000000"/>
              </w:rPr>
            </w:pPr>
            <w:r w:rsidRPr="00AE179A">
              <w:rPr>
                <w:color w:val="000000"/>
              </w:rPr>
              <w:t>1.34</w:t>
            </w:r>
          </w:p>
        </w:tc>
        <w:tc>
          <w:tcPr>
            <w:tcW w:w="1560" w:type="dxa"/>
            <w:shd w:val="clear" w:color="auto" w:fill="auto"/>
            <w:noWrap/>
            <w:tcMar>
              <w:top w:w="15" w:type="dxa"/>
              <w:left w:w="15" w:type="dxa"/>
              <w:bottom w:w="0" w:type="dxa"/>
              <w:right w:w="15" w:type="dxa"/>
            </w:tcMar>
            <w:hideMark/>
          </w:tcPr>
          <w:p w14:paraId="450FE308" w14:textId="77777777" w:rsidR="00824644" w:rsidRPr="00AE179A" w:rsidRDefault="00824644" w:rsidP="00B9098D">
            <w:pPr>
              <w:rPr>
                <w:color w:val="000000"/>
              </w:rPr>
            </w:pPr>
            <w:r w:rsidRPr="00AE179A">
              <w:rPr>
                <w:color w:val="000000"/>
              </w:rPr>
              <w:t>1.41</w:t>
            </w:r>
          </w:p>
        </w:tc>
      </w:tr>
      <w:tr w:rsidR="00824644" w14:paraId="373F5A1A" w14:textId="77777777" w:rsidTr="00983C19">
        <w:trPr>
          <w:trHeight w:hRule="exact" w:val="567"/>
        </w:trPr>
        <w:tc>
          <w:tcPr>
            <w:tcW w:w="2127" w:type="dxa"/>
            <w:shd w:val="clear" w:color="auto" w:fill="auto"/>
            <w:noWrap/>
            <w:tcMar>
              <w:top w:w="15" w:type="dxa"/>
              <w:left w:w="15" w:type="dxa"/>
              <w:bottom w:w="0" w:type="dxa"/>
              <w:right w:w="15" w:type="dxa"/>
            </w:tcMar>
            <w:hideMark/>
          </w:tcPr>
          <w:p w14:paraId="53CBE2B3" w14:textId="77777777" w:rsidR="00824644" w:rsidRPr="00AE179A" w:rsidRDefault="00824644" w:rsidP="00B9098D">
            <w:pPr>
              <w:rPr>
                <w:color w:val="000000"/>
              </w:rPr>
            </w:pPr>
            <w:r w:rsidRPr="00AE179A">
              <w:rPr>
                <w:color w:val="000000"/>
              </w:rPr>
              <w:t xml:space="preserve">4 </w:t>
            </w:r>
            <w:r>
              <w:rPr>
                <w:color w:val="000000"/>
              </w:rPr>
              <w:t>–</w:t>
            </w:r>
            <w:r w:rsidRPr="00AE179A">
              <w:rPr>
                <w:color w:val="000000"/>
              </w:rPr>
              <w:t xml:space="preserve"> 10</w:t>
            </w:r>
          </w:p>
        </w:tc>
        <w:tc>
          <w:tcPr>
            <w:tcW w:w="1551" w:type="dxa"/>
          </w:tcPr>
          <w:p w14:paraId="4FC4CB5D" w14:textId="77777777" w:rsidR="00824644" w:rsidRPr="00AE179A" w:rsidRDefault="00824644" w:rsidP="00B9098D">
            <w:pPr>
              <w:rPr>
                <w:color w:val="000000"/>
              </w:rPr>
            </w:pPr>
            <w:r>
              <w:rPr>
                <w:color w:val="000000"/>
              </w:rPr>
              <w:t>7</w:t>
            </w:r>
          </w:p>
        </w:tc>
        <w:tc>
          <w:tcPr>
            <w:tcW w:w="1559" w:type="dxa"/>
            <w:shd w:val="clear" w:color="auto" w:fill="auto"/>
            <w:noWrap/>
            <w:tcMar>
              <w:top w:w="15" w:type="dxa"/>
              <w:left w:w="15" w:type="dxa"/>
              <w:bottom w:w="0" w:type="dxa"/>
              <w:right w:w="15" w:type="dxa"/>
            </w:tcMar>
            <w:hideMark/>
          </w:tcPr>
          <w:p w14:paraId="4BBA7C8F" w14:textId="77777777" w:rsidR="00824644" w:rsidRPr="00AE179A" w:rsidRDefault="00824644" w:rsidP="00B9098D">
            <w:pPr>
              <w:rPr>
                <w:color w:val="000000"/>
              </w:rPr>
            </w:pPr>
            <w:r w:rsidRPr="00AE179A">
              <w:rPr>
                <w:color w:val="000000"/>
              </w:rPr>
              <w:t>1.31</w:t>
            </w:r>
          </w:p>
        </w:tc>
        <w:tc>
          <w:tcPr>
            <w:tcW w:w="1560" w:type="dxa"/>
            <w:shd w:val="clear" w:color="auto" w:fill="auto"/>
            <w:noWrap/>
            <w:tcMar>
              <w:top w:w="15" w:type="dxa"/>
              <w:left w:w="15" w:type="dxa"/>
              <w:bottom w:w="0" w:type="dxa"/>
              <w:right w:w="15" w:type="dxa"/>
            </w:tcMar>
            <w:hideMark/>
          </w:tcPr>
          <w:p w14:paraId="4C49689E" w14:textId="77777777" w:rsidR="00824644" w:rsidRPr="00AE179A" w:rsidRDefault="00824644" w:rsidP="00B9098D">
            <w:pPr>
              <w:rPr>
                <w:color w:val="000000"/>
              </w:rPr>
            </w:pPr>
            <w:r w:rsidRPr="00AE179A">
              <w:rPr>
                <w:color w:val="000000"/>
              </w:rPr>
              <w:t>1.30</w:t>
            </w:r>
          </w:p>
        </w:tc>
      </w:tr>
    </w:tbl>
    <w:p w14:paraId="14707615" w14:textId="77777777" w:rsidR="00824644" w:rsidRDefault="00824644" w:rsidP="00824644">
      <w:pPr>
        <w:spacing w:after="200" w:line="276" w:lineRule="auto"/>
      </w:pPr>
      <w:r>
        <w:t xml:space="preserve"> </w:t>
      </w:r>
      <w:r w:rsidRPr="006759F8">
        <w:rPr>
          <w:b/>
          <w:bCs/>
        </w:rPr>
        <w:t xml:space="preserve">Supplementary Table </w:t>
      </w:r>
      <w:r>
        <w:rPr>
          <w:b/>
          <w:bCs/>
        </w:rPr>
        <w:t>3</w:t>
      </w:r>
      <w:r>
        <w:t>. Simulation results on the midpoint approximation.</w:t>
      </w:r>
      <w:r>
        <w:br/>
        <w:t>*OR: odds ratio</w:t>
      </w:r>
    </w:p>
    <w:p w14:paraId="69D1DD31" w14:textId="0D9FC35B" w:rsidR="00824644" w:rsidRDefault="00824644" w:rsidP="00824644">
      <w:r>
        <w:lastRenderedPageBreak/>
        <w:t>The code for the simulation study is included in the appendix of the meta-analysis in the GitHub repository (</w:t>
      </w:r>
      <w:hyperlink r:id="rId14" w:history="1">
        <w:r w:rsidRPr="00EB1E0F">
          <w:rPr>
            <w:rStyle w:val="Hyperlink"/>
            <w:rFonts w:eastAsiaTheme="minorEastAsia"/>
          </w:rPr>
          <w:t>https://github.com/tyhlee/ImpactInfantAbxAsthma</w:t>
        </w:r>
      </w:hyperlink>
      <w:r>
        <w:t>).</w:t>
      </w:r>
    </w:p>
    <w:p w14:paraId="5B8B01E9" w14:textId="29A081C9" w:rsidR="00824644" w:rsidRPr="00B06B0E" w:rsidRDefault="00824644" w:rsidP="00824644">
      <w:pPr>
        <w:pStyle w:val="ListParagraph"/>
        <w:numPr>
          <w:ilvl w:val="0"/>
          <w:numId w:val="20"/>
        </w:numPr>
        <w:spacing w:before="0" w:after="0"/>
        <w:rPr>
          <w:rFonts w:eastAsiaTheme="minorEastAsia"/>
        </w:rPr>
      </w:pPr>
      <w:r>
        <w:rPr>
          <w:b/>
          <w:bCs/>
        </w:rPr>
        <w:t>Details of the meta-analysis</w:t>
      </w:r>
    </w:p>
    <w:p w14:paraId="7ED52B98" w14:textId="45162A8A" w:rsidR="00824644" w:rsidRDefault="00824644" w:rsidP="00824644">
      <w:pPr>
        <w:rPr>
          <w:rFonts w:eastAsiaTheme="minorEastAsia"/>
        </w:rPr>
      </w:pPr>
      <w:r w:rsidRPr="006C1ACA">
        <w:rPr>
          <w:b/>
          <w:bCs/>
        </w:rPr>
        <w:t>Characteristics of the included studies in the meta-analysis</w:t>
      </w:r>
    </w:p>
    <w:p w14:paraId="538A3A8C" w14:textId="596DC17F" w:rsidR="00824644" w:rsidRPr="007924D2" w:rsidRDefault="00824644" w:rsidP="00824644">
      <w:pPr>
        <w:rPr>
          <w:rFonts w:eastAsiaTheme="minorEastAsia"/>
        </w:rPr>
      </w:pPr>
      <w:r>
        <w:rPr>
          <w:rFonts w:eastAsiaTheme="minorEastAsia"/>
        </w:rPr>
        <w:t>We provide the summary of characteristics of the six included studies in the meta-analysis.</w:t>
      </w:r>
    </w:p>
    <w:tbl>
      <w:tblPr>
        <w:tblW w:w="9630" w:type="dxa"/>
        <w:tblInd w:w="137" w:type="dxa"/>
        <w:tblLook w:val="04A0" w:firstRow="1" w:lastRow="0" w:firstColumn="1" w:lastColumn="0" w:noHBand="0" w:noVBand="1"/>
      </w:tblPr>
      <w:tblGrid>
        <w:gridCol w:w="1256"/>
        <w:gridCol w:w="1091"/>
        <w:gridCol w:w="817"/>
        <w:gridCol w:w="1829"/>
        <w:gridCol w:w="1245"/>
        <w:gridCol w:w="1345"/>
        <w:gridCol w:w="977"/>
        <w:gridCol w:w="1070"/>
      </w:tblGrid>
      <w:tr w:rsidR="00824644" w:rsidRPr="007924D2" w14:paraId="1BAD4CBC" w14:textId="77777777" w:rsidTr="00CD4524">
        <w:trPr>
          <w:trHeight w:val="320"/>
        </w:trPr>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14:paraId="78F4EE43" w14:textId="77777777" w:rsidR="00824644" w:rsidRPr="00A97A5A" w:rsidRDefault="00824644" w:rsidP="00B9098D">
            <w:pPr>
              <w:rPr>
                <w:b/>
                <w:bCs/>
                <w:color w:val="000000"/>
              </w:rPr>
            </w:pPr>
            <w:r w:rsidRPr="00A97A5A">
              <w:rPr>
                <w:b/>
                <w:bCs/>
                <w:color w:val="000000"/>
              </w:rPr>
              <w:t>Author</w:t>
            </w:r>
          </w:p>
        </w:tc>
        <w:tc>
          <w:tcPr>
            <w:tcW w:w="1091" w:type="dxa"/>
            <w:tcBorders>
              <w:top w:val="single" w:sz="4" w:space="0" w:color="auto"/>
              <w:left w:val="nil"/>
              <w:bottom w:val="single" w:sz="4" w:space="0" w:color="auto"/>
              <w:right w:val="single" w:sz="4" w:space="0" w:color="auto"/>
            </w:tcBorders>
            <w:shd w:val="clear" w:color="auto" w:fill="auto"/>
            <w:noWrap/>
            <w:hideMark/>
          </w:tcPr>
          <w:p w14:paraId="676585A3" w14:textId="77777777" w:rsidR="00824644" w:rsidRPr="00A97A5A" w:rsidRDefault="00824644" w:rsidP="00B9098D">
            <w:pPr>
              <w:rPr>
                <w:b/>
                <w:bCs/>
                <w:color w:val="000000"/>
              </w:rPr>
            </w:pPr>
            <w:r w:rsidRPr="00A97A5A">
              <w:rPr>
                <w:b/>
                <w:bCs/>
                <w:color w:val="000000"/>
              </w:rPr>
              <w:t>Country</w:t>
            </w:r>
          </w:p>
        </w:tc>
        <w:tc>
          <w:tcPr>
            <w:tcW w:w="805" w:type="dxa"/>
            <w:tcBorders>
              <w:top w:val="single" w:sz="4" w:space="0" w:color="auto"/>
              <w:left w:val="nil"/>
              <w:bottom w:val="single" w:sz="4" w:space="0" w:color="auto"/>
              <w:right w:val="single" w:sz="4" w:space="0" w:color="auto"/>
            </w:tcBorders>
            <w:shd w:val="clear" w:color="auto" w:fill="auto"/>
            <w:noWrap/>
            <w:hideMark/>
          </w:tcPr>
          <w:p w14:paraId="3CC49D73" w14:textId="77777777" w:rsidR="00824644" w:rsidRPr="00A97A5A" w:rsidRDefault="00824644" w:rsidP="00B9098D">
            <w:pPr>
              <w:rPr>
                <w:b/>
                <w:bCs/>
                <w:color w:val="000000"/>
              </w:rPr>
            </w:pPr>
            <w:r w:rsidRPr="00A97A5A">
              <w:rPr>
                <w:b/>
                <w:bCs/>
                <w:color w:val="000000"/>
              </w:rPr>
              <w:t>Study year</w:t>
            </w:r>
          </w:p>
        </w:tc>
        <w:tc>
          <w:tcPr>
            <w:tcW w:w="1829" w:type="dxa"/>
            <w:tcBorders>
              <w:top w:val="single" w:sz="4" w:space="0" w:color="auto"/>
              <w:left w:val="nil"/>
              <w:bottom w:val="single" w:sz="4" w:space="0" w:color="auto"/>
              <w:right w:val="single" w:sz="4" w:space="0" w:color="auto"/>
            </w:tcBorders>
            <w:shd w:val="clear" w:color="auto" w:fill="auto"/>
            <w:noWrap/>
            <w:hideMark/>
          </w:tcPr>
          <w:p w14:paraId="5DD91972" w14:textId="77777777" w:rsidR="00824644" w:rsidRPr="00A97A5A" w:rsidRDefault="00824644" w:rsidP="00B9098D">
            <w:pPr>
              <w:rPr>
                <w:b/>
                <w:bCs/>
                <w:color w:val="000000"/>
              </w:rPr>
            </w:pPr>
            <w:r w:rsidRPr="00A97A5A">
              <w:rPr>
                <w:b/>
                <w:bCs/>
                <w:color w:val="000000"/>
              </w:rPr>
              <w:t>Study type</w:t>
            </w:r>
          </w:p>
        </w:tc>
        <w:tc>
          <w:tcPr>
            <w:tcW w:w="1308" w:type="dxa"/>
            <w:tcBorders>
              <w:top w:val="single" w:sz="4" w:space="0" w:color="auto"/>
              <w:left w:val="nil"/>
              <w:bottom w:val="single" w:sz="4" w:space="0" w:color="auto"/>
              <w:right w:val="single" w:sz="4" w:space="0" w:color="auto"/>
            </w:tcBorders>
          </w:tcPr>
          <w:p w14:paraId="6CB20DFE" w14:textId="77777777" w:rsidR="00824644" w:rsidRPr="00A97A5A" w:rsidRDefault="00824644" w:rsidP="00B9098D">
            <w:pPr>
              <w:rPr>
                <w:b/>
                <w:bCs/>
                <w:color w:val="000000"/>
              </w:rPr>
            </w:pPr>
            <w:r w:rsidRPr="00A97A5A">
              <w:rPr>
                <w:b/>
                <w:bCs/>
                <w:color w:val="000000"/>
              </w:rPr>
              <w:t>Asthma diagnosis</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14:paraId="05CFB27A" w14:textId="77777777" w:rsidR="00824644" w:rsidRPr="00A97A5A" w:rsidRDefault="00824644" w:rsidP="00B9098D">
            <w:pPr>
              <w:rPr>
                <w:b/>
                <w:bCs/>
                <w:color w:val="000000"/>
              </w:rPr>
            </w:pPr>
            <w:r w:rsidRPr="00A97A5A">
              <w:rPr>
                <w:b/>
                <w:bCs/>
                <w:color w:val="000000"/>
              </w:rPr>
              <w:t>Age of asthma diagnosis</w:t>
            </w:r>
          </w:p>
        </w:tc>
        <w:tc>
          <w:tcPr>
            <w:tcW w:w="962" w:type="dxa"/>
            <w:tcBorders>
              <w:top w:val="single" w:sz="4" w:space="0" w:color="auto"/>
              <w:left w:val="nil"/>
              <w:bottom w:val="single" w:sz="4" w:space="0" w:color="auto"/>
              <w:right w:val="single" w:sz="4" w:space="0" w:color="auto"/>
            </w:tcBorders>
            <w:shd w:val="clear" w:color="auto" w:fill="auto"/>
            <w:noWrap/>
            <w:hideMark/>
          </w:tcPr>
          <w:p w14:paraId="0BFEA6B3" w14:textId="77777777" w:rsidR="00824644" w:rsidRPr="00A97A5A" w:rsidRDefault="00824644" w:rsidP="00B9098D">
            <w:pPr>
              <w:rPr>
                <w:b/>
                <w:bCs/>
                <w:color w:val="000000"/>
              </w:rPr>
            </w:pPr>
            <w:r w:rsidRPr="00A97A5A">
              <w:rPr>
                <w:b/>
                <w:bCs/>
                <w:color w:val="000000"/>
              </w:rPr>
              <w:t>Sample size</w:t>
            </w:r>
          </w:p>
        </w:tc>
        <w:tc>
          <w:tcPr>
            <w:tcW w:w="1054" w:type="dxa"/>
            <w:tcBorders>
              <w:top w:val="single" w:sz="4" w:space="0" w:color="auto"/>
              <w:left w:val="nil"/>
              <w:bottom w:val="single" w:sz="4" w:space="0" w:color="auto"/>
              <w:right w:val="single" w:sz="4" w:space="0" w:color="auto"/>
            </w:tcBorders>
            <w:shd w:val="clear" w:color="auto" w:fill="auto"/>
            <w:noWrap/>
            <w:hideMark/>
          </w:tcPr>
          <w:p w14:paraId="434DD33B" w14:textId="77777777" w:rsidR="00824644" w:rsidRPr="00A97A5A" w:rsidRDefault="00824644" w:rsidP="00B9098D">
            <w:pPr>
              <w:rPr>
                <w:b/>
                <w:bCs/>
                <w:color w:val="000000"/>
              </w:rPr>
            </w:pPr>
            <w:r w:rsidRPr="00A97A5A">
              <w:rPr>
                <w:b/>
                <w:bCs/>
                <w:color w:val="000000"/>
              </w:rPr>
              <w:t>Number of asthma cases</w:t>
            </w:r>
          </w:p>
        </w:tc>
      </w:tr>
      <w:tr w:rsidR="00824644" w:rsidRPr="007924D2" w14:paraId="24E775F1" w14:textId="77777777" w:rsidTr="00CD4524">
        <w:trPr>
          <w:trHeight w:hRule="exact" w:val="680"/>
        </w:trPr>
        <w:tc>
          <w:tcPr>
            <w:tcW w:w="1236" w:type="dxa"/>
            <w:tcBorders>
              <w:top w:val="nil"/>
              <w:left w:val="single" w:sz="4" w:space="0" w:color="auto"/>
              <w:bottom w:val="single" w:sz="4" w:space="0" w:color="auto"/>
              <w:right w:val="single" w:sz="4" w:space="0" w:color="auto"/>
            </w:tcBorders>
            <w:shd w:val="clear" w:color="auto" w:fill="auto"/>
            <w:noWrap/>
            <w:hideMark/>
          </w:tcPr>
          <w:p w14:paraId="62659B04" w14:textId="77777777" w:rsidR="00824644" w:rsidRPr="00A97A5A" w:rsidRDefault="00824644" w:rsidP="00B9098D">
            <w:pPr>
              <w:rPr>
                <w:color w:val="000000"/>
              </w:rPr>
            </w:pPr>
            <w:r w:rsidRPr="00A97A5A">
              <w:rPr>
                <w:color w:val="000000"/>
              </w:rPr>
              <w:t>Patrick et al.</w:t>
            </w:r>
          </w:p>
        </w:tc>
        <w:tc>
          <w:tcPr>
            <w:tcW w:w="1091" w:type="dxa"/>
            <w:tcBorders>
              <w:top w:val="nil"/>
              <w:left w:val="nil"/>
              <w:bottom w:val="single" w:sz="4" w:space="0" w:color="auto"/>
              <w:right w:val="single" w:sz="4" w:space="0" w:color="auto"/>
            </w:tcBorders>
            <w:shd w:val="clear" w:color="auto" w:fill="auto"/>
            <w:noWrap/>
            <w:hideMark/>
          </w:tcPr>
          <w:p w14:paraId="6EF8D6AC" w14:textId="77777777" w:rsidR="00824644" w:rsidRPr="00A97A5A" w:rsidRDefault="00824644" w:rsidP="00B9098D">
            <w:pPr>
              <w:rPr>
                <w:color w:val="000000"/>
              </w:rPr>
            </w:pPr>
            <w:r w:rsidRPr="00A97A5A">
              <w:rPr>
                <w:color w:val="000000"/>
              </w:rPr>
              <w:t>Canada</w:t>
            </w:r>
          </w:p>
        </w:tc>
        <w:tc>
          <w:tcPr>
            <w:tcW w:w="805" w:type="dxa"/>
            <w:tcBorders>
              <w:top w:val="nil"/>
              <w:left w:val="nil"/>
              <w:bottom w:val="single" w:sz="4" w:space="0" w:color="auto"/>
              <w:right w:val="single" w:sz="4" w:space="0" w:color="auto"/>
            </w:tcBorders>
            <w:shd w:val="clear" w:color="auto" w:fill="auto"/>
            <w:noWrap/>
            <w:hideMark/>
          </w:tcPr>
          <w:p w14:paraId="5B5065BD" w14:textId="77777777" w:rsidR="00824644" w:rsidRPr="00A97A5A" w:rsidRDefault="00824644" w:rsidP="00B9098D">
            <w:pPr>
              <w:jc w:val="right"/>
              <w:rPr>
                <w:color w:val="000000"/>
              </w:rPr>
            </w:pPr>
            <w:r w:rsidRPr="00A97A5A">
              <w:rPr>
                <w:color w:val="000000"/>
              </w:rPr>
              <w:t>2020</w:t>
            </w:r>
          </w:p>
        </w:tc>
        <w:tc>
          <w:tcPr>
            <w:tcW w:w="1829" w:type="dxa"/>
            <w:tcBorders>
              <w:top w:val="nil"/>
              <w:left w:val="nil"/>
              <w:bottom w:val="single" w:sz="4" w:space="0" w:color="auto"/>
              <w:right w:val="single" w:sz="4" w:space="0" w:color="auto"/>
            </w:tcBorders>
            <w:shd w:val="clear" w:color="auto" w:fill="auto"/>
            <w:noWrap/>
            <w:hideMark/>
          </w:tcPr>
          <w:p w14:paraId="365BFB06" w14:textId="6236CFDF" w:rsidR="00824644" w:rsidRPr="00A97A5A" w:rsidRDefault="00824644" w:rsidP="00B9098D">
            <w:pPr>
              <w:rPr>
                <w:color w:val="000000"/>
              </w:rPr>
            </w:pPr>
            <w:r w:rsidRPr="00A97A5A">
              <w:rPr>
                <w:color w:val="000000"/>
              </w:rPr>
              <w:t>Prospective</w:t>
            </w:r>
            <w:r w:rsidR="00903C0D">
              <w:rPr>
                <w:color w:val="000000"/>
              </w:rPr>
              <w:t xml:space="preserve"> cohort </w:t>
            </w:r>
          </w:p>
        </w:tc>
        <w:tc>
          <w:tcPr>
            <w:tcW w:w="1308" w:type="dxa"/>
            <w:tcBorders>
              <w:top w:val="single" w:sz="4" w:space="0" w:color="auto"/>
              <w:left w:val="nil"/>
              <w:bottom w:val="single" w:sz="4" w:space="0" w:color="auto"/>
              <w:right w:val="single" w:sz="4" w:space="0" w:color="auto"/>
            </w:tcBorders>
          </w:tcPr>
          <w:p w14:paraId="01B9D639" w14:textId="77777777" w:rsidR="00824644" w:rsidRPr="00A97A5A" w:rsidRDefault="00824644" w:rsidP="00B9098D">
            <w:pPr>
              <w:jc w:val="right"/>
              <w:rPr>
                <w:color w:val="000000"/>
              </w:rPr>
            </w:pPr>
            <w:r w:rsidRPr="00A97A5A">
              <w:rPr>
                <w:color w:val="000000"/>
              </w:rPr>
              <w:t>Care provider</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14:paraId="515BEF4B" w14:textId="77777777" w:rsidR="00824644" w:rsidRPr="00A97A5A" w:rsidRDefault="00824644" w:rsidP="00B9098D">
            <w:pPr>
              <w:jc w:val="right"/>
              <w:rPr>
                <w:color w:val="000000"/>
              </w:rPr>
            </w:pPr>
            <w:r w:rsidRPr="00A97A5A">
              <w:rPr>
                <w:color w:val="000000"/>
              </w:rPr>
              <w:t>5</w:t>
            </w:r>
          </w:p>
        </w:tc>
        <w:tc>
          <w:tcPr>
            <w:tcW w:w="962" w:type="dxa"/>
            <w:tcBorders>
              <w:top w:val="nil"/>
              <w:left w:val="nil"/>
              <w:bottom w:val="single" w:sz="4" w:space="0" w:color="auto"/>
              <w:right w:val="single" w:sz="4" w:space="0" w:color="auto"/>
            </w:tcBorders>
            <w:shd w:val="clear" w:color="auto" w:fill="auto"/>
            <w:noWrap/>
            <w:hideMark/>
          </w:tcPr>
          <w:p w14:paraId="4EF7FEFE" w14:textId="77777777" w:rsidR="00824644" w:rsidRPr="00A97A5A" w:rsidRDefault="00824644" w:rsidP="00B9098D">
            <w:pPr>
              <w:jc w:val="right"/>
              <w:rPr>
                <w:color w:val="000000"/>
              </w:rPr>
            </w:pPr>
            <w:r w:rsidRPr="00A97A5A">
              <w:rPr>
                <w:color w:val="000000"/>
              </w:rPr>
              <w:t>1947</w:t>
            </w:r>
          </w:p>
        </w:tc>
        <w:tc>
          <w:tcPr>
            <w:tcW w:w="1054" w:type="dxa"/>
            <w:tcBorders>
              <w:top w:val="nil"/>
              <w:left w:val="nil"/>
              <w:bottom w:val="single" w:sz="4" w:space="0" w:color="auto"/>
              <w:right w:val="single" w:sz="4" w:space="0" w:color="auto"/>
            </w:tcBorders>
            <w:shd w:val="clear" w:color="auto" w:fill="auto"/>
            <w:noWrap/>
            <w:hideMark/>
          </w:tcPr>
          <w:p w14:paraId="1AFE3296" w14:textId="77777777" w:rsidR="00824644" w:rsidRPr="00A97A5A" w:rsidRDefault="00824644" w:rsidP="00B9098D">
            <w:pPr>
              <w:jc w:val="right"/>
              <w:rPr>
                <w:color w:val="000000"/>
              </w:rPr>
            </w:pPr>
            <w:r w:rsidRPr="00A97A5A">
              <w:rPr>
                <w:color w:val="000000"/>
              </w:rPr>
              <w:t>118</w:t>
            </w:r>
          </w:p>
        </w:tc>
      </w:tr>
      <w:tr w:rsidR="00824644" w:rsidRPr="007924D2" w14:paraId="106706F0" w14:textId="77777777" w:rsidTr="00CD4524">
        <w:trPr>
          <w:trHeight w:hRule="exact" w:val="680"/>
        </w:trPr>
        <w:tc>
          <w:tcPr>
            <w:tcW w:w="1236" w:type="dxa"/>
            <w:tcBorders>
              <w:top w:val="nil"/>
              <w:left w:val="single" w:sz="4" w:space="0" w:color="auto"/>
              <w:bottom w:val="single" w:sz="4" w:space="0" w:color="auto"/>
              <w:right w:val="single" w:sz="4" w:space="0" w:color="auto"/>
            </w:tcBorders>
            <w:shd w:val="clear" w:color="auto" w:fill="auto"/>
            <w:noWrap/>
            <w:hideMark/>
          </w:tcPr>
          <w:p w14:paraId="5EA46309" w14:textId="77777777" w:rsidR="00824644" w:rsidRPr="00A97A5A" w:rsidRDefault="00824644" w:rsidP="00B9098D">
            <w:pPr>
              <w:rPr>
                <w:color w:val="000000"/>
              </w:rPr>
            </w:pPr>
            <w:r w:rsidRPr="00A97A5A">
              <w:rPr>
                <w:color w:val="000000"/>
              </w:rPr>
              <w:t>Yoshida et al.</w:t>
            </w:r>
          </w:p>
        </w:tc>
        <w:tc>
          <w:tcPr>
            <w:tcW w:w="1091" w:type="dxa"/>
            <w:tcBorders>
              <w:top w:val="nil"/>
              <w:left w:val="nil"/>
              <w:bottom w:val="single" w:sz="4" w:space="0" w:color="auto"/>
              <w:right w:val="single" w:sz="4" w:space="0" w:color="auto"/>
            </w:tcBorders>
            <w:shd w:val="clear" w:color="auto" w:fill="auto"/>
            <w:noWrap/>
            <w:hideMark/>
          </w:tcPr>
          <w:p w14:paraId="63782ADB" w14:textId="77777777" w:rsidR="00824644" w:rsidRPr="00A97A5A" w:rsidRDefault="00824644" w:rsidP="00B9098D">
            <w:pPr>
              <w:rPr>
                <w:color w:val="000000"/>
              </w:rPr>
            </w:pPr>
            <w:r w:rsidRPr="00A97A5A">
              <w:rPr>
                <w:color w:val="000000"/>
              </w:rPr>
              <w:t>Japan</w:t>
            </w:r>
          </w:p>
        </w:tc>
        <w:tc>
          <w:tcPr>
            <w:tcW w:w="805" w:type="dxa"/>
            <w:tcBorders>
              <w:top w:val="nil"/>
              <w:left w:val="nil"/>
              <w:bottom w:val="single" w:sz="4" w:space="0" w:color="auto"/>
              <w:right w:val="single" w:sz="4" w:space="0" w:color="auto"/>
            </w:tcBorders>
            <w:shd w:val="clear" w:color="auto" w:fill="auto"/>
            <w:noWrap/>
            <w:hideMark/>
          </w:tcPr>
          <w:p w14:paraId="1411048E" w14:textId="77777777" w:rsidR="00824644" w:rsidRPr="00A97A5A" w:rsidRDefault="00824644" w:rsidP="00B9098D">
            <w:pPr>
              <w:jc w:val="right"/>
              <w:rPr>
                <w:color w:val="000000"/>
              </w:rPr>
            </w:pPr>
            <w:r w:rsidRPr="00A97A5A">
              <w:rPr>
                <w:color w:val="000000"/>
              </w:rPr>
              <w:t>2018</w:t>
            </w:r>
          </w:p>
        </w:tc>
        <w:tc>
          <w:tcPr>
            <w:tcW w:w="1829" w:type="dxa"/>
            <w:tcBorders>
              <w:top w:val="nil"/>
              <w:left w:val="nil"/>
              <w:bottom w:val="single" w:sz="4" w:space="0" w:color="auto"/>
              <w:right w:val="single" w:sz="4" w:space="0" w:color="auto"/>
            </w:tcBorders>
            <w:shd w:val="clear" w:color="auto" w:fill="auto"/>
            <w:noWrap/>
            <w:hideMark/>
          </w:tcPr>
          <w:p w14:paraId="6BE86BC3" w14:textId="729F3EBD" w:rsidR="00824644" w:rsidRPr="00A97A5A" w:rsidRDefault="00824644" w:rsidP="00B9098D">
            <w:pPr>
              <w:rPr>
                <w:color w:val="000000"/>
              </w:rPr>
            </w:pPr>
            <w:r w:rsidRPr="00A97A5A">
              <w:rPr>
                <w:color w:val="000000"/>
              </w:rPr>
              <w:t>Retrospective</w:t>
            </w:r>
            <w:r w:rsidR="00903C0D">
              <w:rPr>
                <w:color w:val="000000"/>
              </w:rPr>
              <w:t xml:space="preserve"> cohort </w:t>
            </w:r>
          </w:p>
        </w:tc>
        <w:tc>
          <w:tcPr>
            <w:tcW w:w="1308" w:type="dxa"/>
            <w:tcBorders>
              <w:top w:val="single" w:sz="4" w:space="0" w:color="auto"/>
              <w:left w:val="nil"/>
              <w:bottom w:val="single" w:sz="4" w:space="0" w:color="auto"/>
              <w:right w:val="single" w:sz="4" w:space="0" w:color="auto"/>
            </w:tcBorders>
          </w:tcPr>
          <w:p w14:paraId="4E7B102D" w14:textId="77777777" w:rsidR="00824644" w:rsidRPr="00A97A5A" w:rsidRDefault="00824644" w:rsidP="00B9098D">
            <w:pPr>
              <w:jc w:val="right"/>
              <w:rPr>
                <w:color w:val="000000"/>
              </w:rPr>
            </w:pPr>
            <w:r w:rsidRPr="00A97A5A">
              <w:rPr>
                <w:color w:val="000000"/>
              </w:rPr>
              <w:t>ICD</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14:paraId="62285D3F" w14:textId="77777777" w:rsidR="00824644" w:rsidRPr="00A97A5A" w:rsidRDefault="00824644" w:rsidP="00B9098D">
            <w:pPr>
              <w:jc w:val="right"/>
              <w:rPr>
                <w:color w:val="000000"/>
              </w:rPr>
            </w:pPr>
            <w:r w:rsidRPr="00A97A5A">
              <w:rPr>
                <w:color w:val="000000"/>
              </w:rPr>
              <w:t>2, 5</w:t>
            </w:r>
          </w:p>
        </w:tc>
        <w:tc>
          <w:tcPr>
            <w:tcW w:w="962" w:type="dxa"/>
            <w:tcBorders>
              <w:top w:val="nil"/>
              <w:left w:val="nil"/>
              <w:bottom w:val="single" w:sz="4" w:space="0" w:color="auto"/>
              <w:right w:val="single" w:sz="4" w:space="0" w:color="auto"/>
            </w:tcBorders>
            <w:shd w:val="clear" w:color="auto" w:fill="auto"/>
            <w:noWrap/>
            <w:hideMark/>
          </w:tcPr>
          <w:p w14:paraId="418E1DFE" w14:textId="77777777" w:rsidR="00824644" w:rsidRPr="00A97A5A" w:rsidRDefault="00824644" w:rsidP="00B9098D">
            <w:pPr>
              <w:jc w:val="right"/>
              <w:rPr>
                <w:color w:val="000000"/>
              </w:rPr>
            </w:pPr>
            <w:r w:rsidRPr="00A97A5A">
              <w:rPr>
                <w:color w:val="000000"/>
              </w:rPr>
              <w:t>83470</w:t>
            </w:r>
          </w:p>
        </w:tc>
        <w:tc>
          <w:tcPr>
            <w:tcW w:w="1054" w:type="dxa"/>
            <w:tcBorders>
              <w:top w:val="nil"/>
              <w:left w:val="nil"/>
              <w:bottom w:val="single" w:sz="4" w:space="0" w:color="auto"/>
              <w:right w:val="single" w:sz="4" w:space="0" w:color="auto"/>
            </w:tcBorders>
            <w:shd w:val="clear" w:color="auto" w:fill="auto"/>
            <w:noWrap/>
            <w:hideMark/>
          </w:tcPr>
          <w:p w14:paraId="04216687" w14:textId="77777777" w:rsidR="00824644" w:rsidRPr="00A97A5A" w:rsidRDefault="00824644" w:rsidP="00B9098D">
            <w:pPr>
              <w:jc w:val="right"/>
              <w:rPr>
                <w:color w:val="000000"/>
              </w:rPr>
            </w:pPr>
            <w:r w:rsidRPr="00A97A5A">
              <w:rPr>
                <w:color w:val="000000"/>
              </w:rPr>
              <w:t>3633</w:t>
            </w:r>
          </w:p>
        </w:tc>
      </w:tr>
      <w:tr w:rsidR="00824644" w:rsidRPr="007924D2" w14:paraId="29287F92" w14:textId="77777777" w:rsidTr="00CD4524">
        <w:trPr>
          <w:trHeight w:hRule="exact" w:val="680"/>
        </w:trPr>
        <w:tc>
          <w:tcPr>
            <w:tcW w:w="1236" w:type="dxa"/>
            <w:tcBorders>
              <w:top w:val="nil"/>
              <w:left w:val="single" w:sz="4" w:space="0" w:color="auto"/>
              <w:bottom w:val="single" w:sz="4" w:space="0" w:color="auto"/>
              <w:right w:val="single" w:sz="4" w:space="0" w:color="auto"/>
            </w:tcBorders>
            <w:shd w:val="clear" w:color="auto" w:fill="auto"/>
            <w:noWrap/>
            <w:hideMark/>
          </w:tcPr>
          <w:p w14:paraId="5B81DA03" w14:textId="77777777" w:rsidR="00824644" w:rsidRPr="00A97A5A" w:rsidRDefault="00824644" w:rsidP="00B9098D">
            <w:pPr>
              <w:rPr>
                <w:color w:val="000000"/>
              </w:rPr>
            </w:pPr>
            <w:r w:rsidRPr="00A97A5A">
              <w:rPr>
                <w:color w:val="000000"/>
              </w:rPr>
              <w:t>Raciborski et al.</w:t>
            </w:r>
          </w:p>
        </w:tc>
        <w:tc>
          <w:tcPr>
            <w:tcW w:w="1091" w:type="dxa"/>
            <w:tcBorders>
              <w:top w:val="nil"/>
              <w:left w:val="nil"/>
              <w:bottom w:val="single" w:sz="4" w:space="0" w:color="auto"/>
              <w:right w:val="single" w:sz="4" w:space="0" w:color="auto"/>
            </w:tcBorders>
            <w:shd w:val="clear" w:color="auto" w:fill="auto"/>
            <w:noWrap/>
            <w:hideMark/>
          </w:tcPr>
          <w:p w14:paraId="1F95811B" w14:textId="77777777" w:rsidR="00824644" w:rsidRPr="00A97A5A" w:rsidRDefault="00824644" w:rsidP="00B9098D">
            <w:pPr>
              <w:rPr>
                <w:color w:val="000000"/>
              </w:rPr>
            </w:pPr>
            <w:r w:rsidRPr="00A97A5A">
              <w:rPr>
                <w:color w:val="000000"/>
              </w:rPr>
              <w:t>Poland</w:t>
            </w:r>
          </w:p>
        </w:tc>
        <w:tc>
          <w:tcPr>
            <w:tcW w:w="805" w:type="dxa"/>
            <w:tcBorders>
              <w:top w:val="nil"/>
              <w:left w:val="nil"/>
              <w:bottom w:val="single" w:sz="4" w:space="0" w:color="auto"/>
              <w:right w:val="single" w:sz="4" w:space="0" w:color="auto"/>
            </w:tcBorders>
            <w:shd w:val="clear" w:color="auto" w:fill="auto"/>
            <w:noWrap/>
            <w:hideMark/>
          </w:tcPr>
          <w:p w14:paraId="45869E62" w14:textId="77777777" w:rsidR="00824644" w:rsidRPr="00A97A5A" w:rsidRDefault="00824644" w:rsidP="00B9098D">
            <w:pPr>
              <w:jc w:val="right"/>
              <w:rPr>
                <w:color w:val="000000"/>
              </w:rPr>
            </w:pPr>
            <w:r w:rsidRPr="00A97A5A">
              <w:rPr>
                <w:color w:val="000000"/>
              </w:rPr>
              <w:t>2012</w:t>
            </w:r>
          </w:p>
        </w:tc>
        <w:tc>
          <w:tcPr>
            <w:tcW w:w="1829" w:type="dxa"/>
            <w:tcBorders>
              <w:top w:val="nil"/>
              <w:left w:val="nil"/>
              <w:bottom w:val="single" w:sz="4" w:space="0" w:color="auto"/>
              <w:right w:val="single" w:sz="4" w:space="0" w:color="auto"/>
            </w:tcBorders>
            <w:shd w:val="clear" w:color="auto" w:fill="auto"/>
            <w:noWrap/>
            <w:hideMark/>
          </w:tcPr>
          <w:p w14:paraId="5876EA92" w14:textId="416FA1CE" w:rsidR="00824644" w:rsidRPr="00A97A5A" w:rsidRDefault="00824644" w:rsidP="00B9098D">
            <w:pPr>
              <w:rPr>
                <w:color w:val="000000"/>
              </w:rPr>
            </w:pPr>
            <w:r w:rsidRPr="00A97A5A">
              <w:rPr>
                <w:color w:val="000000"/>
              </w:rPr>
              <w:t>Retrospective</w:t>
            </w:r>
            <w:r w:rsidR="00903C0D">
              <w:rPr>
                <w:color w:val="000000"/>
              </w:rPr>
              <w:t xml:space="preserve"> cohort </w:t>
            </w:r>
          </w:p>
        </w:tc>
        <w:tc>
          <w:tcPr>
            <w:tcW w:w="1308" w:type="dxa"/>
            <w:tcBorders>
              <w:top w:val="single" w:sz="4" w:space="0" w:color="auto"/>
              <w:left w:val="nil"/>
              <w:bottom w:val="single" w:sz="4" w:space="0" w:color="auto"/>
              <w:right w:val="single" w:sz="4" w:space="0" w:color="auto"/>
            </w:tcBorders>
          </w:tcPr>
          <w:p w14:paraId="6511BC20" w14:textId="77777777" w:rsidR="00824644" w:rsidRPr="00A97A5A" w:rsidRDefault="00824644" w:rsidP="00B9098D">
            <w:pPr>
              <w:jc w:val="right"/>
              <w:rPr>
                <w:color w:val="000000"/>
              </w:rPr>
            </w:pPr>
            <w:r w:rsidRPr="00A97A5A">
              <w:rPr>
                <w:color w:val="000000"/>
              </w:rPr>
              <w:t>Self-reported</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14:paraId="746B16B3" w14:textId="77777777" w:rsidR="00824644" w:rsidRPr="00A97A5A" w:rsidRDefault="00824644" w:rsidP="00B9098D">
            <w:pPr>
              <w:jc w:val="right"/>
              <w:rPr>
                <w:color w:val="000000"/>
              </w:rPr>
            </w:pPr>
            <w:r w:rsidRPr="00A97A5A">
              <w:rPr>
                <w:color w:val="000000"/>
              </w:rPr>
              <w:t>7</w:t>
            </w:r>
          </w:p>
        </w:tc>
        <w:tc>
          <w:tcPr>
            <w:tcW w:w="962" w:type="dxa"/>
            <w:tcBorders>
              <w:top w:val="nil"/>
              <w:left w:val="nil"/>
              <w:bottom w:val="single" w:sz="4" w:space="0" w:color="auto"/>
              <w:right w:val="single" w:sz="4" w:space="0" w:color="auto"/>
            </w:tcBorders>
            <w:shd w:val="clear" w:color="auto" w:fill="auto"/>
            <w:noWrap/>
            <w:hideMark/>
          </w:tcPr>
          <w:p w14:paraId="4B52D3A1" w14:textId="77777777" w:rsidR="00824644" w:rsidRPr="00A97A5A" w:rsidRDefault="00824644" w:rsidP="00B9098D">
            <w:pPr>
              <w:jc w:val="right"/>
              <w:rPr>
                <w:color w:val="000000"/>
              </w:rPr>
            </w:pPr>
            <w:r w:rsidRPr="00A97A5A">
              <w:rPr>
                <w:color w:val="000000"/>
              </w:rPr>
              <w:t>1330</w:t>
            </w:r>
          </w:p>
        </w:tc>
        <w:tc>
          <w:tcPr>
            <w:tcW w:w="1054" w:type="dxa"/>
            <w:tcBorders>
              <w:top w:val="nil"/>
              <w:left w:val="nil"/>
              <w:bottom w:val="single" w:sz="4" w:space="0" w:color="auto"/>
              <w:right w:val="single" w:sz="4" w:space="0" w:color="auto"/>
            </w:tcBorders>
            <w:shd w:val="clear" w:color="auto" w:fill="auto"/>
            <w:noWrap/>
            <w:hideMark/>
          </w:tcPr>
          <w:p w14:paraId="438D920B" w14:textId="77777777" w:rsidR="00824644" w:rsidRPr="00A97A5A" w:rsidRDefault="00824644" w:rsidP="00B9098D">
            <w:pPr>
              <w:jc w:val="right"/>
              <w:rPr>
                <w:color w:val="000000"/>
              </w:rPr>
            </w:pPr>
            <w:r w:rsidRPr="00A97A5A">
              <w:rPr>
                <w:color w:val="000000"/>
              </w:rPr>
              <w:t>63</w:t>
            </w:r>
          </w:p>
        </w:tc>
      </w:tr>
      <w:tr w:rsidR="00824644" w:rsidRPr="007924D2" w14:paraId="1AD2450A" w14:textId="77777777" w:rsidTr="00CD4524">
        <w:trPr>
          <w:trHeight w:hRule="exact" w:val="680"/>
        </w:trPr>
        <w:tc>
          <w:tcPr>
            <w:tcW w:w="1236" w:type="dxa"/>
            <w:tcBorders>
              <w:top w:val="nil"/>
              <w:left w:val="single" w:sz="4" w:space="0" w:color="auto"/>
              <w:bottom w:val="single" w:sz="4" w:space="0" w:color="auto"/>
              <w:right w:val="single" w:sz="4" w:space="0" w:color="auto"/>
            </w:tcBorders>
            <w:shd w:val="clear" w:color="auto" w:fill="auto"/>
            <w:noWrap/>
            <w:hideMark/>
          </w:tcPr>
          <w:p w14:paraId="11B2DA23" w14:textId="77777777" w:rsidR="00824644" w:rsidRPr="00A97A5A" w:rsidRDefault="00824644" w:rsidP="00B9098D">
            <w:pPr>
              <w:rPr>
                <w:color w:val="000000"/>
              </w:rPr>
            </w:pPr>
            <w:r w:rsidRPr="00A97A5A">
              <w:rPr>
                <w:color w:val="000000"/>
              </w:rPr>
              <w:t>Kozyrskyj et al.</w:t>
            </w:r>
          </w:p>
        </w:tc>
        <w:tc>
          <w:tcPr>
            <w:tcW w:w="1091" w:type="dxa"/>
            <w:tcBorders>
              <w:top w:val="nil"/>
              <w:left w:val="nil"/>
              <w:bottom w:val="single" w:sz="4" w:space="0" w:color="auto"/>
              <w:right w:val="single" w:sz="4" w:space="0" w:color="auto"/>
            </w:tcBorders>
            <w:shd w:val="clear" w:color="auto" w:fill="auto"/>
            <w:noWrap/>
            <w:hideMark/>
          </w:tcPr>
          <w:p w14:paraId="156718E1" w14:textId="77777777" w:rsidR="00824644" w:rsidRPr="00A97A5A" w:rsidRDefault="00824644" w:rsidP="00B9098D">
            <w:pPr>
              <w:rPr>
                <w:color w:val="000000"/>
              </w:rPr>
            </w:pPr>
            <w:r w:rsidRPr="00A97A5A">
              <w:rPr>
                <w:color w:val="000000"/>
              </w:rPr>
              <w:t>Canada</w:t>
            </w:r>
          </w:p>
        </w:tc>
        <w:tc>
          <w:tcPr>
            <w:tcW w:w="805" w:type="dxa"/>
            <w:tcBorders>
              <w:top w:val="nil"/>
              <w:left w:val="nil"/>
              <w:bottom w:val="single" w:sz="4" w:space="0" w:color="auto"/>
              <w:right w:val="single" w:sz="4" w:space="0" w:color="auto"/>
            </w:tcBorders>
            <w:shd w:val="clear" w:color="auto" w:fill="auto"/>
            <w:noWrap/>
            <w:hideMark/>
          </w:tcPr>
          <w:p w14:paraId="2F323101" w14:textId="77777777" w:rsidR="00824644" w:rsidRPr="00A97A5A" w:rsidRDefault="00824644" w:rsidP="00B9098D">
            <w:pPr>
              <w:jc w:val="right"/>
              <w:rPr>
                <w:color w:val="000000"/>
              </w:rPr>
            </w:pPr>
            <w:r w:rsidRPr="00A97A5A">
              <w:rPr>
                <w:color w:val="000000"/>
              </w:rPr>
              <w:t>2007</w:t>
            </w:r>
          </w:p>
        </w:tc>
        <w:tc>
          <w:tcPr>
            <w:tcW w:w="1829" w:type="dxa"/>
            <w:tcBorders>
              <w:top w:val="nil"/>
              <w:left w:val="nil"/>
              <w:bottom w:val="single" w:sz="4" w:space="0" w:color="auto"/>
              <w:right w:val="single" w:sz="4" w:space="0" w:color="auto"/>
            </w:tcBorders>
            <w:shd w:val="clear" w:color="auto" w:fill="auto"/>
            <w:noWrap/>
            <w:hideMark/>
          </w:tcPr>
          <w:p w14:paraId="338EAEDC" w14:textId="3FA963F8" w:rsidR="00824644" w:rsidRPr="00A97A5A" w:rsidRDefault="00824644" w:rsidP="00B9098D">
            <w:pPr>
              <w:rPr>
                <w:color w:val="000000"/>
              </w:rPr>
            </w:pPr>
            <w:r w:rsidRPr="00A97A5A">
              <w:rPr>
                <w:color w:val="000000"/>
              </w:rPr>
              <w:t>Retrospective</w:t>
            </w:r>
            <w:r w:rsidR="00903C0D">
              <w:rPr>
                <w:color w:val="000000"/>
              </w:rPr>
              <w:t xml:space="preserve"> cohort</w:t>
            </w:r>
          </w:p>
        </w:tc>
        <w:tc>
          <w:tcPr>
            <w:tcW w:w="1308" w:type="dxa"/>
            <w:tcBorders>
              <w:top w:val="single" w:sz="4" w:space="0" w:color="auto"/>
              <w:left w:val="nil"/>
              <w:bottom w:val="single" w:sz="4" w:space="0" w:color="auto"/>
              <w:right w:val="single" w:sz="4" w:space="0" w:color="auto"/>
            </w:tcBorders>
          </w:tcPr>
          <w:p w14:paraId="03D6E9F2" w14:textId="77777777" w:rsidR="00824644" w:rsidRPr="00A97A5A" w:rsidRDefault="00824644" w:rsidP="00B9098D">
            <w:pPr>
              <w:jc w:val="right"/>
              <w:rPr>
                <w:color w:val="000000"/>
              </w:rPr>
            </w:pPr>
            <w:r w:rsidRPr="00A97A5A">
              <w:rPr>
                <w:color w:val="000000"/>
              </w:rPr>
              <w:t>ICD</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14:paraId="66D988FB" w14:textId="77777777" w:rsidR="00824644" w:rsidRPr="00A97A5A" w:rsidRDefault="00824644" w:rsidP="00B9098D">
            <w:pPr>
              <w:jc w:val="right"/>
              <w:rPr>
                <w:color w:val="000000"/>
              </w:rPr>
            </w:pPr>
            <w:r w:rsidRPr="00A97A5A">
              <w:rPr>
                <w:color w:val="000000"/>
              </w:rPr>
              <w:t>7</w:t>
            </w:r>
          </w:p>
        </w:tc>
        <w:tc>
          <w:tcPr>
            <w:tcW w:w="962" w:type="dxa"/>
            <w:tcBorders>
              <w:top w:val="nil"/>
              <w:left w:val="nil"/>
              <w:bottom w:val="single" w:sz="4" w:space="0" w:color="auto"/>
              <w:right w:val="single" w:sz="4" w:space="0" w:color="auto"/>
            </w:tcBorders>
            <w:shd w:val="clear" w:color="auto" w:fill="auto"/>
            <w:noWrap/>
            <w:hideMark/>
          </w:tcPr>
          <w:p w14:paraId="4268FB7F" w14:textId="77777777" w:rsidR="00824644" w:rsidRPr="00A97A5A" w:rsidRDefault="00824644" w:rsidP="00B9098D">
            <w:pPr>
              <w:jc w:val="right"/>
              <w:rPr>
                <w:color w:val="000000"/>
              </w:rPr>
            </w:pPr>
            <w:r w:rsidRPr="00A97A5A">
              <w:rPr>
                <w:color w:val="000000"/>
              </w:rPr>
              <w:t>13116</w:t>
            </w:r>
          </w:p>
        </w:tc>
        <w:tc>
          <w:tcPr>
            <w:tcW w:w="1054" w:type="dxa"/>
            <w:tcBorders>
              <w:top w:val="nil"/>
              <w:left w:val="nil"/>
              <w:bottom w:val="single" w:sz="4" w:space="0" w:color="auto"/>
              <w:right w:val="single" w:sz="4" w:space="0" w:color="auto"/>
            </w:tcBorders>
            <w:shd w:val="clear" w:color="auto" w:fill="auto"/>
            <w:noWrap/>
            <w:hideMark/>
          </w:tcPr>
          <w:p w14:paraId="508509B5" w14:textId="77777777" w:rsidR="00824644" w:rsidRPr="00A97A5A" w:rsidRDefault="00824644" w:rsidP="00B9098D">
            <w:pPr>
              <w:jc w:val="right"/>
              <w:rPr>
                <w:color w:val="000000"/>
              </w:rPr>
            </w:pPr>
            <w:r w:rsidRPr="00A97A5A">
              <w:rPr>
                <w:color w:val="000000"/>
              </w:rPr>
              <w:t>787</w:t>
            </w:r>
          </w:p>
        </w:tc>
      </w:tr>
      <w:tr w:rsidR="00824644" w:rsidRPr="007924D2" w14:paraId="28F0AD27" w14:textId="77777777" w:rsidTr="00CD4524">
        <w:trPr>
          <w:trHeight w:hRule="exact" w:val="680"/>
        </w:trPr>
        <w:tc>
          <w:tcPr>
            <w:tcW w:w="1236" w:type="dxa"/>
            <w:tcBorders>
              <w:top w:val="nil"/>
              <w:left w:val="single" w:sz="4" w:space="0" w:color="auto"/>
              <w:bottom w:val="single" w:sz="4" w:space="0" w:color="auto"/>
              <w:right w:val="single" w:sz="4" w:space="0" w:color="auto"/>
            </w:tcBorders>
            <w:shd w:val="clear" w:color="auto" w:fill="auto"/>
            <w:noWrap/>
            <w:hideMark/>
          </w:tcPr>
          <w:p w14:paraId="0FAF53C6" w14:textId="77777777" w:rsidR="00824644" w:rsidRPr="00A97A5A" w:rsidRDefault="00824644" w:rsidP="00B9098D">
            <w:pPr>
              <w:rPr>
                <w:color w:val="000000"/>
              </w:rPr>
            </w:pPr>
            <w:r w:rsidRPr="00A97A5A">
              <w:rPr>
                <w:color w:val="000000"/>
              </w:rPr>
              <w:t>Ahn et al.</w:t>
            </w:r>
          </w:p>
        </w:tc>
        <w:tc>
          <w:tcPr>
            <w:tcW w:w="1091" w:type="dxa"/>
            <w:tcBorders>
              <w:top w:val="nil"/>
              <w:left w:val="nil"/>
              <w:bottom w:val="single" w:sz="4" w:space="0" w:color="auto"/>
              <w:right w:val="single" w:sz="4" w:space="0" w:color="auto"/>
            </w:tcBorders>
            <w:shd w:val="clear" w:color="auto" w:fill="auto"/>
            <w:noWrap/>
            <w:hideMark/>
          </w:tcPr>
          <w:p w14:paraId="542D7CD0" w14:textId="77777777" w:rsidR="00824644" w:rsidRPr="00A97A5A" w:rsidRDefault="00824644" w:rsidP="00B9098D">
            <w:pPr>
              <w:rPr>
                <w:color w:val="000000"/>
              </w:rPr>
            </w:pPr>
            <w:r w:rsidRPr="00A97A5A">
              <w:rPr>
                <w:color w:val="000000"/>
              </w:rPr>
              <w:t>Korea</w:t>
            </w:r>
          </w:p>
        </w:tc>
        <w:tc>
          <w:tcPr>
            <w:tcW w:w="805" w:type="dxa"/>
            <w:tcBorders>
              <w:top w:val="nil"/>
              <w:left w:val="nil"/>
              <w:bottom w:val="single" w:sz="4" w:space="0" w:color="auto"/>
              <w:right w:val="single" w:sz="4" w:space="0" w:color="auto"/>
            </w:tcBorders>
            <w:shd w:val="clear" w:color="auto" w:fill="auto"/>
            <w:noWrap/>
            <w:hideMark/>
          </w:tcPr>
          <w:p w14:paraId="701A2601" w14:textId="77777777" w:rsidR="00824644" w:rsidRPr="00A97A5A" w:rsidRDefault="00824644" w:rsidP="00B9098D">
            <w:pPr>
              <w:jc w:val="right"/>
              <w:rPr>
                <w:color w:val="000000"/>
              </w:rPr>
            </w:pPr>
            <w:r w:rsidRPr="00A97A5A">
              <w:rPr>
                <w:color w:val="000000"/>
              </w:rPr>
              <w:t>2005</w:t>
            </w:r>
          </w:p>
        </w:tc>
        <w:tc>
          <w:tcPr>
            <w:tcW w:w="1829" w:type="dxa"/>
            <w:tcBorders>
              <w:top w:val="nil"/>
              <w:left w:val="nil"/>
              <w:bottom w:val="single" w:sz="4" w:space="0" w:color="auto"/>
              <w:right w:val="single" w:sz="4" w:space="0" w:color="auto"/>
            </w:tcBorders>
            <w:shd w:val="clear" w:color="auto" w:fill="auto"/>
            <w:noWrap/>
            <w:hideMark/>
          </w:tcPr>
          <w:p w14:paraId="3630EA87" w14:textId="307326C9" w:rsidR="00824644" w:rsidRPr="00A97A5A" w:rsidRDefault="00903C0D" w:rsidP="00B9098D">
            <w:pPr>
              <w:rPr>
                <w:color w:val="000000"/>
              </w:rPr>
            </w:pPr>
            <w:r>
              <w:rPr>
                <w:color w:val="000000"/>
              </w:rPr>
              <w:t>Cross-sectional</w:t>
            </w:r>
            <w:r w:rsidR="00CD4524">
              <w:rPr>
                <w:color w:val="000000"/>
              </w:rPr>
              <w:t xml:space="preserve"> cohort</w:t>
            </w:r>
          </w:p>
        </w:tc>
        <w:tc>
          <w:tcPr>
            <w:tcW w:w="1308" w:type="dxa"/>
            <w:tcBorders>
              <w:top w:val="single" w:sz="4" w:space="0" w:color="auto"/>
              <w:left w:val="nil"/>
              <w:bottom w:val="single" w:sz="4" w:space="0" w:color="auto"/>
              <w:right w:val="single" w:sz="4" w:space="0" w:color="auto"/>
            </w:tcBorders>
          </w:tcPr>
          <w:p w14:paraId="0DA201C1" w14:textId="77777777" w:rsidR="00824644" w:rsidRPr="00A97A5A" w:rsidRDefault="00824644" w:rsidP="00B9098D">
            <w:pPr>
              <w:jc w:val="right"/>
              <w:rPr>
                <w:color w:val="000000"/>
              </w:rPr>
            </w:pPr>
            <w:r w:rsidRPr="00A97A5A">
              <w:rPr>
                <w:color w:val="000000"/>
              </w:rPr>
              <w:t>Self-reported</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14:paraId="1B2A123F" w14:textId="77777777" w:rsidR="00824644" w:rsidRPr="00A97A5A" w:rsidRDefault="00824644" w:rsidP="00B9098D">
            <w:pPr>
              <w:jc w:val="right"/>
              <w:rPr>
                <w:color w:val="000000"/>
              </w:rPr>
            </w:pPr>
            <w:r w:rsidRPr="00A97A5A">
              <w:rPr>
                <w:color w:val="000000"/>
              </w:rPr>
              <w:t>9.5</w:t>
            </w:r>
          </w:p>
        </w:tc>
        <w:tc>
          <w:tcPr>
            <w:tcW w:w="962" w:type="dxa"/>
            <w:tcBorders>
              <w:top w:val="nil"/>
              <w:left w:val="nil"/>
              <w:bottom w:val="single" w:sz="4" w:space="0" w:color="auto"/>
              <w:right w:val="single" w:sz="4" w:space="0" w:color="auto"/>
            </w:tcBorders>
            <w:shd w:val="clear" w:color="auto" w:fill="auto"/>
            <w:noWrap/>
            <w:hideMark/>
          </w:tcPr>
          <w:p w14:paraId="380AB927" w14:textId="77777777" w:rsidR="00824644" w:rsidRPr="00A97A5A" w:rsidRDefault="00824644" w:rsidP="00B9098D">
            <w:pPr>
              <w:jc w:val="right"/>
              <w:rPr>
                <w:color w:val="000000"/>
              </w:rPr>
            </w:pPr>
            <w:r w:rsidRPr="00A97A5A">
              <w:rPr>
                <w:color w:val="000000"/>
              </w:rPr>
              <w:t>25787</w:t>
            </w:r>
          </w:p>
        </w:tc>
        <w:tc>
          <w:tcPr>
            <w:tcW w:w="1054" w:type="dxa"/>
            <w:tcBorders>
              <w:top w:val="nil"/>
              <w:left w:val="nil"/>
              <w:bottom w:val="single" w:sz="4" w:space="0" w:color="auto"/>
              <w:right w:val="single" w:sz="4" w:space="0" w:color="auto"/>
            </w:tcBorders>
            <w:shd w:val="clear" w:color="auto" w:fill="auto"/>
            <w:noWrap/>
            <w:hideMark/>
          </w:tcPr>
          <w:p w14:paraId="0E6DE4D6" w14:textId="77777777" w:rsidR="00824644" w:rsidRPr="00A97A5A" w:rsidRDefault="00824644" w:rsidP="00B9098D">
            <w:pPr>
              <w:jc w:val="right"/>
              <w:rPr>
                <w:color w:val="000000"/>
              </w:rPr>
            </w:pPr>
            <w:r w:rsidRPr="00A97A5A">
              <w:rPr>
                <w:color w:val="000000"/>
              </w:rPr>
              <w:t>2354</w:t>
            </w:r>
          </w:p>
        </w:tc>
      </w:tr>
      <w:tr w:rsidR="00824644" w:rsidRPr="007924D2" w14:paraId="46FDB2D9" w14:textId="77777777" w:rsidTr="00CD4524">
        <w:trPr>
          <w:trHeight w:hRule="exact" w:val="680"/>
        </w:trPr>
        <w:tc>
          <w:tcPr>
            <w:tcW w:w="1236" w:type="dxa"/>
            <w:tcBorders>
              <w:top w:val="nil"/>
              <w:left w:val="single" w:sz="4" w:space="0" w:color="auto"/>
              <w:bottom w:val="single" w:sz="4" w:space="0" w:color="auto"/>
              <w:right w:val="single" w:sz="4" w:space="0" w:color="auto"/>
            </w:tcBorders>
            <w:shd w:val="clear" w:color="auto" w:fill="auto"/>
            <w:noWrap/>
            <w:hideMark/>
          </w:tcPr>
          <w:p w14:paraId="342F689E" w14:textId="77777777" w:rsidR="00824644" w:rsidRPr="00A97A5A" w:rsidRDefault="00824644" w:rsidP="00B9098D">
            <w:pPr>
              <w:rPr>
                <w:color w:val="000000"/>
              </w:rPr>
            </w:pPr>
            <w:r w:rsidRPr="00A97A5A">
              <w:rPr>
                <w:color w:val="000000"/>
              </w:rPr>
              <w:t>Celedon et al.</w:t>
            </w:r>
          </w:p>
        </w:tc>
        <w:tc>
          <w:tcPr>
            <w:tcW w:w="1091" w:type="dxa"/>
            <w:tcBorders>
              <w:top w:val="nil"/>
              <w:left w:val="nil"/>
              <w:bottom w:val="single" w:sz="4" w:space="0" w:color="auto"/>
              <w:right w:val="single" w:sz="4" w:space="0" w:color="auto"/>
            </w:tcBorders>
            <w:shd w:val="clear" w:color="auto" w:fill="auto"/>
            <w:noWrap/>
            <w:hideMark/>
          </w:tcPr>
          <w:p w14:paraId="19CD38C3" w14:textId="77777777" w:rsidR="00824644" w:rsidRPr="00A97A5A" w:rsidRDefault="00824644" w:rsidP="00B9098D">
            <w:pPr>
              <w:rPr>
                <w:color w:val="000000"/>
              </w:rPr>
            </w:pPr>
            <w:r w:rsidRPr="00A97A5A">
              <w:rPr>
                <w:color w:val="000000"/>
              </w:rPr>
              <w:t>USA</w:t>
            </w:r>
          </w:p>
        </w:tc>
        <w:tc>
          <w:tcPr>
            <w:tcW w:w="805" w:type="dxa"/>
            <w:tcBorders>
              <w:top w:val="nil"/>
              <w:left w:val="nil"/>
              <w:bottom w:val="single" w:sz="4" w:space="0" w:color="auto"/>
              <w:right w:val="single" w:sz="4" w:space="0" w:color="auto"/>
            </w:tcBorders>
            <w:shd w:val="clear" w:color="auto" w:fill="auto"/>
            <w:noWrap/>
            <w:hideMark/>
          </w:tcPr>
          <w:p w14:paraId="71074FA1" w14:textId="77777777" w:rsidR="00824644" w:rsidRPr="00A97A5A" w:rsidRDefault="00824644" w:rsidP="00B9098D">
            <w:pPr>
              <w:jc w:val="right"/>
              <w:rPr>
                <w:color w:val="000000"/>
              </w:rPr>
            </w:pPr>
            <w:r w:rsidRPr="00A97A5A">
              <w:rPr>
                <w:color w:val="000000"/>
              </w:rPr>
              <w:t>2004</w:t>
            </w:r>
          </w:p>
        </w:tc>
        <w:tc>
          <w:tcPr>
            <w:tcW w:w="1829" w:type="dxa"/>
            <w:tcBorders>
              <w:top w:val="nil"/>
              <w:left w:val="nil"/>
              <w:bottom w:val="single" w:sz="4" w:space="0" w:color="auto"/>
              <w:right w:val="single" w:sz="4" w:space="0" w:color="auto"/>
            </w:tcBorders>
            <w:shd w:val="clear" w:color="auto" w:fill="auto"/>
            <w:noWrap/>
            <w:hideMark/>
          </w:tcPr>
          <w:p w14:paraId="4086B592" w14:textId="3F535DC7" w:rsidR="00824644" w:rsidRPr="00A97A5A" w:rsidRDefault="00903C0D" w:rsidP="00B9098D">
            <w:pPr>
              <w:rPr>
                <w:color w:val="000000"/>
              </w:rPr>
            </w:pPr>
            <w:r>
              <w:rPr>
                <w:color w:val="000000"/>
              </w:rPr>
              <w:t>Retrospective cohort</w:t>
            </w:r>
          </w:p>
        </w:tc>
        <w:tc>
          <w:tcPr>
            <w:tcW w:w="1308" w:type="dxa"/>
            <w:tcBorders>
              <w:top w:val="single" w:sz="4" w:space="0" w:color="auto"/>
              <w:left w:val="nil"/>
              <w:bottom w:val="single" w:sz="4" w:space="0" w:color="auto"/>
              <w:right w:val="single" w:sz="4" w:space="0" w:color="auto"/>
            </w:tcBorders>
          </w:tcPr>
          <w:p w14:paraId="0AF0730A" w14:textId="77777777" w:rsidR="00824644" w:rsidRPr="00A97A5A" w:rsidRDefault="00824644" w:rsidP="00B9098D">
            <w:pPr>
              <w:jc w:val="right"/>
              <w:rPr>
                <w:color w:val="000000"/>
              </w:rPr>
            </w:pPr>
            <w:r w:rsidRPr="00A97A5A">
              <w:rPr>
                <w:color w:val="000000"/>
              </w:rPr>
              <w:t>ICD</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14:paraId="457A07AC" w14:textId="77777777" w:rsidR="00824644" w:rsidRPr="00A97A5A" w:rsidRDefault="00824644" w:rsidP="00B9098D">
            <w:pPr>
              <w:jc w:val="right"/>
              <w:rPr>
                <w:color w:val="000000"/>
              </w:rPr>
            </w:pPr>
            <w:r w:rsidRPr="00A97A5A">
              <w:rPr>
                <w:color w:val="000000"/>
              </w:rPr>
              <w:t>1.5, 3.5</w:t>
            </w:r>
          </w:p>
        </w:tc>
        <w:tc>
          <w:tcPr>
            <w:tcW w:w="962" w:type="dxa"/>
            <w:tcBorders>
              <w:top w:val="nil"/>
              <w:left w:val="nil"/>
              <w:bottom w:val="single" w:sz="4" w:space="0" w:color="auto"/>
              <w:right w:val="single" w:sz="4" w:space="0" w:color="auto"/>
            </w:tcBorders>
            <w:shd w:val="clear" w:color="auto" w:fill="auto"/>
            <w:noWrap/>
            <w:hideMark/>
          </w:tcPr>
          <w:p w14:paraId="75851E6F" w14:textId="77777777" w:rsidR="00824644" w:rsidRPr="00A97A5A" w:rsidRDefault="00824644" w:rsidP="00B9098D">
            <w:pPr>
              <w:jc w:val="right"/>
              <w:rPr>
                <w:color w:val="000000"/>
              </w:rPr>
            </w:pPr>
            <w:r w:rsidRPr="00A97A5A">
              <w:rPr>
                <w:color w:val="000000"/>
              </w:rPr>
              <w:t>4408</w:t>
            </w:r>
          </w:p>
        </w:tc>
        <w:tc>
          <w:tcPr>
            <w:tcW w:w="1054" w:type="dxa"/>
            <w:tcBorders>
              <w:top w:val="nil"/>
              <w:left w:val="nil"/>
              <w:bottom w:val="single" w:sz="4" w:space="0" w:color="auto"/>
              <w:right w:val="single" w:sz="4" w:space="0" w:color="auto"/>
            </w:tcBorders>
            <w:shd w:val="clear" w:color="auto" w:fill="auto"/>
            <w:noWrap/>
            <w:hideMark/>
          </w:tcPr>
          <w:p w14:paraId="0EED7712" w14:textId="77777777" w:rsidR="00824644" w:rsidRPr="00A97A5A" w:rsidRDefault="00824644" w:rsidP="00B9098D">
            <w:pPr>
              <w:jc w:val="right"/>
              <w:rPr>
                <w:color w:val="000000"/>
              </w:rPr>
            </w:pPr>
            <w:r w:rsidRPr="00A97A5A">
              <w:rPr>
                <w:color w:val="000000"/>
              </w:rPr>
              <w:t>323</w:t>
            </w:r>
          </w:p>
        </w:tc>
      </w:tr>
    </w:tbl>
    <w:p w14:paraId="0DC30959" w14:textId="77777777" w:rsidR="00824644" w:rsidRPr="007924D2" w:rsidRDefault="00824644" w:rsidP="00824644">
      <w:r w:rsidRPr="007924D2">
        <w:rPr>
          <w:b/>
          <w:bCs/>
        </w:rPr>
        <w:t xml:space="preserve">Supplementary Table </w:t>
      </w:r>
      <w:r>
        <w:rPr>
          <w:b/>
          <w:bCs/>
        </w:rPr>
        <w:t>4</w:t>
      </w:r>
      <w:r w:rsidRPr="007924D2">
        <w:rPr>
          <w:b/>
          <w:bCs/>
        </w:rPr>
        <w:t>.</w:t>
      </w:r>
      <w:r w:rsidRPr="007924D2">
        <w:t xml:space="preserve"> Study characteristics</w:t>
      </w:r>
      <w:r>
        <w:t xml:space="preserve"> of the included studies in the meta- analysis.</w:t>
      </w:r>
    </w:p>
    <w:p w14:paraId="562B10F0" w14:textId="62A5026C" w:rsidR="00824644" w:rsidRDefault="00824644" w:rsidP="00824644">
      <w:r w:rsidRPr="007924D2">
        <w:t>USA: United States of America; ICD: International Classification of Disease codes</w:t>
      </w:r>
    </w:p>
    <w:p w14:paraId="1C332971" w14:textId="6F5AC88A" w:rsidR="00824644" w:rsidRPr="00B06B0E" w:rsidRDefault="00824644" w:rsidP="00824644">
      <w:pPr>
        <w:rPr>
          <w:b/>
          <w:bCs/>
        </w:rPr>
      </w:pPr>
      <w:r>
        <w:rPr>
          <w:b/>
          <w:bCs/>
        </w:rPr>
        <w:t>R</w:t>
      </w:r>
      <w:r w:rsidRPr="006C1ACA">
        <w:rPr>
          <w:b/>
          <w:bCs/>
        </w:rPr>
        <w:t>andom-effects meta-regression model</w:t>
      </w:r>
    </w:p>
    <w:p w14:paraId="71C9A665" w14:textId="77777777" w:rsidR="00824644" w:rsidRPr="007924D2" w:rsidRDefault="00824644" w:rsidP="00824644">
      <w:r w:rsidRPr="007924D2">
        <w:t xml:space="preserve">We fitted a random-effects meta-regression model with age of asthma diagnosis (age) and the number of infant antibiotic prescriptions (dose) as covariates and with adjusted odds ratio (aOR) as the response variable. For study </w:t>
      </w:r>
      <m:oMath>
        <m:r>
          <w:rPr>
            <w:rFonts w:ascii="Cambria Math" w:hAnsi="Cambria Math"/>
          </w:rPr>
          <m:t>i,</m:t>
        </m:r>
      </m:oMath>
    </w:p>
    <w:p w14:paraId="6001626E" w14:textId="77777777" w:rsidR="00824644" w:rsidRPr="007924D2" w:rsidRDefault="00000000" w:rsidP="00824644">
      <w:pPr>
        <w:rPr>
          <w:rFonts w:eastAsiaTheme="minorEastAsia"/>
        </w:rPr>
      </w:pPr>
      <m:oMathPara>
        <m:oMath>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aO</m:t>
                  </m:r>
                  <m:sSub>
                    <m:sSubPr>
                      <m:ctrlPr>
                        <w:rPr>
                          <w:rFonts w:ascii="Cambria Math" w:hAnsi="Cambria Math"/>
                          <w:i/>
                        </w:rPr>
                      </m:ctrlPr>
                    </m:sSubPr>
                    <m:e>
                      <m:r>
                        <w:rPr>
                          <w:rFonts w:ascii="Cambria Math" w:hAnsi="Cambria Math"/>
                        </w:rPr>
                        <m:t>R</m:t>
                      </m:r>
                    </m:e>
                    <m:sub>
                      <m:r>
                        <w:rPr>
                          <w:rFonts w:ascii="Cambria Math" w:hAnsi="Cambria Math"/>
                        </w:rPr>
                        <m:t>i</m:t>
                      </m:r>
                    </m:sub>
                  </m:sSub>
                  <m:d>
                    <m:dPr>
                      <m:ctrlPr>
                        <w:rPr>
                          <w:rFonts w:ascii="Cambria Math" w:hAnsi="Cambria Math"/>
                          <w:i/>
                        </w:rPr>
                      </m:ctrlPr>
                    </m:dPr>
                    <m:e>
                      <m:r>
                        <w:rPr>
                          <w:rFonts w:ascii="Cambria Math" w:hAnsi="Cambria Math"/>
                        </w:rPr>
                        <m:t>age,dose</m:t>
                      </m:r>
                    </m:e>
                  </m:d>
                </m:e>
              </m:d>
            </m:e>
          </m:func>
          <m:r>
            <w:rPr>
              <w:rFonts w:ascii="Cambria Math" w:hAnsi="Cambria Math"/>
            </w:rPr>
            <m:t>~ Normal</m:t>
          </m:r>
          <m:d>
            <m:dPr>
              <m:ctrlPr>
                <w:rPr>
                  <w:rFonts w:ascii="Cambria Math" w:hAnsi="Cambria Math"/>
                  <w:i/>
                </w:rPr>
              </m:ctrlPr>
            </m:dPr>
            <m:e>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age+</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dose+</m:t>
              </m:r>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2</m:t>
                  </m:r>
                </m:sup>
              </m:sSubSup>
            </m:e>
          </m:d>
        </m:oMath>
      </m:oMathPara>
    </w:p>
    <w:p w14:paraId="302A0BD3" w14:textId="77777777" w:rsidR="00824644" w:rsidRPr="00425D23" w:rsidRDefault="00000000" w:rsidP="00824644">
      <w:pPr>
        <w:rPr>
          <w:rFonts w:eastAsiaTheme="minorEastAsia"/>
          <w:i/>
        </w:rPr>
      </w:pPr>
      <m:oMathPara>
        <m:oMath>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 xml:space="preserve"> ~ Normal</m:t>
          </m:r>
          <m:d>
            <m:dPr>
              <m:ctrlPr>
                <w:rPr>
                  <w:rFonts w:ascii="Cambria Math" w:hAnsi="Cambria Math"/>
                  <w:i/>
                </w:rPr>
              </m:ctrlPr>
            </m:dPr>
            <m:e>
              <m:r>
                <w:rPr>
                  <w:rFonts w:ascii="Cambria Math" w:hAnsi="Cambria Math"/>
                </w:rPr>
                <m:t>0,</m:t>
              </m:r>
              <m:r>
                <m:rPr>
                  <m:sty m:val="p"/>
                </m:rPr>
                <w:rPr>
                  <w:rFonts w:ascii="Cambria Math" w:hAnsi="Cambria Math"/>
                </w:rPr>
                <m:t>Σ</m:t>
              </m:r>
            </m:e>
          </m:d>
        </m:oMath>
      </m:oMathPara>
    </w:p>
    <w:p w14:paraId="58146CC7" w14:textId="77777777" w:rsidR="00824644" w:rsidRPr="007924D2" w:rsidRDefault="00824644" w:rsidP="00824644">
      <w:pPr>
        <w:rPr>
          <w:rFonts w:eastAsiaTheme="minorEastAsia"/>
        </w:rPr>
      </w:pPr>
      <m:oMathPara>
        <m:oMath>
          <m:r>
            <m:rPr>
              <m:sty m:val="p"/>
            </m:rPr>
            <w:rPr>
              <w:rFonts w:ascii="Cambria Math" w:eastAsiaTheme="minorEastAsia" w:hAnsi="Cambria Math"/>
            </w:rPr>
            <m:t>Σ</m:t>
          </m:r>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L*</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T</m:t>
                  </m:r>
                </m:sup>
              </m:sSup>
            </m:e>
          </m:d>
          <m:r>
            <w:rPr>
              <w:rFonts w:ascii="Cambria Math" w:eastAsiaTheme="minorEastAsia" w:hAnsi="Cambria Math"/>
            </w:rPr>
            <m:t xml:space="preserve">V </m:t>
          </m:r>
          <m:d>
            <m:dPr>
              <m:ctrlPr>
                <w:rPr>
                  <w:rFonts w:ascii="Cambria Math" w:eastAsiaTheme="minorEastAsia" w:hAnsi="Cambria Math"/>
                  <w:i/>
                </w:rPr>
              </m:ctrlPr>
            </m:dPr>
            <m:e>
              <m:r>
                <w:rPr>
                  <w:rFonts w:ascii="Cambria Math" w:eastAsiaTheme="minorEastAsia" w:hAnsi="Cambria Math"/>
                </w:rPr>
                <m:t>Cholesky factorization</m:t>
              </m:r>
            </m:e>
          </m:d>
        </m:oMath>
      </m:oMathPara>
    </w:p>
    <w:p w14:paraId="229DE0F1" w14:textId="77777777" w:rsidR="00824644" w:rsidRPr="007924D2" w:rsidRDefault="00000000" w:rsidP="00824644">
      <w:pPr>
        <w:rPr>
          <w:rFonts w:eastAsiaTheme="minorEastAsia"/>
        </w:rPr>
      </w:pPr>
      <m:oMathPara>
        <m:oMath>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hAnsi="Cambria Math"/>
            </w:rPr>
            <m:t>~Normal(0,</m:t>
          </m:r>
          <m:sSubSup>
            <m:sSubSupPr>
              <m:ctrlPr>
                <w:rPr>
                  <w:rFonts w:ascii="Cambria Math" w:eastAsiaTheme="minorEastAsia" w:hAnsi="Cambria Math"/>
                  <w:i/>
                </w:rPr>
              </m:ctrlPr>
            </m:sSubSupPr>
            <m:e>
              <m:r>
                <w:rPr>
                  <w:rFonts w:ascii="Cambria Math" w:hAnsi="Cambria Math"/>
                </w:rPr>
                <m:t>σ</m:t>
              </m:r>
              <m:ctrlPr>
                <w:rPr>
                  <w:rFonts w:ascii="Cambria Math" w:hAnsi="Cambria Math"/>
                  <w:i/>
                </w:rPr>
              </m:ctrlPr>
            </m:e>
            <m:sub>
              <m:r>
                <w:rPr>
                  <w:rFonts w:ascii="Cambria Math" w:hAnsi="Cambria Math"/>
                </w:rPr>
                <m:t>u</m:t>
              </m:r>
            </m:sub>
            <m:sup>
              <m:r>
                <w:rPr>
                  <w:rFonts w:ascii="Cambria Math" w:hAnsi="Cambria Math"/>
                </w:rPr>
                <m:t>2</m:t>
              </m:r>
              <m:ctrlPr>
                <w:rPr>
                  <w:rFonts w:ascii="Cambria Math" w:hAnsi="Cambria Math"/>
                  <w:i/>
                </w:rPr>
              </m:ctrlPr>
            </m:sup>
          </m:sSubSup>
          <m:r>
            <w:rPr>
              <w:rFonts w:ascii="Cambria Math" w:hAnsi="Cambria Math"/>
            </w:rPr>
            <m:t>)</m:t>
          </m:r>
        </m:oMath>
      </m:oMathPara>
    </w:p>
    <w:p w14:paraId="1DCB3E71" w14:textId="77777777" w:rsidR="00824644" w:rsidRPr="007924D2" w:rsidRDefault="00824644" w:rsidP="00824644">
      <w:pPr>
        <w:rPr>
          <w:rFonts w:eastAsiaTheme="minorEastAsia"/>
        </w:rPr>
      </w:pPr>
      <w:r w:rsidRPr="007924D2">
        <w:rPr>
          <w:rFonts w:eastAsiaTheme="minorEastAsia"/>
        </w:rPr>
        <w:lastRenderedPageBreak/>
        <w:t xml:space="preserve">We used the standard error of </w:t>
      </w:r>
      <m:oMath>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aO</m:t>
                </m:r>
                <m:sSub>
                  <m:sSubPr>
                    <m:ctrlPr>
                      <w:rPr>
                        <w:rFonts w:ascii="Cambria Math" w:hAnsi="Cambria Math"/>
                        <w:i/>
                      </w:rPr>
                    </m:ctrlPr>
                  </m:sSubPr>
                  <m:e>
                    <m:r>
                      <w:rPr>
                        <w:rFonts w:ascii="Cambria Math" w:hAnsi="Cambria Math"/>
                      </w:rPr>
                      <m:t>R</m:t>
                    </m:r>
                  </m:e>
                  <m:sub>
                    <m:r>
                      <w:rPr>
                        <w:rFonts w:ascii="Cambria Math" w:hAnsi="Cambria Math"/>
                      </w:rPr>
                      <m:t>i</m:t>
                    </m:r>
                  </m:sub>
                </m:sSub>
                <m:d>
                  <m:dPr>
                    <m:ctrlPr>
                      <w:rPr>
                        <w:rFonts w:ascii="Cambria Math" w:hAnsi="Cambria Math"/>
                        <w:i/>
                      </w:rPr>
                    </m:ctrlPr>
                  </m:dPr>
                  <m:e>
                    <m:r>
                      <w:rPr>
                        <w:rFonts w:ascii="Cambria Math" w:hAnsi="Cambria Math"/>
                      </w:rPr>
                      <m:t>age,dose</m:t>
                    </m:r>
                  </m:e>
                </m:d>
              </m:e>
            </m:d>
          </m:e>
        </m:func>
      </m:oMath>
      <w:r w:rsidRPr="007924D2">
        <w:rPr>
          <w:rFonts w:eastAsiaTheme="minorEastAsia"/>
        </w:rPr>
        <w:t xml:space="preserve"> reported in study </w:t>
      </w:r>
      <m:oMath>
        <m:r>
          <w:rPr>
            <w:rFonts w:ascii="Cambria Math" w:eastAsiaTheme="minorEastAsia" w:hAnsi="Cambria Math"/>
          </w:rPr>
          <m:t>i</m:t>
        </m:r>
      </m:oMath>
      <w:r w:rsidRPr="007924D2">
        <w:rPr>
          <w:rFonts w:eastAsiaTheme="minorEastAsia"/>
        </w:rPr>
        <w:t xml:space="preserve"> as if it were true value of </w:t>
      </w:r>
      <m:oMath>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2</m:t>
            </m:r>
          </m:sup>
        </m:sSubSup>
      </m:oMath>
      <w:r w:rsidRPr="007924D2">
        <w:rPr>
          <w:rFonts w:eastAsiaTheme="minorEastAsia"/>
        </w:rPr>
        <w:t xml:space="preserve">. </w:t>
      </w:r>
      <w:r>
        <w:rPr>
          <w:rFonts w:eastAsiaTheme="minorEastAsia"/>
        </w:rPr>
        <w:t xml:space="preserve">We deemed this approach reasonable, considering the large size of each of the included studies. </w:t>
      </w:r>
      <w:r w:rsidRPr="007924D2">
        <w:rPr>
          <w:rFonts w:eastAsiaTheme="minorEastAsia"/>
        </w:rPr>
        <w:t>The priors were specified as follows.</w:t>
      </w:r>
    </w:p>
    <w:p w14:paraId="19273411" w14:textId="77777777" w:rsidR="00824644" w:rsidRPr="007924D2" w:rsidRDefault="00000000" w:rsidP="00824644">
      <w:pPr>
        <w:rPr>
          <w:rFonts w:eastAsiaTheme="minorEastAsia"/>
        </w:rPr>
      </w:pPr>
      <m:oMathPara>
        <m:oMath>
          <m:sSub>
            <m:sSubPr>
              <m:ctrlPr>
                <w:rPr>
                  <w:rFonts w:ascii="Cambria Math" w:hAnsi="Cambria Math"/>
                  <w:i/>
                </w:rPr>
              </m:ctrlPr>
            </m:sSubPr>
            <m:e>
              <m:r>
                <w:rPr>
                  <w:rFonts w:ascii="Cambria Math" w:hAnsi="Cambria Math"/>
                </w:rPr>
                <m:t>σ</m:t>
              </m:r>
            </m:e>
            <m:sub>
              <m:r>
                <w:rPr>
                  <w:rFonts w:ascii="Cambria Math" w:hAnsi="Cambria Math"/>
                </w:rPr>
                <m:t>u</m:t>
              </m:r>
            </m:sub>
          </m:sSub>
          <m:r>
            <w:rPr>
              <w:rFonts w:ascii="Cambria Math" w:hAnsi="Cambria Math"/>
            </w:rPr>
            <m:t>~LogNormal</m:t>
          </m:r>
          <m:d>
            <m:dPr>
              <m:ctrlPr>
                <w:rPr>
                  <w:rFonts w:ascii="Cambria Math" w:hAnsi="Cambria Math"/>
                  <w:i/>
                </w:rPr>
              </m:ctrlPr>
            </m:dPr>
            <m:e>
              <m:sSup>
                <m:sSupPr>
                  <m:ctrlPr>
                    <w:rPr>
                      <w:rFonts w:ascii="Cambria Math" w:hAnsi="Cambria Math"/>
                      <w:i/>
                    </w:rPr>
                  </m:ctrlPr>
                </m:sSupPr>
                <m:e>
                  <m:r>
                    <w:rPr>
                      <w:rFonts w:ascii="Cambria Math" w:hAnsi="Cambria Math"/>
                    </w:rPr>
                    <m:t>0,10</m:t>
                  </m:r>
                </m:e>
                <m:sup>
                  <m:r>
                    <w:rPr>
                      <w:rFonts w:ascii="Cambria Math" w:hAnsi="Cambria Math"/>
                    </w:rPr>
                    <m:t>2</m:t>
                  </m:r>
                </m:sup>
              </m:sSup>
            </m:e>
          </m:d>
        </m:oMath>
      </m:oMathPara>
    </w:p>
    <w:p w14:paraId="100540CD" w14:textId="77777777" w:rsidR="00824644" w:rsidRPr="007924D2" w:rsidRDefault="00000000" w:rsidP="00824644">
      <w:pPr>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ii</m:t>
              </m:r>
            </m:sub>
          </m:sSub>
          <m:r>
            <w:rPr>
              <w:rFonts w:ascii="Cambria Math" w:hAnsi="Cambria Math"/>
            </w:rPr>
            <m:t>~Cauchy(0,5)</m:t>
          </m:r>
        </m:oMath>
      </m:oMathPara>
    </w:p>
    <w:p w14:paraId="3493BD08" w14:textId="77777777" w:rsidR="00824644" w:rsidRPr="007924D2" w:rsidRDefault="00824644" w:rsidP="00824644">
      <w:pPr>
        <w:rPr>
          <w:rFonts w:eastAsiaTheme="minorEastAsia"/>
        </w:rPr>
      </w:pPr>
      <m:oMathPara>
        <m:oMath>
          <m:r>
            <w:rPr>
              <w:rFonts w:ascii="Cambria Math" w:hAnsi="Cambria Math"/>
            </w:rPr>
            <m:t>L~LKJ_corr_cholesky(1.0)</m:t>
          </m:r>
        </m:oMath>
      </m:oMathPara>
    </w:p>
    <w:p w14:paraId="63BC44BC" w14:textId="76FA0124" w:rsidR="00824644" w:rsidRDefault="00824644" w:rsidP="00824644">
      <w:pPr>
        <w:rPr>
          <w:rFonts w:eastAsiaTheme="minorEastAsia"/>
        </w:rPr>
      </w:pPr>
      <w:r w:rsidRPr="007924D2">
        <w:rPr>
          <w:rFonts w:eastAsiaTheme="minorEastAsia"/>
        </w:rPr>
        <w:t xml:space="preserve">Note that </w:t>
      </w:r>
      <m:oMath>
        <m:r>
          <w:rPr>
            <w:rFonts w:ascii="Cambria Math" w:hAnsi="Cambria Math"/>
          </w:rPr>
          <m:t>LKJ_corr_cholesky(1.0)</m:t>
        </m:r>
      </m:oMath>
      <w:r w:rsidRPr="007924D2">
        <w:rPr>
          <w:rFonts w:eastAsiaTheme="minorEastAsia"/>
        </w:rPr>
        <w:t xml:space="preserve"> implies that</w:t>
      </w:r>
      <w:r w:rsidRPr="007924D2">
        <w:t xml:space="preserve"> </w:t>
      </w:r>
      <w:r w:rsidRPr="007924D2">
        <w:rPr>
          <w:rFonts w:eastAsiaTheme="minorEastAsia"/>
        </w:rPr>
        <w:t xml:space="preserve">the probability density is uniform over all possible correlation matrices </w:t>
      </w:r>
      <w:r w:rsidRPr="007924D2">
        <w:rPr>
          <w:rFonts w:eastAsiaTheme="minorEastAsia"/>
        </w:rPr>
        <w:fldChar w:fldCharType="begin"/>
      </w:r>
      <w:r w:rsidR="00ED321B">
        <w:rPr>
          <w:rFonts w:eastAsiaTheme="minorEastAsia"/>
        </w:rPr>
        <w:instrText xml:space="preserve"> ADDIN ZOTERO_ITEM CSL_CITATION {"citationID":"CwZZHbnr","properties":{"formattedCitation":"(2)","plainCitation":"(2)","noteIndex":0},"citationItems":[{"id":7038,"uris":["http://zotero.org/users/5985287/items/H9DM5QWC"],"itemData":{"id":7038,"type":"article-journal","abstract":"We extend and improve two existing methods of generating random correlation matrices, the onion method of Ghosh and Henderson [S. Ghosh, S.G. Henderson, Behavior of the norta method for correlated random vector generation as the dimension increases, ACM Transactions on Modeling and Computer Simulation (TOMACS) 13 (3) (2003) 276–294] and the recently proposed method of Joe [H. Joe, Generating random correlation matrices based on partial correlations, Journal of Multivariate Analysis 97 (2006) 2177–2189] based on partial correlations. The latter is based on the so-called D-vine. We extend the methodology to any regular vine and study the relationship between the multiple correlation and partial correlations on a regular vine. We explain the onion method in terms of elliptical distributions and extend it to allow generating random correlation matrices from the same joint distribution as the vine method. The methods are compared in terms of time necessary to generate 5000 random correlation matrices of given dimensions.","container-title":"Journal of Multivariate Analysis","DOI":"10.1016/j.jmva.2009.04.008","ISSN":"0047-259X","issue":"9","journalAbbreviation":"J Multivariate Anal","page":"1989-2001","source":"ScienceDirect","title":"Generating random correlation matrices based on vines and extended onion method","volume":"100","author":[{"family":"Lewandowski","given":"Daniel"},{"family":"Kurowicka","given":"Dorota"},{"family":"Joe","given":"Harry"}],"issued":{"date-parts":[["2009",10,1]]},"citation-key":"lewandowskiGeneratingRandomCorrelation2009"}}],"schema":"https://github.com/citation-style-language/schema/raw/master/csl-citation.json"} </w:instrText>
      </w:r>
      <w:r w:rsidRPr="007924D2">
        <w:rPr>
          <w:rFonts w:eastAsiaTheme="minorEastAsia"/>
        </w:rPr>
        <w:fldChar w:fldCharType="separate"/>
      </w:r>
      <w:r w:rsidR="00ED321B">
        <w:rPr>
          <w:rFonts w:cs="Times New Roman"/>
        </w:rPr>
        <w:t>(2)</w:t>
      </w:r>
      <w:r w:rsidRPr="007924D2">
        <w:rPr>
          <w:rFonts w:eastAsiaTheme="minorEastAsia"/>
        </w:rPr>
        <w:fldChar w:fldCharType="end"/>
      </w:r>
      <w:r w:rsidRPr="007924D2">
        <w:rPr>
          <w:rFonts w:eastAsiaTheme="minorEastAsia"/>
        </w:rPr>
        <w:t xml:space="preserve">. </w:t>
      </w:r>
    </w:p>
    <w:p w14:paraId="1E324538" w14:textId="225DEFE3" w:rsidR="00824644" w:rsidRDefault="00824644" w:rsidP="00824644">
      <w:pPr>
        <w:rPr>
          <w:rFonts w:eastAsiaTheme="minorEastAsia"/>
        </w:rPr>
      </w:pPr>
      <w:r>
        <w:rPr>
          <w:rFonts w:eastAsiaTheme="minorEastAsia"/>
        </w:rPr>
        <w:t xml:space="preserve">Fitting this model in R Stan provides the posterior distributions of the coefficients along with their summary statistics including their posterior means and credible intervals. Moreover, it provides the posterior prediction of the random-effects term </w:t>
      </w:r>
      <m:oMath>
        <m:sSub>
          <m:sSubPr>
            <m:ctrlPr>
              <w:rPr>
                <w:rFonts w:ascii="Cambria Math" w:hAnsi="Cambria Math"/>
                <w:i/>
              </w:rPr>
            </m:ctrlPr>
          </m:sSubPr>
          <m:e>
            <m:r>
              <w:rPr>
                <w:rFonts w:ascii="Cambria Math" w:hAnsi="Cambria Math"/>
              </w:rPr>
              <m:t>u</m:t>
            </m:r>
          </m:e>
          <m:sub>
            <m:r>
              <w:rPr>
                <w:rFonts w:ascii="Cambria Math" w:hAnsi="Cambria Math"/>
              </w:rPr>
              <m:t>i</m:t>
            </m:r>
          </m:sub>
        </m:sSub>
      </m:oMath>
      <w:r>
        <w:rPr>
          <w:rFonts w:eastAsiaTheme="minorEastAsia"/>
        </w:rPr>
        <w:t xml:space="preserve"> for each study </w:t>
      </w:r>
      <m:oMath>
        <m:r>
          <w:rPr>
            <w:rFonts w:ascii="Cambria Math" w:hAnsi="Cambria Math"/>
          </w:rPr>
          <m:t>i</m:t>
        </m:r>
      </m:oMath>
      <w:r>
        <w:rPr>
          <w:rFonts w:eastAsiaTheme="minorEastAsia"/>
        </w:rPr>
        <w:t xml:space="preserve"> (this was how we obtained </w:t>
      </w:r>
      <m:oMath>
        <m:sSub>
          <m:sSubPr>
            <m:ctrlPr>
              <w:rPr>
                <w:rFonts w:ascii="Cambria Math" w:hAnsi="Cambria Math"/>
                <w:i/>
              </w:rPr>
            </m:ctrlPr>
          </m:sSubPr>
          <m:e>
            <m:r>
              <w:rPr>
                <w:rFonts w:ascii="Cambria Math" w:hAnsi="Cambria Math"/>
              </w:rPr>
              <m:t>β</m:t>
            </m:r>
          </m:e>
          <m:sub>
            <m:r>
              <w:rPr>
                <w:rFonts w:ascii="Cambria Math" w:hAnsi="Cambria Math"/>
              </w:rPr>
              <m:t>Canada</m:t>
            </m:r>
          </m:sub>
        </m:sSub>
        <m:r>
          <w:rPr>
            <w:rFonts w:ascii="Cambria Math" w:hAnsi="Cambria Math"/>
          </w:rPr>
          <m:t xml:space="preserve"> </m:t>
        </m:r>
      </m:oMath>
      <w:r>
        <w:rPr>
          <w:rFonts w:eastAsiaTheme="minorEastAsia"/>
        </w:rPr>
        <w:t xml:space="preserve">in Eq. 1). Despite the small sample size of the included studies (n=6), the model was fitted well. For each parameter in </w:t>
      </w:r>
      <w:r w:rsidRPr="00564A08">
        <w:rPr>
          <w:rFonts w:eastAsiaTheme="minorEastAsia"/>
          <w:b/>
          <w:bCs/>
        </w:rPr>
        <w:t>Table 1</w:t>
      </w:r>
      <w:r>
        <w:rPr>
          <w:rFonts w:eastAsiaTheme="minorEastAsia"/>
        </w:rPr>
        <w:t>, the effective sample size of the Monte Carlo Markov Chain (MCMC) samples was at least 50% (implying at least 5,000 out of 10,000 MCMC samples were independent draws) and the R-hat statistic was equal to 1 (implying the model successfully converged for these parameters).</w:t>
      </w:r>
    </w:p>
    <w:p w14:paraId="61AE6631" w14:textId="08C8A1A6" w:rsidR="00824644" w:rsidRDefault="00824644" w:rsidP="00824644">
      <w:pPr>
        <w:rPr>
          <w:rFonts w:eastAsiaTheme="minorEastAsia"/>
        </w:rPr>
      </w:pPr>
      <w:r>
        <w:rPr>
          <w:rFonts w:eastAsiaTheme="minorEastAsia"/>
        </w:rPr>
        <w:t>T</w:t>
      </w:r>
      <w:r w:rsidRPr="007924D2">
        <w:rPr>
          <w:rFonts w:eastAsiaTheme="minorEastAsia"/>
        </w:rPr>
        <w:t>he R Stan code</w:t>
      </w:r>
      <w:r>
        <w:rPr>
          <w:rFonts w:eastAsiaTheme="minorEastAsia"/>
        </w:rPr>
        <w:t xml:space="preserve"> is</w:t>
      </w:r>
      <w:r w:rsidRPr="007924D2">
        <w:rPr>
          <w:rFonts w:eastAsiaTheme="minorEastAsia"/>
        </w:rPr>
        <w:t xml:space="preserve"> provided in the GitHub repository</w:t>
      </w:r>
      <w:r>
        <w:rPr>
          <w:rFonts w:eastAsiaTheme="minorEastAsia"/>
        </w:rPr>
        <w:t xml:space="preserve"> (</w:t>
      </w:r>
      <w:hyperlink r:id="rId15" w:history="1">
        <w:r w:rsidRPr="00EB1E0F">
          <w:rPr>
            <w:rStyle w:val="Hyperlink"/>
            <w:rFonts w:eastAsiaTheme="minorEastAsia"/>
          </w:rPr>
          <w:t>https://github.com/tyhlee/ImpactInfantAbxAsthma</w:t>
        </w:r>
      </w:hyperlink>
      <w:r>
        <w:rPr>
          <w:rFonts w:eastAsiaTheme="minorEastAsia"/>
        </w:rPr>
        <w:t>).</w:t>
      </w:r>
    </w:p>
    <w:p w14:paraId="7F369A26" w14:textId="5E519DE0" w:rsidR="00824644" w:rsidRPr="00B06B0E" w:rsidRDefault="00824644" w:rsidP="00B06B0E">
      <w:pPr>
        <w:pStyle w:val="ListParagraph"/>
        <w:numPr>
          <w:ilvl w:val="0"/>
          <w:numId w:val="20"/>
        </w:numPr>
        <w:spacing w:before="0" w:after="0"/>
        <w:rPr>
          <w:b/>
          <w:bCs/>
        </w:rPr>
      </w:pPr>
      <w:r w:rsidRPr="00693232">
        <w:rPr>
          <w:b/>
          <w:bCs/>
        </w:rPr>
        <w:t>Validation of the asthma policy model under the base (factual) scenario</w:t>
      </w:r>
    </w:p>
    <w:p w14:paraId="7C8CD6A5" w14:textId="2FD3AFA3" w:rsidR="00B06B0E" w:rsidRDefault="00824644" w:rsidP="00B06B0E">
      <w:r>
        <w:t>We show three figures for the validation of the asthma policy model under the base (factual) scenario: demographics, asthma incidence and asthma prevalence. For further details, see Lee et al.</w:t>
      </w:r>
      <w:r>
        <w:fldChar w:fldCharType="begin"/>
      </w:r>
      <w:r w:rsidR="00ED321B">
        <w:instrText xml:space="preserve"> ADDIN ZOTERO_ITEM CSL_CITATION {"citationID":"6KsSvl6T","properties":{"formattedCitation":"(3)","plainCitation":"(3)","noteIndex":0},"citationItems":[{"id":7394,"uris":["http://zotero.org/users/5985287/items/3LFAJ6ZC"],"itemData":{"id":7394,"type":"article","abstract":"Purpose: To develop Lifetime Exposures and Asthma outcomes Projection (LEAP), a reference policy model for evaluating health outcomes and costs of asthma interventions and policies for the Canadian population. Methods: Following the best practice guidelines for development, we first created a conceptual map with a steering committee of clinician experts and economic modelers through a modified Delphi-process. Following the committee's recommendations and given the multidimensionality of risk factors and the need for modeling realistic aspects (e.g., gradual market penetration) of adopting health technologies, we opted for an open-population microsimulation design. For the first version of the model, we concentrated on several key risk factors (age, sex, family history of asthma at birth, and exposure to antibiotics in the first year of life) from the concept map. The model consists of five intertwined modules: 1) demographic, 2) risk factors, 3) asthma occurrence, 4) asthma outcomes, and 5) payoffs. The demographic module, including birth, mortality, immigration, and emigration, was based on sex- and age-specific estimates and projections from Statistics Canada. The distributions of risk factors, including family history of asthma and exposure to antibiotics, were estimated from population-based administrative databases and a population-based longitudinal birth cohort. To estimate parameters in the asthma occurrence (prevalence, incidence, reassessment) and asthma outcomes (severity, symptom control, exacerbations) modules, we performed quantitative evidence synthesis. Costs and utility weights were obtained from the literature. We conducted multiple face and internal validation assessments. Results: LEAP is capable of modeling asthma-related health outcomes at the individual and aggregate levels from 2001 onwards. Face validity was confirmed by checking the structure, equations, codes, and results. We calibrated and internally validated the age-sex stratified demographic projections to the estimates and projections from Statistics Canada, the age-sex stratified asthma prevalence to the administrative data, and the asthma control levels and exacerbation rates to the estimates from the literature. Conclusions: LEAP is the first reference Canadian asthma policy model that emerged from identified needs for health policy planning for early interventions in asthma. As an open-source and open-access platform, LEAP can provide a unified framework under which different interventions and policies can be consistently compared to identify those with the highest value proposition.","DOI":"10.1101/2024.03.11.24304122","language":"en","license":"© 2024, Posted by Cold Spring Harbor Laboratory. This pre-print is available under a Creative Commons License (Attribution 4.0 International), CC BY 4.0, as described at http://creativecommons.org/licenses/by/4.0/","note":"page: 2024.03.11.24304122","publisher":"medRxiv","source":"medRxiv","title":"Development and Validation of an Asthma Policy Model for Canada:Lifetime Exposures and Asthma outcomes Projection (LEAP)","title-short":"Development and Validation of an Asthma Policy Model for Canada","author":[{"family":"Lee","given":"Tae Yoon"},{"family":"Petkau","given":"John"},{"family":"Johnson","given":"Kate M."},{"family":"Turvey","given":"Stuart"},{"family":"Adibi","given":"Amin"},{"family":"Subbarao","given":"Padmaja"},{"family":"Sadatsafavi","given":"Mohsen"}],"accessed":{"date-parts":[["2024",3,14]]},"issued":{"date-parts":[["2024",3,13]]},"citation-key":"leeDevelopmentValidationAsthma2024a"}}],"schema":"https://github.com/citation-style-language/schema/raw/master/csl-citation.json"} </w:instrText>
      </w:r>
      <w:r>
        <w:fldChar w:fldCharType="separate"/>
      </w:r>
      <w:r w:rsidR="00ED321B">
        <w:rPr>
          <w:rFonts w:cs="Times New Roman"/>
        </w:rPr>
        <w:t>(3)</w:t>
      </w:r>
      <w:r>
        <w:fldChar w:fldCharType="end"/>
      </w:r>
    </w:p>
    <w:p w14:paraId="17209714" w14:textId="77777777" w:rsidR="00B06B0E" w:rsidRDefault="00B06B0E" w:rsidP="00B06B0E"/>
    <w:p w14:paraId="027118E5" w14:textId="77777777" w:rsidR="00515487" w:rsidRDefault="00824644" w:rsidP="00824644">
      <w:pPr>
        <w:rPr>
          <w:rFonts w:eastAsiaTheme="minorEastAsia"/>
        </w:rPr>
      </w:pPr>
      <w:r>
        <w:rPr>
          <w:rFonts w:eastAsiaTheme="minorEastAsia"/>
          <w:noProof/>
        </w:rPr>
        <w:lastRenderedPageBreak/>
        <w:drawing>
          <wp:inline distT="0" distB="0" distL="0" distR="0" wp14:anchorId="2BC4AB21" wp14:editId="32E5E55C">
            <wp:extent cx="5355694" cy="3749040"/>
            <wp:effectExtent l="0" t="0" r="3810" b="0"/>
            <wp:docPr id="192221644" name="Picture 3" descr="A graph of the number of ye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21644" name="Picture 3" descr="A graph of the number of years&#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78224" cy="3764812"/>
                    </a:xfrm>
                    <a:prstGeom prst="rect">
                      <a:avLst/>
                    </a:prstGeom>
                  </pic:spPr>
                </pic:pic>
              </a:graphicData>
            </a:graphic>
          </wp:inline>
        </w:drawing>
      </w:r>
      <w:r w:rsidRPr="007924D2">
        <w:rPr>
          <w:b/>
          <w:bCs/>
        </w:rPr>
        <w:t xml:space="preserve">Supplementary </w:t>
      </w:r>
      <w:r>
        <w:rPr>
          <w:b/>
          <w:bCs/>
        </w:rPr>
        <w:t>Figure 2</w:t>
      </w:r>
      <w:r w:rsidRPr="007924D2">
        <w:rPr>
          <w:rFonts w:eastAsiaTheme="minorEastAsia"/>
        </w:rPr>
        <w:t xml:space="preserve">: </w:t>
      </w:r>
      <w:r>
        <w:rPr>
          <w:rFonts w:eastAsiaTheme="minorEastAsia"/>
        </w:rPr>
        <w:t>Population by age across selected years from the model (grey solid) and from Statistics Canada (black dashed).</w:t>
      </w:r>
    </w:p>
    <w:p w14:paraId="7D2F49A5" w14:textId="7A2F44D8" w:rsidR="00824644" w:rsidRPr="007924D2" w:rsidRDefault="00824644" w:rsidP="00824644">
      <w:pPr>
        <w:rPr>
          <w:rFonts w:eastAsiaTheme="minorEastAsia"/>
        </w:rPr>
      </w:pPr>
      <w:r>
        <w:rPr>
          <w:rFonts w:eastAsiaTheme="minorEastAsia"/>
          <w:noProof/>
        </w:rPr>
        <w:drawing>
          <wp:inline distT="0" distB="0" distL="0" distR="0" wp14:anchorId="389CC221" wp14:editId="70D03F4E">
            <wp:extent cx="5225067" cy="3657600"/>
            <wp:effectExtent l="0" t="0" r="0" b="0"/>
            <wp:docPr id="706362676" name="Picture 6" descr="A graph of different age group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362676" name="Picture 6" descr="A graph of different age groups&#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40994" cy="3668749"/>
                    </a:xfrm>
                    <a:prstGeom prst="rect">
                      <a:avLst/>
                    </a:prstGeom>
                  </pic:spPr>
                </pic:pic>
              </a:graphicData>
            </a:graphic>
          </wp:inline>
        </w:drawing>
      </w:r>
      <w:r w:rsidRPr="007924D2">
        <w:rPr>
          <w:b/>
          <w:bCs/>
        </w:rPr>
        <w:t xml:space="preserve">Supplementary </w:t>
      </w:r>
      <w:r>
        <w:rPr>
          <w:b/>
          <w:bCs/>
        </w:rPr>
        <w:t>Figure 3</w:t>
      </w:r>
      <w:r w:rsidRPr="007924D2">
        <w:rPr>
          <w:rFonts w:eastAsiaTheme="minorEastAsia"/>
        </w:rPr>
        <w:t xml:space="preserve">: </w:t>
      </w:r>
      <w:r w:rsidRPr="00AF5199">
        <w:rPr>
          <w:iCs/>
        </w:rPr>
        <w:t>Asthma prevalence rates per 1,000 general population from the model (solid</w:t>
      </w:r>
      <w:r>
        <w:rPr>
          <w:iCs/>
        </w:rPr>
        <w:t xml:space="preserve"> grey</w:t>
      </w:r>
      <w:r w:rsidRPr="00AF5199">
        <w:rPr>
          <w:iCs/>
        </w:rPr>
        <w:t>) and estimated (</w:t>
      </w:r>
      <w:r>
        <w:rPr>
          <w:iCs/>
        </w:rPr>
        <w:t xml:space="preserve">black </w:t>
      </w:r>
      <w:r w:rsidRPr="00AF5199">
        <w:rPr>
          <w:iCs/>
        </w:rPr>
        <w:t>dashed)</w:t>
      </w:r>
      <w:r>
        <w:rPr>
          <w:iCs/>
        </w:rPr>
        <w:t xml:space="preserve"> under the base scenario.</w:t>
      </w:r>
    </w:p>
    <w:p w14:paraId="1A2930D6" w14:textId="77777777" w:rsidR="00824644" w:rsidRPr="007924D2" w:rsidRDefault="00824644" w:rsidP="00824644">
      <w:pPr>
        <w:rPr>
          <w:rFonts w:eastAsiaTheme="minorEastAsia"/>
        </w:rPr>
      </w:pPr>
    </w:p>
    <w:p w14:paraId="394338D1" w14:textId="77777777" w:rsidR="00824644" w:rsidRPr="007924D2" w:rsidRDefault="00824644" w:rsidP="00824644">
      <w:pPr>
        <w:jc w:val="center"/>
        <w:rPr>
          <w:rFonts w:eastAsiaTheme="minorEastAsia"/>
        </w:rPr>
      </w:pPr>
      <w:r>
        <w:rPr>
          <w:rFonts w:eastAsiaTheme="minorEastAsia"/>
          <w:noProof/>
        </w:rPr>
        <w:drawing>
          <wp:inline distT="0" distB="0" distL="0" distR="0" wp14:anchorId="001992F1" wp14:editId="7026E7E9">
            <wp:extent cx="5171359" cy="3620004"/>
            <wp:effectExtent l="0" t="0" r="0" b="0"/>
            <wp:docPr id="1948595982" name="Picture 4" descr="A graph of different ageing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595982" name="Picture 4" descr="A graph of different ageing lines&#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77791" cy="3624507"/>
                    </a:xfrm>
                    <a:prstGeom prst="rect">
                      <a:avLst/>
                    </a:prstGeom>
                  </pic:spPr>
                </pic:pic>
              </a:graphicData>
            </a:graphic>
          </wp:inline>
        </w:drawing>
      </w:r>
    </w:p>
    <w:p w14:paraId="62E770CE" w14:textId="77777777" w:rsidR="00824644" w:rsidRDefault="00824644" w:rsidP="00824644">
      <w:pPr>
        <w:rPr>
          <w:iCs/>
        </w:rPr>
      </w:pPr>
      <w:r w:rsidRPr="007924D2">
        <w:rPr>
          <w:b/>
          <w:bCs/>
        </w:rPr>
        <w:t xml:space="preserve">Supplementary </w:t>
      </w:r>
      <w:r>
        <w:rPr>
          <w:b/>
          <w:bCs/>
        </w:rPr>
        <w:t>Figure 4</w:t>
      </w:r>
      <w:r w:rsidRPr="007924D2">
        <w:rPr>
          <w:rFonts w:eastAsiaTheme="minorEastAsia"/>
        </w:rPr>
        <w:t xml:space="preserve">: </w:t>
      </w:r>
      <w:r w:rsidRPr="00AF5199">
        <w:rPr>
          <w:iCs/>
        </w:rPr>
        <w:t xml:space="preserve">Asthma </w:t>
      </w:r>
      <w:r>
        <w:rPr>
          <w:iCs/>
        </w:rPr>
        <w:t>incidence</w:t>
      </w:r>
      <w:r w:rsidRPr="00AF5199">
        <w:rPr>
          <w:iCs/>
        </w:rPr>
        <w:t xml:space="preserve"> rates per 1,000 general population from the model (</w:t>
      </w:r>
      <w:r>
        <w:rPr>
          <w:iCs/>
        </w:rPr>
        <w:t>grey solid</w:t>
      </w:r>
      <w:r w:rsidRPr="00AF5199">
        <w:rPr>
          <w:iCs/>
        </w:rPr>
        <w:t>) and estimated (</w:t>
      </w:r>
      <w:r>
        <w:rPr>
          <w:iCs/>
        </w:rPr>
        <w:t xml:space="preserve">black </w:t>
      </w:r>
      <w:r w:rsidRPr="00AF5199">
        <w:rPr>
          <w:iCs/>
        </w:rPr>
        <w:t>dashed)</w:t>
      </w:r>
      <w:r>
        <w:rPr>
          <w:iCs/>
        </w:rPr>
        <w:t xml:space="preserve"> under the base scenario.</w:t>
      </w:r>
    </w:p>
    <w:p w14:paraId="41D80FED" w14:textId="77777777" w:rsidR="00192983" w:rsidRDefault="00192983" w:rsidP="00824644">
      <w:pPr>
        <w:rPr>
          <w:iCs/>
        </w:rPr>
      </w:pPr>
    </w:p>
    <w:p w14:paraId="0FD45E09" w14:textId="34B0216C" w:rsidR="00192983" w:rsidRDefault="00192983" w:rsidP="00824644">
      <w:pPr>
        <w:rPr>
          <w:b/>
          <w:bCs/>
          <w:iCs/>
        </w:rPr>
      </w:pPr>
      <w:r w:rsidRPr="00192983">
        <w:rPr>
          <w:b/>
          <w:bCs/>
          <w:iCs/>
        </w:rPr>
        <w:t>References</w:t>
      </w:r>
    </w:p>
    <w:p w14:paraId="04690F47" w14:textId="77777777" w:rsidR="00ED321B" w:rsidRPr="00ED321B" w:rsidRDefault="00192983" w:rsidP="00ED321B">
      <w:pPr>
        <w:pStyle w:val="Bibliography"/>
        <w:rPr>
          <w:rFonts w:cs="Times New Roman"/>
        </w:rPr>
      </w:pPr>
      <w:r>
        <w:rPr>
          <w:rFonts w:eastAsia="Times New Roman"/>
          <w:b/>
          <w:bCs/>
          <w:iCs/>
          <w:lang w:val="en-CA"/>
        </w:rPr>
        <w:fldChar w:fldCharType="begin"/>
      </w:r>
      <w:r w:rsidR="00ED321B">
        <w:rPr>
          <w:rFonts w:eastAsia="Times New Roman"/>
          <w:b/>
          <w:bCs/>
          <w:iCs/>
          <w:lang w:val="en-CA"/>
        </w:rPr>
        <w:instrText xml:space="preserve"> ADDIN ZOTERO_BIBL {"uncited":[],"omitted":[],"custom":[]} CSL_BIBLIOGRAPHY </w:instrText>
      </w:r>
      <w:r>
        <w:rPr>
          <w:rFonts w:eastAsia="Times New Roman"/>
          <w:b/>
          <w:bCs/>
          <w:iCs/>
          <w:lang w:val="en-CA"/>
        </w:rPr>
        <w:fldChar w:fldCharType="separate"/>
      </w:r>
      <w:r w:rsidR="00ED321B" w:rsidRPr="00ED321B">
        <w:rPr>
          <w:rFonts w:cs="Times New Roman"/>
        </w:rPr>
        <w:t>1.</w:t>
      </w:r>
      <w:r w:rsidR="00ED321B" w:rsidRPr="00ED321B">
        <w:rPr>
          <w:rFonts w:cs="Times New Roman"/>
        </w:rPr>
        <w:tab/>
        <w:t xml:space="preserve">Souza da Cunha S, Santorelli G, Pearce N, Wright J, Oddie S, Petherick E, et al. Evidence for causal associations between prenatal and postnatal antibiotic exposure and asthma in children, England. Clin Exp Allergy J Br Soc Allergy Clin Immunol. 2021 Nov;51(11):1438–48. </w:t>
      </w:r>
    </w:p>
    <w:p w14:paraId="4D7BCA6B" w14:textId="77777777" w:rsidR="00ED321B" w:rsidRPr="00ED321B" w:rsidRDefault="00ED321B" w:rsidP="00ED321B">
      <w:pPr>
        <w:pStyle w:val="Bibliography"/>
        <w:rPr>
          <w:rFonts w:cs="Times New Roman"/>
        </w:rPr>
      </w:pPr>
      <w:r w:rsidRPr="00ED321B">
        <w:rPr>
          <w:rFonts w:cs="Times New Roman"/>
        </w:rPr>
        <w:t>2.</w:t>
      </w:r>
      <w:r w:rsidRPr="00ED321B">
        <w:rPr>
          <w:rFonts w:cs="Times New Roman"/>
        </w:rPr>
        <w:tab/>
        <w:t xml:space="preserve">Lewandowski D, Kurowicka D, Joe H. Generating random correlation matrices based on vines and extended onion method. J Multivar Anal. 2009 Oct 1;100(9):1989–2001. </w:t>
      </w:r>
    </w:p>
    <w:p w14:paraId="21114A7B" w14:textId="77777777" w:rsidR="00ED321B" w:rsidRPr="00ED321B" w:rsidRDefault="00ED321B" w:rsidP="00ED321B">
      <w:pPr>
        <w:pStyle w:val="Bibliography"/>
        <w:rPr>
          <w:rFonts w:cs="Times New Roman"/>
        </w:rPr>
      </w:pPr>
      <w:r w:rsidRPr="00ED321B">
        <w:rPr>
          <w:rFonts w:cs="Times New Roman"/>
        </w:rPr>
        <w:t>3.</w:t>
      </w:r>
      <w:r w:rsidRPr="00ED321B">
        <w:rPr>
          <w:rFonts w:cs="Times New Roman"/>
        </w:rPr>
        <w:tab/>
        <w:t xml:space="preserve">Lee TY, Petkau J, Johnson KM, Turvey S, Adibi A, Subbarao P, et al. Development and Validation of an Asthma Policy Model for Canada:Lifetime Exposures and Asthma outcomes Projection (LEAP). medRxiv; 2024. p. 2024.03.11.24304122. </w:t>
      </w:r>
    </w:p>
    <w:p w14:paraId="31629E84" w14:textId="5944594B" w:rsidR="00192983" w:rsidRPr="00192983" w:rsidRDefault="00192983" w:rsidP="00824644">
      <w:pPr>
        <w:rPr>
          <w:rFonts w:eastAsia="Times New Roman"/>
          <w:b/>
          <w:bCs/>
          <w:iCs/>
          <w:lang w:val="en-CA"/>
        </w:rPr>
      </w:pPr>
      <w:r>
        <w:rPr>
          <w:rFonts w:eastAsia="Times New Roman"/>
          <w:b/>
          <w:bCs/>
          <w:iCs/>
          <w:lang w:val="en-CA"/>
        </w:rPr>
        <w:fldChar w:fldCharType="end"/>
      </w:r>
    </w:p>
    <w:p w14:paraId="58F1AED1" w14:textId="77777777" w:rsidR="00DE23E8" w:rsidRPr="00824644" w:rsidRDefault="00DE23E8" w:rsidP="00654E8F">
      <w:pPr>
        <w:spacing w:before="240"/>
        <w:rPr>
          <w:lang w:val="en-CA"/>
        </w:rPr>
      </w:pPr>
    </w:p>
    <w:sectPr w:rsidR="00DE23E8" w:rsidRPr="00824644" w:rsidSect="00B02533">
      <w:headerReference w:type="even" r:id="rId19"/>
      <w:footerReference w:type="even" r:id="rId20"/>
      <w:footerReference w:type="default" r:id="rId21"/>
      <w:headerReference w:type="first" r:id="rId2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D3CCD" w14:textId="77777777" w:rsidR="0062411A" w:rsidRDefault="0062411A" w:rsidP="00117666">
      <w:pPr>
        <w:spacing w:after="0"/>
      </w:pPr>
      <w:r>
        <w:separator/>
      </w:r>
    </w:p>
  </w:endnote>
  <w:endnote w:type="continuationSeparator" w:id="0">
    <w:p w14:paraId="079614DE" w14:textId="77777777" w:rsidR="0062411A" w:rsidRDefault="0062411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3A3513"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3A351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77777777" w:rsidR="003A351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3A3513"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3A351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085E15EB" w14:textId="77777777" w:rsidR="003A351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FE27" w14:textId="77777777" w:rsidR="0062411A" w:rsidRDefault="0062411A" w:rsidP="00117666">
      <w:pPr>
        <w:spacing w:after="0"/>
      </w:pPr>
      <w:r>
        <w:separator/>
      </w:r>
    </w:p>
  </w:footnote>
  <w:footnote w:type="continuationSeparator" w:id="0">
    <w:p w14:paraId="3D3EBC25" w14:textId="77777777" w:rsidR="0062411A" w:rsidRDefault="0062411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3A3513"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11B1BFED" w:rsidR="003A3513" w:rsidRDefault="00C52A7B" w:rsidP="0093429D">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F2851"/>
    <w:multiLevelType w:val="hybridMultilevel"/>
    <w:tmpl w:val="126ACA1E"/>
    <w:lvl w:ilvl="0" w:tplc="9A6CCE1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5"/>
  </w:num>
  <w:num w:numId="3" w16cid:durableId="615480040">
    <w:abstractNumId w:val="1"/>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4"/>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4"/>
  </w:num>
  <w:num w:numId="14" w16cid:durableId="515769853">
    <w:abstractNumId w:val="3"/>
  </w:num>
  <w:num w:numId="15" w16cid:durableId="1753046014">
    <w:abstractNumId w:val="3"/>
  </w:num>
  <w:num w:numId="16" w16cid:durableId="665939894">
    <w:abstractNumId w:val="3"/>
  </w:num>
  <w:num w:numId="17" w16cid:durableId="2078749421">
    <w:abstractNumId w:val="3"/>
  </w:num>
  <w:num w:numId="18" w16cid:durableId="825047625">
    <w:abstractNumId w:val="3"/>
  </w:num>
  <w:num w:numId="19" w16cid:durableId="803810417">
    <w:abstractNumId w:val="3"/>
  </w:num>
  <w:num w:numId="20" w16cid:durableId="369649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675AF"/>
    <w:rsid w:val="00077D53"/>
    <w:rsid w:val="000949CC"/>
    <w:rsid w:val="000A628B"/>
    <w:rsid w:val="000C0CD2"/>
    <w:rsid w:val="000C2DC6"/>
    <w:rsid w:val="00105FD9"/>
    <w:rsid w:val="00117666"/>
    <w:rsid w:val="00120AEC"/>
    <w:rsid w:val="001549D3"/>
    <w:rsid w:val="00160065"/>
    <w:rsid w:val="00177D84"/>
    <w:rsid w:val="00192983"/>
    <w:rsid w:val="001A4402"/>
    <w:rsid w:val="001B53F9"/>
    <w:rsid w:val="001D388A"/>
    <w:rsid w:val="002653D0"/>
    <w:rsid w:val="00267D18"/>
    <w:rsid w:val="002868E2"/>
    <w:rsid w:val="002869C3"/>
    <w:rsid w:val="002905FE"/>
    <w:rsid w:val="002936E4"/>
    <w:rsid w:val="002B4A57"/>
    <w:rsid w:val="002C74CA"/>
    <w:rsid w:val="003404B2"/>
    <w:rsid w:val="003544FB"/>
    <w:rsid w:val="0035529F"/>
    <w:rsid w:val="003A3513"/>
    <w:rsid w:val="003D2F2D"/>
    <w:rsid w:val="003D6524"/>
    <w:rsid w:val="00401590"/>
    <w:rsid w:val="00447801"/>
    <w:rsid w:val="00452E9C"/>
    <w:rsid w:val="004735C8"/>
    <w:rsid w:val="004961FF"/>
    <w:rsid w:val="00515487"/>
    <w:rsid w:val="00517A89"/>
    <w:rsid w:val="005250F2"/>
    <w:rsid w:val="00543BA2"/>
    <w:rsid w:val="00570447"/>
    <w:rsid w:val="00593EEA"/>
    <w:rsid w:val="005A5EEE"/>
    <w:rsid w:val="0062411A"/>
    <w:rsid w:val="006375C7"/>
    <w:rsid w:val="00654E8F"/>
    <w:rsid w:val="00660D05"/>
    <w:rsid w:val="006820B1"/>
    <w:rsid w:val="006B7D14"/>
    <w:rsid w:val="00701727"/>
    <w:rsid w:val="0070566C"/>
    <w:rsid w:val="00714C50"/>
    <w:rsid w:val="00725A7D"/>
    <w:rsid w:val="007501BE"/>
    <w:rsid w:val="00790BB3"/>
    <w:rsid w:val="007C206C"/>
    <w:rsid w:val="007C57D8"/>
    <w:rsid w:val="007F7516"/>
    <w:rsid w:val="00801011"/>
    <w:rsid w:val="00803D24"/>
    <w:rsid w:val="00817DD6"/>
    <w:rsid w:val="00824644"/>
    <w:rsid w:val="00880942"/>
    <w:rsid w:val="00885156"/>
    <w:rsid w:val="008C107B"/>
    <w:rsid w:val="008F1FEE"/>
    <w:rsid w:val="00903C0D"/>
    <w:rsid w:val="009151AA"/>
    <w:rsid w:val="0093429D"/>
    <w:rsid w:val="00943573"/>
    <w:rsid w:val="00970F7D"/>
    <w:rsid w:val="00983C19"/>
    <w:rsid w:val="00994A3D"/>
    <w:rsid w:val="009C2B12"/>
    <w:rsid w:val="009C70F3"/>
    <w:rsid w:val="00A174D9"/>
    <w:rsid w:val="00A40C7A"/>
    <w:rsid w:val="00A40DA0"/>
    <w:rsid w:val="00A569CD"/>
    <w:rsid w:val="00A778EA"/>
    <w:rsid w:val="00AB6715"/>
    <w:rsid w:val="00B02533"/>
    <w:rsid w:val="00B06B0E"/>
    <w:rsid w:val="00B1671E"/>
    <w:rsid w:val="00B16DDE"/>
    <w:rsid w:val="00B25EB8"/>
    <w:rsid w:val="00B354E1"/>
    <w:rsid w:val="00B37F4D"/>
    <w:rsid w:val="00BA6E4A"/>
    <w:rsid w:val="00C52A7B"/>
    <w:rsid w:val="00C56BAF"/>
    <w:rsid w:val="00C679AA"/>
    <w:rsid w:val="00C75972"/>
    <w:rsid w:val="00CC0A3A"/>
    <w:rsid w:val="00CD066B"/>
    <w:rsid w:val="00CD4524"/>
    <w:rsid w:val="00CE4FEE"/>
    <w:rsid w:val="00D022CD"/>
    <w:rsid w:val="00DB59C3"/>
    <w:rsid w:val="00DC259A"/>
    <w:rsid w:val="00DE23E8"/>
    <w:rsid w:val="00E52377"/>
    <w:rsid w:val="00E64E17"/>
    <w:rsid w:val="00E866C9"/>
    <w:rsid w:val="00E9522F"/>
    <w:rsid w:val="00EA3D3C"/>
    <w:rsid w:val="00EA5269"/>
    <w:rsid w:val="00ED321B"/>
    <w:rsid w:val="00EE2AF4"/>
    <w:rsid w:val="00EF58ED"/>
    <w:rsid w:val="00F24415"/>
    <w:rsid w:val="00F41EFD"/>
    <w:rsid w:val="00F46900"/>
    <w:rsid w:val="00F61D89"/>
    <w:rsid w:val="00F74FE1"/>
    <w:rsid w:val="00F822F1"/>
    <w:rsid w:val="00FB06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824644"/>
    <w:rPr>
      <w:color w:val="605E5C"/>
      <w:shd w:val="clear" w:color="auto" w:fill="E1DFDD"/>
    </w:rPr>
  </w:style>
  <w:style w:type="paragraph" w:styleId="Bibliography">
    <w:name w:val="Bibliography"/>
    <w:basedOn w:val="Normal"/>
    <w:next w:val="Normal"/>
    <w:uiPriority w:val="37"/>
    <w:unhideWhenUsed/>
    <w:rsid w:val="00192983"/>
    <w:pPr>
      <w:tabs>
        <w:tab w:val="left" w:pos="140"/>
        <w:tab w:val="left" w:pos="260"/>
      </w:tabs>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dlxodbs@student.ubc.ca"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github.com/tyhlee/ImpactInfantAbxAsthm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ithub.com/tyhlee/ImpactInfantAbxAsthma"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4</TotalTime>
  <Pages>7</Pages>
  <Words>2607</Words>
  <Characters>14865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dlxodbs@student.ubc.ca</cp:lastModifiedBy>
  <cp:revision>13</cp:revision>
  <cp:lastPrinted>2013-10-03T12:51:00Z</cp:lastPrinted>
  <dcterms:created xsi:type="dcterms:W3CDTF">2024-03-14T18:55:00Z</dcterms:created>
  <dcterms:modified xsi:type="dcterms:W3CDTF">2024-07-19T19:08:00Z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ZOTERO_PREF_1">
    <vt:lpwstr>&lt;data data-version="3" zotero-version="6.0.37"&gt;&lt;session id="Ghi54QZa"/&gt;&lt;style id="http://www.zotero.org/styles/vancouver" locale="en-US" hasBibliography="1" bibliographyStyleHasBeenSet="1"/&gt;&lt;prefs&gt;&lt;pref name="fieldType" value="Field"/&gt;&lt;pref name="automati</vt:lpwstr>
  </property>
  <property fmtid="{D5CDD505-2E9C-101B-9397-08002B2CF9AE}" pid="11" name="ZOTERO_PREF_2">
    <vt:lpwstr>cJournalAbbreviations" value="true"/&gt;&lt;/prefs&gt;&lt;/data&gt;</vt:lpwstr>
  </property>
</Properties>
</file>