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5482" w14:textId="78704EA8" w:rsidR="00D8121B" w:rsidRPr="00C84645" w:rsidRDefault="00700665" w:rsidP="00637FE6">
      <w:pPr>
        <w:spacing w:line="360" w:lineRule="auto"/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</w:pPr>
      <w:r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Table </w:t>
      </w:r>
      <w:r w:rsidR="00184A30"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>2</w:t>
      </w:r>
      <w:r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 </w:t>
      </w:r>
      <w:r w:rsidR="00B37BAC"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>B</w:t>
      </w:r>
      <w:r w:rsidR="002863D7"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aseline characteristics </w:t>
      </w:r>
      <w:r w:rsidR="00B37BAC"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of patients with </w:t>
      </w:r>
      <w:r w:rsidR="00ED59DE" w:rsidRPr="00C84645">
        <w:rPr>
          <w:rFonts w:ascii="Palatino Linotype" w:hAnsi="Palatino Linotype" w:cs="Times New Roman"/>
          <w:color w:val="2A2A2A"/>
          <w:sz w:val="20"/>
          <w:szCs w:val="20"/>
          <w:shd w:val="clear" w:color="auto" w:fill="FFFFFF"/>
        </w:rPr>
        <w:t>aCML</w:t>
      </w:r>
      <w:r w:rsidR="00B37BAC" w:rsidRPr="00C84645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362"/>
        <w:gridCol w:w="1262"/>
        <w:gridCol w:w="1960"/>
        <w:gridCol w:w="1444"/>
        <w:gridCol w:w="981"/>
      </w:tblGrid>
      <w:tr w:rsidR="00B23565" w:rsidRPr="00C84645" w14:paraId="2D818CCD" w14:textId="77777777" w:rsidTr="00883723">
        <w:trPr>
          <w:tblHeader/>
        </w:trPr>
        <w:tc>
          <w:tcPr>
            <w:tcW w:w="0" w:type="auto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94E2AD5" w14:textId="134D65AA" w:rsidR="00B23565" w:rsidRPr="00B23565" w:rsidRDefault="00B23565" w:rsidP="00C84645">
            <w:pPr>
              <w:spacing w:after="0" w:line="240" w:lineRule="auto"/>
              <w:rPr>
                <w:rStyle w:val="stratlabel"/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B23565">
              <w:rPr>
                <w:rStyle w:val="stratlabel"/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6CE00DA" w14:textId="37627CF0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br/>
              <w:t>(N=255)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8036C02" w14:textId="12EF8747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Alive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br/>
              <w:t>(N=57)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8A87E76" w14:textId="74EE360E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B23565">
              <w:rPr>
                <w:rStyle w:val="stratlabel"/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Death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308390D" w14:textId="044DD4B9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-value</w:t>
            </w:r>
          </w:p>
        </w:tc>
      </w:tr>
      <w:tr w:rsidR="00B23565" w:rsidRPr="00C84645" w14:paraId="73656590" w14:textId="77777777" w:rsidTr="00D116A8">
        <w:trPr>
          <w:tblHeader/>
        </w:trPr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8656057" w14:textId="5FBA90AF" w:rsidR="00B23565" w:rsidRPr="00C84645" w:rsidRDefault="00B23565" w:rsidP="00C84645">
            <w:pPr>
              <w:spacing w:after="0" w:line="240" w:lineRule="auto"/>
              <w:rPr>
                <w:rFonts w:ascii="Palatino Linotype" w:eastAsia="宋体" w:hAnsi="Palatino Linotype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2DD774" w14:textId="21A0F84E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DAF3B8E" w14:textId="0AD47094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68C9C31" w14:textId="4E571844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aCML-related Death</w:t>
            </w:r>
            <w:r w:rsidR="006568F8">
              <w:rPr>
                <w:rFonts w:ascii="Palatino Linotype" w:eastAsia="宋体" w:hAnsi="Palatino Linotype" w:cs="Times New Roman" w:hint="eastAsia"/>
                <w:color w:val="000000"/>
                <w:sz w:val="20"/>
                <w:szCs w:val="20"/>
                <w:vertAlign w:val="superscript"/>
              </w:rPr>
              <w:t>10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br/>
              <w:t>(N=159)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B50C2F7" w14:textId="06EA049C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Other cause</w:t>
            </w:r>
            <w:r w:rsidR="006568F8">
              <w:rPr>
                <w:rFonts w:ascii="Palatino Linotype" w:eastAsia="宋体" w:hAnsi="Palatino Linotype" w:cs="Times New Roman" w:hint="eastAsia"/>
                <w:color w:val="000000"/>
                <w:sz w:val="20"/>
                <w:szCs w:val="20"/>
                <w:vertAlign w:val="superscript"/>
              </w:rPr>
              <w:t>11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br/>
              <w:t>(N=39)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4545C4A" w14:textId="518C094E" w:rsidR="00B23565" w:rsidRPr="00C84645" w:rsidRDefault="00B2356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4645" w:rsidRPr="00C84645" w14:paraId="2F979483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3F6279F" w14:textId="099A9AF5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Sex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55ABE39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5408B2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26B64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02B7F3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FBCF88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4E02A27F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529274D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6D59A4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159 (62.4%)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B8C5F7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34 (59.6%)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336878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100 (62.9%)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DFA54A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25 (64.1%)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78D97BB" w14:textId="21A049E6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</w:t>
            </w:r>
            <w:r w:rsidR="008F2B42"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  <w:t>.00</w:t>
            </w:r>
          </w:p>
        </w:tc>
      </w:tr>
      <w:tr w:rsidR="00C84645" w:rsidRPr="00C84645" w14:paraId="30F5BE90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620B981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0795BC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96 (37.6%)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AC20FC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23 (40.4%)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E3E0C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59 (37.1%)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3398A0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 (35.9%)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C72F38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601010AC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E9C7473" w14:textId="0B3750F2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Age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32C4D53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59F320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750392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AE310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9B2CB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40E2D2C4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35C714C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&lt;60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C73502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56 (22.0%)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ED6659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27 (47.4%)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205580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25 (15.7%)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20E16F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 (10.3%)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1951F6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0.54</w:t>
            </w:r>
          </w:p>
        </w:tc>
      </w:tr>
      <w:tr w:rsidR="00C84645" w:rsidRPr="00C84645" w14:paraId="316F8D55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8BC77F4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52A1C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199 (78.0%)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A1657B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30 (52.6%)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62F04C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134 (84.3%)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4D8351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35 (89.7%)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78AC1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1711CF82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F8DC3BB" w14:textId="64290045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Race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C9AAC36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4CD4DD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32FE9C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02750E0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F56915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74A927F7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152641A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0D703E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204 (80.0%)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3BE63B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45 (78.9%)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A03CAA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123 (77.4%)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E834A5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36 (92.3%)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DC75F8B" w14:textId="1D3FC649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0.1</w:t>
            </w:r>
            <w:r w:rsidR="008F2B42"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  <w:t>0</w:t>
            </w:r>
          </w:p>
        </w:tc>
      </w:tr>
      <w:tr w:rsidR="00C84645" w:rsidRPr="00C84645" w14:paraId="34C996FB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86F3215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African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CE1132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23 (9.0%)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1A818C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 (10.5%)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8CC70A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15 (9.4%)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60B6E8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 (5.1%)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F9BBDB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1929B8CC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4B1E6F0" w14:textId="333DE03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Other</w:t>
            </w:r>
            <w:r w:rsidR="00901DEE" w:rsidRPr="000A463C">
              <w:rPr>
                <w:rFonts w:ascii="Palatino Linotype" w:eastAsia="宋体" w:hAnsi="Palatino Linotype" w:cs="Times New Roman"/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7F5512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28 (11.0%)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937992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 (10.5%)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4FACE9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21 (13.2%)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D4993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B07112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26976F28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0A3235A" w14:textId="010FC0FE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 w:hint="eastAsia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Diagnosis</w:t>
            </w:r>
            <w:r w:rsidRPr="00C84645">
              <w:rPr>
                <w:rFonts w:ascii="Palatino Linotype" w:eastAsia="宋体" w:hAnsi="Palatino Linotype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Y</w:t>
            </w:r>
            <w:r w:rsidRPr="00C84645">
              <w:rPr>
                <w:rFonts w:ascii="Palatino Linotype" w:eastAsia="宋体" w:hAnsi="Palatino Linotype" w:cs="Arial" w:hint="eastAsia"/>
                <w:b/>
                <w:bCs/>
                <w:color w:val="000000"/>
                <w:sz w:val="20"/>
                <w:szCs w:val="20"/>
              </w:rPr>
              <w:t>ear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D902B35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ED65F4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112FF0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0CE017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A1AF0D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3E0B1D06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A902AB3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2001-2010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7C2CE5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87 (34.1%)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773047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11 (19.3%)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27E7AA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62 (39.0%)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9335E0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 (35.9%)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2AA65AA" w14:textId="32A6AE2B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0.86</w:t>
            </w:r>
          </w:p>
        </w:tc>
      </w:tr>
      <w:tr w:rsidR="00C84645" w:rsidRPr="00C84645" w14:paraId="3AB8F9E4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B654918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7B1F65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168 (65.9%)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44FCB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46 (80.7%)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E9EE0E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97 (61.0%)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026C62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25 (64.1%)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A8C7D8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7F4241AE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55762BD" w14:textId="546B9415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Sequence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73CE5D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9C0C09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2A955E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551016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FAF32F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069EABB0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BDEB369" w14:textId="0055914D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Primary aCML</w:t>
            </w:r>
            <w:r w:rsidR="006568F8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9959F1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190 (74.5%)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C04BD9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44 (77.2%)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CEA6FA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118 (74.2%)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8CAF23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28 (71.8%)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CBA6AC4" w14:textId="7412F7FA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0.9</w:t>
            </w:r>
            <w:r w:rsidR="008F2B42"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C84645" w:rsidRPr="00C84645" w14:paraId="0DA07114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02D212F" w14:textId="29307B39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Secondary aCML</w:t>
            </w:r>
            <w:r w:rsidR="006568F8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5EBBE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65 (25.5%)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35C4140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13 (22.8%)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3FF90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41 (25.8%)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2419E5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11 (28.2%)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A655CA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3276A3F7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F1EC0CA" w14:textId="6328E6C4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Marital</w:t>
            </w:r>
            <w:r w:rsidRPr="00C84645">
              <w:rPr>
                <w:rFonts w:ascii="Palatino Linotype" w:eastAsia="宋体" w:hAnsi="Palatino Linotype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Status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D6EBE3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24298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759CD2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2011F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85EA89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1A2DBDDE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C7CFEEB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24C3C1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146 (57.3%)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1A9F31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33 (57.9%)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FE027D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94 (59.1%)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565B64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19 (48.7%)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A0DB03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0.45</w:t>
            </w:r>
          </w:p>
        </w:tc>
      </w:tr>
      <w:tr w:rsidR="00C84645" w:rsidRPr="00C84645" w14:paraId="59B0EC87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7D9B49A" w14:textId="5A71241E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Single</w:t>
            </w:r>
            <w:r w:rsidR="006568F8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5F278A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28 (11.0%)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20C3A9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10 (17.5%)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A2FD5F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 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82F75C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 (10.3%)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FC5934D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1D792307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36EE51C" w14:textId="6BCB1AF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Other</w:t>
            </w:r>
            <w:r w:rsidR="006568F8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0585CD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81 (31.8%)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8EF16C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 (24.6%)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74A76C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51 (32.1%)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BAF93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16 (41.0%)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5F7C62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7C6EA1B9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4B41961D" w14:textId="325ECFCD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Income</w:t>
            </w:r>
            <w:r w:rsidR="001A07AB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28B6D2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AFA596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1457AD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1869EF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48E26A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14C5DAE6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B3F2A9C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&lt;$50,000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152703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29 (11.4%)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A8147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5 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52630A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20 (12.6%)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25AC5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 (10.3%)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1527E58" w14:textId="16C019D3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0.57</w:t>
            </w:r>
          </w:p>
        </w:tc>
      </w:tr>
      <w:tr w:rsidR="00C84645" w:rsidRPr="00C84645" w14:paraId="0CDB1302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56B76BC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$50,000-$75,000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6B6C13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114 (44.7%)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C1F60A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23 (40.4%)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ACBC24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70 (44.0%)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EA09C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21 (53.8%)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E869A5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59F3DE2C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B74F7B0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$75,000+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14EEB1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112 (43.9%)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9E78A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29 (50.9%)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9874C3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69 (43.4%)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684115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 (35.9%)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399AFA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60998953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B9F35A4" w14:textId="65D9B640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Residence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5D9D7DB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13AA90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2733B6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9BB7BD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89FC1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39489C9E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D36162E" w14:textId="4E6C1799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Metropolitan &gt; 1M</w:t>
            </w:r>
            <w:r w:rsidR="006568F8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EFDEB8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140 (54.9%)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E418DF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31 (54.4%)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3EFC9C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85 (53.5%)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11C554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24 (61.5%)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7001593" w14:textId="654CA6E6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0.4</w:t>
            </w:r>
            <w:r w:rsidR="008F2B42">
              <w:rPr>
                <w:rFonts w:ascii="Palatino Linotype" w:eastAsia="宋体" w:hAnsi="Palatino Linotype" w:cs="Arial" w:hint="eastAsia"/>
                <w:color w:val="000000"/>
                <w:sz w:val="20"/>
                <w:szCs w:val="20"/>
              </w:rPr>
              <w:t>7</w:t>
            </w:r>
          </w:p>
        </w:tc>
      </w:tr>
      <w:tr w:rsidR="00C84645" w:rsidRPr="00C84645" w14:paraId="2FA1C380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1AD28AC" w14:textId="6EB6E09C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Other</w:t>
            </w:r>
            <w:r w:rsidR="006568F8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AFE2F1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115 (45.1%)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607E2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26 (45.6%)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D5B73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74 (46.5%)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E20F7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15 (38.5%)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C7856AA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2D7BF4E6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BD5D632" w14:textId="6C31A903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Chemo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872E0F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DFEAC8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E2D5790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C8502B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5C5B9F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6D9943D5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76EEFED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lastRenderedPageBreak/>
              <w:t>No/Unknown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5F71EC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49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465982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10 (17.5%)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88B0FC6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29 (18.2%)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9E8DF3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10 (25.6%)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C83B58" w14:textId="48ABB439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0.41</w:t>
            </w:r>
          </w:p>
        </w:tc>
      </w:tr>
      <w:tr w:rsidR="00C84645" w:rsidRPr="00C84645" w14:paraId="3E6AA9A9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BCC2A4E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7FC9C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206 (80.8%)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B6CB02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47 (82.5%)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3AED8B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130 (81.8%)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5BC59FE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29 (74.4%)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5D52EA0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6DF3C257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CFB83B3" w14:textId="62C62E86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宋体" w:hAnsi="Palatino Linotype" w:cs="Arial" w:hint="eastAsia"/>
                <w:b/>
                <w:bCs/>
                <w:color w:val="000000"/>
                <w:sz w:val="20"/>
                <w:szCs w:val="20"/>
              </w:rPr>
              <w:t xml:space="preserve">Treatment </w:t>
            </w:r>
            <w:r w:rsidRPr="00C84645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Delay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464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4645">
              <w:rPr>
                <w:rFonts w:ascii="Palatino Linotype" w:eastAsia="宋体" w:hAnsi="Palatino Linotype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7F8328E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7B86B3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8F52F83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12C7FF9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3361C9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</w:tr>
      <w:tr w:rsidR="00C84645" w:rsidRPr="00C84645" w14:paraId="43C70E98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B73881E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A39B68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103 (40.4%)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31CF5E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23 (40.4%)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132924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65 (40.9%)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F1E0BC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15 (38.5%)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B729B0" w14:textId="7E2DD368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0.96</w:t>
            </w:r>
          </w:p>
        </w:tc>
      </w:tr>
      <w:tr w:rsidR="00C84645" w:rsidRPr="00C84645" w14:paraId="490B3557" w14:textId="77777777" w:rsidTr="00C846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687A5E6" w14:textId="77777777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CF449BC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96 (37.6%)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2BDA1B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22 (38.6%)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FF0C875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59 (37.1%)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347237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15 (38.5%)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B279851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  <w:tr w:rsidR="00C84645" w:rsidRPr="00C84645" w14:paraId="21A78530" w14:textId="77777777" w:rsidTr="00C84645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E0A233F" w14:textId="1C584A29" w:rsidR="00C84645" w:rsidRPr="00C84645" w:rsidRDefault="00C84645" w:rsidP="00C84645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Other</w:t>
            </w:r>
            <w:r w:rsidR="006568F8" w:rsidRPr="00D02BB0">
              <w:rPr>
                <w:rFonts w:ascii="Palatino Linotype" w:eastAsia="宋体" w:hAnsi="Palatino Linotype" w:cs="Times New Roman" w:hint="eastAsia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F6FD27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56 (22.0%)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F5AB622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12 (21.1%)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609FEA8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35 (22.0%)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7B57BB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C84645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9 (23.1%)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EE1A5EF" w14:textId="77777777" w:rsidR="00C84645" w:rsidRPr="00C84645" w:rsidRDefault="00C84645" w:rsidP="00C84645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</w:p>
        </w:tc>
      </w:tr>
    </w:tbl>
    <w:p w14:paraId="5414E95C" w14:textId="77777777" w:rsidR="00ED59D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</w:pPr>
      <w:r w:rsidRPr="00DF027E"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  <w:vertAlign w:val="superscript"/>
        </w:rPr>
        <w:t xml:space="preserve">1 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Races including Asian/Pacific Islander and American Indian/Alaska.</w:t>
      </w:r>
    </w:p>
    <w:p w14:paraId="0847DDDC" w14:textId="7B3E150D" w:rsidR="001A07AB" w:rsidRPr="00DF027E" w:rsidRDefault="001A07AB" w:rsidP="001A07AB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</w:pPr>
      <w:r>
        <w:rPr>
          <w:rFonts w:ascii="Palatino Linotype" w:eastAsia="宋体" w:hAnsi="Palatino Linotype" w:cs="Times New Roman" w:hint="eastAsia"/>
          <w:noProof/>
          <w:color w:val="191919"/>
          <w:sz w:val="18"/>
          <w:szCs w:val="18"/>
          <w:shd w:val="clear" w:color="auto" w:fill="FFFFFF"/>
          <w:vertAlign w:val="superscript"/>
        </w:rPr>
        <w:t>2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Sequence number of “primary only” and “1st of 2 or more primaries”, indicating aCML was the primary malignancy.</w:t>
      </w:r>
    </w:p>
    <w:p w14:paraId="332AB3FE" w14:textId="7FACE853" w:rsidR="001A07AB" w:rsidRPr="00A94466" w:rsidRDefault="001A07AB" w:rsidP="001A07AB">
      <w:pPr>
        <w:spacing w:after="0" w:line="360" w:lineRule="auto"/>
        <w:jc w:val="both"/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</w:pPr>
      <w:r>
        <w:rPr>
          <w:rFonts w:ascii="Palatino Linotype" w:eastAsia="宋体" w:hAnsi="Palatino Linotype" w:cs="Times New Roman" w:hint="eastAsia"/>
          <w:noProof/>
          <w:color w:val="191919"/>
          <w:sz w:val="18"/>
          <w:szCs w:val="18"/>
          <w:shd w:val="clear" w:color="auto" w:fill="FFFFFF"/>
          <w:vertAlign w:val="superscript"/>
        </w:rPr>
        <w:t>3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Sequence number of “2nd of 2 or more primaries”, “3rd of 3 or more primaries” and “4th of 4 or more primaries”,</w:t>
      </w:r>
      <w:r w:rsidR="00A94466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 xml:space="preserve"> </w:t>
      </w:r>
      <w:r w:rsidR="00A94466"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indicating aCML was secondary to other primary malignancies.</w:t>
      </w:r>
    </w:p>
    <w:p w14:paraId="41496389" w14:textId="01F990F4" w:rsidR="00ED59DE" w:rsidRPr="00DF027E" w:rsidRDefault="00A94466" w:rsidP="00ED59DE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</w:rPr>
      </w:pPr>
      <w:r>
        <w:rPr>
          <w:rFonts w:ascii="Palatino Linotype" w:eastAsia="宋体" w:hAnsi="Palatino Linotype" w:cs="Times New Roman" w:hint="eastAsia"/>
          <w:noProof/>
          <w:color w:val="191919"/>
          <w:sz w:val="18"/>
          <w:szCs w:val="18"/>
          <w:shd w:val="clear" w:color="auto" w:fill="FFFFFF"/>
          <w:vertAlign w:val="superscript"/>
        </w:rPr>
        <w:t>4</w:t>
      </w:r>
      <w:r w:rsidR="00ED59DE"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Marital status at diagnosis was single (never married).</w:t>
      </w:r>
    </w:p>
    <w:p w14:paraId="377C54F0" w14:textId="065A0B35" w:rsidR="00ED59DE" w:rsidRPr="00DF027E" w:rsidRDefault="00A94466" w:rsidP="00ED59DE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</w:pPr>
      <w:r>
        <w:rPr>
          <w:rFonts w:ascii="Palatino Linotype" w:eastAsia="宋体" w:hAnsi="Palatino Linotype" w:cs="Times New Roman" w:hint="eastAsia"/>
          <w:noProof/>
          <w:color w:val="191919"/>
          <w:sz w:val="18"/>
          <w:szCs w:val="18"/>
          <w:shd w:val="clear" w:color="auto" w:fill="FFFFFF"/>
          <w:vertAlign w:val="superscript"/>
        </w:rPr>
        <w:t>5</w:t>
      </w:r>
      <w:r w:rsidR="00ED59DE"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Marital status of divorced, widowed and separated at diagnosis.</w:t>
      </w:r>
    </w:p>
    <w:p w14:paraId="47CD7CB6" w14:textId="514776F7" w:rsidR="00ED59DE" w:rsidRPr="00DF027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</w:pP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  <w:vertAlign w:val="superscript"/>
        </w:rPr>
        <w:t xml:space="preserve">6 </w:t>
      </w:r>
      <w:r w:rsidR="009F657E" w:rsidRPr="009F65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Median Household Income in the </w:t>
      </w:r>
      <w:r w:rsidR="009F657E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>p</w:t>
      </w:r>
      <w:r w:rsidR="009F657E" w:rsidRPr="009F65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ast 12 </w:t>
      </w:r>
      <w:r w:rsidR="009F657E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>m</w:t>
      </w:r>
      <w:r w:rsidR="009F657E" w:rsidRPr="009F65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onths (in 2021 Inflation Adjusted Dollars)</w:t>
      </w:r>
      <w:r w:rsidR="009F657E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>.</w:t>
      </w:r>
    </w:p>
    <w:p w14:paraId="313630FA" w14:textId="22D892BC" w:rsidR="00ED59DE" w:rsidRPr="00DF027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</w:pP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  <w:vertAlign w:val="superscript"/>
        </w:rPr>
        <w:t>7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</w:t>
      </w:r>
      <w:r w:rsidR="00145F37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>L</w:t>
      </w:r>
      <w:r w:rsidR="00145F37" w:rsidRPr="00145F37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iving in a metropolitan area with a population of 1 million or more</w:t>
      </w:r>
      <w:r w:rsidR="00145F37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>.</w:t>
      </w:r>
    </w:p>
    <w:p w14:paraId="0701BF04" w14:textId="0F48B17B" w:rsidR="00ED59DE" w:rsidRPr="00DF027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</w:pP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  <w:vertAlign w:val="superscript"/>
        </w:rPr>
        <w:t>8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</w:t>
      </w:r>
      <w:r w:rsidR="00BF67FD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>I</w:t>
      </w:r>
      <w:r w:rsidR="00BF67FD" w:rsidRPr="00BF67FD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ncluding living in a metropolitan area with a population of about 250,000 to 1 million, live in a metropolitan area with a population of less than 250,000</w:t>
      </w:r>
      <w:r w:rsidR="00BF67FD">
        <w:rPr>
          <w:rFonts w:ascii="Palatino Linotype" w:eastAsia="宋体" w:hAnsi="Palatino Linotype" w:cs="Times New Roman" w:hint="eastAsia"/>
          <w:noProof/>
          <w:color w:val="000000"/>
          <w:sz w:val="18"/>
          <w:szCs w:val="18"/>
        </w:rPr>
        <w:t xml:space="preserve"> and </w:t>
      </w:r>
      <w:r w:rsidR="00BF67FD" w:rsidRPr="00BF67FD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living in non-metropolitan areas.</w:t>
      </w:r>
    </w:p>
    <w:p w14:paraId="6909A7E9" w14:textId="77777777" w:rsidR="00ED59D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</w:pP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  <w:vertAlign w:val="superscript"/>
        </w:rPr>
        <w:t>9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 xml:space="preserve"> Months from diagnosis to treatment is unknown or &gt; 6.</w:t>
      </w:r>
    </w:p>
    <w:p w14:paraId="085E9C9B" w14:textId="5FB56E94" w:rsidR="00A94466" w:rsidRPr="000A7A9E" w:rsidRDefault="00A94466" w:rsidP="00A94466">
      <w:pPr>
        <w:spacing w:line="240" w:lineRule="auto"/>
        <w:rPr>
          <w:rFonts w:ascii="Palatino Linotype" w:eastAsia="宋体" w:hAnsi="Palatino Linotype" w:cs="Times New Roman"/>
          <w:color w:val="000000"/>
          <w:sz w:val="18"/>
          <w:szCs w:val="18"/>
        </w:rPr>
      </w:pPr>
      <w:r>
        <w:rPr>
          <w:rFonts w:ascii="Palatino Linotype" w:eastAsia="宋体" w:hAnsi="Palatino Linotype" w:cs="Times New Roman" w:hint="eastAsia"/>
          <w:color w:val="000000"/>
          <w:sz w:val="18"/>
          <w:szCs w:val="18"/>
          <w:vertAlign w:val="superscript"/>
        </w:rPr>
        <w:t>10</w:t>
      </w:r>
      <w:r w:rsidRPr="000A7A9E">
        <w:rPr>
          <w:rFonts w:ascii="Palatino Linotype" w:eastAsia="宋体" w:hAnsi="Palatino Linotype" w:cs="Times New Roman"/>
          <w:color w:val="000000"/>
          <w:sz w:val="18"/>
          <w:szCs w:val="18"/>
        </w:rPr>
        <w:t xml:space="preserve"> Death attributable to </w:t>
      </w:r>
      <w:r>
        <w:rPr>
          <w:rFonts w:ascii="Palatino Linotype" w:eastAsia="宋体" w:hAnsi="Palatino Linotype" w:cs="Times New Roman" w:hint="eastAsia"/>
          <w:color w:val="000000"/>
          <w:sz w:val="18"/>
          <w:szCs w:val="18"/>
        </w:rPr>
        <w:t>aCML</w:t>
      </w:r>
      <w:r w:rsidRPr="000A7A9E">
        <w:rPr>
          <w:rFonts w:ascii="Palatino Linotype" w:eastAsia="宋体" w:hAnsi="Palatino Linotype" w:cs="Times New Roman"/>
          <w:color w:val="000000"/>
          <w:sz w:val="18"/>
          <w:szCs w:val="18"/>
        </w:rPr>
        <w:t>.</w:t>
      </w:r>
    </w:p>
    <w:p w14:paraId="232CCA6E" w14:textId="09500242" w:rsidR="00A94466" w:rsidRPr="00A94466" w:rsidRDefault="00A94466" w:rsidP="00A94466">
      <w:pPr>
        <w:spacing w:line="240" w:lineRule="auto"/>
        <w:rPr>
          <w:rFonts w:ascii="Palatino Linotype" w:eastAsia="宋体" w:hAnsi="Palatino Linotype" w:cs="Times New Roman" w:hint="eastAsia"/>
          <w:color w:val="000000"/>
          <w:sz w:val="18"/>
          <w:szCs w:val="18"/>
        </w:rPr>
      </w:pPr>
      <w:r>
        <w:rPr>
          <w:rFonts w:ascii="Palatino Linotype" w:eastAsia="宋体" w:hAnsi="Palatino Linotype" w:cs="Times New Roman" w:hint="eastAsia"/>
          <w:color w:val="000000"/>
          <w:sz w:val="18"/>
          <w:szCs w:val="18"/>
          <w:vertAlign w:val="superscript"/>
        </w:rPr>
        <w:t>11</w:t>
      </w:r>
      <w:r w:rsidRPr="000A7A9E">
        <w:rPr>
          <w:rFonts w:ascii="Palatino Linotype" w:eastAsia="宋体" w:hAnsi="Palatino Linotype" w:cs="Times New Roman"/>
          <w:color w:val="000000"/>
          <w:sz w:val="18"/>
          <w:szCs w:val="18"/>
        </w:rPr>
        <w:t xml:space="preserve"> Dead of other cause such as diseases of heart, </w:t>
      </w:r>
      <w:r>
        <w:rPr>
          <w:rFonts w:ascii="Palatino Linotype" w:eastAsia="宋体" w:hAnsi="Palatino Linotype" w:cs="Times New Roman" w:hint="eastAsia"/>
          <w:color w:val="000000"/>
          <w:sz w:val="18"/>
          <w:szCs w:val="18"/>
        </w:rPr>
        <w:t>lung disease</w:t>
      </w:r>
      <w:r w:rsidRPr="000A7A9E">
        <w:rPr>
          <w:rFonts w:ascii="Palatino Linotype" w:eastAsia="宋体" w:hAnsi="Palatino Linotype" w:cs="Times New Roman"/>
          <w:color w:val="000000"/>
          <w:sz w:val="18"/>
          <w:szCs w:val="18"/>
        </w:rPr>
        <w:t>, and so on.</w:t>
      </w:r>
    </w:p>
    <w:p w14:paraId="327B7CF9" w14:textId="77777777" w:rsidR="00ED59DE" w:rsidRPr="00DF027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</w:rPr>
      </w:pPr>
      <w:r w:rsidRPr="00DF027E"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</w:rPr>
        <w:t>*HR was converted from coefficient in AFT regression model.</w:t>
      </w:r>
    </w:p>
    <w:p w14:paraId="46762271" w14:textId="77777777" w:rsidR="00ED59DE" w:rsidRPr="00DF027E" w:rsidRDefault="00ED59DE" w:rsidP="00ED59DE">
      <w:pPr>
        <w:spacing w:after="0" w:line="360" w:lineRule="auto"/>
        <w:jc w:val="both"/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</w:rPr>
      </w:pPr>
      <w:r w:rsidRPr="00DF027E"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</w:rPr>
        <w:t xml:space="preserve">Abbreviations: AFT, accelerated failure time; </w:t>
      </w:r>
      <w:r w:rsidRPr="00DF027E">
        <w:rPr>
          <w:rFonts w:ascii="Palatino Linotype" w:eastAsia="宋体" w:hAnsi="Palatino Linotype" w:cs="Times New Roman"/>
          <w:color w:val="000000"/>
          <w:sz w:val="18"/>
          <w:szCs w:val="18"/>
        </w:rPr>
        <w:t xml:space="preserve">aCML, atypical chronic myeloid leukemia; </w:t>
      </w:r>
      <w:r w:rsidRPr="00DF027E">
        <w:rPr>
          <w:rFonts w:ascii="Palatino Linotype" w:eastAsia="宋体" w:hAnsi="Palatino Linotype" w:cs="Times New Roman"/>
          <w:noProof/>
          <w:color w:val="000000"/>
          <w:sz w:val="18"/>
          <w:szCs w:val="18"/>
        </w:rPr>
        <w:t>Chemo</w:t>
      </w:r>
      <w:r w:rsidRPr="00DF027E">
        <w:rPr>
          <w:rFonts w:ascii="Palatino Linotype" w:eastAsia="宋体" w:hAnsi="Palatino Linotype" w:cs="Times New Roman"/>
          <w:noProof/>
          <w:color w:val="191919"/>
          <w:sz w:val="18"/>
          <w:szCs w:val="18"/>
          <w:shd w:val="clear" w:color="auto" w:fill="FFFFFF"/>
        </w:rPr>
        <w:t>, chemotherapy; CI, confidence interval; DSS, disease-specific survival; HR, hazard ration; OS, overall survival.</w:t>
      </w:r>
    </w:p>
    <w:p w14:paraId="1325E1BD" w14:textId="77777777" w:rsidR="00DB78D5" w:rsidRPr="00C84645" w:rsidRDefault="00DB78D5" w:rsidP="00CA2FC0">
      <w:pPr>
        <w:spacing w:line="240" w:lineRule="auto"/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</w:pPr>
    </w:p>
    <w:sectPr w:rsidR="00DB78D5" w:rsidRPr="00C8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5E73" w14:textId="77777777" w:rsidR="00FB7877" w:rsidRDefault="00FB7877" w:rsidP="00713DCD">
      <w:pPr>
        <w:spacing w:after="0" w:line="240" w:lineRule="auto"/>
      </w:pPr>
      <w:r>
        <w:separator/>
      </w:r>
    </w:p>
  </w:endnote>
  <w:endnote w:type="continuationSeparator" w:id="0">
    <w:p w14:paraId="4EA3D409" w14:textId="77777777" w:rsidR="00FB7877" w:rsidRDefault="00FB7877" w:rsidP="0071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CDFD" w14:textId="77777777" w:rsidR="00FB7877" w:rsidRDefault="00FB7877" w:rsidP="00713DCD">
      <w:pPr>
        <w:spacing w:after="0" w:line="240" w:lineRule="auto"/>
      </w:pPr>
      <w:r>
        <w:separator/>
      </w:r>
    </w:p>
  </w:footnote>
  <w:footnote w:type="continuationSeparator" w:id="0">
    <w:p w14:paraId="47D24760" w14:textId="77777777" w:rsidR="00FB7877" w:rsidRDefault="00FB7877" w:rsidP="00713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65"/>
    <w:rsid w:val="000E56A9"/>
    <w:rsid w:val="00102E8E"/>
    <w:rsid w:val="00145F37"/>
    <w:rsid w:val="00184A30"/>
    <w:rsid w:val="001A07AB"/>
    <w:rsid w:val="001D5436"/>
    <w:rsid w:val="001E7B1D"/>
    <w:rsid w:val="00206A83"/>
    <w:rsid w:val="002130CB"/>
    <w:rsid w:val="002624E6"/>
    <w:rsid w:val="00274B6D"/>
    <w:rsid w:val="0027653E"/>
    <w:rsid w:val="002863D7"/>
    <w:rsid w:val="0029264C"/>
    <w:rsid w:val="002C2C68"/>
    <w:rsid w:val="002E2B97"/>
    <w:rsid w:val="00343998"/>
    <w:rsid w:val="003E2D9C"/>
    <w:rsid w:val="003E53DA"/>
    <w:rsid w:val="0043733E"/>
    <w:rsid w:val="00454652"/>
    <w:rsid w:val="0047687E"/>
    <w:rsid w:val="00553277"/>
    <w:rsid w:val="00561454"/>
    <w:rsid w:val="00590921"/>
    <w:rsid w:val="005D447B"/>
    <w:rsid w:val="005E6424"/>
    <w:rsid w:val="00601F1B"/>
    <w:rsid w:val="00637FE6"/>
    <w:rsid w:val="00640BD9"/>
    <w:rsid w:val="006568F8"/>
    <w:rsid w:val="0069098E"/>
    <w:rsid w:val="0069534D"/>
    <w:rsid w:val="006E0D8D"/>
    <w:rsid w:val="006F3456"/>
    <w:rsid w:val="00700665"/>
    <w:rsid w:val="00713DCD"/>
    <w:rsid w:val="00725E45"/>
    <w:rsid w:val="00781A78"/>
    <w:rsid w:val="00793A94"/>
    <w:rsid w:val="007A291D"/>
    <w:rsid w:val="00814CCF"/>
    <w:rsid w:val="0082419B"/>
    <w:rsid w:val="0085528D"/>
    <w:rsid w:val="00881E50"/>
    <w:rsid w:val="008C0126"/>
    <w:rsid w:val="008C16F3"/>
    <w:rsid w:val="008F2B42"/>
    <w:rsid w:val="00901DEE"/>
    <w:rsid w:val="0094355E"/>
    <w:rsid w:val="009B6DF2"/>
    <w:rsid w:val="009D1CF7"/>
    <w:rsid w:val="009F657E"/>
    <w:rsid w:val="00A16DF7"/>
    <w:rsid w:val="00A439D1"/>
    <w:rsid w:val="00A62050"/>
    <w:rsid w:val="00A7071F"/>
    <w:rsid w:val="00A94466"/>
    <w:rsid w:val="00AB4DC0"/>
    <w:rsid w:val="00AC5999"/>
    <w:rsid w:val="00AF259A"/>
    <w:rsid w:val="00B00D04"/>
    <w:rsid w:val="00B05C40"/>
    <w:rsid w:val="00B23565"/>
    <w:rsid w:val="00B37BAC"/>
    <w:rsid w:val="00B45155"/>
    <w:rsid w:val="00B53BD8"/>
    <w:rsid w:val="00B91EC7"/>
    <w:rsid w:val="00BF33F3"/>
    <w:rsid w:val="00BF67FD"/>
    <w:rsid w:val="00C22644"/>
    <w:rsid w:val="00C24927"/>
    <w:rsid w:val="00C741FB"/>
    <w:rsid w:val="00C84645"/>
    <w:rsid w:val="00CA2FC0"/>
    <w:rsid w:val="00CB2D7B"/>
    <w:rsid w:val="00CC4C7E"/>
    <w:rsid w:val="00CD219F"/>
    <w:rsid w:val="00D1672E"/>
    <w:rsid w:val="00D67950"/>
    <w:rsid w:val="00D8121B"/>
    <w:rsid w:val="00DB4D30"/>
    <w:rsid w:val="00DB78D5"/>
    <w:rsid w:val="00DC4BE0"/>
    <w:rsid w:val="00DC6494"/>
    <w:rsid w:val="00DD1FD7"/>
    <w:rsid w:val="00DF027E"/>
    <w:rsid w:val="00ED59DE"/>
    <w:rsid w:val="00EE2A06"/>
    <w:rsid w:val="00FB7877"/>
    <w:rsid w:val="00FC2513"/>
    <w:rsid w:val="00FF36D4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93EB0"/>
  <w15:chartTrackingRefBased/>
  <w15:docId w15:val="{1C250D4D-5250-4E1B-914F-07DD21B4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DCD"/>
  </w:style>
  <w:style w:type="paragraph" w:styleId="Footer">
    <w:name w:val="footer"/>
    <w:basedOn w:val="Normal"/>
    <w:link w:val="FooterChar"/>
    <w:uiPriority w:val="99"/>
    <w:unhideWhenUsed/>
    <w:rsid w:val="00713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CD"/>
  </w:style>
  <w:style w:type="character" w:customStyle="1" w:styleId="stratlabel">
    <w:name w:val="stratlabel"/>
    <w:basedOn w:val="DefaultParagraphFont"/>
    <w:rsid w:val="00BF33F3"/>
  </w:style>
  <w:style w:type="character" w:customStyle="1" w:styleId="stratn">
    <w:name w:val="stratn"/>
    <w:basedOn w:val="DefaultParagraphFont"/>
    <w:rsid w:val="00BF33F3"/>
  </w:style>
  <w:style w:type="paragraph" w:styleId="ListParagraph">
    <w:name w:val="List Paragraph"/>
    <w:basedOn w:val="Normal"/>
    <w:uiPriority w:val="34"/>
    <w:qFormat/>
    <w:rsid w:val="00FC2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Near</dc:creator>
  <cp:keywords/>
  <dc:description/>
  <cp:lastModifiedBy>Ron Near</cp:lastModifiedBy>
  <cp:revision>86</cp:revision>
  <dcterms:created xsi:type="dcterms:W3CDTF">2021-10-12T14:33:00Z</dcterms:created>
  <dcterms:modified xsi:type="dcterms:W3CDTF">2024-07-28T02:45:00Z</dcterms:modified>
</cp:coreProperties>
</file>