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C3E8" w14:textId="57ACF6E2" w:rsidR="00D50DBD" w:rsidRDefault="00D50DBD" w:rsidP="00D50DBD">
      <w:pPr>
        <w:rPr>
          <w:rFonts w:eastAsia="Times New Roman" w:cstheme="minorHAnsi"/>
          <w:b/>
          <w:bCs/>
          <w:kern w:val="0"/>
          <w:sz w:val="36"/>
          <w:szCs w:val="36"/>
          <w14:ligatures w14:val="none"/>
        </w:rPr>
      </w:pPr>
      <w:r>
        <w:rPr>
          <w:rFonts w:eastAsia="Times New Roman" w:cstheme="minorHAnsi"/>
          <w:b/>
          <w:bCs/>
          <w:kern w:val="0"/>
          <w:sz w:val="36"/>
          <w:szCs w:val="36"/>
          <w14:ligatures w14:val="none"/>
        </w:rPr>
        <w:t>Supplement</w:t>
      </w:r>
    </w:p>
    <w:p w14:paraId="12727C04" w14:textId="6DF4BC09" w:rsidR="00D50DBD" w:rsidRDefault="00D50DBD" w:rsidP="00D50DBD">
      <w:pPr>
        <w:ind w:left="360"/>
        <w:rPr>
          <w:rFonts w:eastAsia="Times New Roman"/>
          <w:b/>
          <w:bCs/>
          <w:sz w:val="30"/>
          <w:szCs w:val="30"/>
        </w:rPr>
      </w:pPr>
      <w:r>
        <w:rPr>
          <w:rFonts w:eastAsia="Times New Roman"/>
          <w:b/>
          <w:bCs/>
          <w:sz w:val="30"/>
          <w:szCs w:val="30"/>
        </w:rPr>
        <w:t>1. Calculation of costs</w:t>
      </w:r>
    </w:p>
    <w:p w14:paraId="4D0C6C09" w14:textId="1B130044" w:rsidR="00D50DBD" w:rsidRDefault="00D50DBD" w:rsidP="00D50DBD">
      <w:pPr>
        <w:jc w:val="both"/>
        <w:rPr>
          <w:lang w:eastAsia="zh-CN"/>
        </w:rPr>
      </w:pPr>
      <w:r>
        <w:rPr>
          <w:lang w:eastAsia="zh-CN"/>
        </w:rPr>
        <w:t>The cost of diagnosis and treatment of a symptomatic susceptible case (</w:t>
      </w: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sg</m:t>
            </m:r>
          </m:sub>
        </m:sSub>
      </m:oMath>
      <w:r>
        <w:rPr>
          <w:rStyle w:val="normaltextrun"/>
          <w:rFonts w:eastAsiaTheme="minorEastAsia"/>
          <w:color w:val="000000"/>
          <w:shd w:val="clear" w:color="auto" w:fill="FFFFFF"/>
        </w:rPr>
        <w:t xml:space="preserve">) </w:t>
      </w:r>
      <w:r>
        <w:rPr>
          <w:lang w:eastAsia="zh-CN"/>
        </w:rPr>
        <w:t>included cost of gonorrhea test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gt</m:t>
            </m:r>
          </m:sub>
        </m:sSub>
      </m:oMath>
      <w:r>
        <w:rPr>
          <w:rFonts w:eastAsiaTheme="minorEastAsia"/>
          <w:shd w:val="clear" w:color="auto" w:fill="FFFFFF"/>
          <w:lang w:eastAsia="zh-CN"/>
        </w:rPr>
        <w:t>)</w:t>
      </w:r>
      <w:r>
        <w:rPr>
          <w:lang w:eastAsia="zh-CN"/>
        </w:rPr>
        <w:t>, cost of the current first-line antibiotic medications for gonorrhea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at</m:t>
            </m:r>
          </m:sub>
        </m:sSub>
      </m:oMath>
      <w:r>
        <w:rPr>
          <w:lang w:eastAsia="zh-CN"/>
        </w:rPr>
        <w:t>), cost of treatment for urethritis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U</m:t>
            </m:r>
          </m:sub>
        </m:sSub>
      </m:oMath>
      <w:r>
        <w:rPr>
          <w:rFonts w:eastAsiaTheme="minorEastAsia"/>
          <w:shd w:val="clear" w:color="auto" w:fill="FFFFFF"/>
          <w:lang w:eastAsia="zh-CN"/>
        </w:rPr>
        <w:t xml:space="preserve">) which </w:t>
      </w:r>
      <w:r>
        <w:rPr>
          <w:lang w:eastAsia="zh-CN"/>
        </w:rPr>
        <w:t xml:space="preserve">includes the cost of a short clinic visit consistent with the previous studies </w:t>
      </w:r>
      <w:r>
        <w:rPr>
          <w:lang w:eastAsia="zh-CN"/>
        </w:rPr>
        <w:fldChar w:fldCharType="begin"/>
      </w:r>
      <w:r>
        <w:rPr>
          <w:lang w:eastAsia="zh-CN"/>
        </w:rPr>
        <w:instrText xml:space="preserve"> ADDIN EN.CITE &lt;EndNote&gt;&lt;Cite&gt;&lt;Author&gt;Mehta&lt;/Author&gt;&lt;Year&gt;2002&lt;/Year&gt;&lt;RecNum&gt;88&lt;/RecNum&gt;&lt;DisplayText&gt;[1]&lt;/DisplayText&gt;&lt;record&gt;&lt;rec-number&gt;88&lt;/rec-number&gt;&lt;foreign-keys&gt;&lt;key app="EN" db-id="ztat55s9lwdfz5ev0apv525vs9wdzz059vs2" timestamp="1721729327"&gt;88&lt;/key&gt;&lt;/foreign-keys&gt;&lt;ref-type name="Journal Article"&gt;17&lt;/ref-type&gt;&lt;contributors&gt;&lt;authors&gt;&lt;author&gt;Mehta, Supriya D&lt;/author&gt;&lt;author&gt;Bishai, David&lt;/author&gt;&lt;author&gt;Howell, M Rene&lt;/author&gt;&lt;author&gt;Rothman, Richard E&lt;/author&gt;&lt;author&gt;Quinn, Thomas C&lt;/author&gt;&lt;author&gt;Zenilman, Jonathan M&lt;/author&gt;&lt;/authors&gt;&lt;/contributors&gt;&lt;titles&gt;&lt;title&gt;Cost-effectiveness of five strategies for gonorrhea and chlamydia control among female and male emergency department patients&lt;/title&gt;&lt;secondary-title&gt;Sexually transmitted diseases&lt;/secondary-title&gt;&lt;/titles&gt;&lt;periodical&gt;&lt;full-title&gt;Sexually transmitted diseases&lt;/full-title&gt;&lt;/periodical&gt;&lt;pages&gt;83-91&lt;/pages&gt;&lt;volume&gt;29&lt;/volume&gt;&lt;number&gt;2&lt;/number&gt;&lt;dates&gt;&lt;year&gt;2002&lt;/year&gt;&lt;/dates&gt;&lt;isbn&gt;0148-5717&lt;/isbn&gt;&lt;urls&gt;&lt;/urls&gt;&lt;/record&gt;&lt;/Cite&gt;&lt;/EndNote&gt;</w:instrText>
      </w:r>
      <w:r>
        <w:rPr>
          <w:lang w:eastAsia="zh-CN"/>
        </w:rPr>
        <w:fldChar w:fldCharType="separate"/>
      </w:r>
      <w:r>
        <w:rPr>
          <w:noProof/>
          <w:lang w:eastAsia="zh-CN"/>
        </w:rPr>
        <w:t>[1]</w:t>
      </w:r>
      <w:r>
        <w:rPr>
          <w:lang w:eastAsia="zh-CN"/>
        </w:rPr>
        <w:fldChar w:fldCharType="end"/>
      </w:r>
      <w:r>
        <w:rPr>
          <w:lang w:eastAsia="zh-CN"/>
        </w:rPr>
        <w:t xml:space="preserve"> </w:t>
      </w:r>
      <w:r>
        <w:rPr>
          <w:lang w:eastAsia="zh-CN"/>
        </w:rPr>
        <w:fldChar w:fldCharType="begin"/>
      </w:r>
      <w:r>
        <w:rPr>
          <w:lang w:eastAsia="zh-CN"/>
        </w:rPr>
        <w:instrText xml:space="preserve"> ADDIN EN.CITE &lt;EndNote&gt;&lt;Cite&gt;&lt;Author&gt;Li&lt;/Author&gt;&lt;Year&gt;2022&lt;/Year&gt;&lt;RecNum&gt;28&lt;/RecNum&gt;&lt;DisplayText&gt;[2]&lt;/DisplayText&gt;&lt;record&gt;&lt;rec-number&gt;28&lt;/rec-number&gt;&lt;foreign-keys&gt;&lt;key app="EN" db-id="ztat55s9lwdfz5ev0apv525vs9wdzz059vs2" timestamp="1711105076"&gt;28&lt;/key&gt;&lt;/foreign-keys&gt;&lt;ref-type name="Journal Article"&gt;17&lt;/ref-type&gt;&lt;contributors&gt;&lt;authors&gt;&lt;author&gt;Li, Yunfei&lt;/author&gt;&lt;author&gt;Rönn, Minttu M&lt;/author&gt;&lt;author&gt;Tuite, Ashleigh R&lt;/author&gt;&lt;author&gt;Chesson, Harrell W&lt;/author&gt;&lt;author&gt;Gift, Thomas L&lt;/author&gt;&lt;author&gt;Trikalinos, Thomas A&lt;/author&gt;&lt;author&gt;Testa, Christian&lt;/author&gt;&lt;author&gt;Bellerose, Meghan&lt;/author&gt;&lt;author&gt;Hsu, Katherine&lt;/author&gt;&lt;author&gt;Berruti, Andrés A&lt;/author&gt;&lt;/authors&gt;&lt;/contributors&gt;&lt;titles&gt;&lt;title&gt;Estimated costs and quality-adjusted life-years lost due to N. gonorrhoeae infections acquired in 2015 in the United States: a modelling study of overall burden and disparities by age, race/ethnicity, and other factors&lt;/title&gt;&lt;secondary-title&gt;The Lancet Regional Health–Americas&lt;/secondary-title&gt;&lt;/titles&gt;&lt;periodical&gt;&lt;full-title&gt;The Lancet Regional Health–Americas&lt;/full-title&gt;&lt;/periodical&gt;&lt;volume&gt;16&lt;/volume&gt;&lt;dates&gt;&lt;year&gt;2022&lt;/year&gt;&lt;/dates&gt;&lt;isbn&gt;2667-193X&lt;/isbn&gt;&lt;urls&gt;&lt;/urls&gt;&lt;/record&gt;&lt;/Cite&gt;&lt;/EndNote&gt;</w:instrText>
      </w:r>
      <w:r>
        <w:rPr>
          <w:lang w:eastAsia="zh-CN"/>
        </w:rPr>
        <w:fldChar w:fldCharType="separate"/>
      </w:r>
      <w:r>
        <w:rPr>
          <w:noProof/>
          <w:lang w:eastAsia="zh-CN"/>
        </w:rPr>
        <w:t>[2]</w:t>
      </w:r>
      <w:r>
        <w:rPr>
          <w:lang w:eastAsia="zh-CN"/>
        </w:rPr>
        <w:fldChar w:fldCharType="end"/>
      </w:r>
      <w:r>
        <w:rPr>
          <w:lang w:eastAsia="zh-CN"/>
        </w:rPr>
        <w:t>, and cost of treatment of adverse reaction to gonorrhea antibiotic medications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ar</m:t>
            </m:r>
          </m:sub>
        </m:sSub>
      </m:oMath>
      <w:r>
        <w:rPr>
          <w:rFonts w:eastAsiaTheme="minorEastAsia"/>
          <w:shd w:val="clear" w:color="auto" w:fill="FFFFFF"/>
          <w:lang w:eastAsia="zh-CN"/>
        </w:rPr>
        <w:t>)</w:t>
      </w:r>
      <w:r>
        <w:rPr>
          <w:lang w:eastAsia="zh-CN"/>
        </w:rPr>
        <w:t xml:space="preserve">. In 2017-2020, a combination of </w:t>
      </w:r>
      <w:r>
        <w:t xml:space="preserve">ceftriaxone </w:t>
      </w:r>
      <w:r>
        <w:rPr>
          <w:lang w:eastAsia="zh-CN"/>
        </w:rPr>
        <w:t xml:space="preserve">250g and azithromycin 1g was the first-line therapy </w:t>
      </w:r>
      <w:r>
        <w:rPr>
          <w:lang w:eastAsia="zh-CN"/>
        </w:rPr>
        <w:fldChar w:fldCharType="begin"/>
      </w:r>
      <w:r>
        <w:rPr>
          <w:lang w:eastAsia="zh-CN"/>
        </w:rPr>
        <w:instrText xml:space="preserve"> ADDIN EN.CITE &lt;EndNote&gt;&lt;Cite&gt;&lt;Author&gt;Cyr&lt;/Author&gt;&lt;Year&gt;2020&lt;/Year&gt;&lt;RecNum&gt;97&lt;/RecNum&gt;&lt;DisplayText&gt;[3]&lt;/DisplayText&gt;&lt;record&gt;&lt;rec-number&gt;97&lt;/rec-number&gt;&lt;foreign-keys&gt;&lt;key app="EN" db-id="ztat55s9lwdfz5ev0apv525vs9wdzz059vs2" timestamp="1722252836"&gt;97&lt;/key&gt;&lt;/foreign-keys&gt;&lt;ref-type name="Journal Article"&gt;17&lt;/ref-type&gt;&lt;contributors&gt;&lt;authors&gt;&lt;author&gt;Cyr, Sancta St&lt;/author&gt;&lt;/authors&gt;&lt;/contributors&gt;&lt;titles&gt;&lt;title&gt;Update to CDC&amp;apos;s treatment guidelines for gonococcal infection, 2020&lt;/title&gt;&lt;secondary-title&gt;MMWR. Morbidity and mortality weekly report&lt;/secondary-title&gt;&lt;/titles&gt;&lt;periodical&gt;&lt;full-title&gt;MMWR. Morbidity and mortality weekly report&lt;/full-title&gt;&lt;/periodical&gt;&lt;volume&gt;69&lt;/volume&gt;&lt;dates&gt;&lt;year&gt;2020&lt;/year&gt;&lt;/dates&gt;&lt;urls&gt;&lt;/urls&gt;&lt;/record&gt;&lt;/Cite&gt;&lt;/EndNote&gt;</w:instrText>
      </w:r>
      <w:r>
        <w:rPr>
          <w:lang w:eastAsia="zh-CN"/>
        </w:rPr>
        <w:fldChar w:fldCharType="separate"/>
      </w:r>
      <w:r>
        <w:rPr>
          <w:noProof/>
          <w:lang w:eastAsia="zh-CN"/>
        </w:rPr>
        <w:t>[3]</w:t>
      </w:r>
      <w:r>
        <w:rPr>
          <w:lang w:eastAsia="zh-CN"/>
        </w:rPr>
        <w:fldChar w:fldCharType="end"/>
      </w:r>
      <w:r>
        <w:rPr>
          <w:lang w:eastAsia="zh-CN"/>
        </w:rPr>
        <w:t xml:space="preserve">. In 2020, it was replaced by </w:t>
      </w:r>
      <w:r>
        <w:t xml:space="preserve">ceftriaxone 500g </w:t>
      </w:r>
      <w:r>
        <w:fldChar w:fldCharType="begin"/>
      </w:r>
      <w:r>
        <w:instrText xml:space="preserve"> ADDIN EN.CITE &lt;EndNote&gt;&lt;Cite&gt;&lt;Author&gt;Cyr&lt;/Author&gt;&lt;Year&gt;2020&lt;/Year&gt;&lt;RecNum&gt;97&lt;/RecNum&gt;&lt;DisplayText&gt;[3]&lt;/DisplayText&gt;&lt;record&gt;&lt;rec-number&gt;97&lt;/rec-number&gt;&lt;foreign-keys&gt;&lt;key app="EN" db-id="ztat55s9lwdfz5ev0apv525vs9wdzz059vs2" timestamp="1722252836"&gt;97&lt;/key&gt;&lt;/foreign-keys&gt;&lt;ref-type name="Journal Article"&gt;17&lt;/ref-type&gt;&lt;contributors&gt;&lt;authors&gt;&lt;author&gt;Cyr, Sancta St&lt;/author&gt;&lt;/authors&gt;&lt;/contributors&gt;&lt;titles&gt;&lt;title&gt;Update to CDC&amp;apos;s treatment guidelines for gonococcal infection, 2020&lt;/title&gt;&lt;secondary-title&gt;MMWR. Morbidity and mortality weekly report&lt;/secondary-title&gt;&lt;/titles&gt;&lt;periodical&gt;&lt;full-title&gt;MMWR. Morbidity and mortality weekly report&lt;/full-title&gt;&lt;/periodical&gt;&lt;volume&gt;69&lt;/volume&gt;&lt;dates&gt;&lt;year&gt;2020&lt;/year&gt;&lt;/dates&gt;&lt;urls&gt;&lt;/urls&gt;&lt;/record&gt;&lt;/Cite&gt;&lt;/EndNote&gt;</w:instrText>
      </w:r>
      <w:r>
        <w:fldChar w:fldCharType="separate"/>
      </w:r>
      <w:r>
        <w:rPr>
          <w:noProof/>
        </w:rPr>
        <w:t>[3]</w:t>
      </w:r>
      <w:r>
        <w:fldChar w:fldCharType="end"/>
      </w:r>
      <w:r>
        <w:t xml:space="preserve">. We assumed that its cost equals to the double cost of ceftriaxone 250g. </w:t>
      </w:r>
      <w:r>
        <w:rPr>
          <w:lang w:eastAsia="zh-CN"/>
        </w:rPr>
        <w:t xml:space="preserve">Mild to moderate (abdominal pain, vomiting, skin rash, dizziness etc.) and severe (cholestatic jaundice, anaphylaxis etc.) reactions can take place as adverse reactions to gonorrhea antibiotic treatment with ceftriaxone and azithromycin </w:t>
      </w:r>
      <w:r>
        <w:rPr>
          <w:lang w:eastAsia="zh-CN"/>
        </w:rPr>
        <w:fldChar w:fldCharType="begin"/>
      </w:r>
      <w:r>
        <w:rPr>
          <w:lang w:eastAsia="zh-CN"/>
        </w:rPr>
        <w:instrText xml:space="preserve"> ADDIN EN.CITE &lt;EndNote&gt;&lt;Cite&gt;&lt;Author&gt;Li&lt;/Author&gt;&lt;Year&gt;2022&lt;/Year&gt;&lt;RecNum&gt;28&lt;/RecNum&gt;&lt;DisplayText&gt;[2]&lt;/DisplayText&gt;&lt;record&gt;&lt;rec-number&gt;28&lt;/rec-number&gt;&lt;foreign-keys&gt;&lt;key app="EN" db-id="ztat55s9lwdfz5ev0apv525vs9wdzz059vs2" timestamp="1711105076"&gt;28&lt;/key&gt;&lt;/foreign-keys&gt;&lt;ref-type name="Journal Article"&gt;17&lt;/ref-type&gt;&lt;contributors&gt;&lt;authors&gt;&lt;author&gt;Li, Yunfei&lt;/author&gt;&lt;author&gt;Rönn, Minttu M&lt;/author&gt;&lt;author&gt;Tuite, Ashleigh R&lt;/author&gt;&lt;author&gt;Chesson, Harrell W&lt;/author&gt;&lt;author&gt;Gift, Thomas L&lt;/author&gt;&lt;author&gt;Trikalinos, Thomas A&lt;/author&gt;&lt;author&gt;Testa, Christian&lt;/author&gt;&lt;author&gt;Bellerose, Meghan&lt;/author&gt;&lt;author&gt;Hsu, Katherine&lt;/author&gt;&lt;author&gt;Berruti, Andrés A&lt;/author&gt;&lt;/authors&gt;&lt;/contributors&gt;&lt;titles&gt;&lt;title&gt;Estimated costs and quality-adjusted life-years lost due to N. gonorrhoeae infections acquired in 2015 in the United States: a modelling study of overall burden and disparities by age, race/ethnicity, and other factors&lt;/title&gt;&lt;secondary-title&gt;The Lancet Regional Health–Americas&lt;/secondary-title&gt;&lt;/titles&gt;&lt;periodical&gt;&lt;full-title&gt;The Lancet Regional Health–Americas&lt;/full-title&gt;&lt;/periodical&gt;&lt;volume&gt;16&lt;/volume&gt;&lt;dates&gt;&lt;year&gt;2022&lt;/year&gt;&lt;/dates&gt;&lt;isbn&gt;2667-193X&lt;/isbn&gt;&lt;urls&gt;&lt;/urls&gt;&lt;/record&gt;&lt;/Cite&gt;&lt;/EndNote&gt;</w:instrText>
      </w:r>
      <w:r>
        <w:rPr>
          <w:lang w:eastAsia="zh-CN"/>
        </w:rPr>
        <w:fldChar w:fldCharType="separate"/>
      </w:r>
      <w:r>
        <w:rPr>
          <w:noProof/>
          <w:lang w:eastAsia="zh-CN"/>
        </w:rPr>
        <w:t>[2]</w:t>
      </w:r>
      <w:r>
        <w:rPr>
          <w:lang w:eastAsia="zh-CN"/>
        </w:rPr>
        <w:fldChar w:fldCharType="end"/>
      </w:r>
      <w:r>
        <w:rPr>
          <w:lang w:eastAsia="zh-CN"/>
        </w:rPr>
        <w:t>.</w:t>
      </w:r>
    </w:p>
    <w:p w14:paraId="70997327" w14:textId="77777777" w:rsidR="00D50DBD" w:rsidRDefault="00000000" w:rsidP="00D50DBD">
      <w:pPr>
        <w:jc w:val="both"/>
        <w:rPr>
          <w:rFonts w:eastAsiaTheme="minorEastAsia"/>
          <w:shd w:val="clear" w:color="auto" w:fill="FFFFFF"/>
          <w:lang w:eastAsia="zh-CN"/>
        </w:rPr>
      </w:pP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sg</m:t>
            </m:r>
          </m:sub>
        </m:sSub>
      </m:oMath>
      <w:r w:rsidR="00D50DBD">
        <w:rPr>
          <w:rStyle w:val="normaltextrun"/>
          <w:rFonts w:eastAsiaTheme="minorEastAsia"/>
          <w:color w:val="000000"/>
          <w:shd w:val="clear" w:color="auto" w:fill="FFFFFF"/>
        </w:rPr>
        <w:t>=</w:t>
      </w:r>
      <m:oMath>
        <m:sSub>
          <m:sSubPr>
            <m:ctrlPr>
              <w:rPr>
                <w:rFonts w:ascii="Cambria Math" w:eastAsia="Times New Roman" w:hAnsi="Cambria Math" w:cstheme="minorHAnsi"/>
                <w:i/>
                <w:shd w:val="clear" w:color="auto" w:fill="FFFFFF"/>
                <w:lang w:eastAsia="zh-CN"/>
              </w:rPr>
            </m:ctrlPr>
          </m:sSubPr>
          <m:e>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m:t>
                </m:r>
              </m:e>
              <m:sub>
                <m:r>
                  <w:rPr>
                    <w:rStyle w:val="normaltextrun"/>
                    <w:rFonts w:ascii="Cambria Math" w:hAnsi="Cambria Math"/>
                    <w:color w:val="000000"/>
                    <w:shd w:val="clear" w:color="auto" w:fill="FFFFFF"/>
                  </w:rPr>
                  <m:t>sg</m:t>
                </m:r>
              </m:sub>
            </m:sSub>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at</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U</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p</m:t>
            </m:r>
          </m:e>
          <m:sub>
            <m:r>
              <w:rPr>
                <w:rFonts w:ascii="Cambria Math" w:eastAsia="Times New Roman" w:hAnsi="Cambria Math" w:cstheme="minorHAnsi"/>
                <w:shd w:val="clear" w:color="auto" w:fill="FFFFFF"/>
                <w:lang w:eastAsia="zh-CN"/>
              </w:rPr>
              <m:t>ar</m:t>
            </m:r>
          </m:sub>
        </m:sSub>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ar</m:t>
            </m:r>
          </m:sub>
        </m:sSub>
      </m:oMath>
      <w:r w:rsidR="00D50DBD">
        <w:rPr>
          <w:rFonts w:eastAsiaTheme="minorEastAsia"/>
          <w:shd w:val="clear" w:color="auto" w:fill="FFFFFF"/>
          <w:lang w:eastAsia="zh-CN"/>
        </w:rPr>
        <w:t>,</w:t>
      </w:r>
    </w:p>
    <w:p w14:paraId="49E38FDC" w14:textId="77777777" w:rsidR="00D50DBD" w:rsidRDefault="00D50DBD" w:rsidP="00D50DBD">
      <w:pPr>
        <w:jc w:val="both"/>
        <w:rPr>
          <w:lang w:eastAsia="zh-CN"/>
        </w:rPr>
      </w:pPr>
      <w:r>
        <w:rPr>
          <w:rFonts w:eastAsiaTheme="minorEastAsia"/>
          <w:shd w:val="clear" w:color="auto" w:fill="FFFFFF"/>
          <w:lang w:eastAsia="zh-CN"/>
        </w:rPr>
        <w:t xml:space="preserve">where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p</m:t>
            </m:r>
          </m:e>
          <m:sub>
            <m:r>
              <w:rPr>
                <w:rFonts w:ascii="Cambria Math" w:eastAsia="Times New Roman" w:hAnsi="Cambria Math" w:cstheme="minorHAnsi"/>
                <w:shd w:val="clear" w:color="auto" w:fill="FFFFFF"/>
                <w:lang w:eastAsia="zh-CN"/>
              </w:rPr>
              <m:t>ar</m:t>
            </m:r>
          </m:sub>
        </m:sSub>
      </m:oMath>
      <w:r>
        <w:rPr>
          <w:rFonts w:eastAsiaTheme="minorEastAsia"/>
          <w:shd w:val="clear" w:color="auto" w:fill="FFFFFF"/>
          <w:lang w:eastAsia="zh-CN"/>
        </w:rPr>
        <w:t xml:space="preserve"> is the </w:t>
      </w:r>
      <w:r>
        <w:rPr>
          <w:rFonts w:cstheme="minorHAnsi"/>
        </w:rPr>
        <w:t>probability of adverse reaction to gonorrhea antibiotic medications.</w:t>
      </w:r>
      <w:r>
        <w:rPr>
          <w:lang w:eastAsia="zh-CN"/>
        </w:rPr>
        <w:t xml:space="preserve"> </w:t>
      </w:r>
    </w:p>
    <w:p w14:paraId="3A12CBF4" w14:textId="21019ACB" w:rsidR="00D50DBD" w:rsidRDefault="00D50DBD" w:rsidP="00D50DBD">
      <w:pPr>
        <w:jc w:val="both"/>
        <w:rPr>
          <w:lang w:eastAsia="zh-CN"/>
        </w:rPr>
      </w:pPr>
      <w:r>
        <w:rPr>
          <w:lang w:eastAsia="zh-CN"/>
        </w:rPr>
        <w:t>The cost of diagnosis and treatment of a detected asymptomatic case (</w:t>
      </w: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ag</m:t>
            </m:r>
          </m:sub>
        </m:sSub>
      </m:oMath>
      <w:r>
        <w:rPr>
          <w:rStyle w:val="normaltextrun"/>
          <w:rFonts w:eastAsiaTheme="minorEastAsia"/>
          <w:color w:val="000000"/>
          <w:shd w:val="clear" w:color="auto" w:fill="FFFFFF"/>
        </w:rPr>
        <w:t>)</w:t>
      </w:r>
      <w:r>
        <w:rPr>
          <w:lang w:eastAsia="zh-CN"/>
        </w:rPr>
        <w:t xml:space="preserve"> consisted of almost the same components as the cost of diagnosis and treatment of a symptomatic susceptible case, expect for the cost of a short clinic visit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sv</m:t>
            </m:r>
          </m:sub>
        </m:sSub>
      </m:oMath>
      <w:r>
        <w:rPr>
          <w:rFonts w:eastAsiaTheme="minorEastAsia"/>
          <w:shd w:val="clear" w:color="auto" w:fill="FFFFFF"/>
          <w:lang w:eastAsia="zh-CN"/>
        </w:rPr>
        <w:t>)</w:t>
      </w:r>
      <w:r>
        <w:rPr>
          <w:lang w:eastAsia="zh-CN"/>
        </w:rPr>
        <w:t xml:space="preserve"> used instead of the cost of treatment for urethritis. For the US </w:t>
      </w:r>
      <w:r w:rsidR="00757BE2">
        <w:rPr>
          <w:lang w:eastAsia="zh-CN"/>
        </w:rPr>
        <w:t>men who have sex with men (</w:t>
      </w:r>
      <w:r>
        <w:rPr>
          <w:lang w:eastAsia="zh-CN"/>
        </w:rPr>
        <w:t>MSM</w:t>
      </w:r>
      <w:r w:rsidR="00757BE2">
        <w:rPr>
          <w:lang w:eastAsia="zh-CN"/>
        </w:rPr>
        <w:t>)</w:t>
      </w:r>
      <w:r>
        <w:rPr>
          <w:lang w:eastAsia="zh-CN"/>
        </w:rPr>
        <w:t xml:space="preserve">, the routine screening is recommended by the </w:t>
      </w:r>
      <w:r w:rsidR="00757BE2">
        <w:rPr>
          <w:lang w:eastAsia="zh-CN"/>
        </w:rPr>
        <w:t>Centers for Disease Control and Prevention (</w:t>
      </w:r>
      <w:r>
        <w:rPr>
          <w:lang w:eastAsia="zh-CN"/>
        </w:rPr>
        <w:t>CDC</w:t>
      </w:r>
      <w:r w:rsidR="00757BE2">
        <w:rPr>
          <w:lang w:eastAsia="zh-CN"/>
        </w:rPr>
        <w:t>)</w:t>
      </w:r>
      <w:r>
        <w:rPr>
          <w:lang w:eastAsia="zh-CN"/>
        </w:rPr>
        <w:t xml:space="preserve"> guidelines </w:t>
      </w:r>
      <w:r>
        <w:rPr>
          <w:lang w:eastAsia="zh-CN"/>
        </w:rPr>
        <w:fldChar w:fldCharType="begin"/>
      </w:r>
      <w:r>
        <w:rPr>
          <w:lang w:eastAsia="zh-CN"/>
        </w:rPr>
        <w:instrText xml:space="preserve"> ADDIN EN.CITE &lt;EndNote&gt;&lt;Cite&gt;&lt;Author&gt;Workowski&lt;/Author&gt;&lt;Year&gt;2021&lt;/Year&gt;&lt;RecNum&gt;39&lt;/RecNum&gt;&lt;DisplayText&gt;[4]&lt;/DisplayText&gt;&lt;record&gt;&lt;rec-number&gt;39&lt;/rec-number&gt;&lt;foreign-keys&gt;&lt;key app="EN" db-id="ztat55s9lwdfz5ev0apv525vs9wdzz059vs2" timestamp="1715593762"&gt;39&lt;/key&gt;&lt;/foreign-keys&gt;&lt;ref-type name="Journal Article"&gt;17&lt;/ref-type&gt;&lt;contributors&gt;&lt;authors&gt;&lt;author&gt;Workowski, Kimberly A&lt;/author&gt;&lt;/authors&gt;&lt;/contributors&gt;&lt;titles&gt;&lt;title&gt;Sexually transmitted infections treatment guidelines, 2021&lt;/title&gt;&lt;secondary-title&gt;MMWR. Recommendations and Reports&lt;/secondary-title&gt;&lt;/titles&gt;&lt;periodical&gt;&lt;full-title&gt;MMWR. Recommendations and Reports&lt;/full-title&gt;&lt;/periodical&gt;&lt;volume&gt;70&lt;/volume&gt;&lt;dates&gt;&lt;year&gt;2021&lt;/year&gt;&lt;/dates&gt;&lt;urls&gt;&lt;/urls&gt;&lt;/record&gt;&lt;/Cite&gt;&lt;/EndNote&gt;</w:instrText>
      </w:r>
      <w:r>
        <w:rPr>
          <w:lang w:eastAsia="zh-CN"/>
        </w:rPr>
        <w:fldChar w:fldCharType="separate"/>
      </w:r>
      <w:r>
        <w:rPr>
          <w:noProof/>
          <w:lang w:eastAsia="zh-CN"/>
        </w:rPr>
        <w:t>[4]</w:t>
      </w:r>
      <w:r>
        <w:rPr>
          <w:lang w:eastAsia="zh-CN"/>
        </w:rPr>
        <w:fldChar w:fldCharType="end"/>
      </w:r>
      <w:r>
        <w:rPr>
          <w:lang w:eastAsia="zh-CN"/>
        </w:rPr>
        <w:t xml:space="preserve"> at the sites for which they reported the exposure. We assumed that the majority of the MSM were exposed at all three anatomical sites since their last screening and used the triple cost of testing for gonorrhea for calculating these costs. </w:t>
      </w:r>
      <w:r w:rsidR="00CA326A">
        <w:rPr>
          <w:lang w:eastAsia="zh-CN"/>
        </w:rPr>
        <w:t xml:space="preserve">The cost of </w:t>
      </w:r>
      <w:r w:rsidR="00757BE2">
        <w:rPr>
          <w:lang w:eastAsia="zh-CN"/>
        </w:rPr>
        <w:t>screening</w:t>
      </w:r>
      <w:r w:rsidR="00CA326A">
        <w:rPr>
          <w:lang w:eastAsia="zh-CN"/>
        </w:rPr>
        <w:t xml:space="preserve"> in case no infection was found was not included. </w:t>
      </w:r>
      <w:r>
        <w:rPr>
          <w:lang w:eastAsia="zh-CN"/>
        </w:rPr>
        <w:t xml:space="preserve">  </w:t>
      </w:r>
    </w:p>
    <w:p w14:paraId="7E273218" w14:textId="77777777" w:rsidR="00D50DBD" w:rsidRDefault="00000000" w:rsidP="00D50DBD">
      <w:pPr>
        <w:jc w:val="both"/>
        <w:rPr>
          <w:rFonts w:eastAsiaTheme="minorEastAsia"/>
          <w:shd w:val="clear" w:color="auto" w:fill="FFFFFF"/>
          <w:lang w:eastAsia="zh-CN"/>
        </w:rPr>
      </w:pP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ag</m:t>
            </m:r>
          </m:sub>
        </m:sSub>
      </m:oMath>
      <w:r w:rsidR="00D50DBD">
        <w:rPr>
          <w:rStyle w:val="normaltextrun"/>
          <w:rFonts w:eastAsiaTheme="minorEastAsia"/>
          <w:color w:val="000000"/>
          <w:shd w:val="clear" w:color="auto" w:fill="FFFFFF"/>
        </w:rPr>
        <w:t>=</w:t>
      </w:r>
      <m:oMath>
        <m:r>
          <w:rPr>
            <w:rStyle w:val="normaltextrun"/>
            <w:rFonts w:ascii="Cambria Math" w:eastAsiaTheme="minorEastAsia" w:hAnsi="Cambria Math"/>
            <w:color w:val="000000"/>
            <w:shd w:val="clear" w:color="auto" w:fill="FFFFFF"/>
          </w:rPr>
          <m:t>3</m:t>
        </m:r>
        <m:sSub>
          <m:sSubPr>
            <m:ctrlPr>
              <w:rPr>
                <w:rFonts w:ascii="Cambria Math" w:eastAsia="Times New Roman" w:hAnsi="Cambria Math" w:cstheme="minorHAnsi"/>
                <w:i/>
                <w:shd w:val="clear" w:color="auto" w:fill="FFFFFF"/>
                <w:lang w:eastAsia="zh-CN"/>
              </w:rPr>
            </m:ctrlPr>
          </m:sSubPr>
          <m:e>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m:t>
                </m:r>
              </m:e>
              <m:sub>
                <m:r>
                  <w:rPr>
                    <w:rStyle w:val="normaltextrun"/>
                    <w:rFonts w:ascii="Cambria Math" w:hAnsi="Cambria Math"/>
                    <w:color w:val="000000"/>
                    <w:shd w:val="clear" w:color="auto" w:fill="FFFFFF"/>
                  </w:rPr>
                  <m:t>sg</m:t>
                </m:r>
              </m:sub>
            </m:sSub>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at</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sv</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p</m:t>
            </m:r>
          </m:e>
          <m:sub>
            <m:r>
              <w:rPr>
                <w:rFonts w:ascii="Cambria Math" w:eastAsia="Times New Roman" w:hAnsi="Cambria Math" w:cstheme="minorHAnsi"/>
                <w:shd w:val="clear" w:color="auto" w:fill="FFFFFF"/>
                <w:lang w:eastAsia="zh-CN"/>
              </w:rPr>
              <m:t>ar</m:t>
            </m:r>
          </m:sub>
        </m:sSub>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ar</m:t>
            </m:r>
          </m:sub>
        </m:sSub>
      </m:oMath>
      <w:r w:rsidR="00D50DBD">
        <w:rPr>
          <w:rFonts w:eastAsiaTheme="minorEastAsia"/>
          <w:shd w:val="clear" w:color="auto" w:fill="FFFFFF"/>
          <w:lang w:eastAsia="zh-CN"/>
        </w:rPr>
        <w:t>.</w:t>
      </w:r>
    </w:p>
    <w:p w14:paraId="40B9B67C" w14:textId="77777777" w:rsidR="00D50DBD" w:rsidRDefault="00D50DBD" w:rsidP="00D50DBD">
      <w:pPr>
        <w:jc w:val="both"/>
        <w:rPr>
          <w:lang w:eastAsia="zh-CN"/>
        </w:rPr>
      </w:pPr>
      <w:r>
        <w:rPr>
          <w:rStyle w:val="normaltextrun"/>
          <w:rFonts w:eastAsiaTheme="minorEastAsia"/>
          <w:color w:val="000000"/>
          <w:shd w:val="clear" w:color="auto" w:fill="FFFFFF"/>
        </w:rPr>
        <w:t>The cost of diagnosis and treatment of antimicrobial-resistant (AMR) case (</w:t>
      </w: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AMRg</m:t>
            </m:r>
          </m:sub>
        </m:sSub>
      </m:oMath>
      <w:r>
        <w:rPr>
          <w:rStyle w:val="normaltextrun"/>
          <w:rFonts w:eastAsiaTheme="minorEastAsia"/>
          <w:color w:val="000000"/>
          <w:shd w:val="clear" w:color="auto" w:fill="FFFFFF"/>
        </w:rPr>
        <w:t xml:space="preserve">) </w:t>
      </w:r>
      <w:r>
        <w:rPr>
          <w:lang w:eastAsia="zh-CN"/>
        </w:rPr>
        <w:t>included the cost of diagnosis and treatment of a symptomatic susceptible case (</w:t>
      </w: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sg</m:t>
            </m:r>
          </m:sub>
        </m:sSub>
      </m:oMath>
      <w:r>
        <w:rPr>
          <w:rStyle w:val="normaltextrun"/>
          <w:rFonts w:eastAsiaTheme="minorEastAsia"/>
          <w:color w:val="000000"/>
          <w:shd w:val="clear" w:color="auto" w:fill="FFFFFF"/>
        </w:rPr>
        <w:t xml:space="preserve">) </w:t>
      </w:r>
      <w:r>
        <w:rPr>
          <w:lang w:eastAsia="zh-CN"/>
        </w:rPr>
        <w:t>and the cost of being re-treated with the second-line drug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at2</m:t>
            </m:r>
          </m:sub>
        </m:sSub>
      </m:oMath>
      <w:r>
        <w:rPr>
          <w:rFonts w:eastAsiaTheme="minorEastAsia"/>
          <w:shd w:val="clear" w:color="auto" w:fill="FFFFFF"/>
          <w:lang w:eastAsia="zh-CN"/>
        </w:rPr>
        <w:t>)</w:t>
      </w:r>
      <w:r>
        <w:rPr>
          <w:lang w:eastAsia="zh-CN"/>
        </w:rPr>
        <w:t>.</w:t>
      </w:r>
    </w:p>
    <w:p w14:paraId="2F9A7EF3" w14:textId="77777777" w:rsidR="00D50DBD" w:rsidRDefault="00000000" w:rsidP="00D50DBD">
      <w:pPr>
        <w:jc w:val="both"/>
        <w:rPr>
          <w:rFonts w:eastAsiaTheme="minorEastAsia"/>
          <w:shd w:val="clear" w:color="auto" w:fill="FFFFFF"/>
          <w:lang w:eastAsia="zh-CN"/>
        </w:rPr>
      </w:pP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AMRg</m:t>
            </m:r>
          </m:sub>
        </m:sSub>
      </m:oMath>
      <w:r w:rsidR="00D50DBD">
        <w:rPr>
          <w:rStyle w:val="normaltextrun"/>
          <w:rFonts w:eastAsiaTheme="minorEastAsia"/>
          <w:color w:val="000000"/>
          <w:shd w:val="clear" w:color="auto" w:fill="FFFFFF"/>
        </w:rPr>
        <w:t>=</w:t>
      </w:r>
      <m:oMath>
        <m:sSub>
          <m:sSubPr>
            <m:ctrlPr>
              <w:rPr>
                <w:rFonts w:ascii="Cambria Math" w:eastAsia="Times New Roman" w:hAnsi="Cambria Math" w:cstheme="minorHAnsi"/>
                <w:i/>
                <w:shd w:val="clear" w:color="auto" w:fill="FFFFFF"/>
                <w:lang w:eastAsia="zh-CN"/>
              </w:rPr>
            </m:ctrlPr>
          </m:sSubPr>
          <m:e>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sg</m:t>
                </m:r>
              </m:sub>
            </m:sSub>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at2</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U</m:t>
            </m:r>
          </m:sub>
        </m:sSub>
        <m:r>
          <w:rPr>
            <w:rFonts w:ascii="Cambria Math" w:eastAsia="Times New Roman" w:hAnsi="Cambria Math" w:cstheme="minorHAnsi"/>
            <w:shd w:val="clear" w:color="auto" w:fill="FFFFFF"/>
            <w:lang w:eastAsia="zh-CN"/>
          </w:rPr>
          <m:t>+</m:t>
        </m:r>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p</m:t>
            </m:r>
          </m:e>
          <m:sub>
            <m:r>
              <w:rPr>
                <w:rFonts w:ascii="Cambria Math" w:eastAsia="Times New Roman" w:hAnsi="Cambria Math" w:cstheme="minorHAnsi"/>
                <w:shd w:val="clear" w:color="auto" w:fill="FFFFFF"/>
                <w:lang w:eastAsia="zh-CN"/>
              </w:rPr>
              <m:t>ar</m:t>
            </m:r>
          </m:sub>
        </m:sSub>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ar</m:t>
            </m:r>
          </m:sub>
        </m:sSub>
      </m:oMath>
      <w:r w:rsidR="00D50DBD">
        <w:rPr>
          <w:rFonts w:eastAsiaTheme="minorEastAsia"/>
          <w:shd w:val="clear" w:color="auto" w:fill="FFFFFF"/>
          <w:lang w:eastAsia="zh-CN"/>
        </w:rPr>
        <w:t>,</w:t>
      </w:r>
    </w:p>
    <w:p w14:paraId="55050A31" w14:textId="47F236C8" w:rsidR="00D50DBD" w:rsidRDefault="00D50DBD" w:rsidP="00D50DBD">
      <w:pPr>
        <w:jc w:val="both"/>
        <w:rPr>
          <w:rFonts w:eastAsiaTheme="minorEastAsia"/>
          <w:shd w:val="clear" w:color="auto" w:fill="FFFFFF"/>
          <w:lang w:eastAsia="zh-CN"/>
        </w:rPr>
      </w:pPr>
      <w:r>
        <w:rPr>
          <w:lang w:eastAsia="zh-CN"/>
        </w:rPr>
        <w:t>The second-line antibiotic for gonorrhea is ertapenem 1g.</w:t>
      </w:r>
      <w:r>
        <w:rPr>
          <w:rFonts w:eastAsiaTheme="minorEastAsia"/>
          <w:shd w:val="clear" w:color="auto" w:fill="FFFFFF"/>
          <w:lang w:eastAsia="zh-CN"/>
        </w:rPr>
        <w:t xml:space="preserve"> </w:t>
      </w:r>
      <w:r>
        <w:rPr>
          <w:lang w:eastAsia="zh-CN"/>
        </w:rPr>
        <w:t xml:space="preserve">We assumed that the probability of adverse reaction to ertapenem and the cost of treatment of that reaction is the same as for </w:t>
      </w:r>
      <w:r w:rsidR="00A441B4">
        <w:rPr>
          <w:lang w:eastAsia="zh-CN"/>
        </w:rPr>
        <w:t xml:space="preserve">the first-line antibiotics as it has a safety profile comparable to that of ceftriaxone </w:t>
      </w:r>
      <w:r w:rsidR="00A441B4">
        <w:rPr>
          <w:lang w:eastAsia="zh-CN"/>
        </w:rPr>
        <w:fldChar w:fldCharType="begin"/>
      </w:r>
      <w:r w:rsidR="00A441B4">
        <w:rPr>
          <w:lang w:eastAsia="zh-CN"/>
        </w:rPr>
        <w:instrText xml:space="preserve"> ADDIN EN.CITE &lt;EndNote&gt;&lt;Cite&gt;&lt;Author&gt;Li&lt;/Author&gt;&lt;Year&gt;2022&lt;/Year&gt;&lt;RecNum&gt;98&lt;/RecNum&gt;&lt;DisplayText&gt;[5]&lt;/DisplayText&gt;&lt;record&gt;&lt;rec-number&gt;98&lt;/rec-number&gt;&lt;foreign-keys&gt;&lt;key app="EN" db-id="ztat55s9lwdfz5ev0apv525vs9wdzz059vs2" timestamp="1722254186"&gt;98&lt;/key&gt;&lt;/foreign-keys&gt;&lt;ref-type name="Journal Article"&gt;17&lt;/ref-type&gt;&lt;contributors&gt;&lt;authors&gt;&lt;author&gt;Li, Xuechun&lt;/author&gt;&lt;author&gt;Le, Wenjing&lt;/author&gt;&lt;author&gt;Lou, Xiangdi&lt;/author&gt;&lt;author&gt;Genco, Caroline A&lt;/author&gt;&lt;author&gt;Rice, Peter A&lt;/author&gt;&lt;author&gt;Su, Xiaohong&lt;/author&gt;&lt;/authors&gt;&lt;/contributors&gt;&lt;titles&gt;&lt;title&gt;In vitro activity of ertapenem against Neisseria gonorrhoeae clinical isolates with decreased susceptibility or resistance to extended-spectrum Cephalosporins in Nanjing, China (2013 to 2019)&lt;/title&gt;&lt;secondary-title&gt;Antimicrobial Agents and Chemotherapy&lt;/secondary-title&gt;&lt;/titles&gt;&lt;periodical&gt;&lt;full-title&gt;Antimicrobial Agents and Chemotherapy&lt;/full-title&gt;&lt;/periodical&gt;&lt;pages&gt;e00109-22&lt;/pages&gt;&lt;volume&gt;66&lt;/volume&gt;&lt;number&gt;5&lt;/number&gt;&lt;dates&gt;&lt;year&gt;2022&lt;/year&gt;&lt;/dates&gt;&lt;isbn&gt;0066-4804&lt;/isbn&gt;&lt;urls&gt;&lt;/urls&gt;&lt;/record&gt;&lt;/Cite&gt;&lt;/EndNote&gt;</w:instrText>
      </w:r>
      <w:r w:rsidR="00A441B4">
        <w:rPr>
          <w:lang w:eastAsia="zh-CN"/>
        </w:rPr>
        <w:fldChar w:fldCharType="separate"/>
      </w:r>
      <w:r w:rsidR="00A441B4">
        <w:rPr>
          <w:noProof/>
          <w:lang w:eastAsia="zh-CN"/>
        </w:rPr>
        <w:t>[5]</w:t>
      </w:r>
      <w:r w:rsidR="00A441B4">
        <w:rPr>
          <w:lang w:eastAsia="zh-CN"/>
        </w:rPr>
        <w:fldChar w:fldCharType="end"/>
      </w:r>
      <w:r w:rsidR="00A441B4">
        <w:rPr>
          <w:lang w:eastAsia="zh-CN"/>
        </w:rPr>
        <w:t>.</w:t>
      </w:r>
      <w:r>
        <w:rPr>
          <w:lang w:eastAsia="zh-CN"/>
        </w:rPr>
        <w:t xml:space="preserve"> The cost of antimicrobial susceptibility testing (AST) upon patient return to a healthcare provider with suspected treatment failure was not included as currently the Maryland and Washington State Public Health Labs offer nationwide AST at no cost </w:t>
      </w:r>
      <w:r w:rsidR="00757BE2">
        <w:rPr>
          <w:lang w:eastAsia="zh-CN"/>
        </w:rPr>
        <w:t>t</w:t>
      </w:r>
      <w:r>
        <w:rPr>
          <w:lang w:eastAsia="zh-CN"/>
        </w:rPr>
        <w:t>hrough</w:t>
      </w:r>
      <w:r w:rsidR="00757BE2">
        <w:rPr>
          <w:lang w:eastAsia="zh-CN"/>
        </w:rPr>
        <w:t xml:space="preserve"> the</w:t>
      </w:r>
      <w:r>
        <w:rPr>
          <w:lang w:eastAsia="zh-CN"/>
        </w:rPr>
        <w:t xml:space="preserve"> CDC's AR Lab Network </w:t>
      </w:r>
      <w:r>
        <w:rPr>
          <w:lang w:eastAsia="zh-CN"/>
        </w:rPr>
        <w:fldChar w:fldCharType="begin"/>
      </w:r>
      <w:r w:rsidR="00A441B4">
        <w:rPr>
          <w:lang w:eastAsia="zh-CN"/>
        </w:rPr>
        <w:instrText xml:space="preserve"> ADDIN EN.CITE &lt;EndNote&gt;&lt;Cite&gt;&lt;Author&gt;Prevention&lt;/Author&gt;&lt;Year&gt;2021&lt;/Year&gt;&lt;RecNum&gt;81&lt;/RecNum&gt;&lt;DisplayText&gt;[6]&lt;/DisplayText&gt;&lt;record&gt;&lt;rec-number&gt;81&lt;/rec-number&gt;&lt;foreign-keys&gt;&lt;key app="EN" db-id="ztat55s9lwdfz5ev0apv525vs9wdzz059vs2" timestamp="1720168442"&gt;81&lt;/key&gt;&lt;/foreign-keys&gt;&lt;ref-type name="Journal Article"&gt;17&lt;/ref-type&gt;&lt;contributors&gt;&lt;authors&gt;&lt;author&gt;Centers for Disease Control and Prevention&lt;/author&gt;&lt;/authors&gt;&lt;/contributors&gt;&lt;titles&gt;&lt;title&gt;Gonorrhea Laboratory Information&lt;/title&gt;&lt;/titles&gt;&lt;dates&gt;&lt;year&gt;2021&lt;/year&gt;&lt;/dates&gt;&lt;urls&gt;&lt;related-urls&gt;&lt;url&gt;https://www.cdc.gov/gonorrhea/php/laboratories/index.html&lt;/url&gt;&lt;/related-urls&gt;&lt;/urls&gt;&lt;/record&gt;&lt;/Cite&gt;&lt;/EndNote&gt;</w:instrText>
      </w:r>
      <w:r>
        <w:rPr>
          <w:lang w:eastAsia="zh-CN"/>
        </w:rPr>
        <w:fldChar w:fldCharType="separate"/>
      </w:r>
      <w:r w:rsidR="00A441B4">
        <w:rPr>
          <w:noProof/>
          <w:lang w:eastAsia="zh-CN"/>
        </w:rPr>
        <w:t>[6]</w:t>
      </w:r>
      <w:r>
        <w:rPr>
          <w:lang w:eastAsia="zh-CN"/>
        </w:rPr>
        <w:fldChar w:fldCharType="end"/>
      </w:r>
      <w:r>
        <w:rPr>
          <w:lang w:eastAsia="zh-CN"/>
        </w:rPr>
        <w:t>.</w:t>
      </w:r>
    </w:p>
    <w:p w14:paraId="3D64D271" w14:textId="77777777" w:rsidR="00D50DBD" w:rsidRDefault="00D50DBD" w:rsidP="00D50DBD">
      <w:pPr>
        <w:jc w:val="both"/>
        <w:rPr>
          <w:lang w:eastAsia="zh-CN"/>
        </w:rPr>
      </w:pPr>
      <w:r>
        <w:rPr>
          <w:lang w:eastAsia="zh-CN"/>
        </w:rPr>
        <w:t xml:space="preserve">The cost of treatment of </w:t>
      </w:r>
      <w:r>
        <w:t>a sequala (epididymitis or disseminated gonococcal infection)</w:t>
      </w:r>
      <w:r>
        <w:rPr>
          <w:sz w:val="20"/>
          <w:szCs w:val="20"/>
        </w:rPr>
        <w:t xml:space="preserve"> </w:t>
      </w:r>
      <w:r>
        <w:t>per case of untreated gonococcal infections was calculated as:</w:t>
      </w:r>
    </w:p>
    <w:p w14:paraId="5FEA0E51" w14:textId="77777777" w:rsidR="00D50DBD" w:rsidRDefault="00000000" w:rsidP="00D50DBD">
      <w:pPr>
        <w:jc w:val="both"/>
        <w:rPr>
          <w:rFonts w:eastAsiaTheme="minorEastAsia"/>
        </w:rPr>
      </w:pPr>
      <m:oMathPara>
        <m:oMathParaPr>
          <m:jc m:val="left"/>
        </m:oMathParaPr>
        <m:oMath>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Cost</m:t>
              </m:r>
            </m:e>
            <m:sub>
              <m:r>
                <w:rPr>
                  <w:rStyle w:val="normaltextrun"/>
                  <w:rFonts w:ascii="Cambria Math" w:hAnsi="Cambria Math"/>
                  <w:color w:val="000000"/>
                  <w:shd w:val="clear" w:color="auto" w:fill="FFFFFF"/>
                </w:rPr>
                <m:t>se</m:t>
              </m:r>
              <m:sSub>
                <m:sSubPr>
                  <m:ctrlPr>
                    <w:rPr>
                      <w:rFonts w:ascii="Cambria Math" w:hAnsi="Cambria Math" w:cs="Calibri"/>
                      <w:i/>
                      <w:color w:val="000000"/>
                      <w:shd w:val="clear" w:color="auto" w:fill="FFFFFF"/>
                    </w:rPr>
                  </m:ctrlPr>
                </m:sSubPr>
                <m:e>
                  <m:r>
                    <w:rPr>
                      <w:rStyle w:val="normaltextrun"/>
                      <w:rFonts w:ascii="Cambria Math" w:hAnsi="Cambria Math"/>
                      <w:color w:val="000000"/>
                      <w:shd w:val="clear" w:color="auto" w:fill="FFFFFF"/>
                    </w:rPr>
                    <m:t>q</m:t>
                  </m:r>
                </m:e>
                <m:sub>
                  <m:r>
                    <w:rPr>
                      <w:rStyle w:val="normaltextrun"/>
                      <w:rFonts w:ascii="Cambria Math" w:hAnsi="Cambria Math"/>
                      <w:color w:val="000000"/>
                      <w:shd w:val="clear" w:color="auto" w:fill="FFFFFF"/>
                    </w:rPr>
                    <m:t>i</m:t>
                  </m:r>
                </m:sub>
              </m:sSub>
            </m:sub>
          </m:sSub>
          <m:r>
            <w:rPr>
              <w:rStyle w:val="normaltextrun"/>
              <w:rFonts w:ascii="Cambria Math" w:hAnsi="Cambria Math"/>
              <w:color w:val="000000"/>
              <w:shd w:val="clear" w:color="auto" w:fill="FFFFFF"/>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ni</m:t>
              </m:r>
            </m:sub>
          </m:sSub>
          <m:sSub>
            <m:sSubPr>
              <m:ctrlPr>
                <w:rPr>
                  <w:rFonts w:ascii="Cambria Math" w:hAnsi="Cambria Math"/>
                  <w:i/>
                </w:rPr>
              </m:ctrlPr>
            </m:sSubPr>
            <m:e>
              <m:r>
                <w:rPr>
                  <w:rFonts w:ascii="Cambria Math" w:hAnsi="Cambria Math"/>
                </w:rPr>
                <m:t>p</m:t>
              </m:r>
            </m:e>
            <m:sub>
              <m:r>
                <w:rPr>
                  <w:rFonts w:ascii="Cambria Math" w:hAnsi="Cambria Math"/>
                </w:rPr>
                <m:t>ni</m:t>
              </m:r>
            </m:sub>
          </m:sSub>
          <m:r>
            <w:rPr>
              <w:rFonts w:ascii="Cambria Math" w:eastAsia="Times New Roman" w:hAnsi="Cambria Math" w:cstheme="minorHAnsi"/>
              <w:shd w:val="clear" w:color="auto" w:fill="FFFFFF"/>
              <w:lang w:eastAsia="zh-CN"/>
            </w:rPr>
            <m:t>+</m:t>
          </m:r>
          <m:sSub>
            <m:sSubPr>
              <m:ctrlPr>
                <w:rPr>
                  <w:rFonts w:ascii="Cambria Math" w:hAnsi="Cambria Math"/>
                  <w:i/>
                </w:rPr>
              </m:ctrlPr>
            </m:sSubPr>
            <m:e>
              <m:r>
                <w:rPr>
                  <w:rFonts w:ascii="Cambria Math" w:hAnsi="Cambria Math"/>
                </w:rPr>
                <m:t>c</m:t>
              </m:r>
            </m:e>
            <m:sub>
              <m:r>
                <w:rPr>
                  <w:rFonts w:ascii="Cambria Math" w:hAnsi="Cambria Math"/>
                </w:rPr>
                <m:t>oi</m:t>
              </m:r>
            </m:sub>
          </m:sSub>
          <m:sSub>
            <m:sSubPr>
              <m:ctrlPr>
                <w:rPr>
                  <w:rFonts w:ascii="Cambria Math" w:hAnsi="Cambria Math"/>
                  <w:i/>
                </w:rPr>
              </m:ctrlPr>
            </m:sSubPr>
            <m:e>
              <m:r>
                <w:rPr>
                  <w:rFonts w:ascii="Cambria Math" w:hAnsi="Cambria Math"/>
                </w:rPr>
                <m:t>(1-p</m:t>
              </m:r>
            </m:e>
            <m:sub>
              <m:r>
                <w:rPr>
                  <w:rFonts w:ascii="Cambria Math" w:hAnsi="Cambria Math"/>
                </w:rPr>
                <m:t>ni</m:t>
              </m:r>
            </m:sub>
          </m:sSub>
          <m:r>
            <w:rPr>
              <w:rFonts w:ascii="Cambria Math" w:hAnsi="Cambria Math"/>
            </w:rPr>
            <m:t>))</m:t>
          </m:r>
          <m:r>
            <w:rPr>
              <w:rFonts w:ascii="Cambria Math" w:eastAsiaTheme="minorEastAsia" w:hAnsi="Cambria Math" w:cstheme="minorHAnsi"/>
            </w:rPr>
            <m:t xml:space="preserve">, </m:t>
          </m:r>
        </m:oMath>
      </m:oMathPara>
    </w:p>
    <w:p w14:paraId="31342E64" w14:textId="77777777" w:rsidR="00D50DBD" w:rsidRDefault="00D50DBD" w:rsidP="00D50DBD">
      <w:pPr>
        <w:jc w:val="both"/>
        <w:rPr>
          <w:rStyle w:val="normaltextrun"/>
          <w:rFonts w:ascii="Cambria Math" w:hAnsi="Cambria Math" w:cs="Calibri"/>
          <w:i/>
          <w:color w:val="000000"/>
        </w:rPr>
      </w:pPr>
      <m:oMath>
        <m:r>
          <w:rPr>
            <w:rStyle w:val="normaltextrun"/>
            <w:rFonts w:ascii="Cambria Math" w:hAnsi="Cambria Math"/>
            <w:color w:val="000000"/>
            <w:shd w:val="clear" w:color="auto" w:fill="FFFFFF"/>
          </w:rPr>
          <m:t>i=1,2,</m:t>
        </m:r>
      </m:oMath>
      <w:r>
        <w:rPr>
          <w:rStyle w:val="normaltextrun"/>
          <w:rFonts w:ascii="Cambria Math" w:hAnsi="Cambria Math"/>
          <w:i/>
          <w:color w:val="000000"/>
          <w:shd w:val="clear" w:color="auto" w:fill="FFFFFF"/>
        </w:rPr>
        <w:t xml:space="preserve"> </w:t>
      </w:r>
    </w:p>
    <w:p w14:paraId="39E47A8F" w14:textId="77777777" w:rsidR="00D50DBD" w:rsidRDefault="00D50DBD" w:rsidP="00D50DBD">
      <w:pPr>
        <w:jc w:val="both"/>
        <w:rPr>
          <w:rFonts w:eastAsiaTheme="minorEastAsia"/>
          <w:shd w:val="clear" w:color="auto" w:fill="FFFFFF"/>
          <w:lang w:eastAsia="zh-CN"/>
        </w:rPr>
      </w:pPr>
      <w:r>
        <w:rPr>
          <w:lang w:eastAsia="zh-CN"/>
        </w:rPr>
        <w:t>where</w:t>
      </w:r>
      <w:r>
        <w:rPr>
          <w:rFonts w:cstheme="minorHAnsi"/>
          <w:shd w:val="clear" w:color="auto" w:fill="FFFFFF"/>
          <w:lang w:eastAsia="zh-CN"/>
        </w:rPr>
        <w:t xml:space="preserve"> </w:t>
      </w:r>
      <m:oMath>
        <m:sSub>
          <m:sSubPr>
            <m:ctrlPr>
              <w:rPr>
                <w:rFonts w:ascii="Cambria Math" w:hAnsi="Cambria Math" w:cstheme="minorHAnsi"/>
                <w:shd w:val="clear" w:color="auto" w:fill="FFFFFF"/>
                <w:lang w:eastAsia="zh-CN"/>
              </w:rPr>
            </m:ctrlPr>
          </m:sSubPr>
          <m:e>
            <m:r>
              <w:rPr>
                <w:rFonts w:ascii="Cambria Math" w:hAnsi="Cambria Math" w:cstheme="minorHAnsi"/>
                <w:shd w:val="clear" w:color="auto" w:fill="FFFFFF"/>
                <w:lang w:eastAsia="zh-CN"/>
              </w:rPr>
              <m:t>p</m:t>
            </m:r>
          </m:e>
          <m:sub>
            <m:r>
              <w:rPr>
                <w:rFonts w:ascii="Cambria Math" w:hAnsi="Cambria Math" w:cstheme="minorHAnsi"/>
                <w:shd w:val="clear" w:color="auto" w:fill="FFFFFF"/>
                <w:lang w:eastAsia="zh-CN"/>
              </w:rPr>
              <m:t>i</m:t>
            </m:r>
          </m:sub>
        </m:sSub>
      </m:oMath>
      <w:r>
        <w:rPr>
          <w:rFonts w:cstheme="minorHAnsi"/>
          <w:shd w:val="clear" w:color="auto" w:fill="FFFFFF"/>
          <w:lang w:eastAsia="zh-CN"/>
        </w:rPr>
        <w:t xml:space="preserve"> is the probability of the sequala </w:t>
      </w:r>
      <m:oMath>
        <m:r>
          <w:rPr>
            <w:rFonts w:ascii="Cambria Math" w:hAnsi="Cambria Math" w:cstheme="minorHAnsi"/>
            <w:shd w:val="clear" w:color="auto" w:fill="FFFFFF"/>
            <w:lang w:eastAsia="zh-CN"/>
          </w:rPr>
          <m:t>i</m:t>
        </m:r>
      </m:oMath>
      <w:r>
        <w:rPr>
          <w:rFonts w:cstheme="minorHAnsi"/>
          <w:shd w:val="clear" w:color="auto" w:fill="FFFFFF"/>
          <w:lang w:eastAsia="zh-CN"/>
        </w:rPr>
        <w:t xml:space="preserve"> given untreated gonococcal infection; </w:t>
      </w:r>
      <m:oMath>
        <m:sSub>
          <m:sSubPr>
            <m:ctrlPr>
              <w:rPr>
                <w:rFonts w:ascii="Cambria Math" w:hAnsi="Cambria Math" w:cstheme="minorHAnsi"/>
                <w:shd w:val="clear" w:color="auto" w:fill="FFFFFF"/>
                <w:lang w:eastAsia="zh-CN"/>
              </w:rPr>
            </m:ctrlPr>
          </m:sSubPr>
          <m:e>
            <m:r>
              <w:rPr>
                <w:rFonts w:ascii="Cambria Math" w:hAnsi="Cambria Math" w:cstheme="minorHAnsi"/>
                <w:shd w:val="clear" w:color="auto" w:fill="FFFFFF"/>
                <w:lang w:eastAsia="zh-CN"/>
              </w:rPr>
              <m:t>p</m:t>
            </m:r>
          </m:e>
          <m:sub>
            <m:r>
              <w:rPr>
                <w:rFonts w:ascii="Cambria Math" w:hAnsi="Cambria Math" w:cstheme="minorHAnsi"/>
                <w:shd w:val="clear" w:color="auto" w:fill="FFFFFF"/>
                <w:lang w:eastAsia="zh-CN"/>
              </w:rPr>
              <m:t>ni</m:t>
            </m:r>
          </m:sub>
        </m:sSub>
      </m:oMath>
      <w:r>
        <w:rPr>
          <w:rFonts w:cstheme="minorHAnsi"/>
          <w:shd w:val="clear" w:color="auto" w:fill="FFFFFF"/>
          <w:lang w:eastAsia="zh-CN"/>
        </w:rPr>
        <w:t xml:space="preserve"> is the probability of inpatient treatment given sequala </w:t>
      </w:r>
      <w:bookmarkStart w:id="0" w:name="_Hlk169858113"/>
      <m:oMath>
        <m:r>
          <w:rPr>
            <w:rFonts w:ascii="Cambria Math" w:hAnsi="Cambria Math" w:cstheme="minorHAnsi"/>
            <w:shd w:val="clear" w:color="auto" w:fill="FFFFFF"/>
            <w:lang w:eastAsia="zh-CN"/>
          </w:rPr>
          <m:t>i</m:t>
        </m:r>
      </m:oMath>
      <w:bookmarkEnd w:id="0"/>
      <w:r>
        <w:rPr>
          <w:rFonts w:cstheme="minorHAnsi"/>
          <w:shd w:val="clear" w:color="auto" w:fill="FFFFFF"/>
          <w:lang w:eastAsia="zh-CN"/>
        </w:rPr>
        <w:t xml:space="preserve">;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ni</m:t>
            </m:r>
          </m:sub>
        </m:sSub>
      </m:oMath>
      <w:r>
        <w:rPr>
          <w:rFonts w:eastAsiaTheme="minorEastAsia"/>
          <w:shd w:val="clear" w:color="auto" w:fill="FFFFFF"/>
          <w:lang w:eastAsia="zh-CN"/>
        </w:rPr>
        <w:t xml:space="preserve"> and </w:t>
      </w:r>
      <m:oMath>
        <m:sSub>
          <m:sSubPr>
            <m:ctrlPr>
              <w:rPr>
                <w:rFonts w:ascii="Cambria Math" w:eastAsia="Times New Roman" w:hAnsi="Cambria Math" w:cstheme="minorHAnsi"/>
                <w:i/>
                <w:shd w:val="clear" w:color="auto" w:fill="FFFFFF"/>
                <w:lang w:eastAsia="zh-CN"/>
              </w:rPr>
            </m:ctrlPr>
          </m:sSubPr>
          <m:e>
            <m:r>
              <w:rPr>
                <w:rFonts w:ascii="Cambria Math" w:eastAsia="Times New Roman" w:hAnsi="Cambria Math" w:cstheme="minorHAnsi"/>
                <w:shd w:val="clear" w:color="auto" w:fill="FFFFFF"/>
                <w:lang w:eastAsia="zh-CN"/>
              </w:rPr>
              <m:t>c</m:t>
            </m:r>
          </m:e>
          <m:sub>
            <m:r>
              <w:rPr>
                <w:rFonts w:ascii="Cambria Math" w:eastAsia="Times New Roman" w:hAnsi="Cambria Math" w:cstheme="minorHAnsi"/>
                <w:shd w:val="clear" w:color="auto" w:fill="FFFFFF"/>
                <w:lang w:eastAsia="zh-CN"/>
              </w:rPr>
              <m:t>oi</m:t>
            </m:r>
          </m:sub>
        </m:sSub>
      </m:oMath>
      <w:r>
        <w:rPr>
          <w:rFonts w:eastAsiaTheme="minorEastAsia"/>
          <w:shd w:val="clear" w:color="auto" w:fill="FFFFFF"/>
          <w:lang w:eastAsia="zh-CN"/>
        </w:rPr>
        <w:t xml:space="preserve"> is the cost of inpatient and outpatient treatment of sequala </w:t>
      </w:r>
      <m:oMath>
        <m:r>
          <w:rPr>
            <w:rFonts w:ascii="Cambria Math" w:eastAsiaTheme="minorEastAsia" w:hAnsi="Cambria Math"/>
          </w:rPr>
          <m:t>i</m:t>
        </m:r>
      </m:oMath>
      <w:r>
        <w:rPr>
          <w:rFonts w:eastAsiaTheme="minorEastAsia"/>
          <w:shd w:val="clear" w:color="auto" w:fill="FFFFFF"/>
          <w:lang w:eastAsia="zh-CN"/>
        </w:rPr>
        <w:t>, respectively.</w:t>
      </w:r>
    </w:p>
    <w:p w14:paraId="0BDB3014" w14:textId="77777777" w:rsidR="00D50DBD" w:rsidRDefault="00D50DBD" w:rsidP="00D50DBD">
      <w:pPr>
        <w:jc w:val="both"/>
        <w:rPr>
          <w:rFonts w:eastAsiaTheme="minorEastAsia"/>
          <w:shd w:val="clear" w:color="auto" w:fill="FFFFFF"/>
          <w:lang w:eastAsia="zh-CN"/>
        </w:rPr>
      </w:pPr>
    </w:p>
    <w:p w14:paraId="59A55D08" w14:textId="77777777" w:rsidR="00D50DBD" w:rsidRDefault="00D50DBD" w:rsidP="00D50DBD">
      <w:pPr>
        <w:jc w:val="both"/>
        <w:rPr>
          <w:rFonts w:eastAsiaTheme="minorEastAsia"/>
          <w:shd w:val="clear" w:color="auto" w:fill="FFFFFF"/>
          <w:lang w:eastAsia="zh-CN"/>
        </w:rPr>
      </w:pPr>
    </w:p>
    <w:p w14:paraId="0D3E9DB0" w14:textId="77777777" w:rsidR="00D50DBD" w:rsidRDefault="00D50DBD" w:rsidP="00D50DBD">
      <w:pPr>
        <w:jc w:val="both"/>
        <w:rPr>
          <w:rFonts w:cstheme="minorHAnsi"/>
          <w:shd w:val="clear" w:color="auto" w:fill="FFFFFF"/>
          <w:lang w:eastAsia="zh-CN"/>
        </w:rPr>
      </w:pPr>
      <w:r>
        <w:rPr>
          <w:rFonts w:eastAsia="Times New Roman"/>
          <w:b/>
          <w:bCs/>
          <w:sz w:val="30"/>
          <w:szCs w:val="30"/>
        </w:rPr>
        <w:t>2.</w:t>
      </w:r>
      <w:r>
        <w:rPr>
          <w:rFonts w:cstheme="minorHAnsi"/>
          <w:shd w:val="clear" w:color="auto" w:fill="FFFFFF"/>
          <w:lang w:eastAsia="zh-CN"/>
        </w:rPr>
        <w:t xml:space="preserve"> </w:t>
      </w:r>
      <w:r>
        <w:rPr>
          <w:rFonts w:eastAsia="Times New Roman"/>
          <w:b/>
          <w:bCs/>
          <w:sz w:val="30"/>
          <w:szCs w:val="30"/>
        </w:rPr>
        <w:t>Results of sensitivity analysis</w:t>
      </w:r>
      <w:r>
        <w:rPr>
          <w:rFonts w:cstheme="minorHAnsi"/>
          <w:shd w:val="clear" w:color="auto" w:fill="FFFFFF"/>
          <w:lang w:eastAsia="zh-CN"/>
        </w:rPr>
        <w:t xml:space="preserve"> </w:t>
      </w:r>
    </w:p>
    <w:p w14:paraId="36342555" w14:textId="77777777" w:rsidR="00D50DBD" w:rsidRDefault="00D50DBD" w:rsidP="00D50DBD">
      <w:pPr>
        <w:jc w:val="both"/>
        <w:rPr>
          <w:rFonts w:cstheme="minorHAnsi"/>
          <w:sz w:val="4"/>
          <w:szCs w:val="4"/>
          <w:shd w:val="clear" w:color="auto" w:fill="FFFFFF"/>
          <w:lang w:eastAsia="zh-CN"/>
        </w:rPr>
      </w:pPr>
    </w:p>
    <w:tbl>
      <w:tblPr>
        <w:tblStyle w:val="a3"/>
        <w:tblW w:w="9356" w:type="dxa"/>
        <w:tblInd w:w="-5" w:type="dxa"/>
        <w:tblLook w:val="04A0" w:firstRow="1" w:lastRow="0" w:firstColumn="1" w:lastColumn="0" w:noHBand="0" w:noVBand="1"/>
      </w:tblPr>
      <w:tblGrid>
        <w:gridCol w:w="3510"/>
        <w:gridCol w:w="3240"/>
        <w:gridCol w:w="2606"/>
      </w:tblGrid>
      <w:tr w:rsidR="00D50DBD" w14:paraId="073BE1CE" w14:textId="77777777" w:rsidTr="00A441B4">
        <w:tc>
          <w:tcPr>
            <w:tcW w:w="3510" w:type="dxa"/>
            <w:vMerge w:val="restart"/>
            <w:tcBorders>
              <w:top w:val="single" w:sz="4" w:space="0" w:color="auto"/>
              <w:left w:val="single" w:sz="4" w:space="0" w:color="auto"/>
              <w:bottom w:val="single" w:sz="4" w:space="0" w:color="auto"/>
              <w:right w:val="single" w:sz="4" w:space="0" w:color="auto"/>
            </w:tcBorders>
            <w:hideMark/>
          </w:tcPr>
          <w:p w14:paraId="0988F0CB" w14:textId="77777777" w:rsidR="00D50DBD" w:rsidRDefault="00D50DBD">
            <w:pPr>
              <w:spacing w:line="240" w:lineRule="auto"/>
              <w:jc w:val="center"/>
              <w:rPr>
                <w:sz w:val="20"/>
                <w:szCs w:val="20"/>
              </w:rPr>
            </w:pPr>
            <w:r>
              <w:rPr>
                <w:sz w:val="20"/>
                <w:szCs w:val="20"/>
              </w:rPr>
              <w:t>Utilities</w:t>
            </w:r>
          </w:p>
        </w:tc>
        <w:tc>
          <w:tcPr>
            <w:tcW w:w="5846" w:type="dxa"/>
            <w:gridSpan w:val="2"/>
            <w:tcBorders>
              <w:top w:val="single" w:sz="4" w:space="0" w:color="auto"/>
              <w:left w:val="single" w:sz="4" w:space="0" w:color="auto"/>
              <w:bottom w:val="single" w:sz="4" w:space="0" w:color="auto"/>
              <w:right w:val="single" w:sz="4" w:space="0" w:color="auto"/>
            </w:tcBorders>
            <w:hideMark/>
          </w:tcPr>
          <w:p w14:paraId="658A5716" w14:textId="77777777" w:rsidR="00D50DBD" w:rsidRDefault="00D50DBD">
            <w:pPr>
              <w:spacing w:line="240" w:lineRule="auto"/>
              <w:jc w:val="center"/>
              <w:rPr>
                <w:sz w:val="20"/>
                <w:szCs w:val="20"/>
              </w:rPr>
            </w:pPr>
            <w:r>
              <w:rPr>
                <w:sz w:val="20"/>
                <w:szCs w:val="20"/>
              </w:rPr>
              <w:t>Incremental QALYs gained</w:t>
            </w:r>
          </w:p>
        </w:tc>
      </w:tr>
      <w:tr w:rsidR="00D50DBD" w14:paraId="744499F3" w14:textId="77777777" w:rsidTr="00A441B4">
        <w:tc>
          <w:tcPr>
            <w:tcW w:w="3510" w:type="dxa"/>
            <w:vMerge/>
            <w:tcBorders>
              <w:top w:val="single" w:sz="4" w:space="0" w:color="auto"/>
              <w:left w:val="single" w:sz="4" w:space="0" w:color="auto"/>
              <w:bottom w:val="single" w:sz="4" w:space="0" w:color="auto"/>
              <w:right w:val="single" w:sz="4" w:space="0" w:color="auto"/>
            </w:tcBorders>
            <w:vAlign w:val="center"/>
            <w:hideMark/>
          </w:tcPr>
          <w:p w14:paraId="1F524426" w14:textId="77777777" w:rsidR="00D50DBD" w:rsidRDefault="00D50DBD">
            <w:pPr>
              <w:spacing w:line="240" w:lineRule="auto"/>
              <w:rPr>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320D3501" w14:textId="77777777" w:rsidR="00D50DBD" w:rsidRDefault="00D50DBD">
            <w:pPr>
              <w:spacing w:line="240" w:lineRule="auto"/>
              <w:jc w:val="center"/>
              <w:rPr>
                <w:sz w:val="20"/>
                <w:szCs w:val="20"/>
              </w:rPr>
            </w:pPr>
            <w:r>
              <w:rPr>
                <w:sz w:val="20"/>
                <w:szCs w:val="20"/>
              </w:rPr>
              <w:t>Low value</w:t>
            </w:r>
          </w:p>
        </w:tc>
        <w:tc>
          <w:tcPr>
            <w:tcW w:w="2606" w:type="dxa"/>
            <w:tcBorders>
              <w:top w:val="single" w:sz="4" w:space="0" w:color="auto"/>
              <w:left w:val="single" w:sz="4" w:space="0" w:color="auto"/>
              <w:bottom w:val="single" w:sz="4" w:space="0" w:color="auto"/>
              <w:right w:val="single" w:sz="4" w:space="0" w:color="auto"/>
            </w:tcBorders>
            <w:hideMark/>
          </w:tcPr>
          <w:p w14:paraId="3FB740FA" w14:textId="77777777" w:rsidR="00D50DBD" w:rsidRDefault="00D50DBD">
            <w:pPr>
              <w:spacing w:line="240" w:lineRule="auto"/>
              <w:jc w:val="center"/>
              <w:rPr>
                <w:sz w:val="20"/>
                <w:szCs w:val="20"/>
              </w:rPr>
            </w:pPr>
            <w:r>
              <w:rPr>
                <w:sz w:val="20"/>
                <w:szCs w:val="20"/>
              </w:rPr>
              <w:t>High value</w:t>
            </w:r>
          </w:p>
        </w:tc>
      </w:tr>
      <w:tr w:rsidR="00D50DBD" w14:paraId="76978D34" w14:textId="77777777" w:rsidTr="00A441B4">
        <w:tc>
          <w:tcPr>
            <w:tcW w:w="3510" w:type="dxa"/>
            <w:tcBorders>
              <w:top w:val="dotted" w:sz="4" w:space="0" w:color="auto"/>
              <w:left w:val="single" w:sz="4" w:space="0" w:color="auto"/>
              <w:bottom w:val="dotted" w:sz="4" w:space="0" w:color="auto"/>
              <w:right w:val="single" w:sz="4" w:space="0" w:color="auto"/>
            </w:tcBorders>
            <w:hideMark/>
          </w:tcPr>
          <w:p w14:paraId="06D2E509" w14:textId="77777777" w:rsidR="00D50DBD" w:rsidRDefault="00D50DBD">
            <w:pPr>
              <w:spacing w:line="240" w:lineRule="auto"/>
              <w:jc w:val="both"/>
              <w:rPr>
                <w:sz w:val="20"/>
                <w:szCs w:val="20"/>
              </w:rPr>
            </w:pPr>
            <w:r>
              <w:rPr>
                <w:sz w:val="20"/>
                <w:szCs w:val="20"/>
              </w:rPr>
              <w:t xml:space="preserve">Urethritis </w:t>
            </w:r>
          </w:p>
        </w:tc>
        <w:tc>
          <w:tcPr>
            <w:tcW w:w="3240" w:type="dxa"/>
            <w:tcBorders>
              <w:top w:val="dotted" w:sz="4" w:space="0" w:color="auto"/>
              <w:left w:val="single" w:sz="4" w:space="0" w:color="auto"/>
              <w:bottom w:val="dotted" w:sz="4" w:space="0" w:color="auto"/>
              <w:right w:val="single" w:sz="4" w:space="0" w:color="auto"/>
            </w:tcBorders>
            <w:hideMark/>
          </w:tcPr>
          <w:p w14:paraId="63A93128" w14:textId="77777777" w:rsidR="00D50DBD" w:rsidRDefault="00D50DBD">
            <w:pPr>
              <w:spacing w:line="240" w:lineRule="auto"/>
              <w:jc w:val="center"/>
              <w:rPr>
                <w:sz w:val="20"/>
                <w:szCs w:val="20"/>
              </w:rPr>
            </w:pPr>
            <w:r>
              <w:rPr>
                <w:sz w:val="20"/>
                <w:szCs w:val="20"/>
              </w:rPr>
              <w:t>0.3 (-8.6, 11.9)</w:t>
            </w:r>
          </w:p>
        </w:tc>
        <w:tc>
          <w:tcPr>
            <w:tcW w:w="2606" w:type="dxa"/>
            <w:tcBorders>
              <w:top w:val="dotted" w:sz="4" w:space="0" w:color="auto"/>
              <w:left w:val="single" w:sz="4" w:space="0" w:color="auto"/>
              <w:bottom w:val="dotted" w:sz="4" w:space="0" w:color="auto"/>
              <w:right w:val="single" w:sz="4" w:space="0" w:color="auto"/>
            </w:tcBorders>
            <w:hideMark/>
          </w:tcPr>
          <w:p w14:paraId="6CCFAFC8" w14:textId="77777777" w:rsidR="00D50DBD" w:rsidRDefault="00D50DBD">
            <w:pPr>
              <w:spacing w:line="240" w:lineRule="auto"/>
              <w:jc w:val="center"/>
              <w:rPr>
                <w:sz w:val="20"/>
                <w:szCs w:val="20"/>
              </w:rPr>
            </w:pPr>
            <w:r>
              <w:rPr>
                <w:sz w:val="20"/>
                <w:szCs w:val="20"/>
              </w:rPr>
              <w:t>0.35 (-7.4, 9.5)</w:t>
            </w:r>
          </w:p>
        </w:tc>
      </w:tr>
      <w:tr w:rsidR="00D50DBD" w14:paraId="5DB4E00B" w14:textId="77777777" w:rsidTr="00A441B4">
        <w:tc>
          <w:tcPr>
            <w:tcW w:w="3510" w:type="dxa"/>
            <w:tcBorders>
              <w:top w:val="single" w:sz="4" w:space="0" w:color="auto"/>
              <w:left w:val="single" w:sz="4" w:space="0" w:color="auto"/>
              <w:bottom w:val="single" w:sz="4" w:space="0" w:color="auto"/>
              <w:right w:val="single" w:sz="4" w:space="0" w:color="auto"/>
            </w:tcBorders>
            <w:hideMark/>
          </w:tcPr>
          <w:p w14:paraId="2F110658" w14:textId="77777777" w:rsidR="00D50DBD" w:rsidRDefault="00D50DBD">
            <w:pPr>
              <w:spacing w:line="240" w:lineRule="auto"/>
              <w:jc w:val="both"/>
              <w:rPr>
                <w:sz w:val="20"/>
                <w:szCs w:val="20"/>
              </w:rPr>
            </w:pPr>
            <w:r>
              <w:rPr>
                <w:sz w:val="20"/>
                <w:szCs w:val="20"/>
              </w:rPr>
              <w:t xml:space="preserve">Epididymitis (inpatient treatment) </w:t>
            </w:r>
          </w:p>
        </w:tc>
        <w:tc>
          <w:tcPr>
            <w:tcW w:w="3240" w:type="dxa"/>
            <w:tcBorders>
              <w:top w:val="single" w:sz="4" w:space="0" w:color="auto"/>
              <w:left w:val="single" w:sz="4" w:space="0" w:color="auto"/>
              <w:bottom w:val="single" w:sz="4" w:space="0" w:color="auto"/>
              <w:right w:val="single" w:sz="4" w:space="0" w:color="auto"/>
            </w:tcBorders>
            <w:hideMark/>
          </w:tcPr>
          <w:p w14:paraId="3B2D1A96" w14:textId="77777777" w:rsidR="00D50DBD" w:rsidRDefault="00D50DBD">
            <w:pPr>
              <w:spacing w:line="240" w:lineRule="auto"/>
              <w:jc w:val="center"/>
              <w:rPr>
                <w:sz w:val="20"/>
                <w:szCs w:val="20"/>
              </w:rPr>
            </w:pPr>
            <w:r>
              <w:rPr>
                <w:sz w:val="20"/>
                <w:szCs w:val="20"/>
              </w:rPr>
              <w:t>0.2 (-5.6, 7.6)</w:t>
            </w:r>
          </w:p>
        </w:tc>
        <w:tc>
          <w:tcPr>
            <w:tcW w:w="2606" w:type="dxa"/>
            <w:tcBorders>
              <w:top w:val="dotted" w:sz="4" w:space="0" w:color="auto"/>
              <w:left w:val="single" w:sz="4" w:space="0" w:color="auto"/>
              <w:bottom w:val="dotted" w:sz="4" w:space="0" w:color="auto"/>
              <w:right w:val="single" w:sz="4" w:space="0" w:color="auto"/>
            </w:tcBorders>
            <w:hideMark/>
          </w:tcPr>
          <w:p w14:paraId="4C61C44F" w14:textId="77777777" w:rsidR="00D50DBD" w:rsidRDefault="00D50DBD">
            <w:pPr>
              <w:spacing w:line="240" w:lineRule="auto"/>
              <w:jc w:val="center"/>
              <w:rPr>
                <w:sz w:val="20"/>
                <w:szCs w:val="20"/>
              </w:rPr>
            </w:pPr>
            <w:r>
              <w:rPr>
                <w:sz w:val="20"/>
                <w:szCs w:val="20"/>
              </w:rPr>
              <w:t>0.2 (-5.6, 7.6)</w:t>
            </w:r>
          </w:p>
        </w:tc>
      </w:tr>
      <w:tr w:rsidR="00D50DBD" w14:paraId="2186CF18" w14:textId="77777777" w:rsidTr="00A441B4">
        <w:tc>
          <w:tcPr>
            <w:tcW w:w="3510" w:type="dxa"/>
            <w:tcBorders>
              <w:top w:val="single" w:sz="4" w:space="0" w:color="auto"/>
              <w:left w:val="single" w:sz="4" w:space="0" w:color="auto"/>
              <w:bottom w:val="single" w:sz="4" w:space="0" w:color="auto"/>
              <w:right w:val="single" w:sz="4" w:space="0" w:color="auto"/>
            </w:tcBorders>
            <w:hideMark/>
          </w:tcPr>
          <w:p w14:paraId="7F03DB90" w14:textId="77777777" w:rsidR="00D50DBD" w:rsidRDefault="00D50DBD">
            <w:pPr>
              <w:tabs>
                <w:tab w:val="right" w:pos="4604"/>
              </w:tabs>
              <w:spacing w:line="240" w:lineRule="auto"/>
              <w:rPr>
                <w:sz w:val="20"/>
                <w:szCs w:val="20"/>
              </w:rPr>
            </w:pPr>
            <w:r>
              <w:rPr>
                <w:sz w:val="20"/>
                <w:szCs w:val="20"/>
              </w:rPr>
              <w:t xml:space="preserve">Epididymitis (outpatient treatment) </w:t>
            </w:r>
          </w:p>
        </w:tc>
        <w:tc>
          <w:tcPr>
            <w:tcW w:w="3240" w:type="dxa"/>
            <w:tcBorders>
              <w:top w:val="single" w:sz="4" w:space="0" w:color="auto"/>
              <w:left w:val="single" w:sz="4" w:space="0" w:color="auto"/>
              <w:bottom w:val="single" w:sz="4" w:space="0" w:color="auto"/>
              <w:right w:val="single" w:sz="4" w:space="0" w:color="auto"/>
            </w:tcBorders>
            <w:hideMark/>
          </w:tcPr>
          <w:p w14:paraId="520B0DC9" w14:textId="77777777" w:rsidR="00D50DBD" w:rsidRDefault="00D50DBD">
            <w:pPr>
              <w:spacing w:line="240" w:lineRule="auto"/>
              <w:jc w:val="center"/>
              <w:rPr>
                <w:sz w:val="20"/>
                <w:szCs w:val="20"/>
              </w:rPr>
            </w:pPr>
            <w:r>
              <w:rPr>
                <w:sz w:val="20"/>
                <w:szCs w:val="20"/>
              </w:rPr>
              <w:t>0.4 (-9.2, 9.1)</w:t>
            </w:r>
          </w:p>
        </w:tc>
        <w:tc>
          <w:tcPr>
            <w:tcW w:w="2606" w:type="dxa"/>
            <w:tcBorders>
              <w:top w:val="dotted" w:sz="4" w:space="0" w:color="auto"/>
              <w:left w:val="single" w:sz="4" w:space="0" w:color="auto"/>
              <w:bottom w:val="dotted" w:sz="4" w:space="0" w:color="auto"/>
              <w:right w:val="single" w:sz="4" w:space="0" w:color="auto"/>
            </w:tcBorders>
            <w:hideMark/>
          </w:tcPr>
          <w:p w14:paraId="0D1CB635" w14:textId="77777777" w:rsidR="00D50DBD" w:rsidRDefault="00D50DBD">
            <w:pPr>
              <w:spacing w:line="240" w:lineRule="auto"/>
              <w:jc w:val="center"/>
              <w:rPr>
                <w:sz w:val="20"/>
                <w:szCs w:val="20"/>
              </w:rPr>
            </w:pPr>
            <w:r>
              <w:rPr>
                <w:sz w:val="20"/>
                <w:szCs w:val="20"/>
              </w:rPr>
              <w:t>0.11 (-5.4, 4.8)</w:t>
            </w:r>
          </w:p>
        </w:tc>
      </w:tr>
      <w:tr w:rsidR="00D50DBD" w14:paraId="3A3D5640" w14:textId="77777777" w:rsidTr="00A441B4">
        <w:tc>
          <w:tcPr>
            <w:tcW w:w="3510" w:type="dxa"/>
            <w:tcBorders>
              <w:top w:val="single" w:sz="4" w:space="0" w:color="auto"/>
              <w:left w:val="single" w:sz="4" w:space="0" w:color="auto"/>
              <w:bottom w:val="single" w:sz="4" w:space="0" w:color="auto"/>
              <w:right w:val="single" w:sz="4" w:space="0" w:color="auto"/>
            </w:tcBorders>
            <w:hideMark/>
          </w:tcPr>
          <w:p w14:paraId="4BC39C44" w14:textId="77777777" w:rsidR="00D50DBD" w:rsidRDefault="00D50DBD">
            <w:pPr>
              <w:spacing w:line="240" w:lineRule="auto"/>
              <w:rPr>
                <w:sz w:val="20"/>
                <w:szCs w:val="20"/>
              </w:rPr>
            </w:pPr>
            <w:r>
              <w:rPr>
                <w:sz w:val="20"/>
                <w:szCs w:val="20"/>
              </w:rPr>
              <w:t xml:space="preserve">DGI (inpatient treatment) </w:t>
            </w:r>
          </w:p>
        </w:tc>
        <w:tc>
          <w:tcPr>
            <w:tcW w:w="3240" w:type="dxa"/>
            <w:tcBorders>
              <w:top w:val="single" w:sz="4" w:space="0" w:color="auto"/>
              <w:left w:val="single" w:sz="4" w:space="0" w:color="auto"/>
              <w:bottom w:val="single" w:sz="4" w:space="0" w:color="auto"/>
              <w:right w:val="single" w:sz="4" w:space="0" w:color="auto"/>
            </w:tcBorders>
            <w:hideMark/>
          </w:tcPr>
          <w:p w14:paraId="2A4EC0A9" w14:textId="77777777" w:rsidR="00D50DBD" w:rsidRDefault="00D50DBD">
            <w:pPr>
              <w:spacing w:line="240" w:lineRule="auto"/>
              <w:jc w:val="center"/>
              <w:rPr>
                <w:sz w:val="20"/>
                <w:szCs w:val="20"/>
              </w:rPr>
            </w:pPr>
            <w:r>
              <w:rPr>
                <w:sz w:val="20"/>
                <w:szCs w:val="20"/>
              </w:rPr>
              <w:t>0.2 (-8.2, 7.6)</w:t>
            </w:r>
          </w:p>
        </w:tc>
        <w:tc>
          <w:tcPr>
            <w:tcW w:w="2606" w:type="dxa"/>
            <w:tcBorders>
              <w:top w:val="dotted" w:sz="4" w:space="0" w:color="auto"/>
              <w:left w:val="single" w:sz="4" w:space="0" w:color="auto"/>
              <w:bottom w:val="dotted" w:sz="4" w:space="0" w:color="auto"/>
              <w:right w:val="single" w:sz="4" w:space="0" w:color="auto"/>
            </w:tcBorders>
            <w:hideMark/>
          </w:tcPr>
          <w:p w14:paraId="2A41D2B6" w14:textId="77777777" w:rsidR="00D50DBD" w:rsidRDefault="00D50DBD">
            <w:pPr>
              <w:spacing w:line="240" w:lineRule="auto"/>
              <w:jc w:val="center"/>
              <w:rPr>
                <w:sz w:val="20"/>
                <w:szCs w:val="20"/>
              </w:rPr>
            </w:pPr>
            <w:r>
              <w:rPr>
                <w:sz w:val="20"/>
                <w:szCs w:val="20"/>
              </w:rPr>
              <w:t>0.19 (-8, 7.6)</w:t>
            </w:r>
          </w:p>
        </w:tc>
      </w:tr>
      <w:tr w:rsidR="00D50DBD" w14:paraId="43FC20BF" w14:textId="77777777" w:rsidTr="00A441B4">
        <w:tc>
          <w:tcPr>
            <w:tcW w:w="3510" w:type="dxa"/>
            <w:tcBorders>
              <w:top w:val="single" w:sz="4" w:space="0" w:color="auto"/>
              <w:left w:val="single" w:sz="4" w:space="0" w:color="auto"/>
              <w:bottom w:val="single" w:sz="4" w:space="0" w:color="auto"/>
              <w:right w:val="single" w:sz="4" w:space="0" w:color="auto"/>
            </w:tcBorders>
            <w:hideMark/>
          </w:tcPr>
          <w:p w14:paraId="5E22AFB0" w14:textId="77777777" w:rsidR="00D50DBD" w:rsidRDefault="00D50DBD">
            <w:pPr>
              <w:spacing w:line="240" w:lineRule="auto"/>
              <w:rPr>
                <w:sz w:val="20"/>
                <w:szCs w:val="20"/>
              </w:rPr>
            </w:pPr>
            <w:r>
              <w:rPr>
                <w:sz w:val="20"/>
                <w:szCs w:val="20"/>
              </w:rPr>
              <w:t xml:space="preserve">DGI (outpatient treatment) </w:t>
            </w:r>
          </w:p>
        </w:tc>
        <w:tc>
          <w:tcPr>
            <w:tcW w:w="3240" w:type="dxa"/>
            <w:tcBorders>
              <w:top w:val="single" w:sz="4" w:space="0" w:color="auto"/>
              <w:left w:val="single" w:sz="4" w:space="0" w:color="auto"/>
              <w:bottom w:val="single" w:sz="4" w:space="0" w:color="auto"/>
              <w:right w:val="single" w:sz="4" w:space="0" w:color="auto"/>
            </w:tcBorders>
            <w:hideMark/>
          </w:tcPr>
          <w:p w14:paraId="73BAD5FD" w14:textId="77777777" w:rsidR="00D50DBD" w:rsidRDefault="00D50DBD">
            <w:pPr>
              <w:spacing w:line="240" w:lineRule="auto"/>
              <w:jc w:val="center"/>
              <w:rPr>
                <w:sz w:val="20"/>
                <w:szCs w:val="20"/>
              </w:rPr>
            </w:pPr>
            <w:r>
              <w:rPr>
                <w:sz w:val="20"/>
                <w:szCs w:val="20"/>
              </w:rPr>
              <w:t>0.24 (-8.3, 7.9)</w:t>
            </w:r>
          </w:p>
        </w:tc>
        <w:tc>
          <w:tcPr>
            <w:tcW w:w="2606" w:type="dxa"/>
            <w:tcBorders>
              <w:top w:val="dotted" w:sz="4" w:space="0" w:color="auto"/>
              <w:left w:val="single" w:sz="4" w:space="0" w:color="auto"/>
              <w:bottom w:val="dotted" w:sz="4" w:space="0" w:color="auto"/>
              <w:right w:val="single" w:sz="4" w:space="0" w:color="auto"/>
            </w:tcBorders>
            <w:hideMark/>
          </w:tcPr>
          <w:p w14:paraId="61B0500E" w14:textId="77777777" w:rsidR="00D50DBD" w:rsidRDefault="00D50DBD">
            <w:pPr>
              <w:spacing w:line="240" w:lineRule="auto"/>
              <w:jc w:val="center"/>
              <w:rPr>
                <w:sz w:val="20"/>
                <w:szCs w:val="20"/>
              </w:rPr>
            </w:pPr>
            <w:r>
              <w:rPr>
                <w:sz w:val="20"/>
                <w:szCs w:val="20"/>
              </w:rPr>
              <w:t>0.18 (-7.8, 7.5)</w:t>
            </w:r>
          </w:p>
        </w:tc>
      </w:tr>
    </w:tbl>
    <w:p w14:paraId="3A811C4C" w14:textId="77777777" w:rsidR="00D50DBD" w:rsidRDefault="00D50DBD" w:rsidP="00D50DBD">
      <w:pPr>
        <w:jc w:val="both"/>
        <w:rPr>
          <w:rFonts w:cstheme="minorHAnsi"/>
          <w:sz w:val="8"/>
          <w:szCs w:val="8"/>
          <w:shd w:val="clear" w:color="auto" w:fill="FFFFFF"/>
          <w:lang w:eastAsia="zh-CN"/>
        </w:rPr>
      </w:pPr>
    </w:p>
    <w:p w14:paraId="06277272" w14:textId="0BBED467" w:rsidR="00D50DBD" w:rsidRDefault="00D50DBD" w:rsidP="00D50DBD">
      <w:pPr>
        <w:jc w:val="both"/>
        <w:rPr>
          <w:rFonts w:cstheme="minorHAnsi"/>
          <w:shd w:val="clear" w:color="auto" w:fill="FFFFFF"/>
          <w:lang w:eastAsia="zh-CN"/>
        </w:rPr>
      </w:pPr>
      <w:r>
        <w:rPr>
          <w:rFonts w:cstheme="minorHAnsi"/>
          <w:b/>
          <w:bCs/>
          <w:shd w:val="clear" w:color="auto" w:fill="FFFFFF"/>
          <w:lang w:eastAsia="zh-CN"/>
        </w:rPr>
        <w:t xml:space="preserve">Table A. </w:t>
      </w:r>
      <w:r w:rsidR="0073738C">
        <w:rPr>
          <w:rFonts w:cstheme="minorHAnsi"/>
          <w:b/>
          <w:bCs/>
          <w:shd w:val="clear" w:color="auto" w:fill="FFFFFF"/>
          <w:lang w:eastAsia="zh-CN"/>
        </w:rPr>
        <w:t>I</w:t>
      </w:r>
      <w:r>
        <w:rPr>
          <w:rFonts w:cstheme="minorHAnsi"/>
          <w:b/>
          <w:bCs/>
          <w:shd w:val="clear" w:color="auto" w:fill="FFFFFF"/>
          <w:lang w:eastAsia="zh-CN"/>
        </w:rPr>
        <w:t>mpact of uncertainty in utilities on</w:t>
      </w:r>
      <w:r w:rsidR="0073738C">
        <w:rPr>
          <w:rFonts w:cstheme="minorHAnsi"/>
          <w:b/>
          <w:bCs/>
          <w:shd w:val="clear" w:color="auto" w:fill="FFFFFF"/>
          <w:lang w:eastAsia="zh-CN"/>
        </w:rPr>
        <w:t xml:space="preserve"> the results for</w:t>
      </w:r>
      <w:r>
        <w:rPr>
          <w:rFonts w:cstheme="minorHAnsi"/>
          <w:b/>
          <w:bCs/>
          <w:shd w:val="clear" w:color="auto" w:fill="FFFFFF"/>
          <w:lang w:eastAsia="zh-CN"/>
        </w:rPr>
        <w:t xml:space="preserve"> cost-effectiveness of eGISP surveillance strategy.</w:t>
      </w:r>
      <w:r>
        <w:rPr>
          <w:rFonts w:cstheme="minorHAnsi"/>
          <w:shd w:val="clear" w:color="auto" w:fill="FFFFFF"/>
          <w:lang w:eastAsia="zh-CN"/>
        </w:rPr>
        <w:t xml:space="preserve"> The results were obtained using the low and high parameter values from the corresponding uncertainty intervals in Table 1 in the main text. Abbreviation: DGI, disseminated gonococcal infection. </w:t>
      </w:r>
    </w:p>
    <w:p w14:paraId="325E22EE" w14:textId="77777777" w:rsidR="00D50DBD" w:rsidRDefault="00D50DBD" w:rsidP="00D50DBD">
      <w:pPr>
        <w:jc w:val="both"/>
        <w:rPr>
          <w:rFonts w:cstheme="minorHAnsi"/>
          <w:shd w:val="clear" w:color="auto" w:fill="FFFFFF"/>
          <w:lang w:eastAsia="zh-CN"/>
        </w:rPr>
      </w:pPr>
    </w:p>
    <w:tbl>
      <w:tblPr>
        <w:tblStyle w:val="a3"/>
        <w:tblW w:w="9356" w:type="dxa"/>
        <w:tblInd w:w="-5" w:type="dxa"/>
        <w:tblLook w:val="04A0" w:firstRow="1" w:lastRow="0" w:firstColumn="1" w:lastColumn="0" w:noHBand="0" w:noVBand="1"/>
      </w:tblPr>
      <w:tblGrid>
        <w:gridCol w:w="3510"/>
        <w:gridCol w:w="3240"/>
        <w:gridCol w:w="2606"/>
      </w:tblGrid>
      <w:tr w:rsidR="00D50DBD" w14:paraId="4D339EDD" w14:textId="77777777" w:rsidTr="00A409FA">
        <w:tc>
          <w:tcPr>
            <w:tcW w:w="3510" w:type="dxa"/>
            <w:vMerge w:val="restart"/>
            <w:tcBorders>
              <w:top w:val="single" w:sz="4" w:space="0" w:color="auto"/>
              <w:left w:val="single" w:sz="4" w:space="0" w:color="auto"/>
              <w:bottom w:val="single" w:sz="4" w:space="0" w:color="auto"/>
              <w:right w:val="single" w:sz="4" w:space="0" w:color="auto"/>
            </w:tcBorders>
            <w:hideMark/>
          </w:tcPr>
          <w:p w14:paraId="606EE20B" w14:textId="77777777" w:rsidR="00D50DBD" w:rsidRDefault="00D50DBD">
            <w:pPr>
              <w:spacing w:line="240" w:lineRule="auto"/>
              <w:jc w:val="center"/>
              <w:rPr>
                <w:sz w:val="20"/>
                <w:szCs w:val="20"/>
              </w:rPr>
            </w:pPr>
            <w:r>
              <w:rPr>
                <w:sz w:val="20"/>
                <w:szCs w:val="20"/>
              </w:rPr>
              <w:t>Durations</w:t>
            </w:r>
          </w:p>
        </w:tc>
        <w:tc>
          <w:tcPr>
            <w:tcW w:w="5846" w:type="dxa"/>
            <w:gridSpan w:val="2"/>
            <w:tcBorders>
              <w:top w:val="single" w:sz="4" w:space="0" w:color="auto"/>
              <w:left w:val="single" w:sz="4" w:space="0" w:color="auto"/>
              <w:bottom w:val="single" w:sz="4" w:space="0" w:color="auto"/>
              <w:right w:val="single" w:sz="4" w:space="0" w:color="auto"/>
            </w:tcBorders>
            <w:hideMark/>
          </w:tcPr>
          <w:p w14:paraId="18E2BB2E" w14:textId="77777777" w:rsidR="00D50DBD" w:rsidRDefault="00D50DBD">
            <w:pPr>
              <w:spacing w:line="240" w:lineRule="auto"/>
              <w:jc w:val="center"/>
              <w:rPr>
                <w:sz w:val="20"/>
                <w:szCs w:val="20"/>
              </w:rPr>
            </w:pPr>
            <w:r>
              <w:rPr>
                <w:sz w:val="20"/>
                <w:szCs w:val="20"/>
              </w:rPr>
              <w:t>Incremental QALYs gained</w:t>
            </w:r>
          </w:p>
        </w:tc>
      </w:tr>
      <w:tr w:rsidR="00D50DBD" w14:paraId="0F53D57E" w14:textId="77777777" w:rsidTr="00A409FA">
        <w:tc>
          <w:tcPr>
            <w:tcW w:w="3510" w:type="dxa"/>
            <w:vMerge/>
            <w:tcBorders>
              <w:top w:val="single" w:sz="4" w:space="0" w:color="auto"/>
              <w:left w:val="single" w:sz="4" w:space="0" w:color="auto"/>
              <w:bottom w:val="single" w:sz="4" w:space="0" w:color="auto"/>
              <w:right w:val="single" w:sz="4" w:space="0" w:color="auto"/>
            </w:tcBorders>
            <w:vAlign w:val="center"/>
            <w:hideMark/>
          </w:tcPr>
          <w:p w14:paraId="5062653E" w14:textId="77777777" w:rsidR="00D50DBD" w:rsidRDefault="00D50DBD">
            <w:pPr>
              <w:spacing w:line="240" w:lineRule="auto"/>
              <w:rPr>
                <w:sz w:val="20"/>
                <w:szCs w:val="20"/>
              </w:rPr>
            </w:pPr>
          </w:p>
        </w:tc>
        <w:tc>
          <w:tcPr>
            <w:tcW w:w="3240" w:type="dxa"/>
            <w:tcBorders>
              <w:top w:val="single" w:sz="4" w:space="0" w:color="auto"/>
              <w:left w:val="single" w:sz="4" w:space="0" w:color="auto"/>
              <w:bottom w:val="single" w:sz="4" w:space="0" w:color="auto"/>
              <w:right w:val="single" w:sz="4" w:space="0" w:color="auto"/>
            </w:tcBorders>
            <w:hideMark/>
          </w:tcPr>
          <w:p w14:paraId="69D2D702" w14:textId="77777777" w:rsidR="00D50DBD" w:rsidRDefault="00D50DBD">
            <w:pPr>
              <w:spacing w:line="240" w:lineRule="auto"/>
              <w:jc w:val="center"/>
              <w:rPr>
                <w:sz w:val="20"/>
                <w:szCs w:val="20"/>
              </w:rPr>
            </w:pPr>
            <w:r>
              <w:rPr>
                <w:sz w:val="20"/>
                <w:szCs w:val="20"/>
              </w:rPr>
              <w:t>Low value</w:t>
            </w:r>
          </w:p>
        </w:tc>
        <w:tc>
          <w:tcPr>
            <w:tcW w:w="2606" w:type="dxa"/>
            <w:tcBorders>
              <w:top w:val="single" w:sz="4" w:space="0" w:color="auto"/>
              <w:left w:val="single" w:sz="4" w:space="0" w:color="auto"/>
              <w:bottom w:val="single" w:sz="4" w:space="0" w:color="auto"/>
              <w:right w:val="single" w:sz="4" w:space="0" w:color="auto"/>
            </w:tcBorders>
            <w:hideMark/>
          </w:tcPr>
          <w:p w14:paraId="588F5F9C" w14:textId="77777777" w:rsidR="00D50DBD" w:rsidRDefault="00D50DBD">
            <w:pPr>
              <w:spacing w:line="240" w:lineRule="auto"/>
              <w:jc w:val="center"/>
              <w:rPr>
                <w:sz w:val="20"/>
                <w:szCs w:val="20"/>
              </w:rPr>
            </w:pPr>
            <w:r>
              <w:rPr>
                <w:sz w:val="20"/>
                <w:szCs w:val="20"/>
              </w:rPr>
              <w:t>High value</w:t>
            </w:r>
          </w:p>
        </w:tc>
      </w:tr>
      <w:tr w:rsidR="00D50DBD" w14:paraId="57DEF1B9" w14:textId="77777777" w:rsidTr="00A409FA">
        <w:tc>
          <w:tcPr>
            <w:tcW w:w="3510" w:type="dxa"/>
            <w:tcBorders>
              <w:top w:val="dotted" w:sz="4" w:space="0" w:color="auto"/>
              <w:left w:val="single" w:sz="4" w:space="0" w:color="auto"/>
              <w:bottom w:val="dotted" w:sz="4" w:space="0" w:color="auto"/>
              <w:right w:val="single" w:sz="4" w:space="0" w:color="auto"/>
            </w:tcBorders>
            <w:hideMark/>
          </w:tcPr>
          <w:p w14:paraId="1E31F2E1" w14:textId="77777777" w:rsidR="00D50DBD" w:rsidRDefault="00D50DBD">
            <w:pPr>
              <w:spacing w:line="240" w:lineRule="auto"/>
              <w:jc w:val="both"/>
              <w:rPr>
                <w:sz w:val="20"/>
                <w:szCs w:val="20"/>
              </w:rPr>
            </w:pPr>
            <w:r>
              <w:rPr>
                <w:sz w:val="20"/>
                <w:szCs w:val="20"/>
              </w:rPr>
              <w:t xml:space="preserve">Urethritis </w:t>
            </w:r>
          </w:p>
        </w:tc>
        <w:tc>
          <w:tcPr>
            <w:tcW w:w="3240" w:type="dxa"/>
            <w:tcBorders>
              <w:top w:val="dotted" w:sz="4" w:space="0" w:color="auto"/>
              <w:left w:val="single" w:sz="4" w:space="0" w:color="auto"/>
              <w:bottom w:val="dotted" w:sz="4" w:space="0" w:color="auto"/>
              <w:right w:val="single" w:sz="4" w:space="0" w:color="auto"/>
            </w:tcBorders>
            <w:hideMark/>
          </w:tcPr>
          <w:p w14:paraId="7D3F6CBD" w14:textId="77777777" w:rsidR="00D50DBD" w:rsidRDefault="00D50DBD">
            <w:pPr>
              <w:spacing w:line="240" w:lineRule="auto"/>
              <w:jc w:val="center"/>
              <w:rPr>
                <w:sz w:val="20"/>
                <w:szCs w:val="20"/>
              </w:rPr>
            </w:pPr>
            <w:r>
              <w:rPr>
                <w:sz w:val="20"/>
                <w:szCs w:val="20"/>
              </w:rPr>
              <w:t>0.2 (-6.9, 8.6)</w:t>
            </w:r>
          </w:p>
        </w:tc>
        <w:tc>
          <w:tcPr>
            <w:tcW w:w="2606" w:type="dxa"/>
            <w:tcBorders>
              <w:top w:val="dotted" w:sz="4" w:space="0" w:color="auto"/>
              <w:left w:val="single" w:sz="4" w:space="0" w:color="auto"/>
              <w:bottom w:val="dotted" w:sz="4" w:space="0" w:color="auto"/>
              <w:right w:val="single" w:sz="4" w:space="0" w:color="auto"/>
            </w:tcBorders>
            <w:hideMark/>
          </w:tcPr>
          <w:p w14:paraId="053B880C" w14:textId="77777777" w:rsidR="00D50DBD" w:rsidRDefault="00D50DBD">
            <w:pPr>
              <w:spacing w:line="240" w:lineRule="auto"/>
              <w:jc w:val="center"/>
              <w:rPr>
                <w:sz w:val="20"/>
                <w:szCs w:val="20"/>
              </w:rPr>
            </w:pPr>
            <w:r>
              <w:rPr>
                <w:sz w:val="20"/>
                <w:szCs w:val="20"/>
              </w:rPr>
              <w:t>0.2 (-6.9, 8.6)</w:t>
            </w:r>
          </w:p>
        </w:tc>
      </w:tr>
      <w:tr w:rsidR="00D50DBD" w14:paraId="6D45BB1D" w14:textId="77777777" w:rsidTr="00A409FA">
        <w:tc>
          <w:tcPr>
            <w:tcW w:w="3510" w:type="dxa"/>
            <w:tcBorders>
              <w:top w:val="single" w:sz="4" w:space="0" w:color="auto"/>
              <w:left w:val="single" w:sz="4" w:space="0" w:color="auto"/>
              <w:bottom w:val="single" w:sz="4" w:space="0" w:color="auto"/>
              <w:right w:val="single" w:sz="4" w:space="0" w:color="auto"/>
            </w:tcBorders>
            <w:hideMark/>
          </w:tcPr>
          <w:p w14:paraId="1EEC3D58" w14:textId="77777777" w:rsidR="00D50DBD" w:rsidRDefault="00D50DBD">
            <w:pPr>
              <w:spacing w:line="240" w:lineRule="auto"/>
              <w:jc w:val="both"/>
              <w:rPr>
                <w:sz w:val="20"/>
                <w:szCs w:val="20"/>
              </w:rPr>
            </w:pPr>
            <w:r>
              <w:rPr>
                <w:sz w:val="20"/>
                <w:szCs w:val="20"/>
              </w:rPr>
              <w:t xml:space="preserve">Epididymitis (inpatient treatment) </w:t>
            </w:r>
          </w:p>
        </w:tc>
        <w:tc>
          <w:tcPr>
            <w:tcW w:w="3240" w:type="dxa"/>
            <w:tcBorders>
              <w:top w:val="single" w:sz="4" w:space="0" w:color="auto"/>
              <w:left w:val="single" w:sz="4" w:space="0" w:color="auto"/>
              <w:bottom w:val="single" w:sz="4" w:space="0" w:color="auto"/>
              <w:right w:val="single" w:sz="4" w:space="0" w:color="auto"/>
            </w:tcBorders>
            <w:hideMark/>
          </w:tcPr>
          <w:p w14:paraId="67FA2B76" w14:textId="77777777" w:rsidR="00D50DBD" w:rsidRDefault="00D50DBD">
            <w:pPr>
              <w:spacing w:line="240" w:lineRule="auto"/>
              <w:jc w:val="center"/>
              <w:rPr>
                <w:sz w:val="20"/>
                <w:szCs w:val="20"/>
              </w:rPr>
            </w:pPr>
            <w:r>
              <w:rPr>
                <w:sz w:val="20"/>
                <w:szCs w:val="20"/>
              </w:rPr>
              <w:t>0.17 (-7.7, 8.4)</w:t>
            </w:r>
          </w:p>
        </w:tc>
        <w:tc>
          <w:tcPr>
            <w:tcW w:w="2606" w:type="dxa"/>
            <w:tcBorders>
              <w:top w:val="dotted" w:sz="4" w:space="0" w:color="auto"/>
              <w:left w:val="single" w:sz="4" w:space="0" w:color="auto"/>
              <w:bottom w:val="dotted" w:sz="4" w:space="0" w:color="auto"/>
              <w:right w:val="single" w:sz="4" w:space="0" w:color="auto"/>
            </w:tcBorders>
            <w:hideMark/>
          </w:tcPr>
          <w:p w14:paraId="03624D8D" w14:textId="77777777" w:rsidR="00D50DBD" w:rsidRDefault="00D50DBD">
            <w:pPr>
              <w:spacing w:line="240" w:lineRule="auto"/>
              <w:jc w:val="center"/>
              <w:rPr>
                <w:sz w:val="20"/>
                <w:szCs w:val="20"/>
              </w:rPr>
            </w:pPr>
            <w:r>
              <w:rPr>
                <w:sz w:val="20"/>
                <w:szCs w:val="20"/>
              </w:rPr>
              <w:t>0.17 (-7.7, 8.4)</w:t>
            </w:r>
          </w:p>
        </w:tc>
      </w:tr>
      <w:tr w:rsidR="00D50DBD" w14:paraId="34B0731B" w14:textId="77777777" w:rsidTr="00A409FA">
        <w:tc>
          <w:tcPr>
            <w:tcW w:w="3510" w:type="dxa"/>
            <w:tcBorders>
              <w:top w:val="single" w:sz="4" w:space="0" w:color="auto"/>
              <w:left w:val="single" w:sz="4" w:space="0" w:color="auto"/>
              <w:bottom w:val="single" w:sz="4" w:space="0" w:color="auto"/>
              <w:right w:val="single" w:sz="4" w:space="0" w:color="auto"/>
            </w:tcBorders>
            <w:hideMark/>
          </w:tcPr>
          <w:p w14:paraId="27283DC6" w14:textId="77777777" w:rsidR="00D50DBD" w:rsidRDefault="00D50DBD">
            <w:pPr>
              <w:tabs>
                <w:tab w:val="right" w:pos="4604"/>
              </w:tabs>
              <w:spacing w:line="240" w:lineRule="auto"/>
              <w:rPr>
                <w:sz w:val="20"/>
                <w:szCs w:val="20"/>
              </w:rPr>
            </w:pPr>
            <w:r>
              <w:rPr>
                <w:sz w:val="20"/>
                <w:szCs w:val="20"/>
              </w:rPr>
              <w:t xml:space="preserve">Epididymitis (outpatient treatment) </w:t>
            </w:r>
          </w:p>
        </w:tc>
        <w:tc>
          <w:tcPr>
            <w:tcW w:w="3240" w:type="dxa"/>
            <w:tcBorders>
              <w:top w:val="single" w:sz="4" w:space="0" w:color="auto"/>
              <w:left w:val="single" w:sz="4" w:space="0" w:color="auto"/>
              <w:bottom w:val="single" w:sz="4" w:space="0" w:color="auto"/>
              <w:right w:val="single" w:sz="4" w:space="0" w:color="auto"/>
            </w:tcBorders>
            <w:hideMark/>
          </w:tcPr>
          <w:p w14:paraId="4DD6A0AF" w14:textId="77777777" w:rsidR="00D50DBD" w:rsidRDefault="00D50DBD">
            <w:pPr>
              <w:spacing w:line="240" w:lineRule="auto"/>
              <w:jc w:val="center"/>
              <w:rPr>
                <w:sz w:val="20"/>
                <w:szCs w:val="20"/>
              </w:rPr>
            </w:pPr>
            <w:r>
              <w:rPr>
                <w:sz w:val="20"/>
                <w:szCs w:val="20"/>
              </w:rPr>
              <w:t>-0.025 (-4.3, 3.3)</w:t>
            </w:r>
          </w:p>
        </w:tc>
        <w:tc>
          <w:tcPr>
            <w:tcW w:w="2606" w:type="dxa"/>
            <w:tcBorders>
              <w:top w:val="dotted" w:sz="4" w:space="0" w:color="auto"/>
              <w:left w:val="single" w:sz="4" w:space="0" w:color="auto"/>
              <w:bottom w:val="dotted" w:sz="4" w:space="0" w:color="auto"/>
              <w:right w:val="single" w:sz="4" w:space="0" w:color="auto"/>
            </w:tcBorders>
            <w:hideMark/>
          </w:tcPr>
          <w:p w14:paraId="3DDF258D" w14:textId="77777777" w:rsidR="00D50DBD" w:rsidRDefault="00D50DBD">
            <w:pPr>
              <w:spacing w:line="240" w:lineRule="auto"/>
              <w:jc w:val="center"/>
              <w:rPr>
                <w:sz w:val="20"/>
                <w:szCs w:val="20"/>
              </w:rPr>
            </w:pPr>
            <w:r>
              <w:rPr>
                <w:sz w:val="20"/>
                <w:szCs w:val="20"/>
              </w:rPr>
              <w:t>0.74 (-12.8, 19.2)</w:t>
            </w:r>
          </w:p>
        </w:tc>
      </w:tr>
      <w:tr w:rsidR="00D50DBD" w14:paraId="18E8EC52" w14:textId="77777777" w:rsidTr="00A409FA">
        <w:tc>
          <w:tcPr>
            <w:tcW w:w="3510" w:type="dxa"/>
            <w:tcBorders>
              <w:top w:val="single" w:sz="4" w:space="0" w:color="auto"/>
              <w:left w:val="single" w:sz="4" w:space="0" w:color="auto"/>
              <w:bottom w:val="single" w:sz="4" w:space="0" w:color="auto"/>
              <w:right w:val="single" w:sz="4" w:space="0" w:color="auto"/>
            </w:tcBorders>
            <w:hideMark/>
          </w:tcPr>
          <w:p w14:paraId="703CA753" w14:textId="77777777" w:rsidR="00D50DBD" w:rsidRDefault="00D50DBD">
            <w:pPr>
              <w:spacing w:line="240" w:lineRule="auto"/>
              <w:rPr>
                <w:sz w:val="20"/>
                <w:szCs w:val="20"/>
              </w:rPr>
            </w:pPr>
            <w:r>
              <w:rPr>
                <w:sz w:val="20"/>
                <w:szCs w:val="20"/>
              </w:rPr>
              <w:t xml:space="preserve">DGI (inpatient treatment) </w:t>
            </w:r>
          </w:p>
        </w:tc>
        <w:tc>
          <w:tcPr>
            <w:tcW w:w="3240" w:type="dxa"/>
            <w:tcBorders>
              <w:top w:val="single" w:sz="4" w:space="0" w:color="auto"/>
              <w:left w:val="single" w:sz="4" w:space="0" w:color="auto"/>
              <w:bottom w:val="single" w:sz="4" w:space="0" w:color="auto"/>
              <w:right w:val="single" w:sz="4" w:space="0" w:color="auto"/>
            </w:tcBorders>
            <w:hideMark/>
          </w:tcPr>
          <w:p w14:paraId="61EC1728" w14:textId="77777777" w:rsidR="00D50DBD" w:rsidRDefault="00D50DBD">
            <w:pPr>
              <w:spacing w:line="240" w:lineRule="auto"/>
              <w:jc w:val="center"/>
              <w:rPr>
                <w:sz w:val="20"/>
                <w:szCs w:val="20"/>
              </w:rPr>
            </w:pPr>
            <w:r>
              <w:rPr>
                <w:sz w:val="20"/>
                <w:szCs w:val="20"/>
              </w:rPr>
              <w:t>0.18 (-5.4, 7.5)</w:t>
            </w:r>
          </w:p>
        </w:tc>
        <w:tc>
          <w:tcPr>
            <w:tcW w:w="2606" w:type="dxa"/>
            <w:tcBorders>
              <w:top w:val="dotted" w:sz="4" w:space="0" w:color="auto"/>
              <w:left w:val="single" w:sz="4" w:space="0" w:color="auto"/>
              <w:bottom w:val="dotted" w:sz="4" w:space="0" w:color="auto"/>
              <w:right w:val="single" w:sz="4" w:space="0" w:color="auto"/>
            </w:tcBorders>
            <w:hideMark/>
          </w:tcPr>
          <w:p w14:paraId="39414B0C" w14:textId="77777777" w:rsidR="00D50DBD" w:rsidRDefault="00D50DBD">
            <w:pPr>
              <w:spacing w:line="240" w:lineRule="auto"/>
              <w:jc w:val="center"/>
              <w:rPr>
                <w:sz w:val="20"/>
                <w:szCs w:val="20"/>
              </w:rPr>
            </w:pPr>
            <w:r>
              <w:rPr>
                <w:sz w:val="20"/>
                <w:szCs w:val="20"/>
              </w:rPr>
              <w:t>1.4 (-5, 8.8)</w:t>
            </w:r>
          </w:p>
        </w:tc>
      </w:tr>
      <w:tr w:rsidR="00D50DBD" w14:paraId="283EDE64" w14:textId="77777777" w:rsidTr="00A409FA">
        <w:tc>
          <w:tcPr>
            <w:tcW w:w="3510" w:type="dxa"/>
            <w:tcBorders>
              <w:top w:val="single" w:sz="4" w:space="0" w:color="auto"/>
              <w:left w:val="single" w:sz="4" w:space="0" w:color="auto"/>
              <w:bottom w:val="single" w:sz="4" w:space="0" w:color="auto"/>
              <w:right w:val="single" w:sz="4" w:space="0" w:color="auto"/>
            </w:tcBorders>
            <w:hideMark/>
          </w:tcPr>
          <w:p w14:paraId="3ABEBAEA" w14:textId="77777777" w:rsidR="00D50DBD" w:rsidRDefault="00D50DBD">
            <w:pPr>
              <w:spacing w:line="240" w:lineRule="auto"/>
              <w:rPr>
                <w:sz w:val="20"/>
                <w:szCs w:val="20"/>
              </w:rPr>
            </w:pPr>
            <w:r>
              <w:rPr>
                <w:sz w:val="20"/>
                <w:szCs w:val="20"/>
              </w:rPr>
              <w:t xml:space="preserve">DGI (outpatient treatment) </w:t>
            </w:r>
          </w:p>
        </w:tc>
        <w:tc>
          <w:tcPr>
            <w:tcW w:w="3240" w:type="dxa"/>
            <w:tcBorders>
              <w:top w:val="single" w:sz="4" w:space="0" w:color="auto"/>
              <w:left w:val="single" w:sz="4" w:space="0" w:color="auto"/>
              <w:bottom w:val="single" w:sz="4" w:space="0" w:color="auto"/>
              <w:right w:val="single" w:sz="4" w:space="0" w:color="auto"/>
            </w:tcBorders>
            <w:hideMark/>
          </w:tcPr>
          <w:p w14:paraId="42157488" w14:textId="77777777" w:rsidR="00D50DBD" w:rsidRDefault="00D50DBD">
            <w:pPr>
              <w:spacing w:line="240" w:lineRule="auto"/>
              <w:jc w:val="center"/>
              <w:rPr>
                <w:sz w:val="20"/>
                <w:szCs w:val="20"/>
              </w:rPr>
            </w:pPr>
            <w:r>
              <w:rPr>
                <w:sz w:val="20"/>
                <w:szCs w:val="20"/>
              </w:rPr>
              <w:t>0.17 (-5.4, 7.5)</w:t>
            </w:r>
          </w:p>
        </w:tc>
        <w:tc>
          <w:tcPr>
            <w:tcW w:w="2606" w:type="dxa"/>
            <w:tcBorders>
              <w:top w:val="dotted" w:sz="4" w:space="0" w:color="auto"/>
              <w:left w:val="single" w:sz="4" w:space="0" w:color="auto"/>
              <w:bottom w:val="dotted" w:sz="4" w:space="0" w:color="auto"/>
              <w:right w:val="single" w:sz="4" w:space="0" w:color="auto"/>
            </w:tcBorders>
            <w:hideMark/>
          </w:tcPr>
          <w:p w14:paraId="4C2450DC" w14:textId="77777777" w:rsidR="00D50DBD" w:rsidRDefault="00D50DBD">
            <w:pPr>
              <w:spacing w:line="240" w:lineRule="auto"/>
              <w:jc w:val="center"/>
              <w:rPr>
                <w:sz w:val="20"/>
                <w:szCs w:val="20"/>
              </w:rPr>
            </w:pPr>
            <w:r>
              <w:rPr>
                <w:sz w:val="20"/>
                <w:szCs w:val="20"/>
              </w:rPr>
              <w:t>0.22 (-5.5, 7.5)</w:t>
            </w:r>
          </w:p>
        </w:tc>
      </w:tr>
    </w:tbl>
    <w:p w14:paraId="0EE66D56" w14:textId="77777777" w:rsidR="00D50DBD" w:rsidRDefault="00D50DBD" w:rsidP="00D50DBD">
      <w:pPr>
        <w:jc w:val="both"/>
        <w:rPr>
          <w:rFonts w:cstheme="minorHAnsi"/>
          <w:sz w:val="8"/>
          <w:szCs w:val="8"/>
          <w:shd w:val="clear" w:color="auto" w:fill="FFFFFF"/>
          <w:lang w:eastAsia="zh-CN"/>
        </w:rPr>
      </w:pPr>
    </w:p>
    <w:p w14:paraId="38FD28E6" w14:textId="425D9B38" w:rsidR="00D50DBD" w:rsidRDefault="00D50DBD" w:rsidP="00D50DBD">
      <w:pPr>
        <w:jc w:val="both"/>
        <w:rPr>
          <w:rFonts w:cstheme="minorHAnsi"/>
          <w:shd w:val="clear" w:color="auto" w:fill="FFFFFF"/>
          <w:lang w:eastAsia="zh-CN"/>
        </w:rPr>
      </w:pPr>
      <w:r>
        <w:rPr>
          <w:rFonts w:cstheme="minorHAnsi"/>
          <w:b/>
          <w:bCs/>
          <w:shd w:val="clear" w:color="auto" w:fill="FFFFFF"/>
          <w:lang w:eastAsia="zh-CN"/>
        </w:rPr>
        <w:t xml:space="preserve">Table B. </w:t>
      </w:r>
      <w:r w:rsidR="0073738C">
        <w:rPr>
          <w:rFonts w:cstheme="minorHAnsi"/>
          <w:b/>
          <w:bCs/>
          <w:shd w:val="clear" w:color="auto" w:fill="FFFFFF"/>
          <w:lang w:eastAsia="zh-CN"/>
        </w:rPr>
        <w:t>I</w:t>
      </w:r>
      <w:r>
        <w:rPr>
          <w:rFonts w:cstheme="minorHAnsi"/>
          <w:b/>
          <w:bCs/>
          <w:shd w:val="clear" w:color="auto" w:fill="FFFFFF"/>
          <w:lang w:eastAsia="zh-CN"/>
        </w:rPr>
        <w:t xml:space="preserve">mpact of uncertainty in durations on </w:t>
      </w:r>
      <w:r w:rsidR="0073738C">
        <w:rPr>
          <w:rFonts w:cstheme="minorHAnsi"/>
          <w:b/>
          <w:bCs/>
          <w:shd w:val="clear" w:color="auto" w:fill="FFFFFF"/>
          <w:lang w:eastAsia="zh-CN"/>
        </w:rPr>
        <w:t xml:space="preserve">the results for </w:t>
      </w:r>
      <w:r>
        <w:rPr>
          <w:rFonts w:cstheme="minorHAnsi"/>
          <w:b/>
          <w:bCs/>
          <w:shd w:val="clear" w:color="auto" w:fill="FFFFFF"/>
          <w:lang w:eastAsia="zh-CN"/>
        </w:rPr>
        <w:t>cost-effectiveness of eGISP surveillance strategy.</w:t>
      </w:r>
      <w:r>
        <w:rPr>
          <w:rFonts w:cstheme="minorHAnsi"/>
          <w:shd w:val="clear" w:color="auto" w:fill="FFFFFF"/>
          <w:lang w:eastAsia="zh-CN"/>
        </w:rPr>
        <w:t xml:space="preserve"> The results were obtained using the low and high parameter values from the corresponding uncertainty intervals in Table 1 in the main text. Abbreviation: DGI, disseminated gonococcal infection. </w:t>
      </w:r>
    </w:p>
    <w:p w14:paraId="6316E348" w14:textId="77777777" w:rsidR="00D50DBD" w:rsidRDefault="00D50DBD" w:rsidP="00D50DBD">
      <w:pPr>
        <w:jc w:val="both"/>
        <w:rPr>
          <w:rFonts w:cstheme="minorHAnsi"/>
          <w:shd w:val="clear" w:color="auto" w:fill="FFFFFF"/>
          <w:lang w:eastAsia="zh-CN"/>
        </w:rPr>
      </w:pPr>
    </w:p>
    <w:p w14:paraId="5187D641" w14:textId="77777777" w:rsidR="00F105D8" w:rsidRDefault="00F105D8" w:rsidP="00D50DBD">
      <w:pPr>
        <w:jc w:val="both"/>
        <w:rPr>
          <w:rFonts w:cstheme="minorHAnsi"/>
          <w:shd w:val="clear" w:color="auto" w:fill="FFFFFF"/>
          <w:lang w:eastAsia="zh-CN"/>
        </w:rPr>
      </w:pPr>
    </w:p>
    <w:p w14:paraId="474A67CF" w14:textId="77777777" w:rsidR="00F105D8" w:rsidRDefault="00F105D8" w:rsidP="00D50DBD">
      <w:pPr>
        <w:jc w:val="both"/>
        <w:rPr>
          <w:rFonts w:cstheme="minorHAnsi"/>
          <w:shd w:val="clear" w:color="auto" w:fill="FFFFFF"/>
          <w:lang w:eastAsia="zh-CN"/>
        </w:rPr>
      </w:pPr>
    </w:p>
    <w:p w14:paraId="3B498D6E" w14:textId="77777777" w:rsidR="00F105D8" w:rsidRDefault="00F105D8" w:rsidP="00D50DBD">
      <w:pPr>
        <w:jc w:val="both"/>
        <w:rPr>
          <w:rFonts w:cstheme="minorHAnsi"/>
          <w:shd w:val="clear" w:color="auto" w:fill="FFFFFF"/>
          <w:lang w:eastAsia="zh-CN"/>
        </w:rPr>
      </w:pPr>
    </w:p>
    <w:p w14:paraId="5A7E34D6" w14:textId="77777777" w:rsidR="00F105D8" w:rsidRDefault="00F105D8" w:rsidP="00D50DBD">
      <w:pPr>
        <w:jc w:val="both"/>
        <w:rPr>
          <w:rFonts w:cstheme="minorHAnsi"/>
          <w:shd w:val="clear" w:color="auto" w:fill="FFFFFF"/>
          <w:lang w:eastAsia="zh-CN"/>
        </w:rPr>
      </w:pPr>
    </w:p>
    <w:p w14:paraId="2BD40D2A" w14:textId="77777777" w:rsidR="00F105D8" w:rsidRDefault="00F105D8" w:rsidP="00D50DBD">
      <w:pPr>
        <w:jc w:val="both"/>
        <w:rPr>
          <w:rFonts w:cstheme="minorHAnsi"/>
          <w:shd w:val="clear" w:color="auto" w:fill="FFFFFF"/>
          <w:lang w:eastAsia="zh-CN"/>
        </w:rPr>
      </w:pPr>
    </w:p>
    <w:p w14:paraId="6EB1E3C2" w14:textId="77777777" w:rsidR="00F105D8" w:rsidRDefault="00F105D8" w:rsidP="00D50DBD">
      <w:pPr>
        <w:jc w:val="both"/>
        <w:rPr>
          <w:rFonts w:cstheme="minorHAnsi"/>
          <w:shd w:val="clear" w:color="auto" w:fill="FFFFFF"/>
          <w:lang w:eastAsia="zh-CN"/>
        </w:rPr>
      </w:pPr>
    </w:p>
    <w:p w14:paraId="4FC01F24" w14:textId="77777777" w:rsidR="00F105D8" w:rsidRDefault="00F105D8" w:rsidP="00D50DBD">
      <w:pPr>
        <w:jc w:val="both"/>
        <w:rPr>
          <w:rFonts w:cstheme="minorHAnsi"/>
          <w:shd w:val="clear" w:color="auto" w:fill="FFFFFF"/>
          <w:lang w:eastAsia="zh-CN"/>
        </w:rPr>
      </w:pPr>
    </w:p>
    <w:p w14:paraId="3A3617C3" w14:textId="77777777" w:rsidR="00F105D8" w:rsidRDefault="00F105D8" w:rsidP="00D50DBD">
      <w:pPr>
        <w:jc w:val="both"/>
        <w:rPr>
          <w:rFonts w:cstheme="minorHAnsi"/>
          <w:shd w:val="clear" w:color="auto" w:fill="FFFFFF"/>
          <w:lang w:eastAsia="zh-CN"/>
        </w:rPr>
      </w:pPr>
    </w:p>
    <w:p w14:paraId="02DC716A" w14:textId="77777777" w:rsidR="00F105D8" w:rsidRDefault="00F105D8" w:rsidP="00D50DBD">
      <w:pPr>
        <w:jc w:val="both"/>
        <w:rPr>
          <w:rFonts w:cstheme="minorHAnsi"/>
          <w:shd w:val="clear" w:color="auto" w:fill="FFFFFF"/>
          <w:lang w:eastAsia="zh-CN"/>
        </w:rPr>
      </w:pPr>
    </w:p>
    <w:p w14:paraId="01680163" w14:textId="77777777" w:rsidR="00F105D8" w:rsidRDefault="00F105D8" w:rsidP="00D50DBD">
      <w:pPr>
        <w:jc w:val="both"/>
        <w:rPr>
          <w:rFonts w:cstheme="minorHAnsi"/>
          <w:shd w:val="clear" w:color="auto" w:fill="FFFFFF"/>
          <w:lang w:eastAsia="zh-CN"/>
        </w:rPr>
      </w:pPr>
    </w:p>
    <w:p w14:paraId="2D644885" w14:textId="77777777" w:rsidR="00F105D8" w:rsidRDefault="00F105D8" w:rsidP="00D50DBD">
      <w:pPr>
        <w:jc w:val="both"/>
        <w:rPr>
          <w:rFonts w:cstheme="minorHAnsi"/>
          <w:shd w:val="clear" w:color="auto" w:fill="FFFFFF"/>
          <w:lang w:eastAsia="zh-CN"/>
        </w:rPr>
      </w:pPr>
    </w:p>
    <w:p w14:paraId="339249B1" w14:textId="77777777" w:rsidR="00F105D8" w:rsidRDefault="00F105D8" w:rsidP="00D50DBD">
      <w:pPr>
        <w:jc w:val="both"/>
        <w:rPr>
          <w:rFonts w:cstheme="minorHAnsi"/>
          <w:shd w:val="clear" w:color="auto" w:fill="FFFFFF"/>
          <w:lang w:eastAsia="zh-CN"/>
        </w:rPr>
      </w:pPr>
    </w:p>
    <w:p w14:paraId="40FF5A30" w14:textId="77777777" w:rsidR="00F105D8" w:rsidRDefault="00F105D8" w:rsidP="00D50DBD">
      <w:pPr>
        <w:jc w:val="both"/>
        <w:rPr>
          <w:rFonts w:cstheme="minorHAnsi"/>
          <w:shd w:val="clear" w:color="auto" w:fill="FFFFFF"/>
          <w:lang w:eastAsia="zh-CN"/>
        </w:rPr>
      </w:pPr>
    </w:p>
    <w:p w14:paraId="1E44A63A" w14:textId="77777777" w:rsidR="00F105D8" w:rsidRDefault="00F105D8" w:rsidP="00D50DBD">
      <w:pPr>
        <w:jc w:val="both"/>
        <w:rPr>
          <w:rFonts w:cstheme="minorHAnsi"/>
          <w:shd w:val="clear" w:color="auto" w:fill="FFFFFF"/>
          <w:lang w:eastAsia="zh-CN"/>
        </w:rPr>
      </w:pPr>
    </w:p>
    <w:p w14:paraId="5E2897B2" w14:textId="673CF236" w:rsidR="00D50DBD" w:rsidRPr="00612CDF" w:rsidRDefault="00D50DBD" w:rsidP="00612CDF">
      <w:pPr>
        <w:tabs>
          <w:tab w:val="left" w:pos="1291"/>
        </w:tabs>
      </w:pPr>
      <w:r w:rsidRPr="00D50DBD">
        <w:rPr>
          <w:b/>
          <w:bCs/>
          <w:sz w:val="30"/>
          <w:szCs w:val="30"/>
        </w:rPr>
        <w:lastRenderedPageBreak/>
        <w:t>References</w:t>
      </w:r>
    </w:p>
    <w:p w14:paraId="4C92C977" w14:textId="77777777" w:rsidR="00A441B4" w:rsidRPr="00A441B4" w:rsidRDefault="00D50DBD" w:rsidP="00A441B4">
      <w:pPr>
        <w:pStyle w:val="EndNoteBibliography"/>
        <w:spacing w:after="0"/>
        <w:ind w:left="720" w:hanging="720"/>
      </w:pPr>
      <w:r>
        <w:fldChar w:fldCharType="begin"/>
      </w:r>
      <w:r>
        <w:instrText xml:space="preserve"> ADDIN EN.REFLIST </w:instrText>
      </w:r>
      <w:r>
        <w:fldChar w:fldCharType="separate"/>
      </w:r>
      <w:r w:rsidR="00A441B4" w:rsidRPr="00A441B4">
        <w:t>1.</w:t>
      </w:r>
      <w:r w:rsidR="00A441B4" w:rsidRPr="00A441B4">
        <w:tab/>
        <w:t xml:space="preserve">Mehta, S.D., et al., </w:t>
      </w:r>
      <w:r w:rsidR="00A441B4" w:rsidRPr="00A441B4">
        <w:rPr>
          <w:i/>
        </w:rPr>
        <w:t>Cost-effectiveness of five strategies for gonorrhea and chlamydia control among female and male emergency department patients.</w:t>
      </w:r>
      <w:r w:rsidR="00A441B4" w:rsidRPr="00A441B4">
        <w:t xml:space="preserve"> Sexually transmitted diseases, 2002. </w:t>
      </w:r>
      <w:r w:rsidR="00A441B4" w:rsidRPr="00A441B4">
        <w:rPr>
          <w:b/>
        </w:rPr>
        <w:t>29</w:t>
      </w:r>
      <w:r w:rsidR="00A441B4" w:rsidRPr="00A441B4">
        <w:t>(2): p. 83-91.</w:t>
      </w:r>
    </w:p>
    <w:p w14:paraId="2B20B32E" w14:textId="77777777" w:rsidR="00A441B4" w:rsidRPr="00A441B4" w:rsidRDefault="00A441B4" w:rsidP="00A441B4">
      <w:pPr>
        <w:pStyle w:val="EndNoteBibliography"/>
        <w:spacing w:after="0"/>
        <w:ind w:left="720" w:hanging="720"/>
      </w:pPr>
      <w:r w:rsidRPr="00A441B4">
        <w:t>2.</w:t>
      </w:r>
      <w:r w:rsidRPr="00A441B4">
        <w:tab/>
        <w:t xml:space="preserve">Li, Y., et al., </w:t>
      </w:r>
      <w:r w:rsidRPr="00A441B4">
        <w:rPr>
          <w:i/>
        </w:rPr>
        <w:t>Estimated costs and quality-adjusted life-years lost due to N. gonorrhoeae infections acquired in 2015 in the United States: a modelling study of overall burden and disparities by age, race/ethnicity, and other factors.</w:t>
      </w:r>
      <w:r w:rsidRPr="00A441B4">
        <w:t xml:space="preserve"> The Lancet Regional Health–Americas, 2022. </w:t>
      </w:r>
      <w:r w:rsidRPr="00A441B4">
        <w:rPr>
          <w:b/>
        </w:rPr>
        <w:t>16</w:t>
      </w:r>
      <w:r w:rsidRPr="00A441B4">
        <w:t>.</w:t>
      </w:r>
    </w:p>
    <w:p w14:paraId="22320765" w14:textId="77777777" w:rsidR="00A441B4" w:rsidRPr="00A441B4" w:rsidRDefault="00A441B4" w:rsidP="00A441B4">
      <w:pPr>
        <w:pStyle w:val="EndNoteBibliography"/>
        <w:spacing w:after="0"/>
        <w:ind w:left="720" w:hanging="720"/>
      </w:pPr>
      <w:r w:rsidRPr="00A441B4">
        <w:t>3.</w:t>
      </w:r>
      <w:r w:rsidRPr="00A441B4">
        <w:tab/>
        <w:t xml:space="preserve">Cyr, S.S., </w:t>
      </w:r>
      <w:r w:rsidRPr="00A441B4">
        <w:rPr>
          <w:i/>
        </w:rPr>
        <w:t>Update to CDC's treatment guidelines for gonococcal infection, 2020.</w:t>
      </w:r>
      <w:r w:rsidRPr="00A441B4">
        <w:t xml:space="preserve"> MMWR. Morbidity and mortality weekly report, 2020. </w:t>
      </w:r>
      <w:r w:rsidRPr="00A441B4">
        <w:rPr>
          <w:b/>
        </w:rPr>
        <w:t>69</w:t>
      </w:r>
      <w:r w:rsidRPr="00A441B4">
        <w:t>.</w:t>
      </w:r>
    </w:p>
    <w:p w14:paraId="1C8B0510" w14:textId="77777777" w:rsidR="00A441B4" w:rsidRPr="00A441B4" w:rsidRDefault="00A441B4" w:rsidP="00A441B4">
      <w:pPr>
        <w:pStyle w:val="EndNoteBibliography"/>
        <w:spacing w:after="0"/>
        <w:ind w:left="720" w:hanging="720"/>
      </w:pPr>
      <w:r w:rsidRPr="00A441B4">
        <w:t>4.</w:t>
      </w:r>
      <w:r w:rsidRPr="00A441B4">
        <w:tab/>
        <w:t xml:space="preserve">Workowski, K.A., </w:t>
      </w:r>
      <w:r w:rsidRPr="00A441B4">
        <w:rPr>
          <w:i/>
        </w:rPr>
        <w:t>Sexually transmitted infections treatment guidelines, 2021.</w:t>
      </w:r>
      <w:r w:rsidRPr="00A441B4">
        <w:t xml:space="preserve"> MMWR. Recommendations and Reports, 2021. </w:t>
      </w:r>
      <w:r w:rsidRPr="00A441B4">
        <w:rPr>
          <w:b/>
        </w:rPr>
        <w:t>70</w:t>
      </w:r>
      <w:r w:rsidRPr="00A441B4">
        <w:t>.</w:t>
      </w:r>
    </w:p>
    <w:p w14:paraId="0A29310B" w14:textId="77777777" w:rsidR="00A441B4" w:rsidRPr="00A441B4" w:rsidRDefault="00A441B4" w:rsidP="00A441B4">
      <w:pPr>
        <w:pStyle w:val="EndNoteBibliography"/>
        <w:spacing w:after="0"/>
        <w:ind w:left="720" w:hanging="720"/>
      </w:pPr>
      <w:r w:rsidRPr="00A441B4">
        <w:t>5.</w:t>
      </w:r>
      <w:r w:rsidRPr="00A441B4">
        <w:tab/>
        <w:t xml:space="preserve">Li, X., et al., </w:t>
      </w:r>
      <w:r w:rsidRPr="00A441B4">
        <w:rPr>
          <w:i/>
        </w:rPr>
        <w:t>In vitro activity of ertapenem against Neisseria gonorrhoeae clinical isolates with decreased susceptibility or resistance to extended-spectrum Cephalosporins in Nanjing, China (2013 to 2019).</w:t>
      </w:r>
      <w:r w:rsidRPr="00A441B4">
        <w:t xml:space="preserve"> Antimicrobial Agents and Chemotherapy, 2022. </w:t>
      </w:r>
      <w:r w:rsidRPr="00A441B4">
        <w:rPr>
          <w:b/>
        </w:rPr>
        <w:t>66</w:t>
      </w:r>
      <w:r w:rsidRPr="00A441B4">
        <w:t>(5): p. e00109-22.</w:t>
      </w:r>
    </w:p>
    <w:p w14:paraId="0180339C" w14:textId="77777777" w:rsidR="00A441B4" w:rsidRPr="00A441B4" w:rsidRDefault="00A441B4" w:rsidP="00A441B4">
      <w:pPr>
        <w:pStyle w:val="EndNoteBibliography"/>
        <w:ind w:left="720" w:hanging="720"/>
      </w:pPr>
      <w:r w:rsidRPr="00A441B4">
        <w:t>6.</w:t>
      </w:r>
      <w:r w:rsidRPr="00A441B4">
        <w:tab/>
        <w:t xml:space="preserve">Prevention, C.f.D.C.a., </w:t>
      </w:r>
      <w:r w:rsidRPr="00A441B4">
        <w:rPr>
          <w:i/>
        </w:rPr>
        <w:t>Gonorrhea Laboratory Information.</w:t>
      </w:r>
      <w:r w:rsidRPr="00A441B4">
        <w:t xml:space="preserve"> 2021.</w:t>
      </w:r>
    </w:p>
    <w:p w14:paraId="7D723855" w14:textId="694B1C0E" w:rsidR="00F021F0" w:rsidRDefault="00D50DBD">
      <w:r>
        <w:fldChar w:fldCharType="end"/>
      </w:r>
    </w:p>
    <w:sectPr w:rsidR="00F021F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BCC5D" w14:textId="77777777" w:rsidR="00B239B1" w:rsidRDefault="00B239B1" w:rsidP="00A409FA">
      <w:pPr>
        <w:spacing w:after="0" w:line="240" w:lineRule="auto"/>
      </w:pPr>
      <w:r>
        <w:separator/>
      </w:r>
    </w:p>
  </w:endnote>
  <w:endnote w:type="continuationSeparator" w:id="0">
    <w:p w14:paraId="00409924" w14:textId="77777777" w:rsidR="00B239B1" w:rsidRDefault="00B239B1" w:rsidP="00A4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12327"/>
      <w:docPartObj>
        <w:docPartGallery w:val="Page Numbers (Bottom of Page)"/>
        <w:docPartUnique/>
      </w:docPartObj>
    </w:sdtPr>
    <w:sdtContent>
      <w:p w14:paraId="5DD49461" w14:textId="0D48A2CC" w:rsidR="00A409FA" w:rsidRDefault="00A409FA">
        <w:pPr>
          <w:pStyle w:val="a6"/>
          <w:jc w:val="right"/>
        </w:pPr>
        <w:r>
          <w:fldChar w:fldCharType="begin"/>
        </w:r>
        <w:r>
          <w:instrText>PAGE   \* MERGEFORMAT</w:instrText>
        </w:r>
        <w:r>
          <w:fldChar w:fldCharType="separate"/>
        </w:r>
        <w:r>
          <w:rPr>
            <w:lang w:val="ru-RU"/>
          </w:rPr>
          <w:t>2</w:t>
        </w:r>
        <w:r>
          <w:fldChar w:fldCharType="end"/>
        </w:r>
      </w:p>
    </w:sdtContent>
  </w:sdt>
  <w:p w14:paraId="52EFA775" w14:textId="77777777" w:rsidR="00A409FA" w:rsidRDefault="00A409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EA26" w14:textId="77777777" w:rsidR="00B239B1" w:rsidRDefault="00B239B1" w:rsidP="00A409FA">
      <w:pPr>
        <w:spacing w:after="0" w:line="240" w:lineRule="auto"/>
      </w:pPr>
      <w:r>
        <w:separator/>
      </w:r>
    </w:p>
  </w:footnote>
  <w:footnote w:type="continuationSeparator" w:id="0">
    <w:p w14:paraId="07A458E8" w14:textId="77777777" w:rsidR="00B239B1" w:rsidRDefault="00B239B1" w:rsidP="00A40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at55s9lwdfz5ev0apv525vs9wdzz059vs2&quot;&gt;My EndNote Library&lt;record-ids&gt;&lt;item&gt;28&lt;/item&gt;&lt;item&gt;39&lt;/item&gt;&lt;item&gt;81&lt;/item&gt;&lt;item&gt;88&lt;/item&gt;&lt;item&gt;97&lt;/item&gt;&lt;item&gt;98&lt;/item&gt;&lt;/record-ids&gt;&lt;/item&gt;&lt;/Libraries&gt;"/>
  </w:docVars>
  <w:rsids>
    <w:rsidRoot w:val="00E75D43"/>
    <w:rsid w:val="00144528"/>
    <w:rsid w:val="002927BC"/>
    <w:rsid w:val="00581111"/>
    <w:rsid w:val="00612CDF"/>
    <w:rsid w:val="0073738C"/>
    <w:rsid w:val="00757BE2"/>
    <w:rsid w:val="00833210"/>
    <w:rsid w:val="00874D8F"/>
    <w:rsid w:val="00950C05"/>
    <w:rsid w:val="00A17171"/>
    <w:rsid w:val="00A409FA"/>
    <w:rsid w:val="00A441B4"/>
    <w:rsid w:val="00A501E6"/>
    <w:rsid w:val="00B071CE"/>
    <w:rsid w:val="00B239B1"/>
    <w:rsid w:val="00C94CD9"/>
    <w:rsid w:val="00CA326A"/>
    <w:rsid w:val="00D07C85"/>
    <w:rsid w:val="00D10350"/>
    <w:rsid w:val="00D50DBD"/>
    <w:rsid w:val="00D66E55"/>
    <w:rsid w:val="00E75D43"/>
    <w:rsid w:val="00F021F0"/>
    <w:rsid w:val="00F105D8"/>
    <w:rsid w:val="00F23C65"/>
    <w:rsid w:val="00F629E2"/>
    <w:rsid w:val="00FC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CBF8"/>
  <w15:chartTrackingRefBased/>
  <w15:docId w15:val="{265304EF-39EA-4C80-935E-C5CEF505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DBD"/>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50DBD"/>
  </w:style>
  <w:style w:type="table" w:styleId="a3">
    <w:name w:val="Table Grid"/>
    <w:basedOn w:val="a1"/>
    <w:uiPriority w:val="39"/>
    <w:rsid w:val="00D50D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D50DBD"/>
    <w:pPr>
      <w:spacing w:after="0"/>
      <w:jc w:val="center"/>
    </w:pPr>
    <w:rPr>
      <w:rFonts w:ascii="Calibri" w:hAnsi="Calibri" w:cs="Calibri"/>
      <w:noProof/>
    </w:rPr>
  </w:style>
  <w:style w:type="character" w:customStyle="1" w:styleId="EndNoteBibliographyTitle0">
    <w:name w:val="EndNote Bibliography Title Знак"/>
    <w:basedOn w:val="a0"/>
    <w:link w:val="EndNoteBibliographyTitle"/>
    <w:rsid w:val="00D50DBD"/>
    <w:rPr>
      <w:rFonts w:ascii="Calibri" w:hAnsi="Calibri" w:cs="Calibri"/>
      <w:noProof/>
      <w:lang w:val="en-US"/>
    </w:rPr>
  </w:style>
  <w:style w:type="paragraph" w:customStyle="1" w:styleId="EndNoteBibliography">
    <w:name w:val="EndNote Bibliography"/>
    <w:basedOn w:val="a"/>
    <w:link w:val="EndNoteBibliography0"/>
    <w:rsid w:val="00D50DBD"/>
    <w:pPr>
      <w:spacing w:line="240" w:lineRule="auto"/>
    </w:pPr>
    <w:rPr>
      <w:rFonts w:ascii="Calibri" w:hAnsi="Calibri" w:cs="Calibri"/>
      <w:noProof/>
    </w:rPr>
  </w:style>
  <w:style w:type="character" w:customStyle="1" w:styleId="EndNoteBibliography0">
    <w:name w:val="EndNote Bibliography Знак"/>
    <w:basedOn w:val="a0"/>
    <w:link w:val="EndNoteBibliography"/>
    <w:rsid w:val="00D50DBD"/>
    <w:rPr>
      <w:rFonts w:ascii="Calibri" w:hAnsi="Calibri" w:cs="Calibri"/>
      <w:noProof/>
      <w:lang w:val="en-US"/>
    </w:rPr>
  </w:style>
  <w:style w:type="paragraph" w:styleId="a4">
    <w:name w:val="header"/>
    <w:basedOn w:val="a"/>
    <w:link w:val="a5"/>
    <w:uiPriority w:val="99"/>
    <w:unhideWhenUsed/>
    <w:rsid w:val="00A409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09FA"/>
    <w:rPr>
      <w:lang w:val="en-US"/>
    </w:rPr>
  </w:style>
  <w:style w:type="paragraph" w:styleId="a6">
    <w:name w:val="footer"/>
    <w:basedOn w:val="a"/>
    <w:link w:val="a7"/>
    <w:uiPriority w:val="99"/>
    <w:unhideWhenUsed/>
    <w:rsid w:val="00A409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09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Prakhova, Sofya</dc:creator>
  <cp:keywords/>
  <dc:description/>
  <cp:lastModifiedBy>Prakhova, Sofya</cp:lastModifiedBy>
  <cp:revision>15</cp:revision>
  <cp:lastPrinted>2024-07-29T12:48:00Z</cp:lastPrinted>
  <dcterms:created xsi:type="dcterms:W3CDTF">2024-07-29T11:42:00Z</dcterms:created>
  <dcterms:modified xsi:type="dcterms:W3CDTF">2024-07-29T14:03:00Z</dcterms:modified>
</cp:coreProperties>
</file>