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52145" w:rsidR="00AC6BE8" w:rsidP="00AC6BE8" w:rsidRDefault="00AC6BE8" w14:paraId="4F061C4E" w14:textId="00049014">
      <w:pPr>
        <w:spacing w:after="0" w:line="240" w:lineRule="auto"/>
        <w:rPr>
          <w:rFonts w:ascii="Arial" w:hAnsi="Arial" w:eastAsia="Calibri" w:cs="Arial"/>
          <w:b/>
          <w:bCs/>
          <w:color w:val="000000" w:themeColor="text1"/>
          <w:sz w:val="20"/>
          <w:szCs w:val="20"/>
        </w:rPr>
      </w:pPr>
      <w:r w:rsidRPr="53AF6199" w:rsidR="00AC6BE8">
        <w:rPr>
          <w:rFonts w:ascii="Arial" w:hAnsi="Arial" w:eastAsia="Calibri" w:cs="Arial"/>
          <w:b w:val="1"/>
          <w:bCs w:val="1"/>
          <w:color w:val="000000" w:themeColor="text1" w:themeTint="FF" w:themeShade="FF"/>
          <w:sz w:val="20"/>
          <w:szCs w:val="20"/>
        </w:rPr>
        <w:t>Supplementary Material</w:t>
      </w:r>
    </w:p>
    <w:p w:rsidR="53AF6199" w:rsidP="53AF6199" w:rsidRDefault="53AF6199" w14:paraId="7E76A737" w14:textId="6A3F0650">
      <w:pPr>
        <w:pStyle w:val="Normal"/>
        <w:spacing w:after="0" w:line="240" w:lineRule="auto"/>
        <w:rPr>
          <w:rFonts w:ascii="Arial" w:hAnsi="Arial" w:eastAsia="Calibri" w:cs="Arial"/>
          <w:b w:val="1"/>
          <w:bCs w:val="1"/>
          <w:color w:val="000000" w:themeColor="text1" w:themeTint="FF" w:themeShade="FF"/>
          <w:sz w:val="20"/>
          <w:szCs w:val="20"/>
        </w:rPr>
      </w:pPr>
    </w:p>
    <w:p w:rsidR="2C490A17" w:rsidP="53AF6199" w:rsidRDefault="2C490A17" w14:paraId="5B143857" w14:textId="70306D10">
      <w:pPr>
        <w:pStyle w:val="Normal"/>
        <w:spacing w:after="0" w:line="240" w:lineRule="auto"/>
        <w:rPr>
          <w:rFonts w:ascii="Arial" w:hAnsi="Arial" w:eastAsia="Calibri" w:cs="Arial"/>
          <w:b w:val="1"/>
          <w:bCs w:val="1"/>
          <w:color w:val="000000" w:themeColor="text1" w:themeTint="FF" w:themeShade="FF"/>
          <w:sz w:val="20"/>
          <w:szCs w:val="20"/>
        </w:rPr>
      </w:pPr>
      <w:r w:rsidRPr="4FFDE926" w:rsidR="0CB77207">
        <w:rPr>
          <w:rFonts w:ascii="Arial" w:hAnsi="Arial" w:eastAsia="Calibri" w:cs="Arial"/>
          <w:b w:val="1"/>
          <w:bCs w:val="1"/>
          <w:color w:val="000000" w:themeColor="text1" w:themeTint="FF" w:themeShade="FF"/>
          <w:sz w:val="20"/>
          <w:szCs w:val="20"/>
        </w:rPr>
        <w:t xml:space="preserve">S1 Supplementary Methods </w:t>
      </w:r>
    </w:p>
    <w:p w:rsidR="4FFDE926" w:rsidP="4FFDE926" w:rsidRDefault="4FFDE926" w14:paraId="27940423" w14:textId="103B2FF6">
      <w:pPr>
        <w:pStyle w:val="Normal"/>
        <w:spacing w:after="0" w:line="240" w:lineRule="auto"/>
        <w:rPr>
          <w:rFonts w:ascii="Arial" w:hAnsi="Arial" w:eastAsia="Calibri" w:cs="Arial"/>
          <w:b w:val="1"/>
          <w:bCs w:val="1"/>
          <w:color w:val="000000" w:themeColor="text1" w:themeTint="FF" w:themeShade="FF"/>
          <w:sz w:val="20"/>
          <w:szCs w:val="20"/>
        </w:rPr>
      </w:pPr>
    </w:p>
    <w:p w:rsidR="1DC63589" w:rsidP="4FFDE926" w:rsidRDefault="1DC63589" w14:paraId="27A29026" w14:textId="25495C9E">
      <w:pPr>
        <w:pStyle w:val="Normal"/>
        <w:spacing w:after="0" w:line="240" w:lineRule="auto"/>
        <w:rPr>
          <w:rFonts w:ascii="Arial" w:hAnsi="Arial" w:eastAsia="Calibri" w:cs="Arial"/>
          <w:b w:val="1"/>
          <w:bCs w:val="1"/>
          <w:i w:val="1"/>
          <w:iCs w:val="1"/>
          <w:color w:val="000000" w:themeColor="text1" w:themeTint="FF" w:themeShade="FF"/>
          <w:sz w:val="20"/>
          <w:szCs w:val="20"/>
        </w:rPr>
      </w:pPr>
      <w:r w:rsidRPr="4FFDE926" w:rsidR="1DC63589">
        <w:rPr>
          <w:rFonts w:ascii="Arial" w:hAnsi="Arial" w:eastAsia="Calibri" w:cs="Arial"/>
          <w:b w:val="1"/>
          <w:bCs w:val="1"/>
          <w:i w:val="1"/>
          <w:iCs w:val="1"/>
          <w:color w:val="000000" w:themeColor="text1" w:themeTint="FF" w:themeShade="FF"/>
          <w:sz w:val="20"/>
          <w:szCs w:val="20"/>
        </w:rPr>
        <w:t xml:space="preserve">S1.1 </w:t>
      </w:r>
      <w:r w:rsidRPr="4FFDE926" w:rsidR="604E1F42">
        <w:rPr>
          <w:rFonts w:ascii="Arial" w:hAnsi="Arial" w:eastAsia="Calibri" w:cs="Arial"/>
          <w:b w:val="1"/>
          <w:bCs w:val="1"/>
          <w:i w:val="1"/>
          <w:iCs w:val="1"/>
          <w:color w:val="000000" w:themeColor="text1" w:themeTint="FF" w:themeShade="FF"/>
          <w:sz w:val="20"/>
          <w:szCs w:val="20"/>
        </w:rPr>
        <w:t>Data and Feature Engineering</w:t>
      </w:r>
    </w:p>
    <w:p w:rsidR="4FFDE926" w:rsidP="4FFDE926" w:rsidRDefault="4FFDE926" w14:paraId="0F51C5C1" w14:textId="42A0DD51">
      <w:pPr>
        <w:pStyle w:val="Normal"/>
        <w:spacing w:after="0" w:line="240" w:lineRule="auto"/>
        <w:rPr>
          <w:rFonts w:ascii="Arial" w:hAnsi="Arial" w:eastAsia="Calibri" w:cs="Arial"/>
          <w:b w:val="0"/>
          <w:bCs w:val="0"/>
          <w:i w:val="0"/>
          <w:iCs w:val="0"/>
          <w:color w:val="000000" w:themeColor="text1" w:themeTint="FF" w:themeShade="FF"/>
          <w:sz w:val="20"/>
          <w:szCs w:val="20"/>
        </w:rPr>
      </w:pPr>
    </w:p>
    <w:p w:rsidR="5400CE15" w:rsidP="4FFDE926" w:rsidRDefault="5400CE15" w14:paraId="626A759E" w14:textId="6E092871">
      <w:pPr>
        <w:pStyle w:val="Normal"/>
        <w:spacing w:after="0" w:line="240" w:lineRule="auto"/>
        <w:rPr>
          <w:rFonts w:ascii="Arial" w:hAnsi="Arial" w:eastAsia="Calibri" w:cs="Arial"/>
          <w:b w:val="0"/>
          <w:bCs w:val="0"/>
          <w:i w:val="0"/>
          <w:iCs w:val="0"/>
          <w:color w:val="000000" w:themeColor="text1" w:themeTint="FF" w:themeShade="FF"/>
          <w:sz w:val="20"/>
          <w:szCs w:val="20"/>
          <w:vertAlign w:val="baseline"/>
        </w:rPr>
      </w:pPr>
      <w:r w:rsidRPr="4FFDE926" w:rsidR="5400CE15">
        <w:rPr>
          <w:rFonts w:ascii="Arial" w:hAnsi="Arial" w:eastAsia="Calibri" w:cs="Arial"/>
          <w:b w:val="0"/>
          <w:bCs w:val="0"/>
          <w:i w:val="0"/>
          <w:iCs w:val="0"/>
          <w:color w:val="000000" w:themeColor="text1" w:themeTint="FF" w:themeShade="FF"/>
          <w:sz w:val="20"/>
          <w:szCs w:val="20"/>
        </w:rPr>
        <w:t xml:space="preserve">All numerical </w:t>
      </w:r>
      <w:r w:rsidRPr="4FFDE926" w:rsidR="581484CE">
        <w:rPr>
          <w:rFonts w:ascii="Arial" w:hAnsi="Arial" w:eastAsia="Calibri" w:cs="Arial"/>
          <w:b w:val="0"/>
          <w:bCs w:val="0"/>
          <w:i w:val="0"/>
          <w:iCs w:val="0"/>
          <w:color w:val="000000" w:themeColor="text1" w:themeTint="FF" w:themeShade="FF"/>
          <w:sz w:val="20"/>
          <w:szCs w:val="20"/>
        </w:rPr>
        <w:t xml:space="preserve">variables </w:t>
      </w:r>
      <w:r w:rsidRPr="4FFDE926" w:rsidR="5400CE15">
        <w:rPr>
          <w:rFonts w:ascii="Arial" w:hAnsi="Arial" w:eastAsia="Calibri" w:cs="Arial"/>
          <w:b w:val="0"/>
          <w:bCs w:val="0"/>
          <w:i w:val="0"/>
          <w:iCs w:val="0"/>
          <w:color w:val="000000" w:themeColor="text1" w:themeTint="FF" w:themeShade="FF"/>
          <w:sz w:val="20"/>
          <w:szCs w:val="20"/>
        </w:rPr>
        <w:t xml:space="preserve">were used directly as input to the model, </w:t>
      </w:r>
      <w:r w:rsidRPr="4FFDE926" w:rsidR="5400CE15">
        <w:rPr>
          <w:rFonts w:ascii="Arial" w:hAnsi="Arial" w:eastAsia="Calibri" w:cs="Arial"/>
          <w:b w:val="0"/>
          <w:bCs w:val="0"/>
          <w:i w:val="0"/>
          <w:iCs w:val="0"/>
          <w:color w:val="000000" w:themeColor="text1" w:themeTint="FF" w:themeShade="FF"/>
          <w:sz w:val="20"/>
          <w:szCs w:val="20"/>
        </w:rPr>
        <w:t>whereas</w:t>
      </w:r>
      <w:r w:rsidRPr="4FFDE926" w:rsidR="5400CE15">
        <w:rPr>
          <w:rFonts w:ascii="Arial" w:hAnsi="Arial" w:eastAsia="Calibri" w:cs="Arial"/>
          <w:b w:val="0"/>
          <w:bCs w:val="0"/>
          <w:i w:val="0"/>
          <w:iCs w:val="0"/>
          <w:color w:val="000000" w:themeColor="text1" w:themeTint="FF" w:themeShade="FF"/>
          <w:sz w:val="20"/>
          <w:szCs w:val="20"/>
        </w:rPr>
        <w:t xml:space="preserve"> categorical variables are target-e</w:t>
      </w:r>
      <w:r w:rsidRPr="4FFDE926" w:rsidR="0882F902">
        <w:rPr>
          <w:rFonts w:ascii="Arial" w:hAnsi="Arial" w:eastAsia="Calibri" w:cs="Arial"/>
          <w:b w:val="0"/>
          <w:bCs w:val="0"/>
          <w:i w:val="0"/>
          <w:iCs w:val="0"/>
          <w:color w:val="000000" w:themeColor="text1" w:themeTint="FF" w:themeShade="FF"/>
          <w:sz w:val="20"/>
          <w:szCs w:val="20"/>
        </w:rPr>
        <w:t>ncoded</w:t>
      </w:r>
      <w:r w:rsidRPr="4FFDE926" w:rsidR="0882F902">
        <w:rPr>
          <w:rFonts w:ascii="Arial" w:hAnsi="Arial" w:eastAsia="Calibri" w:cs="Arial"/>
          <w:b w:val="0"/>
          <w:bCs w:val="0"/>
          <w:i w:val="0"/>
          <w:iCs w:val="0"/>
          <w:color w:val="000000" w:themeColor="text1" w:themeTint="FF" w:themeShade="FF"/>
          <w:sz w:val="20"/>
          <w:szCs w:val="20"/>
          <w:vertAlign w:val="superscript"/>
        </w:rPr>
        <w:t>18,19</w:t>
      </w:r>
      <w:r w:rsidRPr="4FFDE926" w:rsidR="0882F902">
        <w:rPr>
          <w:rFonts w:ascii="Arial" w:hAnsi="Arial" w:eastAsia="Calibri" w:cs="Arial"/>
          <w:b w:val="0"/>
          <w:bCs w:val="0"/>
          <w:i w:val="0"/>
          <w:iCs w:val="0"/>
          <w:color w:val="000000" w:themeColor="text1" w:themeTint="FF" w:themeShade="FF"/>
          <w:sz w:val="20"/>
          <w:szCs w:val="20"/>
          <w:vertAlign w:val="baseline"/>
        </w:rPr>
        <w:t>. Target-encoding is the process</w:t>
      </w:r>
      <w:r w:rsidRPr="4FFDE926" w:rsidR="482F4C3F">
        <w:rPr>
          <w:rFonts w:ascii="Arial" w:hAnsi="Arial" w:eastAsia="Calibri" w:cs="Arial"/>
          <w:b w:val="0"/>
          <w:bCs w:val="0"/>
          <w:i w:val="0"/>
          <w:iCs w:val="0"/>
          <w:color w:val="000000" w:themeColor="text1" w:themeTint="FF" w:themeShade="FF"/>
          <w:sz w:val="20"/>
          <w:szCs w:val="20"/>
          <w:vertAlign w:val="baseline"/>
        </w:rPr>
        <w:t xml:space="preserve"> of replacing a feature’s categories with the </w:t>
      </w:r>
      <w:r w:rsidRPr="4FFDE926" w:rsidR="47A82FE4">
        <w:rPr>
          <w:rFonts w:ascii="Arial" w:hAnsi="Arial" w:eastAsia="Calibri" w:cs="Arial"/>
          <w:b w:val="0"/>
          <w:bCs w:val="0"/>
          <w:i w:val="0"/>
          <w:iCs w:val="0"/>
          <w:color w:val="000000" w:themeColor="text1" w:themeTint="FF" w:themeShade="FF"/>
          <w:sz w:val="20"/>
          <w:szCs w:val="20"/>
          <w:vertAlign w:val="baseline"/>
        </w:rPr>
        <w:t>mean of the target for the given category (i.e., a supervised approach to encoding)</w:t>
      </w:r>
      <w:r w:rsidRPr="4FFDE926" w:rsidR="7DC2598E">
        <w:rPr>
          <w:rFonts w:ascii="Arial" w:hAnsi="Arial" w:eastAsia="Calibri" w:cs="Arial"/>
          <w:b w:val="0"/>
          <w:bCs w:val="0"/>
          <w:i w:val="0"/>
          <w:iCs w:val="0"/>
          <w:color w:val="000000" w:themeColor="text1" w:themeTint="FF" w:themeShade="FF"/>
          <w:sz w:val="20"/>
          <w:szCs w:val="20"/>
          <w:vertAlign w:val="baseline"/>
        </w:rPr>
        <w:t>. Since there are multiple target classes, we target encode each feature for each target class.</w:t>
      </w:r>
      <w:r w:rsidRPr="4FFDE926" w:rsidR="7DC2598E">
        <w:rPr>
          <w:rFonts w:ascii="Arial" w:hAnsi="Arial" w:eastAsia="Calibri" w:cs="Arial"/>
          <w:b w:val="0"/>
          <w:bCs w:val="0"/>
          <w:i w:val="0"/>
          <w:iCs w:val="0"/>
          <w:color w:val="000000" w:themeColor="text1" w:themeTint="FF" w:themeShade="FF"/>
          <w:sz w:val="20"/>
          <w:szCs w:val="20"/>
          <w:vertAlign w:val="baseline"/>
        </w:rPr>
        <w:t xml:space="preserve"> </w:t>
      </w:r>
      <w:r w:rsidRPr="4FFDE926" w:rsidR="7DC2598E">
        <w:rPr>
          <w:rFonts w:ascii="Arial" w:hAnsi="Arial" w:eastAsia="Calibri" w:cs="Arial"/>
          <w:b w:val="0"/>
          <w:bCs w:val="0"/>
          <w:i w:val="0"/>
          <w:iCs w:val="0"/>
          <w:color w:val="000000" w:themeColor="text1" w:themeTint="FF" w:themeShade="FF"/>
          <w:sz w:val="20"/>
          <w:szCs w:val="20"/>
          <w:vertAlign w:val="baseline"/>
        </w:rPr>
        <w:t>Lower cardinality categorical variables are one-hot encoded using Sc</w:t>
      </w:r>
      <w:r w:rsidRPr="4FFDE926" w:rsidR="7DC2598E">
        <w:rPr>
          <w:rFonts w:ascii="Arial" w:hAnsi="Arial" w:eastAsia="Calibri" w:cs="Arial"/>
          <w:b w:val="0"/>
          <w:bCs w:val="0"/>
          <w:i w:val="0"/>
          <w:iCs w:val="0"/>
          <w:color w:val="000000" w:themeColor="text1" w:themeTint="FF" w:themeShade="FF"/>
          <w:sz w:val="20"/>
          <w:szCs w:val="20"/>
          <w:vertAlign w:val="baseline"/>
        </w:rPr>
        <w:t>ikit-Learn</w:t>
      </w:r>
      <w:r w:rsidRPr="4FFDE926" w:rsidR="7DC2598E">
        <w:rPr>
          <w:rFonts w:ascii="Arial" w:hAnsi="Arial" w:eastAsia="Calibri" w:cs="Arial"/>
          <w:b w:val="0"/>
          <w:bCs w:val="0"/>
          <w:i w:val="0"/>
          <w:iCs w:val="0"/>
          <w:color w:val="000000" w:themeColor="text1" w:themeTint="FF" w:themeShade="FF"/>
          <w:sz w:val="20"/>
          <w:szCs w:val="20"/>
          <w:vertAlign w:val="superscript"/>
        </w:rPr>
        <w:t>19</w:t>
      </w:r>
      <w:r w:rsidRPr="4FFDE926" w:rsidR="3C608C37">
        <w:rPr>
          <w:rFonts w:ascii="Arial" w:hAnsi="Arial" w:eastAsia="Calibri" w:cs="Arial"/>
          <w:b w:val="0"/>
          <w:bCs w:val="0"/>
          <w:i w:val="0"/>
          <w:iCs w:val="0"/>
          <w:color w:val="000000" w:themeColor="text1" w:themeTint="FF" w:themeShade="FF"/>
          <w:sz w:val="20"/>
          <w:szCs w:val="20"/>
          <w:vertAlign w:val="superscript"/>
        </w:rPr>
        <w:t xml:space="preserve"> </w:t>
      </w:r>
      <w:r w:rsidRPr="4FFDE926" w:rsidR="3C608C37">
        <w:rPr>
          <w:rFonts w:ascii="Arial" w:hAnsi="Arial" w:eastAsia="Calibri" w:cs="Arial"/>
          <w:b w:val="0"/>
          <w:bCs w:val="0"/>
          <w:i w:val="0"/>
          <w:iCs w:val="0"/>
          <w:color w:val="000000" w:themeColor="text1" w:themeTint="FF" w:themeShade="FF"/>
          <w:sz w:val="20"/>
          <w:szCs w:val="20"/>
          <w:vertAlign w:val="baseline"/>
        </w:rPr>
        <w:t>.</w:t>
      </w:r>
      <w:r w:rsidRPr="4FFDE926" w:rsidR="3C608C37">
        <w:rPr>
          <w:rFonts w:ascii="Arial" w:hAnsi="Arial" w:eastAsia="Calibri" w:cs="Arial"/>
          <w:b w:val="0"/>
          <w:bCs w:val="0"/>
          <w:i w:val="0"/>
          <w:iCs w:val="0"/>
          <w:color w:val="000000" w:themeColor="text1" w:themeTint="FF" w:themeShade="FF"/>
          <w:sz w:val="20"/>
          <w:szCs w:val="20"/>
          <w:vertAlign w:val="baseline"/>
        </w:rPr>
        <w:t xml:space="preserve"> Ordinal variables are assigned</w:t>
      </w:r>
      <w:r w:rsidRPr="4FFDE926" w:rsidR="163F3407">
        <w:rPr>
          <w:rFonts w:ascii="Arial" w:hAnsi="Arial" w:eastAsia="Calibri" w:cs="Arial"/>
          <w:b w:val="0"/>
          <w:bCs w:val="0"/>
          <w:i w:val="0"/>
          <w:iCs w:val="0"/>
          <w:color w:val="000000" w:themeColor="text1" w:themeTint="FF" w:themeShade="FF"/>
          <w:sz w:val="20"/>
          <w:szCs w:val="20"/>
          <w:vertAlign w:val="baseline"/>
        </w:rPr>
        <w:t xml:space="preserve"> to be</w:t>
      </w:r>
      <w:r w:rsidRPr="4FFDE926" w:rsidR="3C608C37">
        <w:rPr>
          <w:rFonts w:ascii="Arial" w:hAnsi="Arial" w:eastAsia="Calibri" w:cs="Arial"/>
          <w:b w:val="0"/>
          <w:bCs w:val="0"/>
          <w:i w:val="0"/>
          <w:iCs w:val="0"/>
          <w:color w:val="000000" w:themeColor="text1" w:themeTint="FF" w:themeShade="FF"/>
          <w:sz w:val="20"/>
          <w:szCs w:val="20"/>
          <w:vertAlign w:val="baseline"/>
        </w:rPr>
        <w:t xml:space="preserve"> integers</w:t>
      </w:r>
      <w:r w:rsidRPr="4FFDE926" w:rsidR="2E5E2959">
        <w:rPr>
          <w:rFonts w:ascii="Arial" w:hAnsi="Arial" w:eastAsia="Calibri" w:cs="Arial"/>
          <w:b w:val="0"/>
          <w:bCs w:val="0"/>
          <w:i w:val="0"/>
          <w:iCs w:val="0"/>
          <w:color w:val="000000" w:themeColor="text1" w:themeTint="FF" w:themeShade="FF"/>
          <w:sz w:val="20"/>
          <w:szCs w:val="20"/>
          <w:vertAlign w:val="baseline"/>
        </w:rPr>
        <w:t xml:space="preserve"> and used directly</w:t>
      </w:r>
      <w:r w:rsidRPr="4FFDE926" w:rsidR="3C608C37">
        <w:rPr>
          <w:rFonts w:ascii="Arial" w:hAnsi="Arial" w:eastAsia="Calibri" w:cs="Arial"/>
          <w:b w:val="0"/>
          <w:bCs w:val="0"/>
          <w:i w:val="0"/>
          <w:iCs w:val="0"/>
          <w:color w:val="000000" w:themeColor="text1" w:themeTint="FF" w:themeShade="FF"/>
          <w:sz w:val="20"/>
          <w:szCs w:val="20"/>
          <w:vertAlign w:val="baseline"/>
        </w:rPr>
        <w:t xml:space="preserve"> </w:t>
      </w:r>
      <w:r w:rsidRPr="4FFDE926" w:rsidR="4C1E5E60">
        <w:rPr>
          <w:rFonts w:ascii="Arial" w:hAnsi="Arial" w:eastAsia="Calibri" w:cs="Arial"/>
          <w:b w:val="0"/>
          <w:bCs w:val="0"/>
          <w:i w:val="0"/>
          <w:iCs w:val="0"/>
          <w:color w:val="000000" w:themeColor="text1" w:themeTint="FF" w:themeShade="FF"/>
          <w:sz w:val="20"/>
          <w:szCs w:val="20"/>
          <w:vertAlign w:val="baseline"/>
        </w:rPr>
        <w:t xml:space="preserve">where </w:t>
      </w:r>
      <w:r w:rsidRPr="4FFDE926" w:rsidR="4C1E5E60">
        <w:rPr>
          <w:rFonts w:ascii="Arial" w:hAnsi="Arial" w:eastAsia="Calibri" w:cs="Arial"/>
          <w:b w:val="0"/>
          <w:bCs w:val="0"/>
          <w:i w:val="0"/>
          <w:iCs w:val="0"/>
          <w:color w:val="000000" w:themeColor="text1" w:themeTint="FF" w:themeShade="FF"/>
          <w:sz w:val="20"/>
          <w:szCs w:val="20"/>
          <w:vertAlign w:val="baseline"/>
        </w:rPr>
        <w:t>appropriate</w:t>
      </w:r>
      <w:r w:rsidRPr="4FFDE926" w:rsidR="4C1E5E60">
        <w:rPr>
          <w:rFonts w:ascii="Arial" w:hAnsi="Arial" w:eastAsia="Calibri" w:cs="Arial"/>
          <w:b w:val="0"/>
          <w:bCs w:val="0"/>
          <w:i w:val="0"/>
          <w:iCs w:val="0"/>
          <w:color w:val="000000" w:themeColor="text1" w:themeTint="FF" w:themeShade="FF"/>
          <w:sz w:val="20"/>
          <w:szCs w:val="20"/>
          <w:vertAlign w:val="baseline"/>
        </w:rPr>
        <w:t xml:space="preserve">. </w:t>
      </w:r>
      <w:r w:rsidRPr="4FFDE926" w:rsidR="40FDD690">
        <w:rPr>
          <w:rFonts w:ascii="Arial" w:hAnsi="Arial" w:eastAsia="Calibri" w:cs="Arial"/>
          <w:b w:val="0"/>
          <w:bCs w:val="0"/>
          <w:i w:val="0"/>
          <w:iCs w:val="0"/>
          <w:color w:val="000000" w:themeColor="text1" w:themeTint="FF" w:themeShade="FF"/>
          <w:sz w:val="20"/>
          <w:szCs w:val="20"/>
          <w:vertAlign w:val="baseline"/>
        </w:rPr>
        <w:t>The encoding of each feature is described in full below.</w:t>
      </w:r>
    </w:p>
    <w:p w:rsidR="4FFDE926" w:rsidP="4FFDE926" w:rsidRDefault="4FFDE926" w14:paraId="7E2C3A44" w14:textId="407B974D">
      <w:pPr>
        <w:pStyle w:val="Normal"/>
        <w:spacing w:after="0" w:line="240" w:lineRule="auto"/>
        <w:rPr>
          <w:rFonts w:ascii="Arial" w:hAnsi="Arial" w:eastAsia="Calibri" w:cs="Arial"/>
          <w:b w:val="1"/>
          <w:bCs w:val="1"/>
          <w:color w:val="000000" w:themeColor="text1" w:themeTint="FF" w:themeShade="FF"/>
          <w:sz w:val="20"/>
          <w:szCs w:val="20"/>
        </w:rPr>
      </w:pPr>
    </w:p>
    <w:tbl>
      <w:tblPr>
        <w:tblStyle w:val="TableGrid"/>
        <w:tblpPr w:leftFromText="180" w:rightFromText="180" w:vertAnchor="text" w:horzAnchor="margin" w:tblpXSpec="center" w:tblpY="43"/>
        <w:tblW w:w="0" w:type="auto"/>
        <w:tblLook w:val="04A0" w:firstRow="1" w:lastRow="0" w:firstColumn="1" w:lastColumn="0" w:noHBand="0" w:noVBand="1"/>
      </w:tblPr>
      <w:tblGrid>
        <w:gridCol w:w="2262"/>
        <w:gridCol w:w="1899"/>
        <w:gridCol w:w="4855"/>
      </w:tblGrid>
      <w:tr w:rsidRPr="00C52145" w:rsidR="00AC6BE8" w:rsidTr="1FB73730" w14:paraId="5AFF67F4" w14:textId="77777777">
        <w:tc>
          <w:tcPr>
            <w:tcW w:w="2262" w:type="dxa"/>
            <w:tcMar/>
          </w:tcPr>
          <w:p w:rsidRPr="00C52145" w:rsidR="00AC6BE8" w:rsidP="00527DB5" w:rsidRDefault="00AC6BE8" w14:paraId="3878B833" w14:textId="77777777">
            <w:pPr>
              <w:rPr>
                <w:rFonts w:ascii="Arial" w:hAnsi="Arial" w:eastAsia="Calibri" w:cs="Arial"/>
                <w:b/>
                <w:bCs/>
                <w:color w:val="000000" w:themeColor="text1"/>
                <w:sz w:val="20"/>
                <w:szCs w:val="20"/>
              </w:rPr>
            </w:pPr>
            <w:r w:rsidRPr="00C52145">
              <w:rPr>
                <w:rFonts w:ascii="Arial" w:hAnsi="Arial" w:eastAsia="Calibri" w:cs="Arial"/>
                <w:b/>
                <w:bCs/>
                <w:color w:val="000000" w:themeColor="text1"/>
                <w:sz w:val="20"/>
                <w:szCs w:val="20"/>
              </w:rPr>
              <w:t>Name</w:t>
            </w:r>
          </w:p>
        </w:tc>
        <w:tc>
          <w:tcPr>
            <w:tcW w:w="1899" w:type="dxa"/>
            <w:tcMar/>
          </w:tcPr>
          <w:p w:rsidRPr="00C52145" w:rsidR="00AC6BE8" w:rsidP="00527DB5" w:rsidRDefault="00AC6BE8" w14:paraId="0A3F4A88" w14:textId="77777777">
            <w:pPr>
              <w:rPr>
                <w:rFonts w:ascii="Arial" w:hAnsi="Arial" w:eastAsia="Calibri" w:cs="Arial"/>
                <w:b/>
                <w:bCs/>
                <w:color w:val="000000" w:themeColor="text1"/>
                <w:sz w:val="20"/>
                <w:szCs w:val="20"/>
              </w:rPr>
            </w:pPr>
            <w:r w:rsidRPr="00C52145">
              <w:rPr>
                <w:rFonts w:ascii="Arial" w:hAnsi="Arial" w:eastAsia="Calibri" w:cs="Arial"/>
                <w:b/>
                <w:bCs/>
                <w:color w:val="000000" w:themeColor="text1"/>
                <w:sz w:val="20"/>
                <w:szCs w:val="20"/>
              </w:rPr>
              <w:t>Encoding</w:t>
            </w:r>
          </w:p>
        </w:tc>
        <w:tc>
          <w:tcPr>
            <w:tcW w:w="4855" w:type="dxa"/>
            <w:tcMar/>
          </w:tcPr>
          <w:p w:rsidRPr="00C52145" w:rsidR="00AC6BE8" w:rsidP="00527DB5" w:rsidRDefault="00AC6BE8" w14:paraId="391AFA41" w14:textId="77777777">
            <w:pPr>
              <w:rPr>
                <w:rFonts w:ascii="Arial" w:hAnsi="Arial" w:eastAsia="Calibri" w:cs="Arial"/>
                <w:b/>
                <w:bCs/>
                <w:color w:val="000000" w:themeColor="text1"/>
                <w:sz w:val="20"/>
                <w:szCs w:val="20"/>
              </w:rPr>
            </w:pPr>
            <w:r w:rsidRPr="00C52145">
              <w:rPr>
                <w:rFonts w:ascii="Arial" w:hAnsi="Arial" w:eastAsia="Calibri" w:cs="Arial"/>
                <w:b/>
                <w:bCs/>
                <w:color w:val="000000" w:themeColor="text1"/>
                <w:sz w:val="20"/>
                <w:szCs w:val="20"/>
              </w:rPr>
              <w:t>Additional Notes</w:t>
            </w:r>
          </w:p>
        </w:tc>
      </w:tr>
      <w:tr w:rsidRPr="00C52145" w:rsidR="00AC6BE8" w:rsidTr="1FB73730" w14:paraId="72363F05" w14:textId="77777777">
        <w:tc>
          <w:tcPr>
            <w:tcW w:w="2262" w:type="dxa"/>
            <w:tcMar/>
          </w:tcPr>
          <w:p w:rsidRPr="00C52145" w:rsidR="00AC6BE8" w:rsidP="00527DB5" w:rsidRDefault="00AC6BE8" w14:paraId="1343DB67"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Age at admission</w:t>
            </w:r>
          </w:p>
        </w:tc>
        <w:tc>
          <w:tcPr>
            <w:tcW w:w="1899" w:type="dxa"/>
            <w:tcMar/>
          </w:tcPr>
          <w:p w:rsidRPr="00C52145" w:rsidR="00AC6BE8" w:rsidP="00527DB5" w:rsidRDefault="00AC6BE8" w14:paraId="2D44B724"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N/A</w:t>
            </w:r>
          </w:p>
        </w:tc>
        <w:tc>
          <w:tcPr>
            <w:tcW w:w="4855" w:type="dxa"/>
            <w:tcMar/>
          </w:tcPr>
          <w:p w:rsidRPr="00C52145" w:rsidR="00AC6BE8" w:rsidP="00527DB5" w:rsidRDefault="00AC6BE8" w14:paraId="4032A6D0" w14:textId="77777777">
            <w:pPr>
              <w:rPr>
                <w:rFonts w:ascii="Arial" w:hAnsi="Arial" w:eastAsia="Calibri" w:cs="Arial"/>
                <w:color w:val="000000" w:themeColor="text1"/>
                <w:sz w:val="20"/>
                <w:szCs w:val="20"/>
              </w:rPr>
            </w:pPr>
          </w:p>
        </w:tc>
      </w:tr>
      <w:tr w:rsidRPr="00C52145" w:rsidR="00AC6BE8" w:rsidTr="1FB73730" w14:paraId="5444D634" w14:textId="77777777">
        <w:tc>
          <w:tcPr>
            <w:tcW w:w="2262" w:type="dxa"/>
            <w:tcMar/>
          </w:tcPr>
          <w:p w:rsidRPr="00C52145" w:rsidR="00AC6BE8" w:rsidP="00527DB5" w:rsidRDefault="00AC6BE8" w14:paraId="261C8B45"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Index of Multiple Deprivation Decile</w:t>
            </w:r>
          </w:p>
        </w:tc>
        <w:tc>
          <w:tcPr>
            <w:tcW w:w="1899" w:type="dxa"/>
            <w:tcMar/>
          </w:tcPr>
          <w:p w:rsidRPr="00C52145" w:rsidR="00AC6BE8" w:rsidP="00527DB5" w:rsidRDefault="00AC6BE8" w14:paraId="301791A3"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N/A</w:t>
            </w:r>
          </w:p>
        </w:tc>
        <w:tc>
          <w:tcPr>
            <w:tcW w:w="4855" w:type="dxa"/>
            <w:tcMar/>
          </w:tcPr>
          <w:p w:rsidRPr="00C52145" w:rsidR="00AC6BE8" w:rsidP="00527DB5" w:rsidRDefault="00AC6BE8" w14:paraId="133ADD34"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 xml:space="preserve">Index highlighting estimation of deprivation. </w:t>
            </w:r>
            <w:hyperlink w:history="1" r:id="rId4">
              <w:r w:rsidRPr="00C52145">
                <w:rPr>
                  <w:rStyle w:val="Hyperlink"/>
                  <w:rFonts w:ascii="Arial" w:hAnsi="Arial" w:eastAsia="Calibri" w:cs="Arial"/>
                  <w:sz w:val="20"/>
                  <w:szCs w:val="20"/>
                </w:rPr>
                <w:t>https://www.gov.uk/government/statistics/english-indices-of-deprivation-2019</w:t>
              </w:r>
            </w:hyperlink>
            <w:r w:rsidRPr="00C52145">
              <w:rPr>
                <w:rFonts w:ascii="Arial" w:hAnsi="Arial" w:eastAsia="Calibri" w:cs="Arial"/>
                <w:color w:val="000000" w:themeColor="text1"/>
                <w:sz w:val="20"/>
                <w:szCs w:val="20"/>
              </w:rPr>
              <w:t xml:space="preserve"> </w:t>
            </w:r>
          </w:p>
        </w:tc>
      </w:tr>
      <w:tr w:rsidRPr="00C52145" w:rsidR="00AC6BE8" w:rsidTr="1FB73730" w14:paraId="23DB5760" w14:textId="77777777">
        <w:tc>
          <w:tcPr>
            <w:tcW w:w="2262" w:type="dxa"/>
            <w:tcMar/>
          </w:tcPr>
          <w:p w:rsidRPr="00C52145" w:rsidR="00AC6BE8" w:rsidP="00527DB5" w:rsidRDefault="00AC6BE8" w14:paraId="6FDA5936"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Days since last spell</w:t>
            </w:r>
          </w:p>
        </w:tc>
        <w:tc>
          <w:tcPr>
            <w:tcW w:w="1899" w:type="dxa"/>
            <w:tcMar/>
          </w:tcPr>
          <w:p w:rsidRPr="00C52145" w:rsidR="00AC6BE8" w:rsidP="00527DB5" w:rsidRDefault="00AC6BE8" w14:paraId="269D6208"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N/A</w:t>
            </w:r>
          </w:p>
        </w:tc>
        <w:tc>
          <w:tcPr>
            <w:tcW w:w="4855" w:type="dxa"/>
            <w:tcMar/>
          </w:tcPr>
          <w:p w:rsidRPr="00C52145" w:rsidR="00AC6BE8" w:rsidP="00527DB5" w:rsidRDefault="00AC6BE8" w14:paraId="7EC698A8" w14:textId="77777777">
            <w:pPr>
              <w:rPr>
                <w:rFonts w:ascii="Arial" w:hAnsi="Arial" w:eastAsia="Calibri" w:cs="Arial"/>
                <w:color w:val="000000" w:themeColor="text1"/>
                <w:sz w:val="20"/>
                <w:szCs w:val="20"/>
              </w:rPr>
            </w:pPr>
          </w:p>
        </w:tc>
      </w:tr>
      <w:tr w:rsidRPr="00C52145" w:rsidR="00AC6BE8" w:rsidTr="1FB73730" w14:paraId="4E0A15E6" w14:textId="77777777">
        <w:tc>
          <w:tcPr>
            <w:tcW w:w="2262" w:type="dxa"/>
            <w:tcMar/>
          </w:tcPr>
          <w:p w:rsidRPr="00C52145" w:rsidR="00AC6BE8" w:rsidP="00527DB5" w:rsidRDefault="00AC6BE8" w14:paraId="30B3B88C"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Total length of stay (4 years)</w:t>
            </w:r>
          </w:p>
        </w:tc>
        <w:tc>
          <w:tcPr>
            <w:tcW w:w="1899" w:type="dxa"/>
            <w:tcMar/>
          </w:tcPr>
          <w:p w:rsidRPr="00C52145" w:rsidR="00AC6BE8" w:rsidP="00527DB5" w:rsidRDefault="00AC6BE8" w14:paraId="79BB8EF3" w14:textId="77777777">
            <w:pPr>
              <w:rPr>
                <w:rFonts w:ascii="Arial" w:hAnsi="Arial" w:eastAsia="Calibri" w:cs="Arial"/>
                <w:color w:val="000000" w:themeColor="text1"/>
                <w:sz w:val="20"/>
                <w:szCs w:val="20"/>
              </w:rPr>
            </w:pPr>
          </w:p>
        </w:tc>
        <w:tc>
          <w:tcPr>
            <w:tcW w:w="4855" w:type="dxa"/>
            <w:tcMar/>
          </w:tcPr>
          <w:p w:rsidRPr="00C52145" w:rsidR="00AC6BE8" w:rsidP="00527DB5" w:rsidRDefault="00AC6BE8" w14:paraId="2B67F40B" w14:textId="7039E59F">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Sum of time spent in hospital over the prior 4 years</w:t>
            </w:r>
            <w:r w:rsidR="00E463A4">
              <w:rPr>
                <w:rFonts w:ascii="Arial" w:hAnsi="Arial" w:eastAsia="Calibri" w:cs="Arial"/>
                <w:color w:val="000000" w:themeColor="text1"/>
                <w:sz w:val="20"/>
                <w:szCs w:val="20"/>
              </w:rPr>
              <w:t>. In Figure 7 this is grouped into ‘</w:t>
            </w:r>
          </w:p>
        </w:tc>
      </w:tr>
      <w:tr w:rsidRPr="00C52145" w:rsidR="00AC6BE8" w:rsidTr="1FB73730" w14:paraId="0FED0FA6" w14:textId="77777777">
        <w:tc>
          <w:tcPr>
            <w:tcW w:w="2262" w:type="dxa"/>
            <w:tcMar/>
          </w:tcPr>
          <w:p w:rsidRPr="00C52145" w:rsidR="00AC6BE8" w:rsidP="00527DB5" w:rsidRDefault="00AC6BE8" w14:paraId="73F6F277"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Total number of spells (4 years)</w:t>
            </w:r>
          </w:p>
        </w:tc>
        <w:tc>
          <w:tcPr>
            <w:tcW w:w="1899" w:type="dxa"/>
            <w:tcMar/>
          </w:tcPr>
          <w:p w:rsidRPr="00C52145" w:rsidR="00AC6BE8" w:rsidP="00527DB5" w:rsidRDefault="00AC6BE8" w14:paraId="63C0BE3B"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N/A</w:t>
            </w:r>
          </w:p>
        </w:tc>
        <w:tc>
          <w:tcPr>
            <w:tcW w:w="4855" w:type="dxa"/>
            <w:tcMar/>
          </w:tcPr>
          <w:p w:rsidRPr="00C52145" w:rsidR="00AC6BE8" w:rsidP="00527DB5" w:rsidRDefault="00AC6BE8" w14:paraId="744ED923"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Total number of spells over the prior 4 years</w:t>
            </w:r>
          </w:p>
        </w:tc>
      </w:tr>
      <w:tr w:rsidRPr="00C52145" w:rsidR="00AC6BE8" w:rsidTr="1FB73730" w14:paraId="0B8DCAEE" w14:textId="77777777">
        <w:tc>
          <w:tcPr>
            <w:tcW w:w="2262" w:type="dxa"/>
            <w:tcMar/>
          </w:tcPr>
          <w:p w:rsidRPr="00C52145" w:rsidR="00AC6BE8" w:rsidP="00527DB5" w:rsidRDefault="00AC6BE8" w14:paraId="147E1791"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Days since last discharge pathway</w:t>
            </w:r>
          </w:p>
        </w:tc>
        <w:tc>
          <w:tcPr>
            <w:tcW w:w="1899" w:type="dxa"/>
            <w:tcMar/>
          </w:tcPr>
          <w:p w:rsidRPr="00C52145" w:rsidR="00AC6BE8" w:rsidP="00527DB5" w:rsidRDefault="00AC6BE8" w14:paraId="445ADB5C"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N/A</w:t>
            </w:r>
          </w:p>
        </w:tc>
        <w:tc>
          <w:tcPr>
            <w:tcW w:w="4855" w:type="dxa"/>
            <w:tcMar/>
          </w:tcPr>
          <w:p w:rsidRPr="00C52145" w:rsidR="00AC6BE8" w:rsidP="00527DB5" w:rsidRDefault="00AC6BE8" w14:paraId="6C9E2F69" w14:textId="77777777">
            <w:pPr>
              <w:rPr>
                <w:rFonts w:ascii="Arial" w:hAnsi="Arial" w:eastAsia="Calibri" w:cs="Arial"/>
                <w:color w:val="000000" w:themeColor="text1"/>
                <w:sz w:val="20"/>
                <w:szCs w:val="20"/>
              </w:rPr>
            </w:pPr>
          </w:p>
        </w:tc>
      </w:tr>
      <w:tr w:rsidRPr="00C52145" w:rsidR="00AC6BE8" w:rsidTr="1FB73730" w14:paraId="0615C297" w14:textId="77777777">
        <w:tc>
          <w:tcPr>
            <w:tcW w:w="2262" w:type="dxa"/>
            <w:tcMar/>
          </w:tcPr>
          <w:p w:rsidRPr="00C52145" w:rsidR="00AC6BE8" w:rsidP="00527DB5" w:rsidRDefault="00AC6BE8" w14:paraId="59AEC2A2"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Last discharge pathway</w:t>
            </w:r>
          </w:p>
        </w:tc>
        <w:tc>
          <w:tcPr>
            <w:tcW w:w="1899" w:type="dxa"/>
            <w:tcMar/>
          </w:tcPr>
          <w:p w:rsidRPr="00C52145" w:rsidR="00AC6BE8" w:rsidP="00527DB5" w:rsidRDefault="00AC6BE8" w14:paraId="206DA735"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N/A</w:t>
            </w:r>
          </w:p>
        </w:tc>
        <w:tc>
          <w:tcPr>
            <w:tcW w:w="4855" w:type="dxa"/>
            <w:tcMar/>
          </w:tcPr>
          <w:p w:rsidRPr="00C52145" w:rsidR="00AC6BE8" w:rsidP="00527DB5" w:rsidRDefault="00AC6BE8" w14:paraId="29B45460"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 xml:space="preserve">Discharge pathway of most recent prior spell (max 6 months prior). 0-3 as defined by D2A. </w:t>
            </w:r>
          </w:p>
        </w:tc>
      </w:tr>
      <w:tr w:rsidRPr="00C52145" w:rsidR="00AC6BE8" w:rsidTr="1FB73730" w14:paraId="18B54D54" w14:textId="77777777">
        <w:tc>
          <w:tcPr>
            <w:tcW w:w="2262" w:type="dxa"/>
            <w:tcMar/>
          </w:tcPr>
          <w:p w:rsidRPr="00C52145" w:rsidR="00AC6BE8" w:rsidP="00527DB5" w:rsidRDefault="00AC6BE8" w14:paraId="0BD6DAEC"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Maximum discharge pathway (6 months)</w:t>
            </w:r>
          </w:p>
        </w:tc>
        <w:tc>
          <w:tcPr>
            <w:tcW w:w="1899" w:type="dxa"/>
            <w:tcMar/>
          </w:tcPr>
          <w:p w:rsidRPr="00C52145" w:rsidR="00AC6BE8" w:rsidP="00527DB5" w:rsidRDefault="00AC6BE8" w14:paraId="4C994ED3"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N/A</w:t>
            </w:r>
          </w:p>
        </w:tc>
        <w:tc>
          <w:tcPr>
            <w:tcW w:w="4855" w:type="dxa"/>
            <w:tcMar/>
          </w:tcPr>
          <w:p w:rsidRPr="00C52145" w:rsidR="00AC6BE8" w:rsidP="00527DB5" w:rsidRDefault="00AC6BE8" w14:paraId="3071CC3F"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Highest acuity discharge pathway in last 6 months</w:t>
            </w:r>
          </w:p>
        </w:tc>
      </w:tr>
      <w:tr w:rsidRPr="00C52145" w:rsidR="00AC6BE8" w:rsidTr="1FB73730" w14:paraId="260A9034" w14:textId="77777777">
        <w:tc>
          <w:tcPr>
            <w:tcW w:w="2262" w:type="dxa"/>
            <w:tcMar/>
          </w:tcPr>
          <w:p w:rsidRPr="00C52145" w:rsidR="00AC6BE8" w:rsidP="00527DB5" w:rsidRDefault="00AC6BE8" w14:paraId="7E644B15"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Minimum discharge pathway (6 months)</w:t>
            </w:r>
          </w:p>
        </w:tc>
        <w:tc>
          <w:tcPr>
            <w:tcW w:w="1899" w:type="dxa"/>
            <w:tcMar/>
          </w:tcPr>
          <w:p w:rsidRPr="00C52145" w:rsidR="00AC6BE8" w:rsidP="00527DB5" w:rsidRDefault="00AC6BE8" w14:paraId="68A14DFA"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N/A</w:t>
            </w:r>
          </w:p>
        </w:tc>
        <w:tc>
          <w:tcPr>
            <w:tcW w:w="4855" w:type="dxa"/>
            <w:tcMar/>
          </w:tcPr>
          <w:p w:rsidRPr="00C52145" w:rsidR="00AC6BE8" w:rsidP="00527DB5" w:rsidRDefault="00AC6BE8" w14:paraId="0F3958A6"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Lowest acuity discharge pathway in last 6 months</w:t>
            </w:r>
          </w:p>
        </w:tc>
      </w:tr>
      <w:tr w:rsidRPr="00C52145" w:rsidR="00AC6BE8" w:rsidTr="1FB73730" w14:paraId="113F87C1" w14:textId="77777777">
        <w:tc>
          <w:tcPr>
            <w:tcW w:w="2262" w:type="dxa"/>
            <w:tcMar/>
          </w:tcPr>
          <w:p w:rsidRPr="00C52145" w:rsidR="00AC6BE8" w:rsidP="00527DB5" w:rsidRDefault="00AC6BE8" w14:paraId="7E4AE1B2"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Total number of discharge pathways (6 months)</w:t>
            </w:r>
          </w:p>
        </w:tc>
        <w:tc>
          <w:tcPr>
            <w:tcW w:w="1899" w:type="dxa"/>
            <w:tcMar/>
          </w:tcPr>
          <w:p w:rsidRPr="00C52145" w:rsidR="00AC6BE8" w:rsidP="00527DB5" w:rsidRDefault="00AC6BE8" w14:paraId="19C15C75"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N/A</w:t>
            </w:r>
          </w:p>
        </w:tc>
        <w:tc>
          <w:tcPr>
            <w:tcW w:w="4855" w:type="dxa"/>
            <w:tcMar/>
          </w:tcPr>
          <w:p w:rsidRPr="00C52145" w:rsidR="00AC6BE8" w:rsidP="00527DB5" w:rsidRDefault="00AC6BE8" w14:paraId="2A04B279" w14:textId="77777777">
            <w:pPr>
              <w:rPr>
                <w:rFonts w:ascii="Arial" w:hAnsi="Arial" w:eastAsia="Calibri" w:cs="Arial"/>
                <w:color w:val="000000" w:themeColor="text1"/>
                <w:sz w:val="20"/>
                <w:szCs w:val="20"/>
              </w:rPr>
            </w:pPr>
          </w:p>
        </w:tc>
      </w:tr>
      <w:tr w:rsidRPr="00C52145" w:rsidR="00AC6BE8" w:rsidTr="1FB73730" w14:paraId="2E8E6347" w14:textId="77777777">
        <w:tc>
          <w:tcPr>
            <w:tcW w:w="2262" w:type="dxa"/>
            <w:tcMar/>
          </w:tcPr>
          <w:p w:rsidRPr="00C52145" w:rsidR="00AC6BE8" w:rsidP="00527DB5" w:rsidRDefault="00AC6BE8" w14:paraId="4D47A8A4"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Admission Type</w:t>
            </w:r>
          </w:p>
        </w:tc>
        <w:tc>
          <w:tcPr>
            <w:tcW w:w="1899" w:type="dxa"/>
            <w:tcMar/>
          </w:tcPr>
          <w:p w:rsidRPr="00C52145" w:rsidR="00AC6BE8" w:rsidP="00527DB5" w:rsidRDefault="00AC6BE8" w14:paraId="511D77E4"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 xml:space="preserve">One-Hot </w:t>
            </w:r>
          </w:p>
        </w:tc>
        <w:tc>
          <w:tcPr>
            <w:tcW w:w="4855" w:type="dxa"/>
            <w:tcMar/>
          </w:tcPr>
          <w:p w:rsidRPr="00C52145" w:rsidR="00AC6BE8" w:rsidP="00527DB5" w:rsidRDefault="00AC6BE8" w14:paraId="728D3746"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Whether admission was elective or non-elective</w:t>
            </w:r>
          </w:p>
        </w:tc>
      </w:tr>
      <w:tr w:rsidRPr="00C52145" w:rsidR="00AC6BE8" w:rsidTr="1FB73730" w14:paraId="2FF6D546" w14:textId="77777777">
        <w:tc>
          <w:tcPr>
            <w:tcW w:w="2262" w:type="dxa"/>
            <w:tcMar/>
          </w:tcPr>
          <w:p w:rsidRPr="00C52145" w:rsidR="00AC6BE8" w:rsidP="00527DB5" w:rsidRDefault="00AC6BE8" w14:paraId="27837588"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Sex</w:t>
            </w:r>
          </w:p>
        </w:tc>
        <w:tc>
          <w:tcPr>
            <w:tcW w:w="1899" w:type="dxa"/>
            <w:tcMar/>
          </w:tcPr>
          <w:p w:rsidRPr="00C52145" w:rsidR="00AC6BE8" w:rsidP="00527DB5" w:rsidRDefault="00AC6BE8" w14:paraId="7940BAF8"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One-Hot</w:t>
            </w:r>
          </w:p>
        </w:tc>
        <w:tc>
          <w:tcPr>
            <w:tcW w:w="4855" w:type="dxa"/>
            <w:tcMar/>
          </w:tcPr>
          <w:p w:rsidRPr="00C52145" w:rsidR="00AC6BE8" w:rsidP="00527DB5" w:rsidRDefault="00AC6BE8" w14:paraId="4351B0C2"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Male/Female/Unknown</w:t>
            </w:r>
          </w:p>
        </w:tc>
      </w:tr>
      <w:tr w:rsidRPr="00C52145" w:rsidR="00AC6BE8" w:rsidTr="1FB73730" w14:paraId="7713AF23" w14:textId="77777777">
        <w:tc>
          <w:tcPr>
            <w:tcW w:w="2262" w:type="dxa"/>
            <w:tcMar/>
          </w:tcPr>
          <w:p w:rsidRPr="00C52145" w:rsidR="00AC6BE8" w:rsidP="00527DB5" w:rsidRDefault="00AC6BE8" w14:paraId="2B60AD41"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Emergency Department Acuity</w:t>
            </w:r>
          </w:p>
        </w:tc>
        <w:tc>
          <w:tcPr>
            <w:tcW w:w="1899" w:type="dxa"/>
            <w:tcMar/>
          </w:tcPr>
          <w:p w:rsidRPr="00C52145" w:rsidR="00AC6BE8" w:rsidP="00527DB5" w:rsidRDefault="00AC6BE8" w14:paraId="36E373C0"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Ordinal</w:t>
            </w:r>
          </w:p>
        </w:tc>
        <w:tc>
          <w:tcPr>
            <w:tcW w:w="4855" w:type="dxa"/>
            <w:tcMar/>
          </w:tcPr>
          <w:p w:rsidRPr="00C52145" w:rsidR="00AC6BE8" w:rsidP="00527DB5" w:rsidRDefault="00AC6BE8" w14:paraId="4EDC5E1F"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Emergency Severity Index (assessed acuity of patient on emergency department attendance)</w:t>
            </w:r>
          </w:p>
        </w:tc>
      </w:tr>
      <w:tr w:rsidRPr="00C52145" w:rsidR="00AC6BE8" w:rsidTr="1FB73730" w14:paraId="573C4A5E" w14:textId="77777777">
        <w:tc>
          <w:tcPr>
            <w:tcW w:w="2262" w:type="dxa"/>
            <w:tcMar/>
          </w:tcPr>
          <w:p w:rsidRPr="00C52145" w:rsidR="00AC6BE8" w:rsidP="00527DB5" w:rsidRDefault="00AC6BE8" w14:paraId="4932D6CA"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Admission Day-of-the-week</w:t>
            </w:r>
          </w:p>
        </w:tc>
        <w:tc>
          <w:tcPr>
            <w:tcW w:w="1899" w:type="dxa"/>
            <w:tcMar/>
          </w:tcPr>
          <w:p w:rsidRPr="00C52145" w:rsidR="00AC6BE8" w:rsidP="00527DB5" w:rsidRDefault="00AC6BE8" w14:paraId="3E66CDA3"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Ordinal</w:t>
            </w:r>
          </w:p>
        </w:tc>
        <w:tc>
          <w:tcPr>
            <w:tcW w:w="4855" w:type="dxa"/>
            <w:tcMar/>
          </w:tcPr>
          <w:p w:rsidRPr="00C52145" w:rsidR="00AC6BE8" w:rsidP="00527DB5" w:rsidRDefault="00AC6BE8" w14:paraId="08EBC048"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 xml:space="preserve">i.e., Monday-Sunday encoded </w:t>
            </w:r>
          </w:p>
        </w:tc>
      </w:tr>
      <w:tr w:rsidRPr="00C52145" w:rsidR="00AC6BE8" w:rsidTr="1FB73730" w14:paraId="315DD2B0" w14:textId="77777777">
        <w:tc>
          <w:tcPr>
            <w:tcW w:w="2262" w:type="dxa"/>
            <w:tcMar/>
          </w:tcPr>
          <w:p w:rsidRPr="00C52145" w:rsidR="00AC6BE8" w:rsidP="00527DB5" w:rsidRDefault="00AC6BE8" w14:paraId="3EFDEB8A"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Admission Day</w:t>
            </w:r>
          </w:p>
        </w:tc>
        <w:tc>
          <w:tcPr>
            <w:tcW w:w="1899" w:type="dxa"/>
            <w:tcMar/>
          </w:tcPr>
          <w:p w:rsidRPr="00C52145" w:rsidR="00AC6BE8" w:rsidP="00527DB5" w:rsidRDefault="00AC6BE8" w14:paraId="2E41DC7C"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Ordinal</w:t>
            </w:r>
          </w:p>
        </w:tc>
        <w:tc>
          <w:tcPr>
            <w:tcW w:w="4855" w:type="dxa"/>
            <w:tcMar/>
          </w:tcPr>
          <w:p w:rsidRPr="00C52145" w:rsidR="00AC6BE8" w:rsidP="00527DB5" w:rsidRDefault="00AC6BE8" w14:paraId="2FB4423C"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i.e., day of month</w:t>
            </w:r>
          </w:p>
        </w:tc>
      </w:tr>
      <w:tr w:rsidRPr="00C52145" w:rsidR="00AC6BE8" w:rsidTr="1FB73730" w14:paraId="57F3B0E2" w14:textId="77777777">
        <w:tc>
          <w:tcPr>
            <w:tcW w:w="2262" w:type="dxa"/>
            <w:tcMar/>
          </w:tcPr>
          <w:p w:rsidRPr="00C52145" w:rsidR="00AC6BE8" w:rsidP="00527DB5" w:rsidRDefault="00AC6BE8" w14:paraId="77686A13"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Admission Month</w:t>
            </w:r>
          </w:p>
        </w:tc>
        <w:tc>
          <w:tcPr>
            <w:tcW w:w="1899" w:type="dxa"/>
            <w:tcMar/>
          </w:tcPr>
          <w:p w:rsidRPr="00C52145" w:rsidR="00AC6BE8" w:rsidP="00527DB5" w:rsidRDefault="00AC6BE8" w14:paraId="7BBA4752"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Ordinal</w:t>
            </w:r>
          </w:p>
        </w:tc>
        <w:tc>
          <w:tcPr>
            <w:tcW w:w="4855" w:type="dxa"/>
            <w:tcMar/>
          </w:tcPr>
          <w:p w:rsidRPr="00C52145" w:rsidR="00AC6BE8" w:rsidP="00527DB5" w:rsidRDefault="00AC6BE8" w14:paraId="344F0EB3" w14:textId="77777777">
            <w:pPr>
              <w:rPr>
                <w:rFonts w:ascii="Arial" w:hAnsi="Arial" w:eastAsia="Calibri" w:cs="Arial"/>
                <w:color w:val="000000" w:themeColor="text1"/>
                <w:sz w:val="20"/>
                <w:szCs w:val="20"/>
              </w:rPr>
            </w:pPr>
          </w:p>
        </w:tc>
      </w:tr>
      <w:tr w:rsidRPr="00C52145" w:rsidR="00AC6BE8" w:rsidTr="1FB73730" w14:paraId="65B3CF61" w14:textId="77777777">
        <w:tc>
          <w:tcPr>
            <w:tcW w:w="2262" w:type="dxa"/>
            <w:tcMar/>
          </w:tcPr>
          <w:p w:rsidRPr="00C52145" w:rsidR="00AC6BE8" w:rsidP="00527DB5" w:rsidRDefault="00AC6BE8" w14:paraId="3AD5AF5C"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Admission Year</w:t>
            </w:r>
          </w:p>
        </w:tc>
        <w:tc>
          <w:tcPr>
            <w:tcW w:w="1899" w:type="dxa"/>
            <w:tcMar/>
          </w:tcPr>
          <w:p w:rsidRPr="00C52145" w:rsidR="00AC6BE8" w:rsidP="00527DB5" w:rsidRDefault="00AC6BE8" w14:paraId="32B52D6C"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Ordinal</w:t>
            </w:r>
          </w:p>
        </w:tc>
        <w:tc>
          <w:tcPr>
            <w:tcW w:w="4855" w:type="dxa"/>
            <w:tcMar/>
          </w:tcPr>
          <w:p w:rsidRPr="00C52145" w:rsidR="00AC6BE8" w:rsidP="00527DB5" w:rsidRDefault="00AC6BE8" w14:paraId="6B9C4945" w14:textId="77777777">
            <w:pPr>
              <w:rPr>
                <w:rFonts w:ascii="Arial" w:hAnsi="Arial" w:eastAsia="Calibri" w:cs="Arial"/>
                <w:color w:val="000000" w:themeColor="text1"/>
                <w:sz w:val="20"/>
                <w:szCs w:val="20"/>
              </w:rPr>
            </w:pPr>
          </w:p>
        </w:tc>
      </w:tr>
      <w:tr w:rsidRPr="00C52145" w:rsidR="00AC6BE8" w:rsidTr="1FB73730" w14:paraId="382682C4" w14:textId="77777777">
        <w:tc>
          <w:tcPr>
            <w:tcW w:w="2262" w:type="dxa"/>
            <w:tcMar/>
          </w:tcPr>
          <w:p w:rsidRPr="00C52145" w:rsidR="00AC6BE8" w:rsidP="00527DB5" w:rsidRDefault="00AC6BE8" w14:paraId="3E27AB0F"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Admission Method</w:t>
            </w:r>
          </w:p>
        </w:tc>
        <w:tc>
          <w:tcPr>
            <w:tcW w:w="1899" w:type="dxa"/>
            <w:tcMar/>
          </w:tcPr>
          <w:p w:rsidRPr="00C52145" w:rsidR="00AC6BE8" w:rsidP="00527DB5" w:rsidRDefault="00AC6BE8" w14:paraId="12DA2ABB"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Target</w:t>
            </w:r>
          </w:p>
        </w:tc>
        <w:tc>
          <w:tcPr>
            <w:tcW w:w="4855" w:type="dxa"/>
            <w:tcMar/>
          </w:tcPr>
          <w:p w:rsidRPr="00C52145" w:rsidR="00AC6BE8" w:rsidP="00527DB5" w:rsidRDefault="00AC6BE8" w14:paraId="56A5F7F6"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 xml:space="preserve">Admission route (e.g., via emergency department, GP referral, elective procedure, patient transfer). </w:t>
            </w:r>
          </w:p>
        </w:tc>
      </w:tr>
      <w:tr w:rsidRPr="00C52145" w:rsidR="00AC6BE8" w:rsidTr="1FB73730" w14:paraId="01A4CB85" w14:textId="77777777">
        <w:tc>
          <w:tcPr>
            <w:tcW w:w="2262" w:type="dxa"/>
            <w:tcMar/>
          </w:tcPr>
          <w:p w:rsidRPr="00C52145" w:rsidR="00AC6BE8" w:rsidP="00527DB5" w:rsidRDefault="00AC6BE8" w14:paraId="38737058"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Attendance Source</w:t>
            </w:r>
          </w:p>
        </w:tc>
        <w:tc>
          <w:tcPr>
            <w:tcW w:w="1899" w:type="dxa"/>
            <w:tcMar/>
          </w:tcPr>
          <w:p w:rsidRPr="00C52145" w:rsidR="00AC6BE8" w:rsidP="00527DB5" w:rsidRDefault="00AC6BE8" w14:paraId="3FA9C353"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Target</w:t>
            </w:r>
          </w:p>
        </w:tc>
        <w:tc>
          <w:tcPr>
            <w:tcW w:w="4855" w:type="dxa"/>
            <w:tcMar/>
          </w:tcPr>
          <w:p w:rsidRPr="00C52145" w:rsidR="00AC6BE8" w:rsidP="00527DB5" w:rsidRDefault="00AC6BE8" w14:paraId="6EB71B72"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Who referred patient (e.g., self/family, medical professional, carer). Only provided for those admitted via ED.</w:t>
            </w:r>
          </w:p>
        </w:tc>
      </w:tr>
      <w:tr w:rsidRPr="00C52145" w:rsidR="00AC6BE8" w:rsidTr="1FB73730" w14:paraId="57EDED43" w14:textId="77777777">
        <w:tc>
          <w:tcPr>
            <w:tcW w:w="2262" w:type="dxa"/>
            <w:tcMar/>
          </w:tcPr>
          <w:p w:rsidRPr="00C52145" w:rsidR="00AC6BE8" w:rsidP="00527DB5" w:rsidRDefault="00AC6BE8" w14:paraId="2A205E65"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Accommodation Status</w:t>
            </w:r>
          </w:p>
        </w:tc>
        <w:tc>
          <w:tcPr>
            <w:tcW w:w="1899" w:type="dxa"/>
            <w:tcMar/>
          </w:tcPr>
          <w:p w:rsidRPr="00C52145" w:rsidR="00AC6BE8" w:rsidP="00527DB5" w:rsidRDefault="00AC6BE8" w14:paraId="36D2218F"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Target</w:t>
            </w:r>
          </w:p>
        </w:tc>
        <w:tc>
          <w:tcPr>
            <w:tcW w:w="4855" w:type="dxa"/>
            <w:tcMar/>
          </w:tcPr>
          <w:p w:rsidRPr="00C52145" w:rsidR="00AC6BE8" w:rsidP="00527DB5" w:rsidRDefault="00AC6BE8" w14:paraId="365E3A43"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e.g., home, residential care institution, homeless. Only provided for those admitted via ED.</w:t>
            </w:r>
          </w:p>
        </w:tc>
      </w:tr>
      <w:tr w:rsidRPr="00C52145" w:rsidR="00AC6BE8" w:rsidTr="1FB73730" w14:paraId="3FA2AF58" w14:textId="77777777">
        <w:tc>
          <w:tcPr>
            <w:tcW w:w="2262" w:type="dxa"/>
            <w:tcMar/>
          </w:tcPr>
          <w:p w:rsidRPr="00C52145" w:rsidR="00AC6BE8" w:rsidP="00527DB5" w:rsidRDefault="00AC6BE8" w14:paraId="5DB403C5"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Arrival Mode</w:t>
            </w:r>
          </w:p>
        </w:tc>
        <w:tc>
          <w:tcPr>
            <w:tcW w:w="1899" w:type="dxa"/>
            <w:tcMar/>
          </w:tcPr>
          <w:p w:rsidRPr="00C52145" w:rsidR="00AC6BE8" w:rsidP="00527DB5" w:rsidRDefault="00AC6BE8" w14:paraId="5E019400"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Target</w:t>
            </w:r>
          </w:p>
        </w:tc>
        <w:tc>
          <w:tcPr>
            <w:tcW w:w="4855" w:type="dxa"/>
            <w:tcMar/>
          </w:tcPr>
          <w:p w:rsidRPr="00C52145" w:rsidR="00AC6BE8" w:rsidP="00527DB5" w:rsidRDefault="00AC6BE8" w14:paraId="7D97B25E"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How patient arrived (e.g., ambulance, arranged own transport). Only provided for those admitted via ED.</w:t>
            </w:r>
          </w:p>
        </w:tc>
      </w:tr>
      <w:tr w:rsidRPr="00C52145" w:rsidR="00AC6BE8" w:rsidTr="1FB73730" w14:paraId="5738957C" w14:textId="77777777">
        <w:tc>
          <w:tcPr>
            <w:tcW w:w="2262" w:type="dxa"/>
            <w:tcMar/>
          </w:tcPr>
          <w:p w:rsidRPr="00C52145" w:rsidR="00AC6BE8" w:rsidP="00527DB5" w:rsidRDefault="00AC6BE8" w14:paraId="5F2D8BB9"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 xml:space="preserve">Chief complaint </w:t>
            </w:r>
          </w:p>
        </w:tc>
        <w:tc>
          <w:tcPr>
            <w:tcW w:w="1899" w:type="dxa"/>
            <w:tcMar/>
          </w:tcPr>
          <w:p w:rsidRPr="00C52145" w:rsidR="00AC6BE8" w:rsidP="00527DB5" w:rsidRDefault="00AC6BE8" w14:paraId="7156205B"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Target</w:t>
            </w:r>
          </w:p>
        </w:tc>
        <w:tc>
          <w:tcPr>
            <w:tcW w:w="4855" w:type="dxa"/>
            <w:tcMar/>
          </w:tcPr>
          <w:p w:rsidRPr="00C52145" w:rsidR="00AC6BE8" w:rsidP="1FB73730" w:rsidRDefault="00AC6BE8" w14:paraId="10242F55" w14:textId="77777777">
            <w:pPr>
              <w:rPr>
                <w:rFonts w:ascii="Arial" w:hAnsi="Arial" w:eastAsia="Calibri" w:cs="Arial"/>
                <w:color w:val="000000" w:themeColor="text1" w:themeTint="FF" w:themeShade="FF"/>
                <w:sz w:val="20"/>
                <w:szCs w:val="20"/>
              </w:rPr>
            </w:pPr>
            <w:r w:rsidRPr="1FB73730" w:rsidR="00AC6BE8">
              <w:rPr>
                <w:rFonts w:ascii="Arial" w:hAnsi="Arial" w:eastAsia="Calibri" w:cs="Arial" w:asciiTheme="minorAscii" w:hAnsiTheme="minorAscii" w:eastAsiaTheme="minorAscii" w:cstheme="minorBidi"/>
                <w:color w:val="000000" w:themeColor="text1" w:themeTint="FF" w:themeShade="FF"/>
                <w:sz w:val="20"/>
                <w:szCs w:val="20"/>
                <w:lang w:eastAsia="en-US" w:bidi="ar-SA"/>
              </w:rPr>
              <w:t>Reason</w:t>
            </w:r>
            <w:r w:rsidRPr="1FB73730" w:rsidR="00AC6BE8">
              <w:rPr>
                <w:rFonts w:ascii="Arial" w:hAnsi="Arial" w:eastAsia="Calibri" w:cs="Arial"/>
                <w:color w:val="000000" w:themeColor="text1" w:themeTint="FF" w:themeShade="FF"/>
                <w:sz w:val="20"/>
                <w:szCs w:val="20"/>
              </w:rPr>
              <w:t xml:space="preserve"> for attending the ED. </w:t>
            </w:r>
          </w:p>
        </w:tc>
      </w:tr>
      <w:tr w:rsidRPr="00C52145" w:rsidR="00AC6BE8" w:rsidTr="1FB73730" w14:paraId="773CC049" w14:textId="77777777">
        <w:tc>
          <w:tcPr>
            <w:tcW w:w="2262" w:type="dxa"/>
            <w:tcMar/>
          </w:tcPr>
          <w:p w:rsidRPr="00C52145" w:rsidR="00AC6BE8" w:rsidP="00527DB5" w:rsidRDefault="00AC6BE8" w14:paraId="30CBAC6F"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Ethnicity</w:t>
            </w:r>
          </w:p>
        </w:tc>
        <w:tc>
          <w:tcPr>
            <w:tcW w:w="1899" w:type="dxa"/>
            <w:tcMar/>
          </w:tcPr>
          <w:p w:rsidRPr="00C52145" w:rsidR="00AC6BE8" w:rsidP="00527DB5" w:rsidRDefault="00AC6BE8" w14:paraId="10A2F7DE"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Target</w:t>
            </w:r>
          </w:p>
        </w:tc>
        <w:tc>
          <w:tcPr>
            <w:tcW w:w="4855" w:type="dxa"/>
            <w:tcMar/>
          </w:tcPr>
          <w:p w:rsidRPr="00C52145" w:rsidR="00AC6BE8" w:rsidP="00527DB5" w:rsidRDefault="00AC6BE8" w14:paraId="570BB572" w14:textId="77777777">
            <w:pPr>
              <w:rPr>
                <w:rFonts w:ascii="Arial" w:hAnsi="Arial" w:eastAsia="Calibri" w:cs="Arial"/>
                <w:color w:val="000000" w:themeColor="text1"/>
                <w:sz w:val="20"/>
                <w:szCs w:val="20"/>
              </w:rPr>
            </w:pPr>
          </w:p>
        </w:tc>
      </w:tr>
      <w:tr w:rsidRPr="00C52145" w:rsidR="00AC6BE8" w:rsidTr="1FB73730" w14:paraId="2EE1439A" w14:textId="77777777">
        <w:tc>
          <w:tcPr>
            <w:tcW w:w="2262" w:type="dxa"/>
            <w:tcMar/>
          </w:tcPr>
          <w:p w:rsidRPr="00C52145" w:rsidR="00AC6BE8" w:rsidP="00527DB5" w:rsidRDefault="00AC6BE8" w14:paraId="70A9A39B"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Last spell specialty (4 years)</w:t>
            </w:r>
          </w:p>
        </w:tc>
        <w:tc>
          <w:tcPr>
            <w:tcW w:w="1899" w:type="dxa"/>
            <w:tcMar/>
          </w:tcPr>
          <w:p w:rsidRPr="00C52145" w:rsidR="00AC6BE8" w:rsidP="00527DB5" w:rsidRDefault="00AC6BE8" w14:paraId="36F67183"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Target</w:t>
            </w:r>
          </w:p>
        </w:tc>
        <w:tc>
          <w:tcPr>
            <w:tcW w:w="4855" w:type="dxa"/>
            <w:tcMar/>
          </w:tcPr>
          <w:p w:rsidRPr="00C52145" w:rsidR="00AC6BE8" w:rsidP="00527DB5" w:rsidRDefault="00AC6BE8" w14:paraId="276D8057"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Primary specialty of care for patient’s most recent prior spell.</w:t>
            </w:r>
          </w:p>
        </w:tc>
      </w:tr>
      <w:tr w:rsidRPr="00C52145" w:rsidR="00AC6BE8" w:rsidTr="1FB73730" w14:paraId="6B93D0F1" w14:textId="77777777">
        <w:tc>
          <w:tcPr>
            <w:tcW w:w="2262" w:type="dxa"/>
            <w:tcMar/>
          </w:tcPr>
          <w:p w:rsidRPr="00C52145" w:rsidR="00AC6BE8" w:rsidP="00527DB5" w:rsidRDefault="00AC6BE8" w14:paraId="12EB350D"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Dominant specialty (4 years)</w:t>
            </w:r>
          </w:p>
        </w:tc>
        <w:tc>
          <w:tcPr>
            <w:tcW w:w="1899" w:type="dxa"/>
            <w:tcMar/>
          </w:tcPr>
          <w:p w:rsidRPr="00C52145" w:rsidR="00AC6BE8" w:rsidP="00527DB5" w:rsidRDefault="00AC6BE8" w14:paraId="645EFFD9"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Target</w:t>
            </w:r>
          </w:p>
        </w:tc>
        <w:tc>
          <w:tcPr>
            <w:tcW w:w="4855" w:type="dxa"/>
            <w:tcMar/>
          </w:tcPr>
          <w:p w:rsidRPr="00C52145" w:rsidR="00AC6BE8" w:rsidP="00527DB5" w:rsidRDefault="00AC6BE8" w14:paraId="2B8A16A7"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Most common primary specialty of care for all spells over the last 4 years.</w:t>
            </w:r>
          </w:p>
        </w:tc>
      </w:tr>
      <w:tr w:rsidRPr="00C52145" w:rsidR="00AC6BE8" w:rsidTr="1FB73730" w14:paraId="726168EE" w14:textId="77777777">
        <w:tc>
          <w:tcPr>
            <w:tcW w:w="2262" w:type="dxa"/>
            <w:tcMar/>
          </w:tcPr>
          <w:p w:rsidRPr="00C52145" w:rsidR="00AC6BE8" w:rsidP="00527DB5" w:rsidRDefault="00AC6BE8" w14:paraId="20C3AA4F"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Last spell discharge destination (4 years)</w:t>
            </w:r>
          </w:p>
        </w:tc>
        <w:tc>
          <w:tcPr>
            <w:tcW w:w="1899" w:type="dxa"/>
            <w:tcMar/>
          </w:tcPr>
          <w:p w:rsidRPr="00C52145" w:rsidR="00AC6BE8" w:rsidP="00527DB5" w:rsidRDefault="00AC6BE8" w14:paraId="0D695CD0" w14:textId="77777777">
            <w:pPr>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Target</w:t>
            </w:r>
          </w:p>
        </w:tc>
        <w:tc>
          <w:tcPr>
            <w:tcW w:w="4855" w:type="dxa"/>
            <w:tcMar/>
          </w:tcPr>
          <w:p w:rsidRPr="00C52145" w:rsidR="0058433C" w:rsidP="00527DB5" w:rsidRDefault="00AC6BE8" w14:paraId="1E1A4F50" w14:textId="17BCC2DA">
            <w:pPr>
              <w:keepNext/>
              <w:rPr>
                <w:rFonts w:ascii="Arial" w:hAnsi="Arial" w:eastAsia="Calibri" w:cs="Arial"/>
                <w:color w:val="000000" w:themeColor="text1"/>
                <w:sz w:val="20"/>
                <w:szCs w:val="20"/>
              </w:rPr>
            </w:pPr>
            <w:r w:rsidRPr="00C52145">
              <w:rPr>
                <w:rFonts w:ascii="Arial" w:hAnsi="Arial" w:eastAsia="Calibri" w:cs="Arial"/>
                <w:color w:val="000000" w:themeColor="text1"/>
                <w:sz w:val="20"/>
                <w:szCs w:val="20"/>
              </w:rPr>
              <w:t>e.g., home, residential institution, homeless. Only provided for those admitted via ED. This is not the same as last discharge pathway.</w:t>
            </w:r>
          </w:p>
        </w:tc>
      </w:tr>
    </w:tbl>
    <w:p w:rsidR="000D08FB" w:rsidRDefault="000D08FB" w14:paraId="44E0C533" w14:textId="2E9E1F97">
      <w:pPr>
        <w:rPr>
          <w:rFonts w:ascii="Arial" w:hAnsi="Arial" w:cs="Arial"/>
          <w:sz w:val="20"/>
          <w:szCs w:val="20"/>
        </w:rPr>
      </w:pPr>
      <w:r w:rsidRPr="4FFDE926" w:rsidR="34E718EC">
        <w:rPr>
          <w:rFonts w:ascii="Arial" w:hAnsi="Arial" w:cs="Arial"/>
          <w:b w:val="1"/>
          <w:bCs w:val="1"/>
          <w:sz w:val="20"/>
          <w:szCs w:val="20"/>
        </w:rPr>
        <w:t>Supplementary Table 1:</w:t>
      </w:r>
      <w:r w:rsidRPr="4FFDE926" w:rsidR="34E718EC">
        <w:rPr>
          <w:rFonts w:ascii="Arial" w:hAnsi="Arial" w:cs="Arial"/>
          <w:sz w:val="20"/>
          <w:szCs w:val="20"/>
        </w:rPr>
        <w:t xml:space="preserve"> Full list of features used in the machine learning model, how this data was encoded and </w:t>
      </w:r>
      <w:r w:rsidRPr="4FFDE926" w:rsidR="34E718EC">
        <w:rPr>
          <w:rFonts w:ascii="Arial" w:hAnsi="Arial" w:cs="Arial"/>
          <w:sz w:val="20"/>
          <w:szCs w:val="20"/>
        </w:rPr>
        <w:t>additional</w:t>
      </w:r>
      <w:r w:rsidRPr="4FFDE926" w:rsidR="34E718EC">
        <w:rPr>
          <w:rFonts w:ascii="Arial" w:hAnsi="Arial" w:cs="Arial"/>
          <w:sz w:val="20"/>
          <w:szCs w:val="20"/>
        </w:rPr>
        <w:t xml:space="preserve"> notes.</w:t>
      </w:r>
    </w:p>
    <w:p w:rsidR="000D08FB" w:rsidRDefault="000D08FB" w14:paraId="6D7190B1" w14:textId="787E8C79">
      <w:pPr>
        <w:rPr>
          <w:rFonts w:ascii="Arial" w:hAnsi="Arial" w:cs="Arial"/>
          <w:sz w:val="20"/>
          <w:szCs w:val="20"/>
        </w:rPr>
      </w:pPr>
      <w:r w:rsidRPr="4FFDE926" w:rsidR="02BE67C4">
        <w:rPr>
          <w:rFonts w:ascii="Arial" w:hAnsi="Arial" w:cs="Arial"/>
          <w:b w:val="1"/>
          <w:bCs w:val="1"/>
          <w:i w:val="1"/>
          <w:iCs w:val="1"/>
          <w:sz w:val="20"/>
          <w:szCs w:val="20"/>
        </w:rPr>
        <w:t>S1.2 Modelling</w:t>
      </w:r>
    </w:p>
    <w:p w:rsidR="724EA1D9" w:rsidP="4FFDE926" w:rsidRDefault="724EA1D9" w14:paraId="2526C619" w14:textId="0E154425">
      <w:pPr>
        <w:spacing w:before="0" w:beforeAutospacing="off" w:after="0" w:afterAutospacing="off"/>
        <w:rPr>
          <w:rFonts w:ascii="Arial" w:hAnsi="Arial" w:eastAsia="Arial" w:cs="Arial"/>
          <w:noProof w:val="0"/>
          <w:color w:val="000000" w:themeColor="text1" w:themeTint="FF" w:themeShade="FF"/>
          <w:sz w:val="20"/>
          <w:szCs w:val="20"/>
          <w:lang w:val="en-GB"/>
        </w:rPr>
      </w:pPr>
      <w:r w:rsidRPr="4FFDE926" w:rsidR="724EA1D9">
        <w:rPr>
          <w:rFonts w:ascii="Arial" w:hAnsi="Arial" w:eastAsia="Arial" w:cs="Arial"/>
          <w:noProof w:val="0"/>
          <w:color w:val="000000" w:themeColor="text1" w:themeTint="FF" w:themeShade="FF"/>
          <w:sz w:val="20"/>
          <w:szCs w:val="20"/>
          <w:lang w:val="en-GB"/>
        </w:rPr>
        <w:t xml:space="preserve">For our machine learning model, we used the </w:t>
      </w:r>
      <w:r w:rsidRPr="4FFDE926" w:rsidR="724EA1D9">
        <w:rPr>
          <w:rFonts w:ascii="Arial" w:hAnsi="Arial" w:eastAsia="Arial" w:cs="Arial"/>
          <w:noProof w:val="0"/>
          <w:color w:val="000000" w:themeColor="text1" w:themeTint="FF" w:themeShade="FF"/>
          <w:sz w:val="20"/>
          <w:szCs w:val="20"/>
          <w:lang w:val="en-GB"/>
        </w:rPr>
        <w:t>XGBoost</w:t>
      </w:r>
      <w:r w:rsidRPr="4FFDE926" w:rsidR="724EA1D9">
        <w:rPr>
          <w:rFonts w:ascii="Arial" w:hAnsi="Arial" w:eastAsia="Arial" w:cs="Arial"/>
          <w:noProof w:val="0"/>
          <w:color w:val="000000" w:themeColor="text1" w:themeTint="FF" w:themeShade="FF"/>
          <w:sz w:val="20"/>
          <w:szCs w:val="20"/>
          <w:lang w:val="en-GB"/>
        </w:rPr>
        <w:t xml:space="preserve"> framework, which implements a gradient-boosted decision tree approach</w:t>
      </w:r>
      <w:r w:rsidRPr="4FFDE926" w:rsidR="724EA1D9">
        <w:rPr>
          <w:rFonts w:ascii="Arial" w:hAnsi="Arial" w:eastAsia="Arial" w:cs="Arial"/>
          <w:noProof w:val="0"/>
          <w:color w:val="000000" w:themeColor="text1" w:themeTint="FF" w:themeShade="FF"/>
          <w:sz w:val="20"/>
          <w:szCs w:val="20"/>
          <w:vertAlign w:val="superscript"/>
          <w:lang w:val="en-GB"/>
        </w:rPr>
        <w:t>23</w:t>
      </w:r>
      <w:r w:rsidRPr="4FFDE926" w:rsidR="724EA1D9">
        <w:rPr>
          <w:rFonts w:ascii="Arial" w:hAnsi="Arial" w:eastAsia="Arial" w:cs="Arial"/>
          <w:noProof w:val="0"/>
          <w:color w:val="000000" w:themeColor="text1" w:themeTint="FF" w:themeShade="FF"/>
          <w:sz w:val="20"/>
          <w:szCs w:val="20"/>
          <w:lang w:val="en-GB"/>
        </w:rPr>
        <w:t xml:space="preserve">. </w:t>
      </w:r>
      <w:r w:rsidRPr="4FFDE926" w:rsidR="724EA1D9">
        <w:rPr>
          <w:rFonts w:ascii="Arial" w:hAnsi="Arial" w:eastAsia="Arial" w:cs="Arial"/>
          <w:noProof w:val="0"/>
          <w:color w:val="000000" w:themeColor="text1" w:themeTint="FF" w:themeShade="FF"/>
          <w:sz w:val="20"/>
          <w:szCs w:val="20"/>
          <w:lang w:val="en-GB"/>
        </w:rPr>
        <w:t>Implementing an ensemble of weak learners, gradient boosting algorithms manage to decrease bias while preserving or lowering variance in the prediction error through iteratively creating trees fit to the residual error</w:t>
      </w:r>
      <w:r w:rsidRPr="4FFDE926" w:rsidR="724EA1D9">
        <w:rPr>
          <w:rFonts w:ascii="Arial" w:hAnsi="Arial" w:eastAsia="Arial" w:cs="Arial"/>
          <w:noProof w:val="0"/>
          <w:color w:val="000000" w:themeColor="text1" w:themeTint="FF" w:themeShade="FF"/>
          <w:sz w:val="20"/>
          <w:szCs w:val="20"/>
          <w:vertAlign w:val="superscript"/>
          <w:lang w:val="en-GB"/>
        </w:rPr>
        <w:t>24</w:t>
      </w:r>
      <w:r w:rsidRPr="4FFDE926" w:rsidR="724EA1D9">
        <w:rPr>
          <w:rFonts w:ascii="Arial" w:hAnsi="Arial" w:eastAsia="Arial" w:cs="Arial"/>
          <w:noProof w:val="0"/>
          <w:color w:val="000000" w:themeColor="text1" w:themeTint="FF" w:themeShade="FF"/>
          <w:sz w:val="20"/>
          <w:szCs w:val="20"/>
          <w:lang w:val="en-GB"/>
        </w:rPr>
        <w:t xml:space="preserve">. </w:t>
      </w:r>
      <w:r w:rsidRPr="4FFDE926" w:rsidR="724EA1D9">
        <w:rPr>
          <w:rFonts w:ascii="Arial" w:hAnsi="Arial" w:eastAsia="Arial" w:cs="Arial"/>
          <w:noProof w:val="0"/>
          <w:color w:val="000000" w:themeColor="text1" w:themeTint="FF" w:themeShade="FF"/>
          <w:sz w:val="20"/>
          <w:szCs w:val="20"/>
          <w:lang w:val="en-GB"/>
        </w:rPr>
        <w:t xml:space="preserve">Gradient-boosted trees are a popular choice for large tabular data, which includes a variety of continuous, binary, and categorical data. Tree-based models can also naturally deal with missing data consistently (i.e., through the creation of splits of whether data is missing or not rather than imputation), which is important for routinely collected clinical data, as here. </w:t>
      </w:r>
      <w:r w:rsidRPr="4FFDE926" w:rsidR="724EA1D9">
        <w:rPr>
          <w:rFonts w:ascii="Arial" w:hAnsi="Arial" w:eastAsia="Arial" w:cs="Arial"/>
          <w:noProof w:val="0"/>
          <w:color w:val="000000" w:themeColor="text1" w:themeTint="FF" w:themeShade="FF"/>
          <w:sz w:val="20"/>
          <w:szCs w:val="20"/>
          <w:lang w:val="en-GB"/>
        </w:rPr>
        <w:t xml:space="preserve">Here, we used a </w:t>
      </w:r>
      <w:r w:rsidRPr="4FFDE926" w:rsidR="724EA1D9">
        <w:rPr>
          <w:rFonts w:ascii="Arial" w:hAnsi="Arial" w:eastAsia="Arial" w:cs="Arial"/>
          <w:noProof w:val="0"/>
          <w:color w:val="000000" w:themeColor="text1" w:themeTint="FF" w:themeShade="FF"/>
          <w:sz w:val="20"/>
          <w:szCs w:val="20"/>
          <w:lang w:val="en-GB"/>
        </w:rPr>
        <w:t>XGBClassifier</w:t>
      </w:r>
      <w:r w:rsidRPr="4FFDE926" w:rsidR="724EA1D9">
        <w:rPr>
          <w:rFonts w:ascii="Arial" w:hAnsi="Arial" w:eastAsia="Arial" w:cs="Arial"/>
          <w:noProof w:val="0"/>
          <w:color w:val="000000" w:themeColor="text1" w:themeTint="FF" w:themeShade="FF"/>
          <w:sz w:val="20"/>
          <w:szCs w:val="20"/>
          <w:lang w:val="en-GB"/>
        </w:rPr>
        <w:t xml:space="preserve"> with a ‘multi-</w:t>
      </w:r>
      <w:r w:rsidRPr="4FFDE926" w:rsidR="724EA1D9">
        <w:rPr>
          <w:rFonts w:ascii="Arial" w:hAnsi="Arial" w:eastAsia="Arial" w:cs="Arial"/>
          <w:noProof w:val="0"/>
          <w:color w:val="000000" w:themeColor="text1" w:themeTint="FF" w:themeShade="FF"/>
          <w:sz w:val="20"/>
          <w:szCs w:val="20"/>
          <w:lang w:val="en-GB"/>
        </w:rPr>
        <w:t>softmax</w:t>
      </w:r>
      <w:r w:rsidRPr="4FFDE926" w:rsidR="724EA1D9">
        <w:rPr>
          <w:rFonts w:ascii="Arial" w:hAnsi="Arial" w:eastAsia="Arial" w:cs="Arial"/>
          <w:noProof w:val="0"/>
          <w:color w:val="000000" w:themeColor="text1" w:themeTint="FF" w:themeShade="FF"/>
          <w:sz w:val="20"/>
          <w:szCs w:val="20"/>
          <w:lang w:val="en-GB"/>
        </w:rPr>
        <w:t xml:space="preserve">’ </w:t>
      </w:r>
      <w:r w:rsidRPr="4FFDE926" w:rsidR="724EA1D9">
        <w:rPr>
          <w:rFonts w:ascii="Arial" w:hAnsi="Arial" w:eastAsia="Arial" w:cs="Arial"/>
          <w:noProof w:val="0"/>
          <w:color w:val="000000" w:themeColor="text1" w:themeTint="FF" w:themeShade="FF"/>
          <w:sz w:val="20"/>
          <w:szCs w:val="20"/>
          <w:lang w:val="en-GB"/>
        </w:rPr>
        <w:t>objective</w:t>
      </w:r>
      <w:r w:rsidRPr="4FFDE926" w:rsidR="724EA1D9">
        <w:rPr>
          <w:rFonts w:ascii="Arial" w:hAnsi="Arial" w:eastAsia="Arial" w:cs="Arial"/>
          <w:noProof w:val="0"/>
          <w:color w:val="000000" w:themeColor="text1" w:themeTint="FF" w:themeShade="FF"/>
          <w:sz w:val="20"/>
          <w:szCs w:val="20"/>
          <w:lang w:val="en-GB"/>
        </w:rPr>
        <w:t xml:space="preserve">, other multi-class </w:t>
      </w:r>
      <w:r w:rsidRPr="4FFDE926" w:rsidR="724EA1D9">
        <w:rPr>
          <w:rFonts w:ascii="Arial" w:hAnsi="Arial" w:eastAsia="Arial" w:cs="Arial"/>
          <w:noProof w:val="0"/>
          <w:color w:val="000000" w:themeColor="text1" w:themeTint="FF" w:themeShade="FF"/>
          <w:sz w:val="20"/>
          <w:szCs w:val="20"/>
          <w:lang w:val="en-GB"/>
        </w:rPr>
        <w:t>objectives</w:t>
      </w:r>
      <w:r w:rsidRPr="4FFDE926" w:rsidR="724EA1D9">
        <w:rPr>
          <w:rFonts w:ascii="Arial" w:hAnsi="Arial" w:eastAsia="Arial" w:cs="Arial"/>
          <w:noProof w:val="0"/>
          <w:color w:val="000000" w:themeColor="text1" w:themeTint="FF" w:themeShade="FF"/>
          <w:sz w:val="20"/>
          <w:szCs w:val="20"/>
          <w:lang w:val="en-GB"/>
        </w:rPr>
        <w:t xml:space="preserve"> were tested but resulted in consistent performance.</w:t>
      </w:r>
    </w:p>
    <w:p w:rsidR="724EA1D9" w:rsidP="4FFDE926" w:rsidRDefault="724EA1D9" w14:paraId="34D88050" w14:textId="2A29CC12">
      <w:pPr>
        <w:spacing w:before="0" w:beforeAutospacing="off" w:after="0" w:afterAutospacing="off"/>
        <w:rPr>
          <w:rFonts w:ascii="Arial" w:hAnsi="Arial" w:eastAsia="Arial" w:cs="Arial"/>
          <w:noProof w:val="0"/>
          <w:color w:val="000000" w:themeColor="text1" w:themeTint="FF" w:themeShade="FF"/>
          <w:sz w:val="20"/>
          <w:szCs w:val="20"/>
          <w:lang w:val="en-GB"/>
        </w:rPr>
      </w:pPr>
      <w:r w:rsidRPr="4FFDE926" w:rsidR="724EA1D9">
        <w:rPr>
          <w:rFonts w:ascii="Arial" w:hAnsi="Arial" w:eastAsia="Arial" w:cs="Arial"/>
          <w:noProof w:val="0"/>
          <w:color w:val="000000" w:themeColor="text1" w:themeTint="FF" w:themeShade="FF"/>
          <w:sz w:val="20"/>
          <w:szCs w:val="20"/>
          <w:lang w:val="en-GB"/>
        </w:rPr>
        <w:t xml:space="preserve"> </w:t>
      </w:r>
    </w:p>
    <w:p w:rsidR="724EA1D9" w:rsidP="4FFDE926" w:rsidRDefault="724EA1D9" w14:paraId="5AB6E558" w14:textId="2918C6CB">
      <w:pPr>
        <w:spacing w:before="0" w:beforeAutospacing="off" w:after="0" w:afterAutospacing="off"/>
        <w:rPr>
          <w:rFonts w:ascii="Arial" w:hAnsi="Arial" w:eastAsia="Arial" w:cs="Arial"/>
          <w:noProof w:val="0"/>
          <w:color w:val="000000" w:themeColor="text1" w:themeTint="FF" w:themeShade="FF"/>
          <w:sz w:val="20"/>
          <w:szCs w:val="20"/>
          <w:lang w:val="en-GB"/>
        </w:rPr>
      </w:pPr>
      <w:r w:rsidRPr="4FFDE926" w:rsidR="724EA1D9">
        <w:rPr>
          <w:rFonts w:ascii="Arial" w:hAnsi="Arial" w:eastAsia="Arial" w:cs="Arial"/>
          <w:noProof w:val="0"/>
          <w:color w:val="000000" w:themeColor="text1" w:themeTint="FF" w:themeShade="FF"/>
          <w:sz w:val="20"/>
          <w:szCs w:val="20"/>
          <w:lang w:val="en-GB"/>
        </w:rPr>
        <w:t xml:space="preserve">While gradient-boosting algorithms have been </w:t>
      </w:r>
      <w:r w:rsidRPr="4FFDE926" w:rsidR="724EA1D9">
        <w:rPr>
          <w:rFonts w:ascii="Arial" w:hAnsi="Arial" w:eastAsia="Arial" w:cs="Arial"/>
          <w:noProof w:val="0"/>
          <w:color w:val="000000" w:themeColor="text1" w:themeTint="FF" w:themeShade="FF"/>
          <w:sz w:val="20"/>
          <w:szCs w:val="20"/>
          <w:lang w:val="en-GB"/>
        </w:rPr>
        <w:t>validated</w:t>
      </w:r>
      <w:r w:rsidRPr="4FFDE926" w:rsidR="724EA1D9">
        <w:rPr>
          <w:rFonts w:ascii="Arial" w:hAnsi="Arial" w:eastAsia="Arial" w:cs="Arial"/>
          <w:noProof w:val="0"/>
          <w:color w:val="000000" w:themeColor="text1" w:themeTint="FF" w:themeShade="FF"/>
          <w:sz w:val="20"/>
          <w:szCs w:val="20"/>
          <w:lang w:val="en-GB"/>
        </w:rPr>
        <w:t xml:space="preserve"> to be excellent at extracting signals from data, they are prone to overfitting. To help avoid overfitting, model hyperparameters were selected using five-fold cross-validation grouped at the patient level (i.e., individual patients cannot appear in different folds). On training, we also defined 50 early stopping rounds (i.e., when the train set performance metrics become better than the validation set) to prevent overfitting. A Tree-Structured </w:t>
      </w:r>
      <w:r w:rsidRPr="4FFDE926" w:rsidR="724EA1D9">
        <w:rPr>
          <w:rFonts w:ascii="Arial" w:hAnsi="Arial" w:eastAsia="Arial" w:cs="Arial"/>
          <w:noProof w:val="0"/>
          <w:color w:val="000000" w:themeColor="text1" w:themeTint="FF" w:themeShade="FF"/>
          <w:sz w:val="20"/>
          <w:szCs w:val="20"/>
          <w:lang w:val="en-GB"/>
        </w:rPr>
        <w:t>Parzen</w:t>
      </w:r>
      <w:r w:rsidRPr="4FFDE926" w:rsidR="724EA1D9">
        <w:rPr>
          <w:rFonts w:ascii="Arial" w:hAnsi="Arial" w:eastAsia="Arial" w:cs="Arial"/>
          <w:noProof w:val="0"/>
          <w:color w:val="000000" w:themeColor="text1" w:themeTint="FF" w:themeShade="FF"/>
          <w:sz w:val="20"/>
          <w:szCs w:val="20"/>
          <w:lang w:val="en-GB"/>
        </w:rPr>
        <w:t xml:space="preserve"> Estimator Sampler was implemented with the </w:t>
      </w:r>
      <w:r w:rsidRPr="4FFDE926" w:rsidR="724EA1D9">
        <w:rPr>
          <w:rFonts w:ascii="Arial" w:hAnsi="Arial" w:eastAsia="Arial" w:cs="Arial"/>
          <w:noProof w:val="0"/>
          <w:color w:val="000000" w:themeColor="text1" w:themeTint="FF" w:themeShade="FF"/>
          <w:sz w:val="20"/>
          <w:szCs w:val="20"/>
          <w:lang w:val="en-GB"/>
        </w:rPr>
        <w:t>Optuna</w:t>
      </w:r>
      <w:r w:rsidRPr="4FFDE926" w:rsidR="724EA1D9">
        <w:rPr>
          <w:rFonts w:ascii="Arial" w:hAnsi="Arial" w:eastAsia="Arial" w:cs="Arial"/>
          <w:noProof w:val="0"/>
          <w:color w:val="000000" w:themeColor="text1" w:themeTint="FF" w:themeShade="FF"/>
          <w:sz w:val="20"/>
          <w:szCs w:val="20"/>
          <w:lang w:val="en-GB"/>
        </w:rPr>
        <w:t xml:space="preserve"> library</w:t>
      </w:r>
      <w:r w:rsidRPr="4FFDE926" w:rsidR="724EA1D9">
        <w:rPr>
          <w:rFonts w:ascii="Arial" w:hAnsi="Arial" w:eastAsia="Arial" w:cs="Arial"/>
          <w:noProof w:val="0"/>
          <w:color w:val="000000" w:themeColor="text1" w:themeTint="FF" w:themeShade="FF"/>
          <w:sz w:val="20"/>
          <w:szCs w:val="20"/>
          <w:vertAlign w:val="superscript"/>
          <w:lang w:val="en-GB"/>
        </w:rPr>
        <w:t>25</w:t>
      </w:r>
      <w:r w:rsidRPr="4FFDE926" w:rsidR="724EA1D9">
        <w:rPr>
          <w:rFonts w:ascii="Arial" w:hAnsi="Arial" w:eastAsia="Arial" w:cs="Arial"/>
          <w:noProof w:val="0"/>
          <w:color w:val="000000" w:themeColor="text1" w:themeTint="FF" w:themeShade="FF"/>
          <w:sz w:val="20"/>
          <w:szCs w:val="20"/>
          <w:lang w:val="en-GB"/>
        </w:rPr>
        <w:t xml:space="preserve"> to find suitable hyperparameters for each of balanced accuracy, macro f1 score, and micro average precision (using 100 trials individually for each metric run). No discernible difference in performance was found between the tuning run, but hyperparameters found for Macro F1 Score were used in our models. Supplementary Table 2 describes the full results of the hyperparameter tuning. </w:t>
      </w:r>
    </w:p>
    <w:p w:rsidR="4FFDE926" w:rsidP="4FFDE926" w:rsidRDefault="4FFDE926" w14:paraId="255D9C57" w14:textId="757476DC">
      <w:pPr>
        <w:pStyle w:val="Normal"/>
        <w:spacing w:before="0" w:beforeAutospacing="off" w:after="0" w:afterAutospacing="off"/>
      </w:pPr>
    </w:p>
    <w:tbl>
      <w:tblPr>
        <w:tblStyle w:val="TableGrid"/>
        <w:tblW w:w="0" w:type="auto"/>
        <w:jc w:val="center"/>
        <w:tblLook w:val="04A0" w:firstRow="1" w:lastRow="0" w:firstColumn="1" w:lastColumn="0" w:noHBand="0" w:noVBand="1"/>
      </w:tblPr>
      <w:tblGrid>
        <w:gridCol w:w="3400"/>
        <w:gridCol w:w="2684"/>
      </w:tblGrid>
      <w:tr w:rsidR="000D08FB" w:rsidTr="000D08FB" w14:paraId="12413D3B" w14:textId="77777777">
        <w:trPr>
          <w:jc w:val="center"/>
        </w:trPr>
        <w:tc>
          <w:tcPr>
            <w:tcW w:w="3400" w:type="dxa"/>
          </w:tcPr>
          <w:p w:rsidRPr="00E878E3" w:rsidR="000D08FB" w:rsidP="00527DB5" w:rsidRDefault="000D08FB" w14:paraId="41078CFC" w14:textId="77777777">
            <w:pPr>
              <w:rPr>
                <w:rFonts w:ascii="Arial" w:hAnsi="Arial" w:eastAsia="Calibri" w:cs="Arial"/>
                <w:b/>
                <w:bCs/>
                <w:color w:val="000000" w:themeColor="text1"/>
              </w:rPr>
            </w:pPr>
            <w:r>
              <w:rPr>
                <w:rFonts w:ascii="Arial" w:hAnsi="Arial" w:eastAsia="Calibri" w:cs="Arial"/>
                <w:b/>
                <w:bCs/>
                <w:color w:val="000000" w:themeColor="text1"/>
              </w:rPr>
              <w:lastRenderedPageBreak/>
              <w:t>Hyperparameter</w:t>
            </w:r>
          </w:p>
        </w:tc>
        <w:tc>
          <w:tcPr>
            <w:tcW w:w="2684" w:type="dxa"/>
          </w:tcPr>
          <w:p w:rsidR="000D08FB" w:rsidP="00527DB5" w:rsidRDefault="000D08FB" w14:paraId="59B86681" w14:textId="77777777">
            <w:pPr>
              <w:rPr>
                <w:rFonts w:ascii="Arial" w:hAnsi="Arial" w:eastAsia="Calibri" w:cs="Arial"/>
                <w:b/>
                <w:bCs/>
                <w:color w:val="000000" w:themeColor="text1"/>
              </w:rPr>
            </w:pPr>
            <w:r>
              <w:rPr>
                <w:rFonts w:ascii="Arial" w:hAnsi="Arial" w:eastAsia="Calibri" w:cs="Arial"/>
                <w:b/>
                <w:bCs/>
                <w:color w:val="000000" w:themeColor="text1"/>
              </w:rPr>
              <w:t>Value</w:t>
            </w:r>
          </w:p>
        </w:tc>
      </w:tr>
      <w:tr w:rsidR="000D08FB" w:rsidTr="000D08FB" w14:paraId="38523C89" w14:textId="77777777">
        <w:trPr>
          <w:jc w:val="center"/>
        </w:trPr>
        <w:tc>
          <w:tcPr>
            <w:tcW w:w="3400" w:type="dxa"/>
          </w:tcPr>
          <w:p w:rsidR="000D08FB" w:rsidP="00527DB5" w:rsidRDefault="000D08FB" w14:paraId="6BD6B628" w14:textId="77777777">
            <w:pPr>
              <w:rPr>
                <w:rFonts w:ascii="Arial" w:hAnsi="Arial" w:eastAsia="Calibri" w:cs="Arial"/>
                <w:color w:val="000000" w:themeColor="text1"/>
              </w:rPr>
            </w:pPr>
            <w:proofErr w:type="spellStart"/>
            <w:r>
              <w:rPr>
                <w:rFonts w:ascii="Arial" w:hAnsi="Arial" w:eastAsia="Calibri" w:cs="Arial"/>
                <w:color w:val="000000" w:themeColor="text1"/>
              </w:rPr>
              <w:t>n_estimators</w:t>
            </w:r>
            <w:proofErr w:type="spellEnd"/>
          </w:p>
        </w:tc>
        <w:tc>
          <w:tcPr>
            <w:tcW w:w="2684" w:type="dxa"/>
          </w:tcPr>
          <w:p w:rsidR="000D08FB" w:rsidP="00527DB5" w:rsidRDefault="000D08FB" w14:paraId="2716FF70" w14:textId="77777777">
            <w:pPr>
              <w:rPr>
                <w:rFonts w:ascii="Arial" w:hAnsi="Arial" w:eastAsia="Calibri" w:cs="Arial"/>
                <w:color w:val="000000" w:themeColor="text1"/>
              </w:rPr>
            </w:pPr>
            <w:r>
              <w:rPr>
                <w:rFonts w:ascii="Arial" w:hAnsi="Arial" w:eastAsia="Calibri" w:cs="Arial"/>
                <w:color w:val="000000" w:themeColor="text1"/>
              </w:rPr>
              <w:t>275</w:t>
            </w:r>
          </w:p>
        </w:tc>
      </w:tr>
      <w:tr w:rsidR="000D08FB" w:rsidTr="000D08FB" w14:paraId="4C9976E8" w14:textId="77777777">
        <w:trPr>
          <w:jc w:val="center"/>
        </w:trPr>
        <w:tc>
          <w:tcPr>
            <w:tcW w:w="3400" w:type="dxa"/>
          </w:tcPr>
          <w:p w:rsidR="000D08FB" w:rsidP="00527DB5" w:rsidRDefault="000D08FB" w14:paraId="45E92D3C" w14:textId="77777777">
            <w:pPr>
              <w:rPr>
                <w:rFonts w:ascii="Arial" w:hAnsi="Arial" w:eastAsia="Calibri" w:cs="Arial"/>
                <w:color w:val="000000" w:themeColor="text1"/>
              </w:rPr>
            </w:pPr>
            <w:proofErr w:type="spellStart"/>
            <w:r>
              <w:rPr>
                <w:rFonts w:ascii="Arial" w:hAnsi="Arial" w:eastAsia="Calibri" w:cs="Arial"/>
                <w:color w:val="000000" w:themeColor="text1"/>
              </w:rPr>
              <w:t>max_depth</w:t>
            </w:r>
            <w:proofErr w:type="spellEnd"/>
          </w:p>
        </w:tc>
        <w:tc>
          <w:tcPr>
            <w:tcW w:w="2684" w:type="dxa"/>
          </w:tcPr>
          <w:p w:rsidR="000D08FB" w:rsidP="00527DB5" w:rsidRDefault="000D08FB" w14:paraId="1D792BFE" w14:textId="77777777">
            <w:pPr>
              <w:rPr>
                <w:rFonts w:ascii="Arial" w:hAnsi="Arial" w:eastAsia="Calibri" w:cs="Arial"/>
                <w:color w:val="000000" w:themeColor="text1"/>
              </w:rPr>
            </w:pPr>
            <w:r>
              <w:rPr>
                <w:rFonts w:ascii="Arial" w:hAnsi="Arial" w:eastAsia="Calibri" w:cs="Arial"/>
                <w:color w:val="000000" w:themeColor="text1"/>
              </w:rPr>
              <w:t>5</w:t>
            </w:r>
          </w:p>
        </w:tc>
      </w:tr>
      <w:tr w:rsidR="000D08FB" w:rsidTr="000D08FB" w14:paraId="05C26FE6" w14:textId="77777777">
        <w:trPr>
          <w:jc w:val="center"/>
        </w:trPr>
        <w:tc>
          <w:tcPr>
            <w:tcW w:w="3400" w:type="dxa"/>
          </w:tcPr>
          <w:p w:rsidR="000D08FB" w:rsidP="00527DB5" w:rsidRDefault="000D08FB" w14:paraId="36736EA2" w14:textId="77777777">
            <w:pPr>
              <w:rPr>
                <w:rFonts w:ascii="Arial" w:hAnsi="Arial" w:eastAsia="Calibri" w:cs="Arial"/>
                <w:color w:val="000000" w:themeColor="text1"/>
              </w:rPr>
            </w:pPr>
            <w:proofErr w:type="spellStart"/>
            <w:r>
              <w:rPr>
                <w:rFonts w:ascii="Arial" w:hAnsi="Arial" w:eastAsia="Calibri" w:cs="Arial"/>
                <w:color w:val="000000" w:themeColor="text1"/>
              </w:rPr>
              <w:t>learning_rate</w:t>
            </w:r>
            <w:proofErr w:type="spellEnd"/>
          </w:p>
        </w:tc>
        <w:tc>
          <w:tcPr>
            <w:tcW w:w="2684" w:type="dxa"/>
          </w:tcPr>
          <w:p w:rsidR="000D08FB" w:rsidP="00527DB5" w:rsidRDefault="000D08FB" w14:paraId="05681A37" w14:textId="77777777">
            <w:pPr>
              <w:rPr>
                <w:rFonts w:ascii="Arial" w:hAnsi="Arial" w:eastAsia="Calibri" w:cs="Arial"/>
                <w:color w:val="000000" w:themeColor="text1"/>
              </w:rPr>
            </w:pPr>
            <w:r>
              <w:rPr>
                <w:rFonts w:ascii="Arial" w:hAnsi="Arial" w:eastAsia="Calibri" w:cs="Arial"/>
                <w:color w:val="000000" w:themeColor="text1"/>
              </w:rPr>
              <w:t>0.167</w:t>
            </w:r>
          </w:p>
        </w:tc>
      </w:tr>
      <w:tr w:rsidR="000D08FB" w:rsidTr="000D08FB" w14:paraId="6997968B" w14:textId="77777777">
        <w:trPr>
          <w:jc w:val="center"/>
        </w:trPr>
        <w:tc>
          <w:tcPr>
            <w:tcW w:w="3400" w:type="dxa"/>
          </w:tcPr>
          <w:p w:rsidR="000D08FB" w:rsidP="00527DB5" w:rsidRDefault="000D08FB" w14:paraId="0F4B7BB6" w14:textId="77777777">
            <w:pPr>
              <w:rPr>
                <w:rFonts w:ascii="Arial" w:hAnsi="Arial" w:eastAsia="Calibri" w:cs="Arial"/>
                <w:color w:val="000000" w:themeColor="text1"/>
              </w:rPr>
            </w:pPr>
            <w:r>
              <w:rPr>
                <w:rFonts w:ascii="Arial" w:hAnsi="Arial" w:eastAsia="Calibri" w:cs="Arial"/>
                <w:color w:val="000000" w:themeColor="text1"/>
              </w:rPr>
              <w:t>subsample</w:t>
            </w:r>
          </w:p>
        </w:tc>
        <w:tc>
          <w:tcPr>
            <w:tcW w:w="2684" w:type="dxa"/>
          </w:tcPr>
          <w:p w:rsidR="000D08FB" w:rsidP="00527DB5" w:rsidRDefault="000D08FB" w14:paraId="5DD5AE96" w14:textId="77777777">
            <w:pPr>
              <w:rPr>
                <w:rFonts w:ascii="Arial" w:hAnsi="Arial" w:eastAsia="Calibri" w:cs="Arial"/>
                <w:color w:val="000000" w:themeColor="text1"/>
              </w:rPr>
            </w:pPr>
            <w:r>
              <w:rPr>
                <w:rFonts w:ascii="Arial" w:hAnsi="Arial" w:eastAsia="Calibri" w:cs="Arial"/>
                <w:color w:val="000000" w:themeColor="text1"/>
              </w:rPr>
              <w:t>0.538</w:t>
            </w:r>
          </w:p>
        </w:tc>
      </w:tr>
      <w:tr w:rsidR="000D08FB" w:rsidTr="000D08FB" w14:paraId="63DB684F" w14:textId="77777777">
        <w:trPr>
          <w:jc w:val="center"/>
        </w:trPr>
        <w:tc>
          <w:tcPr>
            <w:tcW w:w="3400" w:type="dxa"/>
          </w:tcPr>
          <w:p w:rsidR="000D08FB" w:rsidP="00527DB5" w:rsidRDefault="000D08FB" w14:paraId="77773B78" w14:textId="77777777">
            <w:pPr>
              <w:rPr>
                <w:rFonts w:ascii="Arial" w:hAnsi="Arial" w:eastAsia="Calibri" w:cs="Arial"/>
                <w:color w:val="000000" w:themeColor="text1"/>
              </w:rPr>
            </w:pPr>
            <w:proofErr w:type="spellStart"/>
            <w:r>
              <w:rPr>
                <w:rFonts w:ascii="Arial" w:hAnsi="Arial" w:eastAsia="Calibri" w:cs="Arial"/>
                <w:color w:val="000000" w:themeColor="text1"/>
              </w:rPr>
              <w:t>colsample_bytree</w:t>
            </w:r>
            <w:proofErr w:type="spellEnd"/>
          </w:p>
        </w:tc>
        <w:tc>
          <w:tcPr>
            <w:tcW w:w="2684" w:type="dxa"/>
          </w:tcPr>
          <w:p w:rsidR="000D08FB" w:rsidP="00527DB5" w:rsidRDefault="000D08FB" w14:paraId="343156CB" w14:textId="77777777">
            <w:pPr>
              <w:rPr>
                <w:rFonts w:ascii="Arial" w:hAnsi="Arial" w:eastAsia="Calibri" w:cs="Arial"/>
                <w:color w:val="000000" w:themeColor="text1"/>
              </w:rPr>
            </w:pPr>
            <w:r>
              <w:rPr>
                <w:rFonts w:ascii="Arial" w:hAnsi="Arial" w:eastAsia="Calibri" w:cs="Arial"/>
                <w:color w:val="000000" w:themeColor="text1"/>
              </w:rPr>
              <w:t>0.377</w:t>
            </w:r>
          </w:p>
        </w:tc>
      </w:tr>
      <w:tr w:rsidRPr="000D08FB" w:rsidR="000D08FB" w:rsidTr="000D08FB" w14:paraId="1463F3CD" w14:textId="77777777">
        <w:trPr>
          <w:jc w:val="center"/>
        </w:trPr>
        <w:tc>
          <w:tcPr>
            <w:tcW w:w="3400" w:type="dxa"/>
          </w:tcPr>
          <w:p w:rsidRPr="000D08FB" w:rsidR="000D08FB" w:rsidP="00527DB5" w:rsidRDefault="000D08FB" w14:paraId="733D923C" w14:textId="77777777">
            <w:pPr>
              <w:rPr>
                <w:rFonts w:ascii="Arial" w:hAnsi="Arial" w:eastAsia="Calibri" w:cs="Arial"/>
              </w:rPr>
            </w:pPr>
            <w:r w:rsidRPr="000D08FB">
              <w:rPr>
                <w:rFonts w:ascii="Arial" w:hAnsi="Arial" w:eastAsia="Calibri" w:cs="Arial"/>
              </w:rPr>
              <w:t>gamma</w:t>
            </w:r>
          </w:p>
        </w:tc>
        <w:tc>
          <w:tcPr>
            <w:tcW w:w="2684" w:type="dxa"/>
          </w:tcPr>
          <w:p w:rsidRPr="000D08FB" w:rsidR="000D08FB" w:rsidP="00527DB5" w:rsidRDefault="000D08FB" w14:paraId="1C200B73" w14:textId="77777777">
            <w:pPr>
              <w:keepNext/>
              <w:rPr>
                <w:rFonts w:ascii="Arial" w:hAnsi="Arial" w:eastAsia="Calibri" w:cs="Arial"/>
              </w:rPr>
            </w:pPr>
            <w:r w:rsidRPr="000D08FB">
              <w:rPr>
                <w:rFonts w:ascii="Arial" w:hAnsi="Arial" w:eastAsia="Calibri" w:cs="Arial"/>
              </w:rPr>
              <w:t>1.66</w:t>
            </w:r>
          </w:p>
        </w:tc>
      </w:tr>
    </w:tbl>
    <w:p w:rsidRPr="00587663" w:rsidR="000D08FB" w:rsidP="000D08FB" w:rsidRDefault="000D08FB" w14:paraId="598CBBB7" w14:textId="21AC1785">
      <w:pPr>
        <w:pStyle w:val="Caption"/>
        <w:rPr>
          <w:rFonts w:ascii="Arial" w:hAnsi="Arial" w:eastAsia="Calibri" w:cs="Arial"/>
          <w:i w:val="0"/>
          <w:iCs w:val="0"/>
          <w:color w:val="auto"/>
          <w:sz w:val="20"/>
          <w:szCs w:val="20"/>
        </w:rPr>
      </w:pPr>
      <w:r w:rsidRPr="00587663">
        <w:rPr>
          <w:rFonts w:ascii="Arial" w:hAnsi="Arial" w:cs="Arial"/>
          <w:b/>
          <w:bCs/>
          <w:i w:val="0"/>
          <w:iCs w:val="0"/>
          <w:color w:val="auto"/>
          <w:sz w:val="20"/>
          <w:szCs w:val="20"/>
        </w:rPr>
        <w:t xml:space="preserve">Supplementary </w:t>
      </w:r>
      <w:r w:rsidRPr="00587663">
        <w:rPr>
          <w:rFonts w:ascii="Arial" w:hAnsi="Arial" w:cs="Arial"/>
          <w:b/>
          <w:bCs/>
          <w:i w:val="0"/>
          <w:iCs w:val="0"/>
          <w:color w:val="auto"/>
          <w:sz w:val="20"/>
          <w:szCs w:val="20"/>
        </w:rPr>
        <w:t xml:space="preserve">Table </w:t>
      </w:r>
      <w:r w:rsidRPr="00587663">
        <w:rPr>
          <w:rFonts w:ascii="Arial" w:hAnsi="Arial" w:cs="Arial"/>
          <w:b/>
          <w:bCs/>
          <w:i w:val="0"/>
          <w:iCs w:val="0"/>
          <w:color w:val="auto"/>
          <w:sz w:val="20"/>
          <w:szCs w:val="20"/>
        </w:rPr>
        <w:fldChar w:fldCharType="begin"/>
      </w:r>
      <w:r w:rsidRPr="00587663">
        <w:rPr>
          <w:rFonts w:ascii="Arial" w:hAnsi="Arial" w:cs="Arial"/>
          <w:b/>
          <w:bCs/>
          <w:i w:val="0"/>
          <w:iCs w:val="0"/>
          <w:color w:val="auto"/>
          <w:sz w:val="20"/>
          <w:szCs w:val="20"/>
        </w:rPr>
        <w:instrText xml:space="preserve"> SEQ Table \* ARABIC </w:instrText>
      </w:r>
      <w:r w:rsidRPr="00587663">
        <w:rPr>
          <w:rFonts w:ascii="Arial" w:hAnsi="Arial" w:cs="Arial"/>
          <w:b/>
          <w:bCs/>
          <w:i w:val="0"/>
          <w:iCs w:val="0"/>
          <w:color w:val="auto"/>
          <w:sz w:val="20"/>
          <w:szCs w:val="20"/>
        </w:rPr>
        <w:fldChar w:fldCharType="separate"/>
      </w:r>
      <w:r w:rsidRPr="00587663">
        <w:rPr>
          <w:rFonts w:ascii="Arial" w:hAnsi="Arial" w:cs="Arial"/>
          <w:b/>
          <w:bCs/>
          <w:i w:val="0"/>
          <w:iCs w:val="0"/>
          <w:noProof/>
          <w:color w:val="auto"/>
          <w:sz w:val="20"/>
          <w:szCs w:val="20"/>
        </w:rPr>
        <w:t>2</w:t>
      </w:r>
      <w:r w:rsidRPr="00587663">
        <w:rPr>
          <w:rFonts w:ascii="Arial" w:hAnsi="Arial" w:cs="Arial"/>
          <w:b/>
          <w:bCs/>
          <w:i w:val="0"/>
          <w:iCs w:val="0"/>
          <w:color w:val="auto"/>
          <w:sz w:val="20"/>
          <w:szCs w:val="20"/>
        </w:rPr>
        <w:fldChar w:fldCharType="end"/>
      </w:r>
      <w:r w:rsidRPr="00587663">
        <w:rPr>
          <w:rFonts w:ascii="Arial" w:hAnsi="Arial" w:cs="Arial"/>
          <w:b/>
          <w:bCs/>
          <w:i w:val="0"/>
          <w:iCs w:val="0"/>
          <w:color w:val="auto"/>
          <w:sz w:val="20"/>
          <w:szCs w:val="20"/>
        </w:rPr>
        <w:t>:</w:t>
      </w:r>
      <w:r w:rsidRPr="00587663">
        <w:rPr>
          <w:rFonts w:ascii="Arial" w:hAnsi="Arial" w:cs="Arial"/>
          <w:i w:val="0"/>
          <w:iCs w:val="0"/>
          <w:color w:val="auto"/>
          <w:sz w:val="20"/>
          <w:szCs w:val="20"/>
        </w:rPr>
        <w:t xml:space="preserve"> Tuned hyperparameters for fiducial </w:t>
      </w:r>
      <w:proofErr w:type="spellStart"/>
      <w:r w:rsidRPr="00587663">
        <w:rPr>
          <w:rFonts w:ascii="Arial" w:hAnsi="Arial" w:cs="Arial"/>
          <w:i w:val="0"/>
          <w:iCs w:val="0"/>
          <w:color w:val="auto"/>
          <w:sz w:val="20"/>
          <w:szCs w:val="20"/>
        </w:rPr>
        <w:t>XGBoost</w:t>
      </w:r>
      <w:proofErr w:type="spellEnd"/>
      <w:r w:rsidRPr="00587663">
        <w:rPr>
          <w:rFonts w:ascii="Arial" w:hAnsi="Arial" w:cs="Arial"/>
          <w:i w:val="0"/>
          <w:iCs w:val="0"/>
          <w:color w:val="auto"/>
          <w:sz w:val="20"/>
          <w:szCs w:val="20"/>
        </w:rPr>
        <w:t xml:space="preserve"> model found from Tree-Structured </w:t>
      </w:r>
      <w:proofErr w:type="spellStart"/>
      <w:r w:rsidRPr="00587663">
        <w:rPr>
          <w:rFonts w:ascii="Arial" w:hAnsi="Arial" w:cs="Arial"/>
          <w:i w:val="0"/>
          <w:iCs w:val="0"/>
          <w:color w:val="auto"/>
          <w:sz w:val="20"/>
          <w:szCs w:val="20"/>
        </w:rPr>
        <w:t>Parzen</w:t>
      </w:r>
      <w:proofErr w:type="spellEnd"/>
      <w:r w:rsidRPr="00587663">
        <w:rPr>
          <w:rFonts w:ascii="Arial" w:hAnsi="Arial" w:cs="Arial"/>
          <w:i w:val="0"/>
          <w:iCs w:val="0"/>
          <w:color w:val="auto"/>
          <w:sz w:val="20"/>
          <w:szCs w:val="20"/>
        </w:rPr>
        <w:t xml:space="preserve"> Estimator implemented with the </w:t>
      </w:r>
      <w:proofErr w:type="spellStart"/>
      <w:r w:rsidRPr="00587663">
        <w:rPr>
          <w:rFonts w:ascii="Arial" w:hAnsi="Arial" w:cs="Arial"/>
          <w:i w:val="0"/>
          <w:iCs w:val="0"/>
          <w:color w:val="auto"/>
          <w:sz w:val="20"/>
          <w:szCs w:val="20"/>
        </w:rPr>
        <w:t>Optuna</w:t>
      </w:r>
      <w:proofErr w:type="spellEnd"/>
      <w:r w:rsidRPr="00587663">
        <w:rPr>
          <w:rFonts w:ascii="Arial" w:hAnsi="Arial" w:cs="Arial"/>
          <w:i w:val="0"/>
          <w:iCs w:val="0"/>
          <w:color w:val="auto"/>
          <w:sz w:val="20"/>
          <w:szCs w:val="20"/>
        </w:rPr>
        <w:t xml:space="preserve"> library.</w:t>
      </w:r>
    </w:p>
    <w:p w:rsidRPr="00587663" w:rsidR="00C52145" w:rsidRDefault="00C52145" w14:paraId="5FF253EF" w14:textId="77777777" w14:noSpellErr="1">
      <w:pPr>
        <w:rPr>
          <w:rFonts w:ascii="Arial" w:hAnsi="Arial" w:cs="Arial"/>
          <w:sz w:val="20"/>
          <w:szCs w:val="20"/>
        </w:rPr>
      </w:pPr>
    </w:p>
    <w:p w:rsidR="5A9CDA67" w:rsidP="4FFDE926" w:rsidRDefault="5A9CDA67" w14:paraId="0A39ADFC" w14:textId="333BDC40">
      <w:pPr>
        <w:rPr>
          <w:rFonts w:ascii="Arial" w:hAnsi="Arial" w:cs="Arial"/>
          <w:sz w:val="20"/>
          <w:szCs w:val="20"/>
        </w:rPr>
      </w:pPr>
      <w:r w:rsidRPr="4FFDE926" w:rsidR="5A9CDA67">
        <w:rPr>
          <w:rFonts w:ascii="Arial" w:hAnsi="Arial" w:cs="Arial"/>
          <w:b w:val="1"/>
          <w:bCs w:val="1"/>
          <w:sz w:val="20"/>
          <w:szCs w:val="20"/>
        </w:rPr>
        <w:t>S2: Supplementary Results</w:t>
      </w:r>
    </w:p>
    <w:p w:rsidR="66AF6C47" w:rsidP="4FFDE926" w:rsidRDefault="66AF6C47" w14:paraId="6F9FD911" w14:textId="667E7C0A">
      <w:pPr>
        <w:rPr>
          <w:rFonts w:ascii="Arial" w:hAnsi="Arial" w:cs="Arial"/>
          <w:b w:val="0"/>
          <w:bCs w:val="0"/>
          <w:i w:val="1"/>
          <w:iCs w:val="1"/>
          <w:sz w:val="20"/>
          <w:szCs w:val="20"/>
        </w:rPr>
      </w:pPr>
      <w:r w:rsidRPr="4FFDE926" w:rsidR="66AF6C47">
        <w:rPr>
          <w:rFonts w:ascii="Arial" w:hAnsi="Arial" w:cs="Arial"/>
          <w:b w:val="1"/>
          <w:bCs w:val="1"/>
          <w:i w:val="1"/>
          <w:iCs w:val="1"/>
          <w:sz w:val="20"/>
          <w:szCs w:val="20"/>
        </w:rPr>
        <w:t>S2.1 Individual feature importance</w:t>
      </w:r>
    </w:p>
    <w:p w:rsidR="66AF6C47" w:rsidP="4FFDE926" w:rsidRDefault="66AF6C47" w14:paraId="76E21074" w14:textId="31B19E82">
      <w:pPr>
        <w:pStyle w:val="NormalWeb"/>
      </w:pPr>
      <w:r w:rsidR="66AF6C47">
        <w:drawing>
          <wp:inline wp14:editId="57DAB51A" wp14:anchorId="2B3C0EE3">
            <wp:extent cx="5724525" cy="3747642"/>
            <wp:effectExtent l="0" t="0" r="0" b="0"/>
            <wp:docPr id="14854160" name="Picture 1" title=""/>
            <wp:cNvGraphicFramePr>
              <a:graphicFrameLocks noChangeAspect="1"/>
            </wp:cNvGraphicFramePr>
            <a:graphic>
              <a:graphicData uri="http://schemas.openxmlformats.org/drawingml/2006/picture">
                <pic:pic>
                  <pic:nvPicPr>
                    <pic:cNvPr id="0" name="Picture 1"/>
                    <pic:cNvPicPr/>
                  </pic:nvPicPr>
                  <pic:blipFill>
                    <a:blip r:embed="Rffdef7cdd3a84363">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5724525" cy="3747642"/>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66AF6C47" w:rsidP="4FFDE926" w:rsidRDefault="66AF6C47" w14:paraId="0E77893B" w14:textId="30C71584">
      <w:pPr>
        <w:pStyle w:val="Caption"/>
        <w:rPr>
          <w:rFonts w:ascii="Arial" w:hAnsi="Arial" w:cs="Arial"/>
          <w:i w:val="0"/>
          <w:iCs w:val="0"/>
          <w:color w:val="auto"/>
          <w:sz w:val="20"/>
          <w:szCs w:val="20"/>
        </w:rPr>
      </w:pPr>
      <w:r w:rsidRPr="4FFDE926" w:rsidR="66AF6C47">
        <w:rPr>
          <w:rFonts w:ascii="Arial" w:hAnsi="Arial" w:cs="Arial"/>
          <w:b w:val="1"/>
          <w:bCs w:val="1"/>
          <w:i w:val="0"/>
          <w:iCs w:val="0"/>
          <w:color w:val="auto"/>
          <w:sz w:val="20"/>
          <w:szCs w:val="20"/>
        </w:rPr>
        <w:t xml:space="preserve">Supplementary Figure 1: </w:t>
      </w:r>
      <w:r w:rsidRPr="4FFDE926" w:rsidR="66AF6C47">
        <w:rPr>
          <w:rFonts w:ascii="Arial" w:hAnsi="Arial" w:cs="Arial"/>
          <w:i w:val="0"/>
          <w:iCs w:val="0"/>
          <w:color w:val="auto"/>
          <w:sz w:val="20"/>
          <w:szCs w:val="20"/>
        </w:rPr>
        <w:t xml:space="preserve">Relative importance of admission characteristics for predicting discharge pathway in the patient holdout test set. Importance is computed by normalised absolute SHAP values (i.e., larger values mean higher relative importance). The size of each complete bar shows the overall importance for prediction. Each bar is stacked so the importance for each discharge pathway can be </w:t>
      </w:r>
      <w:r w:rsidRPr="4FFDE926" w:rsidR="66AF6C47">
        <w:rPr>
          <w:rFonts w:ascii="Arial" w:hAnsi="Arial" w:cs="Arial"/>
          <w:i w:val="0"/>
          <w:iCs w:val="0"/>
          <w:color w:val="auto"/>
          <w:sz w:val="20"/>
          <w:szCs w:val="20"/>
        </w:rPr>
        <w:t>identified</w:t>
      </w:r>
      <w:r w:rsidRPr="4FFDE926" w:rsidR="66AF6C47">
        <w:rPr>
          <w:rFonts w:ascii="Arial" w:hAnsi="Arial" w:cs="Arial"/>
          <w:i w:val="0"/>
          <w:iCs w:val="0"/>
          <w:color w:val="auto"/>
          <w:sz w:val="20"/>
          <w:szCs w:val="20"/>
        </w:rPr>
        <w:t xml:space="preserve"> (e.g., Arrival Transport is far more important for predicting pathway 0 than 1-3).</w:t>
      </w:r>
    </w:p>
    <w:p w:rsidR="4FFDE926" w:rsidP="4FFDE926" w:rsidRDefault="4FFDE926" w14:paraId="3842218E" w14:textId="6E3654F0">
      <w:pPr>
        <w:rPr>
          <w:rFonts w:ascii="Arial" w:hAnsi="Arial" w:cs="Arial"/>
          <w:b w:val="1"/>
          <w:bCs w:val="1"/>
          <w:sz w:val="20"/>
          <w:szCs w:val="20"/>
        </w:rPr>
      </w:pPr>
    </w:p>
    <w:p w:rsidR="6DE6D9D5" w:rsidP="4FFDE926" w:rsidRDefault="6DE6D9D5" w14:paraId="1C2DD277" w14:textId="4561DA4C">
      <w:pPr>
        <w:pStyle w:val="Normal"/>
        <w:rPr>
          <w:rFonts w:ascii="Arial" w:hAnsi="Arial" w:cs="Arial"/>
          <w:b w:val="0"/>
          <w:bCs w:val="0"/>
          <w:sz w:val="20"/>
          <w:szCs w:val="20"/>
        </w:rPr>
      </w:pPr>
      <w:r w:rsidRPr="4FFDE926" w:rsidR="6DE6D9D5">
        <w:rPr>
          <w:rFonts w:ascii="Arial" w:hAnsi="Arial" w:cs="Arial"/>
          <w:b w:val="1"/>
          <w:bCs w:val="1"/>
          <w:i w:val="1"/>
          <w:iCs w:val="1"/>
          <w:sz w:val="20"/>
          <w:szCs w:val="20"/>
        </w:rPr>
        <w:t>S2.</w:t>
      </w:r>
      <w:r w:rsidRPr="4FFDE926" w:rsidR="1C85BFE6">
        <w:rPr>
          <w:rFonts w:ascii="Arial" w:hAnsi="Arial" w:cs="Arial"/>
          <w:b w:val="1"/>
          <w:bCs w:val="1"/>
          <w:i w:val="1"/>
          <w:iCs w:val="1"/>
          <w:sz w:val="20"/>
          <w:szCs w:val="20"/>
        </w:rPr>
        <w:t>2</w:t>
      </w:r>
      <w:r w:rsidRPr="4FFDE926" w:rsidR="6DE6D9D5">
        <w:rPr>
          <w:rFonts w:ascii="Arial" w:hAnsi="Arial" w:cs="Arial"/>
          <w:b w:val="1"/>
          <w:bCs w:val="1"/>
          <w:i w:val="1"/>
          <w:iCs w:val="1"/>
          <w:sz w:val="20"/>
          <w:szCs w:val="20"/>
        </w:rPr>
        <w:t xml:space="preserve"> Comparison to temporal holdout</w:t>
      </w:r>
    </w:p>
    <w:p w:rsidR="6713F843" w:rsidP="4FFDE926" w:rsidRDefault="6713F843" w14:paraId="610C6E98" w14:textId="6B8DE989">
      <w:pPr>
        <w:pStyle w:val="Normal"/>
        <w:rPr>
          <w:rFonts w:ascii="Arial" w:hAnsi="Arial" w:cs="Arial"/>
          <w:b w:val="0"/>
          <w:bCs w:val="0"/>
          <w:sz w:val="20"/>
          <w:szCs w:val="20"/>
        </w:rPr>
      </w:pPr>
      <w:r w:rsidRPr="4FFDE926" w:rsidR="6713F843">
        <w:rPr>
          <w:rFonts w:ascii="Arial" w:hAnsi="Arial" w:cs="Arial"/>
          <w:b w:val="0"/>
          <w:bCs w:val="0"/>
          <w:sz w:val="20"/>
          <w:szCs w:val="20"/>
        </w:rPr>
        <w:t xml:space="preserve">In this subsection, we present results from the temporal holdout test set (1st October 2022 to 1st January 2023). </w:t>
      </w:r>
      <w:r w:rsidRPr="4FFDE926" w:rsidR="0D3645C7">
        <w:rPr>
          <w:rFonts w:ascii="Arial" w:hAnsi="Arial" w:cs="Arial"/>
          <w:b w:val="0"/>
          <w:bCs w:val="0"/>
          <w:sz w:val="20"/>
          <w:szCs w:val="20"/>
        </w:rPr>
        <w:t>These are the conjugate plots for those presented in the main text results section. The temporal holdout is designed to emulate the real-</w:t>
      </w:r>
      <w:r w:rsidRPr="4FFDE926" w:rsidR="0D3645C7">
        <w:rPr>
          <w:rFonts w:ascii="Arial" w:hAnsi="Arial" w:cs="Arial"/>
          <w:b w:val="0"/>
          <w:bCs w:val="0"/>
          <w:sz w:val="20"/>
          <w:szCs w:val="20"/>
        </w:rPr>
        <w:t>world per</w:t>
      </w:r>
      <w:r w:rsidRPr="4FFDE926" w:rsidR="0D3645C7">
        <w:rPr>
          <w:rFonts w:ascii="Arial" w:hAnsi="Arial" w:cs="Arial"/>
          <w:b w:val="0"/>
          <w:bCs w:val="0"/>
          <w:sz w:val="20"/>
          <w:szCs w:val="20"/>
        </w:rPr>
        <w:t xml:space="preserve">formance of our model. </w:t>
      </w:r>
    </w:p>
    <w:p w:rsidR="4FFDE926" w:rsidP="4FFDE926" w:rsidRDefault="4FFDE926" w14:paraId="1AE2FCB4" w14:textId="13F3EA5F">
      <w:pPr>
        <w:pStyle w:val="Normal"/>
        <w:rPr>
          <w:rFonts w:ascii="Arial" w:hAnsi="Arial" w:cs="Arial"/>
          <w:b w:val="0"/>
          <w:bCs w:val="0"/>
          <w:sz w:val="20"/>
          <w:szCs w:val="20"/>
        </w:rPr>
      </w:pPr>
    </w:p>
    <w:p w:rsidR="7AB66F7B" w:rsidP="4FFDE926" w:rsidRDefault="7AB66F7B" w14:paraId="66925B9C" w14:textId="2B72D07A">
      <w:pPr>
        <w:pStyle w:val="Normal"/>
        <w:rPr>
          <w:rFonts w:ascii="Arial" w:hAnsi="Arial" w:eastAsia="Arial" w:cs="Arial"/>
          <w:sz w:val="20"/>
          <w:szCs w:val="20"/>
        </w:rPr>
      </w:pPr>
      <w:r w:rsidR="7AB66F7B">
        <w:drawing>
          <wp:inline wp14:editId="3E310025" wp14:anchorId="5DD627C1">
            <wp:extent cx="5724524" cy="1714500"/>
            <wp:effectExtent l="0" t="0" r="0" b="0"/>
            <wp:docPr id="667256377" name="" title=""/>
            <wp:cNvGraphicFramePr>
              <a:graphicFrameLocks noChangeAspect="1"/>
            </wp:cNvGraphicFramePr>
            <a:graphic>
              <a:graphicData uri="http://schemas.openxmlformats.org/drawingml/2006/picture">
                <pic:pic>
                  <pic:nvPicPr>
                    <pic:cNvPr id="0" name=""/>
                    <pic:cNvPicPr/>
                  </pic:nvPicPr>
                  <pic:blipFill>
                    <a:blip r:embed="R8fb4cbd5432b4c38">
                      <a:extLst>
                        <a:ext xmlns:a="http://schemas.openxmlformats.org/drawingml/2006/main" uri="{28A0092B-C50C-407E-A947-70E740481C1C}">
                          <a14:useLocalDpi val="0"/>
                        </a:ext>
                      </a:extLst>
                    </a:blip>
                    <a:stretch>
                      <a:fillRect/>
                    </a:stretch>
                  </pic:blipFill>
                  <pic:spPr>
                    <a:xfrm>
                      <a:off x="0" y="0"/>
                      <a:ext cx="5724524" cy="1714500"/>
                    </a:xfrm>
                    <a:prstGeom prst="rect">
                      <a:avLst/>
                    </a:prstGeom>
                  </pic:spPr>
                </pic:pic>
              </a:graphicData>
            </a:graphic>
          </wp:inline>
        </w:drawing>
      </w:r>
      <w:r w:rsidRPr="4FFDE926" w:rsidR="3DFF1FEA">
        <w:rPr>
          <w:rFonts w:ascii="Arial" w:hAnsi="Arial" w:eastAsia="Arial" w:cs="Arial"/>
          <w:b w:val="1"/>
          <w:bCs w:val="1"/>
          <w:sz w:val="20"/>
          <w:szCs w:val="20"/>
        </w:rPr>
        <w:t xml:space="preserve">Supplementary Figure </w:t>
      </w:r>
      <w:r w:rsidRPr="4FFDE926" w:rsidR="2ABC6D39">
        <w:rPr>
          <w:rFonts w:ascii="Arial" w:hAnsi="Arial" w:eastAsia="Arial" w:cs="Arial"/>
          <w:b w:val="1"/>
          <w:bCs w:val="1"/>
          <w:sz w:val="20"/>
          <w:szCs w:val="20"/>
        </w:rPr>
        <w:t>2</w:t>
      </w:r>
      <w:r w:rsidRPr="4FFDE926" w:rsidR="3DFF1FEA">
        <w:rPr>
          <w:rFonts w:ascii="Arial" w:hAnsi="Arial" w:eastAsia="Arial" w:cs="Arial"/>
          <w:sz w:val="20"/>
          <w:szCs w:val="20"/>
        </w:rPr>
        <w:t xml:space="preserve">: Performance of the machine learning model stratified by target class (i.e., discharge pathway) for the temporal holdout test set. The performance for each target class is given by the receiving operator curve (left) and precision-recall curve (right) with the Area Under the ROC and Average Precision (over all recall thresholds) annotated respectively with 95% confidence intervals given in square brackets. Both ROC and PR are evaluated using a One-vs-Rest (OVR) strategy for each target class. An equivalent plot for the </w:t>
      </w:r>
      <w:r w:rsidRPr="4FFDE926" w:rsidR="071D3834">
        <w:rPr>
          <w:rFonts w:ascii="Arial" w:hAnsi="Arial" w:eastAsia="Arial" w:cs="Arial"/>
          <w:sz w:val="20"/>
          <w:szCs w:val="20"/>
        </w:rPr>
        <w:t xml:space="preserve">patient </w:t>
      </w:r>
      <w:r w:rsidRPr="4FFDE926" w:rsidR="3DFF1FEA">
        <w:rPr>
          <w:rFonts w:ascii="Arial" w:hAnsi="Arial" w:eastAsia="Arial" w:cs="Arial"/>
          <w:sz w:val="20"/>
          <w:szCs w:val="20"/>
        </w:rPr>
        <w:t xml:space="preserve">holdout test set is given in </w:t>
      </w:r>
      <w:r w:rsidRPr="4FFDE926" w:rsidR="7BECC49A">
        <w:rPr>
          <w:rFonts w:ascii="Arial" w:hAnsi="Arial" w:eastAsia="Arial" w:cs="Arial"/>
          <w:sz w:val="20"/>
          <w:szCs w:val="20"/>
        </w:rPr>
        <w:t>Main T</w:t>
      </w:r>
      <w:r w:rsidRPr="4FFDE926" w:rsidR="5E32883E">
        <w:rPr>
          <w:rFonts w:ascii="Arial" w:hAnsi="Arial" w:eastAsia="Arial" w:cs="Arial"/>
          <w:sz w:val="20"/>
          <w:szCs w:val="20"/>
        </w:rPr>
        <w:t>e</w:t>
      </w:r>
      <w:r w:rsidRPr="4FFDE926" w:rsidR="7BECC49A">
        <w:rPr>
          <w:rFonts w:ascii="Arial" w:hAnsi="Arial" w:eastAsia="Arial" w:cs="Arial"/>
          <w:sz w:val="20"/>
          <w:szCs w:val="20"/>
        </w:rPr>
        <w:t xml:space="preserve">xt </w:t>
      </w:r>
      <w:r w:rsidRPr="4FFDE926" w:rsidR="3DFF1FEA">
        <w:rPr>
          <w:rFonts w:ascii="Arial" w:hAnsi="Arial" w:eastAsia="Arial" w:cs="Arial"/>
          <w:sz w:val="20"/>
          <w:szCs w:val="20"/>
        </w:rPr>
        <w:t>Figure</w:t>
      </w:r>
      <w:r w:rsidRPr="4FFDE926" w:rsidR="3DFF1FEA">
        <w:rPr>
          <w:rFonts w:ascii="Arial" w:hAnsi="Arial" w:eastAsia="Arial" w:cs="Arial"/>
          <w:sz w:val="20"/>
          <w:szCs w:val="20"/>
        </w:rPr>
        <w:t xml:space="preserve"> </w:t>
      </w:r>
      <w:r w:rsidRPr="4FFDE926" w:rsidR="2ABD43C0">
        <w:rPr>
          <w:rFonts w:ascii="Arial" w:hAnsi="Arial" w:eastAsia="Arial" w:cs="Arial"/>
          <w:sz w:val="20"/>
          <w:szCs w:val="20"/>
        </w:rPr>
        <w:t>4</w:t>
      </w:r>
      <w:r w:rsidRPr="4FFDE926" w:rsidR="3DFF1FEA">
        <w:rPr>
          <w:rFonts w:ascii="Arial" w:hAnsi="Arial" w:eastAsia="Arial" w:cs="Arial"/>
          <w:sz w:val="20"/>
          <w:szCs w:val="20"/>
        </w:rPr>
        <w:t>.</w:t>
      </w:r>
    </w:p>
    <w:p w:rsidR="031E4EA3" w:rsidP="4FFDE926" w:rsidRDefault="031E4EA3" w14:paraId="23CEEC2D" w14:textId="1D6CD28E">
      <w:pPr>
        <w:pStyle w:val="Normal"/>
        <w:jc w:val="center"/>
        <w:rPr>
          <w:rFonts w:ascii="Arial" w:hAnsi="Arial" w:eastAsia="Arial" w:cs="Arial"/>
          <w:sz w:val="20"/>
          <w:szCs w:val="20"/>
        </w:rPr>
      </w:pPr>
      <w:r w:rsidR="031E4EA3">
        <w:drawing>
          <wp:inline wp14:editId="097E00C4" wp14:anchorId="54B37EB6">
            <wp:extent cx="3288698" cy="2227122"/>
            <wp:effectExtent l="0" t="0" r="0" b="0"/>
            <wp:docPr id="49825497" name="" title=""/>
            <wp:cNvGraphicFramePr>
              <a:graphicFrameLocks noChangeAspect="1"/>
            </wp:cNvGraphicFramePr>
            <a:graphic>
              <a:graphicData uri="http://schemas.openxmlformats.org/drawingml/2006/picture">
                <pic:pic>
                  <pic:nvPicPr>
                    <pic:cNvPr id="0" name=""/>
                    <pic:cNvPicPr/>
                  </pic:nvPicPr>
                  <pic:blipFill>
                    <a:blip r:embed="R4eacc1f1f8bb4b58">
                      <a:extLst>
                        <a:ext xmlns:a="http://schemas.openxmlformats.org/drawingml/2006/main" uri="{28A0092B-C50C-407E-A947-70E740481C1C}">
                          <a14:useLocalDpi val="0"/>
                        </a:ext>
                      </a:extLst>
                    </a:blip>
                    <a:stretch>
                      <a:fillRect/>
                    </a:stretch>
                  </pic:blipFill>
                  <pic:spPr>
                    <a:xfrm>
                      <a:off x="0" y="0"/>
                      <a:ext cx="3288698" cy="2227122"/>
                    </a:xfrm>
                    <a:prstGeom prst="rect">
                      <a:avLst/>
                    </a:prstGeom>
                  </pic:spPr>
                </pic:pic>
              </a:graphicData>
            </a:graphic>
          </wp:inline>
        </w:drawing>
      </w:r>
    </w:p>
    <w:p w:rsidR="7F3DFCE6" w:rsidP="4FFDE926" w:rsidRDefault="7F3DFCE6" w14:paraId="341725B2" w14:textId="10163542">
      <w:pPr>
        <w:pStyle w:val="Normal"/>
        <w:rPr>
          <w:rFonts w:ascii="Arial" w:hAnsi="Arial" w:eastAsia="Arial" w:cs="Arial"/>
          <w:b w:val="0"/>
          <w:bCs w:val="0"/>
          <w:sz w:val="20"/>
          <w:szCs w:val="20"/>
        </w:rPr>
      </w:pPr>
      <w:r w:rsidRPr="4FFDE926" w:rsidR="7F3DFCE6">
        <w:rPr>
          <w:rFonts w:ascii="Arial" w:hAnsi="Arial" w:eastAsia="Arial" w:cs="Arial"/>
          <w:b w:val="1"/>
          <w:bCs w:val="1"/>
          <w:sz w:val="20"/>
          <w:szCs w:val="20"/>
        </w:rPr>
        <w:t xml:space="preserve">Supplementary Figure </w:t>
      </w:r>
      <w:r w:rsidRPr="4FFDE926" w:rsidR="40299816">
        <w:rPr>
          <w:rFonts w:ascii="Arial" w:hAnsi="Arial" w:eastAsia="Arial" w:cs="Arial"/>
          <w:b w:val="1"/>
          <w:bCs w:val="1"/>
          <w:sz w:val="20"/>
          <w:szCs w:val="20"/>
        </w:rPr>
        <w:t>3</w:t>
      </w:r>
      <w:r w:rsidRPr="4FFDE926" w:rsidR="7F3DFCE6">
        <w:rPr>
          <w:rFonts w:ascii="Arial" w:hAnsi="Arial" w:eastAsia="Arial" w:cs="Arial"/>
          <w:b w:val="0"/>
          <w:bCs w:val="0"/>
          <w:sz w:val="20"/>
          <w:szCs w:val="20"/>
        </w:rPr>
        <w:t xml:space="preserve">: </w:t>
      </w:r>
      <w:r w:rsidRPr="4FFDE926" w:rsidR="3C499DDD">
        <w:rPr>
          <w:rFonts w:ascii="Arial" w:hAnsi="Arial" w:eastAsia="Arial" w:cs="Arial"/>
          <w:b w:val="0"/>
          <w:bCs w:val="0"/>
          <w:sz w:val="20"/>
          <w:szCs w:val="20"/>
        </w:rPr>
        <w:t>Confusion matrix for the temporal holdout test set. The matrix shows the distribution of model prediction (columns) against the actual discharge (rows). In each square, the total counts and row normalised (i.e., by actual discharge) proportions are shown. An equivalent plot for the patient holdout test set is given in Main Text Figure 6.</w:t>
      </w:r>
    </w:p>
    <w:p w:rsidR="64C67A0E" w:rsidP="4FFDE926" w:rsidRDefault="64C67A0E" w14:paraId="6D4D9D95">
      <w:pPr>
        <w:pStyle w:val="Caption"/>
        <w:keepNext w:val="1"/>
        <w:rPr>
          <w:rFonts w:ascii="Arial" w:hAnsi="Arial" w:cs="Arial"/>
        </w:rPr>
      </w:pPr>
      <w:r w:rsidR="64C67A0E">
        <w:drawing>
          <wp:inline wp14:editId="6A3997E7" wp14:anchorId="50CE8182">
            <wp:extent cx="5721350" cy="3022600"/>
            <wp:effectExtent l="0" t="0" r="0" b="6350"/>
            <wp:docPr id="1740632472" name="Picture 14" title=""/>
            <wp:cNvGraphicFramePr>
              <a:graphicFrameLocks noChangeAspect="1"/>
            </wp:cNvGraphicFramePr>
            <a:graphic>
              <a:graphicData uri="http://schemas.openxmlformats.org/drawingml/2006/picture">
                <pic:pic>
                  <pic:nvPicPr>
                    <pic:cNvPr id="0" name="Picture 14"/>
                    <pic:cNvPicPr/>
                  </pic:nvPicPr>
                  <pic:blipFill>
                    <a:blip r:embed="R7caa532eb20246b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5721350" cy="30226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64C67A0E" w:rsidP="4FFDE926" w:rsidRDefault="64C67A0E" w14:paraId="170FCE9A" w14:textId="735C66D1">
      <w:pPr>
        <w:pStyle w:val="Caption"/>
        <w:rPr>
          <w:rFonts w:ascii="Arial" w:hAnsi="Arial" w:cs="Arial"/>
          <w:i w:val="0"/>
          <w:iCs w:val="0"/>
          <w:color w:val="auto"/>
          <w:sz w:val="20"/>
          <w:szCs w:val="20"/>
        </w:rPr>
      </w:pPr>
      <w:r w:rsidRPr="4FFDE926" w:rsidR="64C67A0E">
        <w:rPr>
          <w:rFonts w:ascii="Arial" w:hAnsi="Arial" w:cs="Arial"/>
          <w:b w:val="1"/>
          <w:bCs w:val="1"/>
          <w:i w:val="0"/>
          <w:iCs w:val="0"/>
          <w:color w:val="auto"/>
          <w:sz w:val="20"/>
          <w:szCs w:val="20"/>
        </w:rPr>
        <w:t>Supplementary Figure 4:</w:t>
      </w:r>
      <w:r w:rsidRPr="4FFDE926" w:rsidR="64C67A0E">
        <w:rPr>
          <w:rFonts w:ascii="Arial" w:hAnsi="Arial" w:cs="Arial"/>
          <w:i w:val="0"/>
          <w:iCs w:val="0"/>
          <w:color w:val="auto"/>
          <w:sz w:val="20"/>
          <w:szCs w:val="20"/>
        </w:rPr>
        <w:t xml:space="preserve"> Relative importance of admission characteristics for predicting discharge pathway in the temporal holdout test set. An equivalent plot is given for the patient holdout test set in  Figure 7 in the main text.</w:t>
      </w:r>
    </w:p>
    <w:p w:rsidR="4FFDE926" w:rsidRDefault="4FFDE926" w14:noSpellErr="1" w14:paraId="5ED0C1A6"/>
    <w:p w:rsidR="64C67A0E" w:rsidRDefault="64C67A0E" w14:paraId="6145E2B4" w14:textId="50AF59DF">
      <w:r w:rsidR="64C67A0E">
        <w:drawing>
          <wp:inline wp14:editId="7B701742" wp14:anchorId="7082CF1A">
            <wp:extent cx="5724525" cy="3750770"/>
            <wp:effectExtent l="0" t="0" r="0" b="0"/>
            <wp:docPr id="431586011" name="Picture 2" title=""/>
            <wp:cNvGraphicFramePr>
              <a:graphicFrameLocks noChangeAspect="1"/>
            </wp:cNvGraphicFramePr>
            <a:graphic>
              <a:graphicData uri="http://schemas.openxmlformats.org/drawingml/2006/picture">
                <pic:pic>
                  <pic:nvPicPr>
                    <pic:cNvPr id="0" name="Picture 2"/>
                    <pic:cNvPicPr/>
                  </pic:nvPicPr>
                  <pic:blipFill>
                    <a:blip r:embed="R0c20e0f6f2ad4897">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5724525" cy="375077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Pr="4FFDE926" w:rsidR="64C67A0E">
        <w:rPr>
          <w:rFonts w:ascii="Arial" w:hAnsi="Arial" w:cs="Arial"/>
          <w:b w:val="1"/>
          <w:bCs w:val="1"/>
          <w:sz w:val="20"/>
          <w:szCs w:val="20"/>
        </w:rPr>
        <w:t xml:space="preserve">Supplementary Figure 5: </w:t>
      </w:r>
      <w:r w:rsidRPr="4FFDE926" w:rsidR="64C67A0E">
        <w:rPr>
          <w:rFonts w:ascii="Arial" w:hAnsi="Arial" w:cs="Arial"/>
          <w:sz w:val="20"/>
          <w:szCs w:val="20"/>
        </w:rPr>
        <w:t xml:space="preserve">Relative importance of admission characteristics for predicting discharge pathway in the temporal holdout test set. </w:t>
      </w:r>
      <w:r w:rsidRPr="4FFDE926" w:rsidR="7835A4B0">
        <w:rPr>
          <w:rFonts w:ascii="Arial" w:hAnsi="Arial" w:cs="Arial"/>
          <w:sz w:val="20"/>
          <w:szCs w:val="20"/>
        </w:rPr>
        <w:t>An equivalent plot for the patient holdout test set is given in Suppl</w:t>
      </w:r>
      <w:r w:rsidRPr="4FFDE926" w:rsidR="7835A4B0">
        <w:rPr>
          <w:rFonts w:ascii="Arial" w:hAnsi="Arial" w:cs="Arial"/>
          <w:sz w:val="20"/>
          <w:szCs w:val="20"/>
        </w:rPr>
        <w:t>ementary Figure 1.</w:t>
      </w:r>
    </w:p>
    <w:p w:rsidR="4FFDE926" w:rsidP="4FFDE926" w:rsidRDefault="4FFDE926" w14:paraId="04C6D8A2" w14:textId="7F0C8D62">
      <w:pPr>
        <w:rPr>
          <w:rFonts w:ascii="Arial" w:hAnsi="Arial" w:cs="Arial"/>
          <w:sz w:val="20"/>
          <w:szCs w:val="20"/>
        </w:rPr>
      </w:pPr>
    </w:p>
    <w:p w:rsidR="2286DD5C" w:rsidP="4FFDE926" w:rsidRDefault="2286DD5C" w14:paraId="56401807" w14:textId="295D4F5B">
      <w:pPr>
        <w:pStyle w:val="Normal"/>
        <w:suppressLineNumbers w:val="0"/>
        <w:bidi w:val="0"/>
        <w:spacing w:before="0" w:beforeAutospacing="off" w:after="160" w:afterAutospacing="off" w:line="259" w:lineRule="auto"/>
        <w:ind w:left="0" w:right="0"/>
        <w:jc w:val="left"/>
        <w:rPr>
          <w:rFonts w:ascii="Arial" w:hAnsi="Arial" w:cs="Arial"/>
          <w:b w:val="0"/>
          <w:bCs w:val="0"/>
          <w:sz w:val="20"/>
          <w:szCs w:val="20"/>
        </w:rPr>
      </w:pPr>
      <w:r w:rsidR="2286DD5C">
        <w:drawing>
          <wp:inline wp14:editId="0F606A4F" wp14:anchorId="3CF9FF80">
            <wp:extent cx="5724524" cy="2190750"/>
            <wp:effectExtent l="0" t="0" r="0" b="0"/>
            <wp:docPr id="1086196644" name="" title=""/>
            <wp:cNvGraphicFramePr>
              <a:graphicFrameLocks noChangeAspect="1"/>
            </wp:cNvGraphicFramePr>
            <a:graphic>
              <a:graphicData uri="http://schemas.openxmlformats.org/drawingml/2006/picture">
                <pic:pic>
                  <pic:nvPicPr>
                    <pic:cNvPr id="0" name=""/>
                    <pic:cNvPicPr/>
                  </pic:nvPicPr>
                  <pic:blipFill>
                    <a:blip r:embed="R2d2d0037bc9a44f5">
                      <a:extLst>
                        <a:ext xmlns:a="http://schemas.openxmlformats.org/drawingml/2006/main" uri="{28A0092B-C50C-407E-A947-70E740481C1C}">
                          <a14:useLocalDpi val="0"/>
                        </a:ext>
                      </a:extLst>
                    </a:blip>
                    <a:stretch>
                      <a:fillRect/>
                    </a:stretch>
                  </pic:blipFill>
                  <pic:spPr>
                    <a:xfrm>
                      <a:off x="0" y="0"/>
                      <a:ext cx="5724524" cy="2190750"/>
                    </a:xfrm>
                    <a:prstGeom prst="rect">
                      <a:avLst/>
                    </a:prstGeom>
                  </pic:spPr>
                </pic:pic>
              </a:graphicData>
            </a:graphic>
          </wp:inline>
        </w:drawing>
      </w:r>
      <w:r w:rsidRPr="4FFDE926" w:rsidR="65B551E4">
        <w:rPr>
          <w:rFonts w:ascii="Arial" w:hAnsi="Arial" w:cs="Arial"/>
          <w:b w:val="1"/>
          <w:bCs w:val="1"/>
          <w:sz w:val="20"/>
          <w:szCs w:val="20"/>
        </w:rPr>
        <w:t>Supplementary Figure 6:</w:t>
      </w:r>
      <w:r w:rsidRPr="4FFDE926" w:rsidR="42334DA7">
        <w:rPr>
          <w:rFonts w:ascii="Arial" w:hAnsi="Arial" w:cs="Arial"/>
          <w:b w:val="1"/>
          <w:bCs w:val="1"/>
          <w:sz w:val="20"/>
          <w:szCs w:val="20"/>
        </w:rPr>
        <w:t xml:space="preserve"> </w:t>
      </w:r>
      <w:r w:rsidRPr="4FFDE926" w:rsidR="29FF52D0">
        <w:rPr>
          <w:rFonts w:ascii="Arial" w:hAnsi="Arial" w:cs="Arial"/>
          <w:b w:val="0"/>
          <w:bCs w:val="0"/>
          <w:sz w:val="20"/>
          <w:szCs w:val="20"/>
        </w:rPr>
        <w:t>Receiving Operating Characteristic (left) and Precision-Recall (right) curves for each of the machine learning model (solid mid red), clinical pathway updates made with the first 24 hours of the spell (dashed light red) and hybrid model (dot-dashed dark red)</w:t>
      </w:r>
      <w:r w:rsidRPr="4FFDE926" w:rsidR="1DED6430">
        <w:rPr>
          <w:rFonts w:ascii="Arial" w:hAnsi="Arial" w:cs="Arial"/>
          <w:b w:val="0"/>
          <w:bCs w:val="0"/>
          <w:sz w:val="20"/>
          <w:szCs w:val="20"/>
        </w:rPr>
        <w:t xml:space="preserve"> for the temporal holdout</w:t>
      </w:r>
      <w:r w:rsidRPr="4FFDE926" w:rsidR="29FF52D0">
        <w:rPr>
          <w:rFonts w:ascii="Arial" w:hAnsi="Arial" w:cs="Arial"/>
          <w:b w:val="0"/>
          <w:bCs w:val="0"/>
          <w:sz w:val="20"/>
          <w:szCs w:val="20"/>
        </w:rPr>
        <w:t>. An equivalent plot for the patient holdout test set is given in Main Text Figure 8.</w:t>
      </w:r>
    </w:p>
    <w:p w:rsidR="4FFDE926" w:rsidP="4FFDE926" w:rsidRDefault="4FFDE926" w14:paraId="542C396A" w14:textId="1F184685">
      <w:pPr>
        <w:pStyle w:val="Normal"/>
        <w:rPr>
          <w:rFonts w:ascii="Arial" w:hAnsi="Arial" w:cs="Arial"/>
          <w:b w:val="1"/>
          <w:bCs w:val="1"/>
          <w:sz w:val="20"/>
          <w:szCs w:val="20"/>
        </w:rPr>
      </w:pPr>
    </w:p>
    <w:p w:rsidR="1E7C73A7" w:rsidP="4FFDE926" w:rsidRDefault="1E7C73A7" w14:paraId="72689F47" w14:textId="22ED3B35">
      <w:pPr>
        <w:pStyle w:val="Normal"/>
      </w:pPr>
      <w:r w:rsidR="1E7C73A7">
        <w:drawing>
          <wp:inline wp14:editId="67970BBA" wp14:anchorId="04204175">
            <wp:extent cx="5724524" cy="1590675"/>
            <wp:effectExtent l="0" t="0" r="0" b="0"/>
            <wp:docPr id="1157983910" name="" title=""/>
            <wp:cNvGraphicFramePr>
              <a:graphicFrameLocks noChangeAspect="1"/>
            </wp:cNvGraphicFramePr>
            <a:graphic>
              <a:graphicData uri="http://schemas.openxmlformats.org/drawingml/2006/picture">
                <pic:pic>
                  <pic:nvPicPr>
                    <pic:cNvPr id="0" name=""/>
                    <pic:cNvPicPr/>
                  </pic:nvPicPr>
                  <pic:blipFill>
                    <a:blip r:embed="R9dc3c8120bc74ce3">
                      <a:extLst>
                        <a:ext xmlns:a="http://schemas.openxmlformats.org/drawingml/2006/main" uri="{28A0092B-C50C-407E-A947-70E740481C1C}">
                          <a14:useLocalDpi val="0"/>
                        </a:ext>
                      </a:extLst>
                    </a:blip>
                    <a:stretch>
                      <a:fillRect/>
                    </a:stretch>
                  </pic:blipFill>
                  <pic:spPr>
                    <a:xfrm>
                      <a:off x="0" y="0"/>
                      <a:ext cx="5724524" cy="1590675"/>
                    </a:xfrm>
                    <a:prstGeom prst="rect">
                      <a:avLst/>
                    </a:prstGeom>
                  </pic:spPr>
                </pic:pic>
              </a:graphicData>
            </a:graphic>
          </wp:inline>
        </w:drawing>
      </w:r>
      <w:r w:rsidRPr="4FFDE926" w:rsidR="1E7C73A7">
        <w:rPr>
          <w:b w:val="1"/>
          <w:bCs w:val="1"/>
        </w:rPr>
        <w:t>Supplementary Figure 7</w:t>
      </w:r>
      <w:r w:rsidR="1E7C73A7">
        <w:rPr/>
        <w:t>: Confusion matrices for the machine learning model (left), clinical pathway updates made within first 24 hours of spell (middle) and the hybrid model (right) for the temporal holdout test set. An equivalent plot for the patient holdout test set is given in Figure 9.</w:t>
      </w:r>
    </w:p>
    <w:p w:rsidR="4FFDE926" w:rsidP="4FFDE926" w:rsidRDefault="4FFDE926" w14:paraId="223A83FA" w14:textId="18AF0DDA">
      <w:pPr>
        <w:pStyle w:val="Normal"/>
        <w:rPr>
          <w:rFonts w:ascii="Arial" w:hAnsi="Arial" w:cs="Arial"/>
          <w:b w:val="1"/>
          <w:bCs w:val="1"/>
          <w:sz w:val="20"/>
          <w:szCs w:val="20"/>
        </w:rPr>
      </w:pPr>
    </w:p>
    <w:p w:rsidR="4FFDE926" w:rsidP="4FFDE926" w:rsidRDefault="4FFDE926" w14:paraId="4EF0AD0A" w14:textId="40684502">
      <w:pPr>
        <w:pStyle w:val="Normal"/>
        <w:rPr>
          <w:rFonts w:ascii="Arial" w:hAnsi="Arial" w:cs="Arial"/>
          <w:b w:val="1"/>
          <w:bCs w:val="1"/>
          <w:sz w:val="20"/>
          <w:szCs w:val="20"/>
        </w:rPr>
      </w:pPr>
    </w:p>
    <w:p w:rsidR="00DE33D9" w:rsidP="00DE33D9" w:rsidRDefault="00DE33D9" w14:paraId="4F8E7CA4" w14:textId="77777777"/>
    <w:p w:rsidRPr="00DE33D9" w:rsidR="00DE33D9" w:rsidP="00DE33D9" w:rsidRDefault="00DE33D9" w14:paraId="31185D83" w14:textId="77777777"/>
    <w:p w:rsidRPr="00FC57AA" w:rsidR="00587663" w:rsidP="00587663" w:rsidRDefault="00587663" w14:paraId="46122031" w14:textId="16FC5AEE">
      <w:pPr>
        <w:pStyle w:val="NormalWeb"/>
        <w:rPr>
          <w:rFonts w:ascii="Arial" w:hAnsi="Arial" w:cs="Arial"/>
          <w:sz w:val="20"/>
          <w:szCs w:val="20"/>
        </w:rPr>
      </w:pPr>
    </w:p>
    <w:sectPr w:rsidRPr="00FC57AA" w:rsidR="00587663">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E2318"/>
    <w:rsid w:val="000D08FB"/>
    <w:rsid w:val="0058433C"/>
    <w:rsid w:val="00587663"/>
    <w:rsid w:val="005B2C6F"/>
    <w:rsid w:val="008D1D0C"/>
    <w:rsid w:val="009D0295"/>
    <w:rsid w:val="009E2318"/>
    <w:rsid w:val="00AC6BE8"/>
    <w:rsid w:val="00B467B2"/>
    <w:rsid w:val="00C52145"/>
    <w:rsid w:val="00DD7171"/>
    <w:rsid w:val="00DE03B7"/>
    <w:rsid w:val="00DE33D9"/>
    <w:rsid w:val="00E463A4"/>
    <w:rsid w:val="00FC57AA"/>
    <w:rsid w:val="02BE67C4"/>
    <w:rsid w:val="031E4EA3"/>
    <w:rsid w:val="036DBEF8"/>
    <w:rsid w:val="066A8133"/>
    <w:rsid w:val="071D3834"/>
    <w:rsid w:val="07580DEA"/>
    <w:rsid w:val="0882F902"/>
    <w:rsid w:val="09D76983"/>
    <w:rsid w:val="0AC6CDB5"/>
    <w:rsid w:val="0CB77207"/>
    <w:rsid w:val="0D3645C7"/>
    <w:rsid w:val="0DEA11D3"/>
    <w:rsid w:val="13893EE5"/>
    <w:rsid w:val="14B38A91"/>
    <w:rsid w:val="14D99D8D"/>
    <w:rsid w:val="163F3407"/>
    <w:rsid w:val="1B0064F6"/>
    <w:rsid w:val="1C40B561"/>
    <w:rsid w:val="1C85BFE6"/>
    <w:rsid w:val="1DC63589"/>
    <w:rsid w:val="1DED6430"/>
    <w:rsid w:val="1E7C73A7"/>
    <w:rsid w:val="1FB73730"/>
    <w:rsid w:val="1FF3C3EA"/>
    <w:rsid w:val="2286DD5C"/>
    <w:rsid w:val="23564042"/>
    <w:rsid w:val="24E3F984"/>
    <w:rsid w:val="26DAFE1B"/>
    <w:rsid w:val="2760CA74"/>
    <w:rsid w:val="29FF52D0"/>
    <w:rsid w:val="2ABC6D39"/>
    <w:rsid w:val="2ABD43C0"/>
    <w:rsid w:val="2C490A17"/>
    <w:rsid w:val="2D2950A4"/>
    <w:rsid w:val="2DA3D499"/>
    <w:rsid w:val="2E5E2959"/>
    <w:rsid w:val="34E718EC"/>
    <w:rsid w:val="362866E7"/>
    <w:rsid w:val="36B6235A"/>
    <w:rsid w:val="38C47DB0"/>
    <w:rsid w:val="3B4A6381"/>
    <w:rsid w:val="3B5FAF6E"/>
    <w:rsid w:val="3C499DDD"/>
    <w:rsid w:val="3C608C37"/>
    <w:rsid w:val="3DFF1FEA"/>
    <w:rsid w:val="40299816"/>
    <w:rsid w:val="40419388"/>
    <w:rsid w:val="4096EA0D"/>
    <w:rsid w:val="40FDD690"/>
    <w:rsid w:val="41AD991B"/>
    <w:rsid w:val="42334DA7"/>
    <w:rsid w:val="4265B589"/>
    <w:rsid w:val="431C26B7"/>
    <w:rsid w:val="44379C67"/>
    <w:rsid w:val="44FE87CD"/>
    <w:rsid w:val="452BEF10"/>
    <w:rsid w:val="46AEC1D9"/>
    <w:rsid w:val="47A82FE4"/>
    <w:rsid w:val="482F4C3F"/>
    <w:rsid w:val="4C1E5E60"/>
    <w:rsid w:val="4E079784"/>
    <w:rsid w:val="4EB09E36"/>
    <w:rsid w:val="4F841C4F"/>
    <w:rsid w:val="4F8AC4D8"/>
    <w:rsid w:val="4FCD08C2"/>
    <w:rsid w:val="4FFDE926"/>
    <w:rsid w:val="53AF6199"/>
    <w:rsid w:val="5400CE15"/>
    <w:rsid w:val="578A501E"/>
    <w:rsid w:val="57FD4F4E"/>
    <w:rsid w:val="581484CE"/>
    <w:rsid w:val="5A9CDA67"/>
    <w:rsid w:val="5E32883E"/>
    <w:rsid w:val="5E5F7165"/>
    <w:rsid w:val="604E1F42"/>
    <w:rsid w:val="60A01190"/>
    <w:rsid w:val="619A39B9"/>
    <w:rsid w:val="62ABD7A4"/>
    <w:rsid w:val="638A2022"/>
    <w:rsid w:val="63BA3AAB"/>
    <w:rsid w:val="64C67A0E"/>
    <w:rsid w:val="65B551E4"/>
    <w:rsid w:val="66AF6C47"/>
    <w:rsid w:val="6713F843"/>
    <w:rsid w:val="6C445FA4"/>
    <w:rsid w:val="6DE6D9D5"/>
    <w:rsid w:val="724EA1D9"/>
    <w:rsid w:val="7324D6D2"/>
    <w:rsid w:val="75F6F4E4"/>
    <w:rsid w:val="77E1E4EF"/>
    <w:rsid w:val="7835A4B0"/>
    <w:rsid w:val="7AB66F7B"/>
    <w:rsid w:val="7BECC49A"/>
    <w:rsid w:val="7CA8EBBB"/>
    <w:rsid w:val="7DC2598E"/>
    <w:rsid w:val="7F3DF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0A680"/>
  <w15:chartTrackingRefBased/>
  <w15:docId w15:val="{E862719E-C63C-46DD-B13A-0CAA7689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C6BE8"/>
    <w:rPr>
      <w:kern w:val="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AC6BE8"/>
    <w:rPr>
      <w:color w:val="0563C1" w:themeColor="hyperlink"/>
      <w:u w:val="single"/>
    </w:rPr>
  </w:style>
  <w:style w:type="table" w:styleId="TableGrid">
    <w:name w:val="Table Grid"/>
    <w:basedOn w:val="TableNormal"/>
    <w:uiPriority w:val="39"/>
    <w:rsid w:val="00AC6BE8"/>
    <w:pPr>
      <w:spacing w:after="0" w:line="240" w:lineRule="auto"/>
    </w:pPr>
    <w:rPr>
      <w:kern w:val="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58433C"/>
    <w:pPr>
      <w:spacing w:after="200" w:line="240" w:lineRule="auto"/>
    </w:pPr>
    <w:rPr>
      <w:i/>
      <w:iCs/>
      <w:color w:val="44546A" w:themeColor="text2"/>
      <w:sz w:val="18"/>
      <w:szCs w:val="18"/>
    </w:rPr>
  </w:style>
  <w:style w:type="paragraph" w:styleId="NormalWeb">
    <w:name w:val="Normal (Web)"/>
    <w:basedOn w:val="Normal"/>
    <w:uiPriority w:val="99"/>
    <w:unhideWhenUsed/>
    <w:rsid w:val="00587663"/>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50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customXml" Target="../customXml/item3.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2.xml" Id="rId11" /><Relationship Type="http://schemas.openxmlformats.org/officeDocument/2006/relationships/customXml" Target="../customXml/item1.xml" Id="rId10" /><Relationship Type="http://schemas.openxmlformats.org/officeDocument/2006/relationships/hyperlink" Target="https://www.gov.uk/government/statistics/english-indices-of-deprivation-2019" TargetMode="External" Id="rId4" /><Relationship Type="http://schemas.openxmlformats.org/officeDocument/2006/relationships/theme" Target="theme/theme1.xml" Id="rId9" /><Relationship Type="http://schemas.openxmlformats.org/officeDocument/2006/relationships/image" Target="/media/image2.jpg" Id="Rffdef7cdd3a84363" /><Relationship Type="http://schemas.openxmlformats.org/officeDocument/2006/relationships/image" Target="/media/image3.png" Id="R8fb4cbd5432b4c38" /><Relationship Type="http://schemas.openxmlformats.org/officeDocument/2006/relationships/image" Target="/media/image4.png" Id="R4eacc1f1f8bb4b58" /><Relationship Type="http://schemas.openxmlformats.org/officeDocument/2006/relationships/image" Target="/media/image5.png" Id="R7caa532eb20246b9" /><Relationship Type="http://schemas.openxmlformats.org/officeDocument/2006/relationships/image" Target="/media/image6.png" Id="R0c20e0f6f2ad4897" /><Relationship Type="http://schemas.openxmlformats.org/officeDocument/2006/relationships/image" Target="/media/image7.png" Id="R2d2d0037bc9a44f5" /><Relationship Type="http://schemas.openxmlformats.org/officeDocument/2006/relationships/image" Target="/media/image8.png" Id="R9dc3c8120bc74ce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19E2B8AD0FE748A9B80E986B73C3FE" ma:contentTypeVersion="15" ma:contentTypeDescription="Create a new document." ma:contentTypeScope="" ma:versionID="071ad10950665bab988f96bbffa08da7">
  <xsd:schema xmlns:xsd="http://www.w3.org/2001/XMLSchema" xmlns:xs="http://www.w3.org/2001/XMLSchema" xmlns:p="http://schemas.microsoft.com/office/2006/metadata/properties" xmlns:ns2="0c59df78-d18e-4768-9863-ec1ff4c06e5d" xmlns:ns3="017a655b-c2d2-454d-8c03-d321f1c11440" targetNamespace="http://schemas.microsoft.com/office/2006/metadata/properties" ma:root="true" ma:fieldsID="415c4a224b4ec3e61c01b37e508647c6" ns2:_="" ns3:_="">
    <xsd:import namespace="0c59df78-d18e-4768-9863-ec1ff4c06e5d"/>
    <xsd:import namespace="017a655b-c2d2-454d-8c03-d321f1c114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9df78-d18e-4768-9863-ec1ff4c06e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7a655b-c2d2-454d-8c03-d321f1c114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2b6c37-8310-4213-b4dd-83f6beabeed8}" ma:internalName="TaxCatchAll" ma:showField="CatchAllData" ma:web="017a655b-c2d2-454d-8c03-d321f1c11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59df78-d18e-4768-9863-ec1ff4c06e5d">
      <Terms xmlns="http://schemas.microsoft.com/office/infopath/2007/PartnerControls"/>
    </lcf76f155ced4ddcb4097134ff3c332f>
    <TaxCatchAll xmlns="017a655b-c2d2-454d-8c03-d321f1c11440" xsi:nil="true"/>
  </documentManagement>
</p:properties>
</file>

<file path=customXml/itemProps1.xml><?xml version="1.0" encoding="utf-8"?>
<ds:datastoreItem xmlns:ds="http://schemas.openxmlformats.org/officeDocument/2006/customXml" ds:itemID="{40573ADF-702E-4B04-BF19-7309AE896F60}"/>
</file>

<file path=customXml/itemProps2.xml><?xml version="1.0" encoding="utf-8"?>
<ds:datastoreItem xmlns:ds="http://schemas.openxmlformats.org/officeDocument/2006/customXml" ds:itemID="{B6D9F645-0AC8-4EA8-8E0A-0C72321AD8F1}"/>
</file>

<file path=customXml/itemProps3.xml><?xml version="1.0" encoding="utf-8"?>
<ds:datastoreItem xmlns:ds="http://schemas.openxmlformats.org/officeDocument/2006/customXml" ds:itemID="{C695F78B-557C-4131-8F7C-DE7DAAF6B4E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 Duckworth</dc:creator>
  <keywords/>
  <dc:description/>
  <lastModifiedBy>Chris Duckworth</lastModifiedBy>
  <revision>17</revision>
  <dcterms:created xsi:type="dcterms:W3CDTF">2024-04-11T15:39:00.0000000Z</dcterms:created>
  <dcterms:modified xsi:type="dcterms:W3CDTF">2024-08-05T13:45:02.4771824Z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0x0101002C19E2B8AD0FE748A9B80E986B73C3FE</vt:lpwstr>
  </property>
  <property fmtid="{D5CDD505-2E9C-101B-9397-08002B2CF9AE}" pid="3" name="MediaServiceImageTags">
    <vt:lpwstr/>
  </property>
</Properties>
</file>