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70F6" w14:textId="77777777" w:rsidR="00A626EF" w:rsidRPr="00435C9B" w:rsidRDefault="00A626EF" w:rsidP="00A626EF">
      <w:pPr>
        <w:tabs>
          <w:tab w:val="left" w:pos="993"/>
        </w:tabs>
        <w:spacing w:line="360" w:lineRule="auto"/>
      </w:pPr>
      <w:r w:rsidRPr="00435C9B">
        <w:rPr>
          <w:noProof/>
        </w:rPr>
        <w:drawing>
          <wp:inline distT="0" distB="0" distL="0" distR="0" wp14:anchorId="27F14894" wp14:editId="6E7A1839">
            <wp:extent cx="5731510" cy="47802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9118" w14:textId="77777777" w:rsidR="00A626EF" w:rsidRPr="00A626EF" w:rsidRDefault="00A626EF" w:rsidP="00A626EF">
      <w:pPr>
        <w:tabs>
          <w:tab w:val="left" w:pos="993"/>
        </w:tabs>
        <w:spacing w:line="360" w:lineRule="auto"/>
        <w:rPr>
          <w:b/>
          <w:bCs/>
        </w:rPr>
      </w:pPr>
      <w:r w:rsidRPr="00A626EF">
        <w:rPr>
          <w:b/>
          <w:bCs/>
        </w:rPr>
        <w:t>Supplementary Figure 1. Heatmap depicting the pairwise correlations between lipids.</w:t>
      </w:r>
    </w:p>
    <w:p w14:paraId="572F05C8" w14:textId="77777777" w:rsidR="00A626EF" w:rsidRPr="00435C9B" w:rsidRDefault="00A626EF" w:rsidP="00A626EF">
      <w:pPr>
        <w:pStyle w:val="NormalWeb"/>
        <w:tabs>
          <w:tab w:val="left" w:pos="993"/>
        </w:tabs>
        <w:spacing w:before="0" w:beforeAutospacing="0" w:after="0" w:afterAutospacing="0" w:line="360" w:lineRule="auto"/>
      </w:pPr>
      <w:r w:rsidRPr="00435C9B">
        <w:t>CER= Ceramides; SM=Sphingomyelins; PA=Phosphatidic acids, PC=Phosphatidyl-</w:t>
      </w:r>
      <w:proofErr w:type="spellStart"/>
      <w:r w:rsidRPr="00435C9B">
        <w:t>cholines</w:t>
      </w:r>
      <w:proofErr w:type="spellEnd"/>
      <w:r w:rsidRPr="00435C9B">
        <w:t>, PI=Phosphatidyl-</w:t>
      </w:r>
      <w:proofErr w:type="spellStart"/>
      <w:r w:rsidRPr="00435C9B">
        <w:t>inositols</w:t>
      </w:r>
      <w:proofErr w:type="spellEnd"/>
      <w:r w:rsidRPr="00435C9B">
        <w:t>; PS= Phosphatidyl-</w:t>
      </w:r>
      <w:proofErr w:type="spellStart"/>
      <w:r w:rsidRPr="00435C9B">
        <w:t>serines</w:t>
      </w:r>
      <w:proofErr w:type="spellEnd"/>
      <w:r w:rsidRPr="00435C9B">
        <w:t>; PE=Phosphatidyl-</w:t>
      </w:r>
      <w:proofErr w:type="spellStart"/>
      <w:r w:rsidRPr="00435C9B">
        <w:t>ethanolamines</w:t>
      </w:r>
      <w:proofErr w:type="spellEnd"/>
      <w:r w:rsidRPr="00435C9B">
        <w:t>; TG=Triglycerides.</w:t>
      </w:r>
      <w:r w:rsidRPr="00435C9B" w:rsidDel="00D575A0">
        <w:t xml:space="preserve"> </w:t>
      </w:r>
    </w:p>
    <w:p w14:paraId="41FDAF1C" w14:textId="77777777" w:rsidR="00A626EF" w:rsidRPr="00435C9B" w:rsidRDefault="00A626EF" w:rsidP="00A626EF">
      <w:pPr>
        <w:pStyle w:val="NormalWeb"/>
        <w:tabs>
          <w:tab w:val="left" w:pos="993"/>
        </w:tabs>
        <w:spacing w:line="360" w:lineRule="auto"/>
      </w:pPr>
    </w:p>
    <w:p w14:paraId="3C339CC3" w14:textId="77777777" w:rsidR="00A626EF" w:rsidRPr="00435C9B" w:rsidRDefault="00A626EF" w:rsidP="00A626EF">
      <w:pPr>
        <w:tabs>
          <w:tab w:val="left" w:pos="993"/>
        </w:tabs>
        <w:spacing w:line="360" w:lineRule="auto"/>
      </w:pPr>
      <w:r w:rsidRPr="00435C9B">
        <w:rPr>
          <w:noProof/>
        </w:rPr>
        <w:lastRenderedPageBreak/>
        <w:drawing>
          <wp:inline distT="0" distB="0" distL="0" distR="0" wp14:anchorId="5D004754" wp14:editId="6EBD4ED5">
            <wp:extent cx="5731510" cy="346202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1CBA5" w14:textId="6D6C4ACA" w:rsidR="00A626EF" w:rsidRPr="00A626EF" w:rsidRDefault="00A626EF" w:rsidP="00A626EF">
      <w:pPr>
        <w:tabs>
          <w:tab w:val="left" w:pos="993"/>
        </w:tabs>
        <w:spacing w:line="360" w:lineRule="auto"/>
        <w:rPr>
          <w:b/>
          <w:bCs/>
        </w:rPr>
      </w:pPr>
      <w:r w:rsidRPr="00A626EF">
        <w:rPr>
          <w:b/>
          <w:bCs/>
        </w:rPr>
        <w:t xml:space="preserve">Supplementary Figure 2. Boxplots depicting raw lipid levels prior to QC in each brain region </w:t>
      </w:r>
      <w:r w:rsidR="00A16075">
        <w:rPr>
          <w:b/>
          <w:bCs/>
        </w:rPr>
        <w:t xml:space="preserve">(BA9 and Hippocampus) </w:t>
      </w:r>
      <w:r w:rsidRPr="00A626EF">
        <w:rPr>
          <w:b/>
          <w:bCs/>
        </w:rPr>
        <w:t>separately.</w:t>
      </w:r>
    </w:p>
    <w:p w14:paraId="7CBE3482" w14:textId="4E625096" w:rsidR="00A626EF" w:rsidRDefault="00A626EF" w:rsidP="00A626EF">
      <w:pPr>
        <w:tabs>
          <w:tab w:val="left" w:pos="993"/>
        </w:tabs>
        <w:spacing w:line="360" w:lineRule="auto"/>
      </w:pPr>
    </w:p>
    <w:p w14:paraId="2CBA6874" w14:textId="0645FB71" w:rsidR="00A16075" w:rsidRDefault="00A16075" w:rsidP="00A626EF">
      <w:pPr>
        <w:tabs>
          <w:tab w:val="left" w:pos="993"/>
        </w:tabs>
        <w:spacing w:line="360" w:lineRule="auto"/>
      </w:pPr>
    </w:p>
    <w:p w14:paraId="45CBD499" w14:textId="37A7D46A" w:rsidR="00A16075" w:rsidRDefault="00A16075" w:rsidP="00A626EF">
      <w:pPr>
        <w:tabs>
          <w:tab w:val="left" w:pos="993"/>
        </w:tabs>
        <w:spacing w:line="360" w:lineRule="auto"/>
      </w:pPr>
    </w:p>
    <w:p w14:paraId="3C8CB063" w14:textId="7C57A38C" w:rsidR="00A16075" w:rsidRDefault="00A16075" w:rsidP="00A626EF">
      <w:pPr>
        <w:tabs>
          <w:tab w:val="left" w:pos="993"/>
        </w:tabs>
        <w:spacing w:line="360" w:lineRule="auto"/>
      </w:pPr>
    </w:p>
    <w:p w14:paraId="492A2D0B" w14:textId="720ECA25" w:rsidR="00A16075" w:rsidRDefault="00A16075" w:rsidP="00A626EF">
      <w:pPr>
        <w:tabs>
          <w:tab w:val="left" w:pos="993"/>
        </w:tabs>
        <w:spacing w:line="360" w:lineRule="auto"/>
      </w:pPr>
    </w:p>
    <w:p w14:paraId="3C6DF4C3" w14:textId="6153B87A" w:rsidR="00A16075" w:rsidRDefault="00A16075" w:rsidP="00A626EF">
      <w:pPr>
        <w:tabs>
          <w:tab w:val="left" w:pos="993"/>
        </w:tabs>
        <w:spacing w:line="360" w:lineRule="auto"/>
      </w:pPr>
    </w:p>
    <w:p w14:paraId="63D8FFC7" w14:textId="16D95EDF" w:rsidR="00A16075" w:rsidRDefault="00A16075" w:rsidP="00A626EF">
      <w:pPr>
        <w:tabs>
          <w:tab w:val="left" w:pos="993"/>
        </w:tabs>
        <w:spacing w:line="360" w:lineRule="auto"/>
      </w:pPr>
    </w:p>
    <w:p w14:paraId="2C1941DE" w14:textId="6000A59B" w:rsidR="00A16075" w:rsidRDefault="00A16075" w:rsidP="00A626EF">
      <w:pPr>
        <w:tabs>
          <w:tab w:val="left" w:pos="993"/>
        </w:tabs>
        <w:spacing w:line="360" w:lineRule="auto"/>
      </w:pPr>
    </w:p>
    <w:p w14:paraId="13DE21D9" w14:textId="77777777" w:rsidR="00A16075" w:rsidRDefault="00A16075" w:rsidP="00A626EF">
      <w:pPr>
        <w:tabs>
          <w:tab w:val="left" w:pos="993"/>
        </w:tabs>
        <w:spacing w:line="360" w:lineRule="auto"/>
      </w:pPr>
    </w:p>
    <w:p w14:paraId="633F37B6" w14:textId="4377E86D" w:rsidR="00A16075" w:rsidRPr="00435C9B" w:rsidRDefault="00A16075" w:rsidP="00A626EF">
      <w:pPr>
        <w:tabs>
          <w:tab w:val="left" w:pos="993"/>
        </w:tabs>
        <w:spacing w:line="360" w:lineRule="auto"/>
      </w:pPr>
      <w:r w:rsidRPr="00A16075">
        <w:lastRenderedPageBreak/>
        <w:drawing>
          <wp:inline distT="0" distB="0" distL="0" distR="0" wp14:anchorId="6A1C72B7" wp14:editId="3A0AE0E4">
            <wp:extent cx="5731510" cy="2865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E6EC7" w14:textId="77777777" w:rsidR="00A16075" w:rsidRPr="00A16075" w:rsidRDefault="00A16075">
      <w:pPr>
        <w:rPr>
          <w:b/>
          <w:bCs/>
        </w:rPr>
      </w:pPr>
      <w:r w:rsidRPr="00A16075">
        <w:rPr>
          <w:b/>
          <w:bCs/>
        </w:rPr>
        <w:t xml:space="preserve">Supplementary Figure 3. Module preservation between BA9 and Hippocampus. </w:t>
      </w:r>
    </w:p>
    <w:p w14:paraId="5AA4BD91" w14:textId="4FCE26AB" w:rsidR="007925B0" w:rsidRDefault="00A16075">
      <w:r>
        <w:t>Module preservation statistics using a) BA9 as reference and b) Hippocampus as reference.</w:t>
      </w:r>
    </w:p>
    <w:sectPr w:rsidR="00792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F"/>
    <w:rsid w:val="00075A4E"/>
    <w:rsid w:val="00075F82"/>
    <w:rsid w:val="00097652"/>
    <w:rsid w:val="001E3935"/>
    <w:rsid w:val="00251C4E"/>
    <w:rsid w:val="00314616"/>
    <w:rsid w:val="003A2A53"/>
    <w:rsid w:val="005F697A"/>
    <w:rsid w:val="00621CC5"/>
    <w:rsid w:val="00641083"/>
    <w:rsid w:val="00651074"/>
    <w:rsid w:val="00673267"/>
    <w:rsid w:val="006F7BCD"/>
    <w:rsid w:val="00787EB5"/>
    <w:rsid w:val="007B15E6"/>
    <w:rsid w:val="007F5EB4"/>
    <w:rsid w:val="0088736B"/>
    <w:rsid w:val="008918E4"/>
    <w:rsid w:val="008D0B8D"/>
    <w:rsid w:val="009139B6"/>
    <w:rsid w:val="00A16075"/>
    <w:rsid w:val="00A626EF"/>
    <w:rsid w:val="00B27C19"/>
    <w:rsid w:val="00BE0150"/>
    <w:rsid w:val="00CD684B"/>
    <w:rsid w:val="00CD6F7A"/>
    <w:rsid w:val="00CE16C8"/>
    <w:rsid w:val="00DE4E06"/>
    <w:rsid w:val="00E807BD"/>
    <w:rsid w:val="00E84104"/>
    <w:rsid w:val="00ED1FD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16353"/>
  <w15:chartTrackingRefBased/>
  <w15:docId w15:val="{80145402-6C6D-0F4E-93F4-B91A9D5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E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6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Proitsi, Petroula</dc:creator>
  <cp:keywords/>
  <dc:description/>
  <cp:lastModifiedBy>Proitsi, Petroula</cp:lastModifiedBy>
  <cp:revision>2</cp:revision>
  <dcterms:created xsi:type="dcterms:W3CDTF">2024-07-30T21:31:00Z</dcterms:created>
  <dcterms:modified xsi:type="dcterms:W3CDTF">2024-07-30T21:58:00Z</dcterms:modified>
</cp:coreProperties>
</file>