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60"/>
        <w:tblW w:w="15797" w:type="dxa"/>
        <w:tblLayout w:type="fixed"/>
        <w:tblLook w:val="04A0" w:firstRow="1" w:lastRow="0" w:firstColumn="1" w:lastColumn="0" w:noHBand="0" w:noVBand="1"/>
      </w:tblPr>
      <w:tblGrid>
        <w:gridCol w:w="850"/>
        <w:gridCol w:w="624"/>
        <w:gridCol w:w="624"/>
        <w:gridCol w:w="907"/>
        <w:gridCol w:w="850"/>
        <w:gridCol w:w="1304"/>
        <w:gridCol w:w="340"/>
        <w:gridCol w:w="1644"/>
        <w:gridCol w:w="340"/>
        <w:gridCol w:w="340"/>
        <w:gridCol w:w="1702"/>
        <w:gridCol w:w="340"/>
        <w:gridCol w:w="313"/>
        <w:gridCol w:w="313"/>
        <w:gridCol w:w="313"/>
        <w:gridCol w:w="1871"/>
        <w:gridCol w:w="313"/>
        <w:gridCol w:w="313"/>
        <w:gridCol w:w="313"/>
        <w:gridCol w:w="340"/>
        <w:gridCol w:w="1843"/>
      </w:tblGrid>
      <w:tr w:rsidR="004D4173" w:rsidRPr="009E4C2D" w14:paraId="208C4EAB" w14:textId="77777777" w:rsidTr="00475916">
        <w:trPr>
          <w:cantSplit/>
          <w:trHeight w:val="2255"/>
        </w:trPr>
        <w:tc>
          <w:tcPr>
            <w:tcW w:w="850" w:type="dxa"/>
            <w:noWrap/>
            <w:textDirection w:val="btLr"/>
            <w:hideMark/>
          </w:tcPr>
          <w:p w14:paraId="227E487A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E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Lead author</w:t>
            </w:r>
          </w:p>
        </w:tc>
        <w:tc>
          <w:tcPr>
            <w:tcW w:w="624" w:type="dxa"/>
            <w:noWrap/>
            <w:textDirection w:val="btLr"/>
            <w:hideMark/>
          </w:tcPr>
          <w:p w14:paraId="61AF3208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624" w:type="dxa"/>
            <w:noWrap/>
            <w:textDirection w:val="btLr"/>
            <w:hideMark/>
          </w:tcPr>
          <w:p w14:paraId="191F4236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Location</w:t>
            </w:r>
          </w:p>
        </w:tc>
        <w:tc>
          <w:tcPr>
            <w:tcW w:w="907" w:type="dxa"/>
            <w:noWrap/>
            <w:textDirection w:val="btLr"/>
            <w:hideMark/>
          </w:tcPr>
          <w:p w14:paraId="5F3BDB4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Study population</w:t>
            </w:r>
          </w:p>
        </w:tc>
        <w:tc>
          <w:tcPr>
            <w:tcW w:w="850" w:type="dxa"/>
            <w:noWrap/>
            <w:textDirection w:val="btLr"/>
            <w:hideMark/>
          </w:tcPr>
          <w:p w14:paraId="1657D51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Specialty</w:t>
            </w:r>
          </w:p>
        </w:tc>
        <w:tc>
          <w:tcPr>
            <w:tcW w:w="1304" w:type="dxa"/>
            <w:textDirection w:val="btLr"/>
            <w:hideMark/>
          </w:tcPr>
          <w:p w14:paraId="4297745B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Study objective</w:t>
            </w:r>
          </w:p>
        </w:tc>
        <w:tc>
          <w:tcPr>
            <w:tcW w:w="340" w:type="dxa"/>
            <w:noWrap/>
            <w:textDirection w:val="btLr"/>
            <w:hideMark/>
          </w:tcPr>
          <w:p w14:paraId="47579116" w14:textId="01F6874C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Lit</w:t>
            </w:r>
            <w:r w:rsidR="00B53173">
              <w:rPr>
                <w:rFonts w:ascii="Times New Roman" w:hAnsi="Times New Roman" w:cs="Times New Roman"/>
                <w:b/>
                <w:bCs/>
                <w:sz w:val="20"/>
              </w:rPr>
              <w:t>erature</w:t>
            </w: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 xml:space="preserve"> review</w:t>
            </w:r>
          </w:p>
        </w:tc>
        <w:tc>
          <w:tcPr>
            <w:tcW w:w="1644" w:type="dxa"/>
            <w:noWrap/>
            <w:textDirection w:val="btLr"/>
            <w:hideMark/>
          </w:tcPr>
          <w:p w14:paraId="0565E48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Mapping process</w:t>
            </w:r>
          </w:p>
        </w:tc>
        <w:tc>
          <w:tcPr>
            <w:tcW w:w="340" w:type="dxa"/>
            <w:noWrap/>
            <w:textDirection w:val="btLr"/>
            <w:hideMark/>
          </w:tcPr>
          <w:p w14:paraId="30FC6888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Survey</w:t>
            </w:r>
          </w:p>
        </w:tc>
        <w:tc>
          <w:tcPr>
            <w:tcW w:w="340" w:type="dxa"/>
            <w:noWrap/>
            <w:textDirection w:val="btLr"/>
            <w:hideMark/>
          </w:tcPr>
          <w:p w14:paraId="5E42F54F" w14:textId="6D4B6F3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Group</w:t>
            </w:r>
            <w:r w:rsidR="00B53173">
              <w:rPr>
                <w:rFonts w:ascii="Times New Roman" w:hAnsi="Times New Roman" w:cs="Times New Roman"/>
                <w:b/>
                <w:bCs/>
                <w:sz w:val="20"/>
              </w:rPr>
              <w:t xml:space="preserve"> technique</w:t>
            </w:r>
          </w:p>
        </w:tc>
        <w:tc>
          <w:tcPr>
            <w:tcW w:w="1702" w:type="dxa"/>
            <w:noWrap/>
            <w:textDirection w:val="btLr"/>
            <w:hideMark/>
          </w:tcPr>
          <w:p w14:paraId="49C9B19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Delphi</w:t>
            </w:r>
          </w:p>
        </w:tc>
        <w:tc>
          <w:tcPr>
            <w:tcW w:w="340" w:type="dxa"/>
            <w:noWrap/>
            <w:textDirection w:val="btLr"/>
            <w:hideMark/>
          </w:tcPr>
          <w:p w14:paraId="59AFACA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Delphi rounds</w:t>
            </w:r>
          </w:p>
        </w:tc>
        <w:tc>
          <w:tcPr>
            <w:tcW w:w="313" w:type="dxa"/>
            <w:noWrap/>
            <w:textDirection w:val="btLr"/>
            <w:hideMark/>
          </w:tcPr>
          <w:p w14:paraId="43803E1E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Conference/workshop</w:t>
            </w:r>
          </w:p>
        </w:tc>
        <w:tc>
          <w:tcPr>
            <w:tcW w:w="313" w:type="dxa"/>
            <w:noWrap/>
            <w:textDirection w:val="btLr"/>
            <w:hideMark/>
          </w:tcPr>
          <w:p w14:paraId="29DBD380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NGT</w:t>
            </w:r>
          </w:p>
        </w:tc>
        <w:tc>
          <w:tcPr>
            <w:tcW w:w="313" w:type="dxa"/>
            <w:noWrap/>
            <w:textDirection w:val="btLr"/>
            <w:hideMark/>
          </w:tcPr>
          <w:p w14:paraId="714D9DBA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DACUM</w:t>
            </w:r>
          </w:p>
        </w:tc>
        <w:tc>
          <w:tcPr>
            <w:tcW w:w="1871" w:type="dxa"/>
            <w:noWrap/>
            <w:textDirection w:val="btLr"/>
            <w:hideMark/>
          </w:tcPr>
          <w:p w14:paraId="49A8ECAB" w14:textId="51560D5C" w:rsidR="00837ABC" w:rsidRPr="009E4C2D" w:rsidRDefault="00B53173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Stakeholder deliberation</w:t>
            </w:r>
          </w:p>
        </w:tc>
        <w:tc>
          <w:tcPr>
            <w:tcW w:w="313" w:type="dxa"/>
            <w:noWrap/>
            <w:textDirection w:val="btLr"/>
            <w:hideMark/>
          </w:tcPr>
          <w:p w14:paraId="708C3EF3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Interviews</w:t>
            </w:r>
          </w:p>
        </w:tc>
        <w:tc>
          <w:tcPr>
            <w:tcW w:w="313" w:type="dxa"/>
            <w:noWrap/>
            <w:textDirection w:val="btLr"/>
            <w:hideMark/>
          </w:tcPr>
          <w:p w14:paraId="4F57E08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Practice analysis</w:t>
            </w:r>
          </w:p>
        </w:tc>
        <w:tc>
          <w:tcPr>
            <w:tcW w:w="313" w:type="dxa"/>
            <w:noWrap/>
            <w:textDirection w:val="btLr"/>
            <w:hideMark/>
          </w:tcPr>
          <w:p w14:paraId="794D2C0C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Focus Groups</w:t>
            </w:r>
          </w:p>
        </w:tc>
        <w:tc>
          <w:tcPr>
            <w:tcW w:w="340" w:type="dxa"/>
            <w:noWrap/>
            <w:textDirection w:val="btLr"/>
            <w:hideMark/>
          </w:tcPr>
          <w:p w14:paraId="209FD17B" w14:textId="06921E44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Count</w:t>
            </w:r>
            <w:r w:rsidR="004D4173">
              <w:rPr>
                <w:rFonts w:ascii="Times New Roman" w:hAnsi="Times New Roman" w:cs="Times New Roman"/>
                <w:b/>
                <w:bCs/>
                <w:sz w:val="20"/>
              </w:rPr>
              <w:t xml:space="preserve"> of methods</w:t>
            </w:r>
          </w:p>
        </w:tc>
        <w:tc>
          <w:tcPr>
            <w:tcW w:w="1843" w:type="dxa"/>
            <w:textDirection w:val="btLr"/>
            <w:hideMark/>
          </w:tcPr>
          <w:p w14:paraId="2E341EBF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Outcomes</w:t>
            </w:r>
          </w:p>
        </w:tc>
      </w:tr>
      <w:tr w:rsidR="004D4173" w:rsidRPr="00837ABC" w14:paraId="6AFFBAFF" w14:textId="77777777" w:rsidTr="00B53173">
        <w:trPr>
          <w:cantSplit/>
          <w:trHeight w:val="6369"/>
        </w:trPr>
        <w:tc>
          <w:tcPr>
            <w:tcW w:w="850" w:type="dxa"/>
            <w:noWrap/>
          </w:tcPr>
          <w:p w14:paraId="41B2C253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Cicutto</w:t>
            </w:r>
          </w:p>
        </w:tc>
        <w:tc>
          <w:tcPr>
            <w:tcW w:w="624" w:type="dxa"/>
            <w:noWrap/>
          </w:tcPr>
          <w:p w14:paraId="01D5B995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2017</w:t>
            </w:r>
          </w:p>
        </w:tc>
        <w:tc>
          <w:tcPr>
            <w:tcW w:w="624" w:type="dxa"/>
            <w:noWrap/>
          </w:tcPr>
          <w:p w14:paraId="7F3D2AEB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USA</w:t>
            </w:r>
          </w:p>
        </w:tc>
        <w:tc>
          <w:tcPr>
            <w:tcW w:w="907" w:type="dxa"/>
            <w:noWrap/>
          </w:tcPr>
          <w:p w14:paraId="68A47680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Nursing</w:t>
            </w:r>
          </w:p>
        </w:tc>
        <w:tc>
          <w:tcPr>
            <w:tcW w:w="850" w:type="dxa"/>
            <w:noWrap/>
          </w:tcPr>
          <w:p w14:paraId="08630A75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School nursing</w:t>
            </w:r>
          </w:p>
        </w:tc>
        <w:tc>
          <w:tcPr>
            <w:tcW w:w="1304" w:type="dxa"/>
          </w:tcPr>
          <w:p w14:paraId="5A94EAF1" w14:textId="77777777" w:rsidR="00837ABC" w:rsidRPr="009E4C2D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Cs/>
                <w:sz w:val="20"/>
              </w:rPr>
              <w:t>The purpose of this article is to describe the development and application of a competency-based framework, which was subsequently used to develop and pilot a continuing education curriculum for school nurses</w:t>
            </w: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1E06017C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44" w:type="dxa"/>
            <w:noWrap/>
          </w:tcPr>
          <w:p w14:paraId="6773B508" w14:textId="6B57129A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 xml:space="preserve">The lens of two conceptual frameworks, the National Asthma Educator Certification Board, Certified Asthma Educator competency framework </w:t>
            </w:r>
            <w:r w:rsidR="009E4C2D">
              <w:rPr>
                <w:rFonts w:ascii="Times New Roman" w:hAnsi="Times New Roman" w:cs="Times New Roman"/>
                <w:bCs/>
                <w:sz w:val="20"/>
              </w:rPr>
              <w:t xml:space="preserve">and the healthy learner model </w:t>
            </w:r>
            <w:r w:rsidRPr="00837ABC">
              <w:rPr>
                <w:rFonts w:ascii="Times New Roman" w:hAnsi="Times New Roman" w:cs="Times New Roman"/>
                <w:bCs/>
                <w:sz w:val="20"/>
              </w:rPr>
              <w:t>were used to inform the development of our competency-based asthma care in school settings framework</w:t>
            </w: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5CF4DC94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38BF1074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02" w:type="dxa"/>
            <w:noWrap/>
          </w:tcPr>
          <w:p w14:paraId="14E70131" w14:textId="06FF2E8B" w:rsidR="00837ABC" w:rsidRPr="00837ABC" w:rsidRDefault="009E4C2D" w:rsidP="009E4C2D">
            <w:pPr>
              <w:rPr>
                <w:rFonts w:ascii="Times New Roman" w:hAnsi="Times New Roman" w:cs="Times New Roman"/>
                <w:sz w:val="20"/>
              </w:rPr>
            </w:pPr>
            <w:r w:rsidRPr="009E4C2D">
              <w:rPr>
                <w:rFonts w:ascii="Times New Roman" w:hAnsi="Times New Roman" w:cs="Times New Roman"/>
                <w:sz w:val="20"/>
              </w:rPr>
              <w:t>A modified Delphi was used to inform the development of the Colorado competency framework.</w:t>
            </w:r>
          </w:p>
        </w:tc>
        <w:tc>
          <w:tcPr>
            <w:tcW w:w="340" w:type="dxa"/>
            <w:noWrap/>
          </w:tcPr>
          <w:p w14:paraId="7D25807A" w14:textId="2E9FD379" w:rsidR="00837ABC" w:rsidRPr="00837ABC" w:rsidRDefault="004D4173" w:rsidP="009E4C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22BEB3B2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09007262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7130CE59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noWrap/>
          </w:tcPr>
          <w:p w14:paraId="786927BC" w14:textId="7CAA28A6" w:rsidR="00837ABC" w:rsidRPr="00837ABC" w:rsidRDefault="009E4C2D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he selection of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panellist members...</w:t>
            </w:r>
            <w:r>
              <w:t xml:space="preserve"> 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</w:rPr>
              <w:t>ncluded school health leaders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 regional sch</w:t>
            </w:r>
            <w:r>
              <w:rPr>
                <w:rFonts w:ascii="Times New Roman" w:hAnsi="Times New Roman" w:cs="Times New Roman"/>
                <w:bCs/>
                <w:sz w:val="20"/>
              </w:rPr>
              <w:t>ool health nurse consultants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 chronic dise</w:t>
            </w:r>
            <w:r>
              <w:rPr>
                <w:rFonts w:ascii="Times New Roman" w:hAnsi="Times New Roman" w:cs="Times New Roman"/>
                <w:bCs/>
                <w:sz w:val="20"/>
              </w:rPr>
              <w:t>ase school nurse specialists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school nurses, UAP, school secretaries, and asthma specialists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; and nurse practiti</w:t>
            </w:r>
            <w:r>
              <w:rPr>
                <w:rFonts w:ascii="Times New Roman" w:hAnsi="Times New Roman" w:cs="Times New Roman"/>
                <w:bCs/>
                <w:sz w:val="20"/>
              </w:rPr>
              <w:t>oner, physician assistant, med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ical assistants, and certified asthma educators with experience working in school settings</w:t>
            </w: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75265DCA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5BE91062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17265F23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0" w:type="dxa"/>
            <w:noWrap/>
          </w:tcPr>
          <w:p w14:paraId="361C8BE5" w14:textId="4B29E5B3" w:rsidR="00837ABC" w:rsidRPr="00837ABC" w:rsidRDefault="004D4173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1843" w:type="dxa"/>
          </w:tcPr>
          <w:p w14:paraId="3E981238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  <w:r w:rsidRPr="00837ABC">
              <w:rPr>
                <w:rFonts w:ascii="Times New Roman" w:hAnsi="Times New Roman" w:cs="Times New Roman"/>
                <w:sz w:val="20"/>
              </w:rPr>
              <w:t>The end product of the modified Delphi, described above, was the development of the Colorado Competency Framework for Asthma Care in Schools. This framework was used to develop and pilot a curriculum to support the attainment of minimum competencies for school nurses.</w:t>
            </w:r>
          </w:p>
        </w:tc>
      </w:tr>
    </w:tbl>
    <w:p w14:paraId="4B097431" w14:textId="77777777" w:rsidR="008B619D" w:rsidRPr="008B619D" w:rsidRDefault="008B619D" w:rsidP="009E4C2D">
      <w:pPr>
        <w:rPr>
          <w:rFonts w:ascii="Times New Roman" w:hAnsi="Times New Roman" w:cs="Times New Roman"/>
          <w:b/>
        </w:rPr>
      </w:pPr>
    </w:p>
    <w:sectPr w:rsidR="008B619D" w:rsidRPr="008B619D" w:rsidSect="004D4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0A2B" w14:textId="77777777" w:rsidR="00837ABC" w:rsidRDefault="00837ABC" w:rsidP="00837ABC">
      <w:pPr>
        <w:spacing w:after="0" w:line="240" w:lineRule="auto"/>
      </w:pPr>
      <w:r>
        <w:separator/>
      </w:r>
    </w:p>
  </w:endnote>
  <w:endnote w:type="continuationSeparator" w:id="0">
    <w:p w14:paraId="7D5FE1FD" w14:textId="77777777" w:rsidR="00837ABC" w:rsidRDefault="00837ABC" w:rsidP="008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CFAD" w14:textId="77777777" w:rsidR="00B73F48" w:rsidRDefault="00B73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3A00" w14:textId="1C26C8E4" w:rsidR="002D7B7E" w:rsidRPr="002D7B7E" w:rsidRDefault="00B73F48">
    <w:pPr>
      <w:pStyle w:val="Footer"/>
      <w:rPr>
        <w:lang w:val="en-CA"/>
      </w:rPr>
    </w:pPr>
    <w:r>
      <w:rPr>
        <w:lang w:val="en-CA"/>
      </w:rPr>
      <w:t>NGT =</w:t>
    </w:r>
    <w:r w:rsidR="002D7B7E">
      <w:rPr>
        <w:lang w:val="en-CA"/>
      </w:rPr>
      <w:t xml:space="preserve"> nominal group technique; DACUM = ‘Develop a curriculum’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F451" w14:textId="77777777" w:rsidR="00B73F48" w:rsidRDefault="00B73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BD20" w14:textId="77777777" w:rsidR="00837ABC" w:rsidRDefault="00837ABC" w:rsidP="00837ABC">
      <w:pPr>
        <w:spacing w:after="0" w:line="240" w:lineRule="auto"/>
      </w:pPr>
      <w:r>
        <w:separator/>
      </w:r>
    </w:p>
  </w:footnote>
  <w:footnote w:type="continuationSeparator" w:id="0">
    <w:p w14:paraId="7339FBB6" w14:textId="77777777" w:rsidR="00837ABC" w:rsidRDefault="00837ABC" w:rsidP="008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6697" w14:textId="77777777" w:rsidR="00B73F48" w:rsidRDefault="00B73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AA7C" w14:textId="77777777" w:rsidR="00837ABC" w:rsidRPr="00D67D4D" w:rsidRDefault="00837ABC" w:rsidP="00837AB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Appendix II</w:t>
    </w:r>
  </w:p>
  <w:p w14:paraId="053C4532" w14:textId="77777777" w:rsidR="00837ABC" w:rsidRDefault="00837ABC" w:rsidP="00837ABC">
    <w:pPr>
      <w:rPr>
        <w:rFonts w:ascii="Times New Roman" w:hAnsi="Times New Roman" w:cs="Times New Roman"/>
        <w:b/>
        <w:sz w:val="24"/>
      </w:rPr>
    </w:pPr>
    <w:r w:rsidRPr="001661A7">
      <w:rPr>
        <w:rFonts w:ascii="Times New Roman" w:hAnsi="Times New Roman" w:cs="Times New Roman"/>
        <w:b/>
        <w:sz w:val="24"/>
      </w:rPr>
      <w:t xml:space="preserve">Table </w:t>
    </w:r>
    <w:r>
      <w:rPr>
        <w:rFonts w:ascii="Times New Roman" w:hAnsi="Times New Roman" w:cs="Times New Roman"/>
        <w:b/>
        <w:sz w:val="24"/>
      </w:rPr>
      <w:t>3A. Coding template</w:t>
    </w:r>
    <w:r w:rsidRPr="001661A7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>with example</w:t>
    </w:r>
  </w:p>
  <w:p w14:paraId="2CBF1C6A" w14:textId="77777777" w:rsidR="00837ABC" w:rsidRDefault="00837AB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A55BD" w14:textId="77777777" w:rsidR="00B73F48" w:rsidRDefault="00B73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82"/>
    <w:rsid w:val="00002AE5"/>
    <w:rsid w:val="00041310"/>
    <w:rsid w:val="000E0074"/>
    <w:rsid w:val="001661A7"/>
    <w:rsid w:val="001A1EBB"/>
    <w:rsid w:val="001A5C81"/>
    <w:rsid w:val="001C177D"/>
    <w:rsid w:val="001E7A8B"/>
    <w:rsid w:val="00204282"/>
    <w:rsid w:val="00222DD4"/>
    <w:rsid w:val="00275DF3"/>
    <w:rsid w:val="00295E5C"/>
    <w:rsid w:val="002D7B7E"/>
    <w:rsid w:val="00327FB0"/>
    <w:rsid w:val="003A6DDF"/>
    <w:rsid w:val="00403B1C"/>
    <w:rsid w:val="00413B07"/>
    <w:rsid w:val="0041513C"/>
    <w:rsid w:val="004340BF"/>
    <w:rsid w:val="004368D4"/>
    <w:rsid w:val="004454C6"/>
    <w:rsid w:val="00475916"/>
    <w:rsid w:val="004868C0"/>
    <w:rsid w:val="004D4173"/>
    <w:rsid w:val="00531AAE"/>
    <w:rsid w:val="00594461"/>
    <w:rsid w:val="005C03EB"/>
    <w:rsid w:val="006A47C0"/>
    <w:rsid w:val="006A575C"/>
    <w:rsid w:val="00770224"/>
    <w:rsid w:val="00785878"/>
    <w:rsid w:val="0083343E"/>
    <w:rsid w:val="00834F14"/>
    <w:rsid w:val="00837ABC"/>
    <w:rsid w:val="0086559D"/>
    <w:rsid w:val="008B619D"/>
    <w:rsid w:val="008E2C4B"/>
    <w:rsid w:val="0096043A"/>
    <w:rsid w:val="00972347"/>
    <w:rsid w:val="009C1B50"/>
    <w:rsid w:val="009E4C2D"/>
    <w:rsid w:val="00A07788"/>
    <w:rsid w:val="00A63DB9"/>
    <w:rsid w:val="00AC62CA"/>
    <w:rsid w:val="00B53173"/>
    <w:rsid w:val="00B73F48"/>
    <w:rsid w:val="00B934CC"/>
    <w:rsid w:val="00C655EB"/>
    <w:rsid w:val="00CB7167"/>
    <w:rsid w:val="00CC5AEE"/>
    <w:rsid w:val="00D04253"/>
    <w:rsid w:val="00D06B2F"/>
    <w:rsid w:val="00D47CCA"/>
    <w:rsid w:val="00D67D4D"/>
    <w:rsid w:val="00DA3998"/>
    <w:rsid w:val="00DD5F7B"/>
    <w:rsid w:val="00DF4458"/>
    <w:rsid w:val="00E62C6C"/>
    <w:rsid w:val="00E87A03"/>
    <w:rsid w:val="00ED224B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B67B"/>
  <w15:chartTrackingRefBased/>
  <w15:docId w15:val="{091BC96B-1210-40E5-9D97-0C39EA0E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4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4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3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15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O'DOWD, EMILY</dc:creator>
  <cp:keywords/>
  <dc:description/>
  <cp:lastModifiedBy>Alan M. Batt</cp:lastModifiedBy>
  <cp:revision>6</cp:revision>
  <dcterms:created xsi:type="dcterms:W3CDTF">2019-05-30T15:20:00Z</dcterms:created>
  <dcterms:modified xsi:type="dcterms:W3CDTF">2019-10-23T16:27:00Z</dcterms:modified>
</cp:coreProperties>
</file>