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9D241" w14:textId="7A101C2E" w:rsidR="00ED06A9" w:rsidRDefault="00ED06A9" w:rsidP="00A4735F">
      <w:pPr>
        <w:rPr>
          <w:b/>
          <w:iCs/>
        </w:rPr>
      </w:pPr>
      <w:bookmarkStart w:id="0" w:name="_GoBack"/>
      <w:bookmarkEnd w:id="0"/>
      <w:r w:rsidRPr="00ED06A9">
        <w:rPr>
          <w:b/>
          <w:iCs/>
        </w:rPr>
        <w:t>Supplementary Information</w:t>
      </w:r>
    </w:p>
    <w:p w14:paraId="7B3CCB05" w14:textId="3285BFAB" w:rsidR="00A4735F" w:rsidRPr="0052414F" w:rsidRDefault="0052414F" w:rsidP="00A4735F">
      <w:pPr>
        <w:rPr>
          <w:b/>
          <w:iCs/>
        </w:rPr>
      </w:pPr>
      <w:r>
        <w:rPr>
          <w:b/>
          <w:iCs/>
          <w:noProof/>
        </w:rPr>
        <w:drawing>
          <wp:inline distT="0" distB="0" distL="0" distR="0" wp14:anchorId="2DD5609B" wp14:editId="0C32CA31">
            <wp:extent cx="5943600" cy="3301365"/>
            <wp:effectExtent l="0" t="0" r="0" b="0"/>
            <wp:docPr id="3" name="Picture 3" descr="A picture containing table, cake, small,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adLocations_ZoomedOut_Transparent_Angl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01365"/>
                    </a:xfrm>
                    <a:prstGeom prst="rect">
                      <a:avLst/>
                    </a:prstGeom>
                  </pic:spPr>
                </pic:pic>
              </a:graphicData>
            </a:graphic>
          </wp:inline>
        </w:drawing>
      </w:r>
    </w:p>
    <w:p w14:paraId="664567F0" w14:textId="79E9BE29" w:rsidR="00A4735F" w:rsidRDefault="00A4735F" w:rsidP="00A4735F">
      <w:pPr>
        <w:rPr>
          <w:b/>
          <w:i/>
        </w:rPr>
      </w:pPr>
      <w:r w:rsidRPr="00ED06A9">
        <w:rPr>
          <w:b/>
          <w:i/>
        </w:rPr>
        <w:t xml:space="preserve">Figure S1. </w:t>
      </w:r>
      <w:r w:rsidR="00722B2D">
        <w:rPr>
          <w:b/>
          <w:i/>
        </w:rPr>
        <w:t>Reconstructed</w:t>
      </w:r>
      <w:r w:rsidRPr="00ED06A9">
        <w:rPr>
          <w:b/>
          <w:i/>
        </w:rPr>
        <w:t xml:space="preserve"> </w:t>
      </w:r>
      <w:r w:rsidR="00722B2D">
        <w:rPr>
          <w:b/>
          <w:i/>
        </w:rPr>
        <w:t xml:space="preserve">STN </w:t>
      </w:r>
      <w:r w:rsidRPr="00ED06A9">
        <w:rPr>
          <w:b/>
          <w:i/>
        </w:rPr>
        <w:t xml:space="preserve">DBS lead locations </w:t>
      </w:r>
      <w:r w:rsidR="00722B2D">
        <w:rPr>
          <w:b/>
          <w:i/>
        </w:rPr>
        <w:t>for twenty-four STNs</w:t>
      </w:r>
      <w:r w:rsidRPr="00ED06A9">
        <w:rPr>
          <w:b/>
          <w:i/>
        </w:rPr>
        <w:t xml:space="preserve"> </w:t>
      </w:r>
    </w:p>
    <w:p w14:paraId="173136CA" w14:textId="77777777" w:rsidR="004A3E7F" w:rsidRPr="00ED06A9" w:rsidRDefault="004A3E7F" w:rsidP="00A4735F">
      <w:pPr>
        <w:rPr>
          <w:b/>
          <w:i/>
        </w:rPr>
      </w:pPr>
    </w:p>
    <w:p w14:paraId="7EE333F4" w14:textId="77777777" w:rsidR="004A3E7F" w:rsidRPr="004A3E7F" w:rsidRDefault="004A3E7F" w:rsidP="004A3E7F">
      <w:pPr>
        <w:spacing w:line="480" w:lineRule="auto"/>
        <w:rPr>
          <w:b/>
          <w:bCs/>
        </w:rPr>
      </w:pPr>
      <w:r w:rsidRPr="004A3E7F">
        <w:rPr>
          <w:b/>
          <w:bCs/>
        </w:rPr>
        <w:t>Localization of DBS Leads</w:t>
      </w:r>
    </w:p>
    <w:p w14:paraId="6D4D0C9A" w14:textId="77777777" w:rsidR="004A3E7F" w:rsidRPr="004A3E7F" w:rsidRDefault="004A3E7F" w:rsidP="004A3E7F">
      <w:pPr>
        <w:spacing w:line="480" w:lineRule="auto"/>
      </w:pPr>
      <w:r w:rsidRPr="004A3E7F">
        <w:t xml:space="preserve">Location of DBS leads was determined by the Lead-DBS toolbox </w:t>
      </w:r>
      <w:r w:rsidRPr="004A3E7F">
        <w:fldChar w:fldCharType="begin"/>
      </w:r>
      <w:r w:rsidRPr="004A3E7F">
        <w:instrText xml:space="preserve"> ADDIN ZOTERO_ITEM CSL_CITATION {"citationID":"0jovTsYR","properties":{"formattedCitation":"(Horn {\\i{}et al.}, 2019)","plainCitation":"(Horn et al., 2019)","noteIndex":0},"citationItems":[{"id":235,"uris":["http://zotero.org/users/local/m0MXAstR/items/XMFTYAWQ"],"uri":["http://zotero.org/users/local/m0MXAstR/items/XMFTYAWQ"],"itemData":{"id":235,"type":"article-journal","abstract":"Deep brain stimulation (DBS) is a highly efficacious treatment option for movement disorders and a growing number of other indications are investigated in clinical trials. To ensure optimal treatment outcome, exact electrode placement is required. Moreover, to analyze the relationship between electrode location and clinical results, a precise reconstruction of electrode placement is required, posing specific challenges to the field of neuroimaging. Since 2014 the open source toolbox Lead-DBS is available, which aims at facilitating this process. The tool has since become a popular platform for DBS imaging. With support of a broad community of researchers worldwide, methods have been continuously updated and complemented by new tools for tasks such as multispectral nonlinear registration, structural/functional connectivity analyses, brain shift correction, reconstruction of microelectrode recordings and orientation detection of segmented DBS leads. The rapid development and emergence of these methods in DBS data analysis require us to revisit and revise the pipelines introduced in the original methods publication. Here we demonstrate the updated DBS and connectome pipelines of Lead-DBS using a single patient example with state-of-the-art high-field imaging as well as a retrospective cohort of patients scanned in a typical clinical setting at 1.5T. Imaging data of the 3T example patient is co-registered using five algorithms and nonlinearly warped into template space using ten approaches for comparative purposes. After reconstruction of DBS electrodes (which is possible using three methods and a specific refinement tool), the volume of tissue activated is calculated for two DBS settings using four distinct models and various parameters. Finally, four whole-brain tractography algorithms are applied to the patient‘s preoperative diffusion MRI data and structural as well as functional connectivity between the stimulation volume and other brain areas are estimated using a total of eight approaches and datasets. In addition, we demonstrate impact of selected preprocessing strategies on the retrospective sample of 51 PD patients. We compare the amount of variance in clinical improvement that can be explained by the computer model depending on the preprocessing method of choice. This work represents a multi-institutional collaborative effort to develop a comprehensive, open source pipeline for DBS imaging and connectomics, which has already empowered several studies, and may facilitate a variety of future studies in the field.","container-title":"NeuroImage","DOI":"10.1016/j.neuroimage.2018.08.068","ISSN":"1053-8119","journalAbbreviation":"NeuroImage","language":"en","page":"293-316","source":"ScienceDirect","title":"Lead-DBS v2: Towards a comprehensive pipeline for deep brain stimulation imaging","title-short":"Lead-DBS v2","volume":"184","author":[{"family":"Horn","given":"Andreas"},{"family":"Li","given":"Ningfei"},{"family":"Dembek","given":"Till A."},{"family":"Kappel","given":"Ari"},{"family":"Boulay","given":"Chadwick"},{"family":"Ewert","given":"Siobhan"},{"family":"Tietze","given":"Anna"},{"family":"Husch","given":"Andreas"},{"family":"Perera","given":"Thushara"},{"family":"Neumann","given":"Wolf-Julian"},{"family":"Reisert","given":"Marco"},{"family":"Si","given":"Hang"},{"family":"Oostenveld","given":"Robert"},{"family":"Rorden","given":"Christopher"},{"family":"Yeh","given":"Fang-Cheng"},{"family":"Fang","given":"Qianqian"},{"family":"Herrington","given":"Todd M."},{"family":"Vorwerk","given":"Johannes"},{"family":"Kühn","given":"Andrea A."}],"issued":{"date-parts":[["2019",1,1]]}}}],"schema":"https://github.com/citation-style-language/schema/raw/master/csl-citation.json"} </w:instrText>
      </w:r>
      <w:r w:rsidRPr="004A3E7F">
        <w:fldChar w:fldCharType="separate"/>
      </w:r>
      <w:r w:rsidRPr="004A3E7F">
        <w:t>(Horn et al., 2019)</w:t>
      </w:r>
      <w:r w:rsidRPr="004A3E7F">
        <w:fldChar w:fldCharType="end"/>
      </w:r>
      <w:r w:rsidRPr="004A3E7F">
        <w:t xml:space="preserve"> based on preoperative T1 and T2 MRIs and postoperative CT scans. Postoperative CT scans and preoperative T2 scans were co-registered to preoperative T1 scans, which were then normalized into MNI space using SPM12 (Statistical Parametric Mapping 12; </w:t>
      </w:r>
      <w:proofErr w:type="spellStart"/>
      <w:r w:rsidRPr="004A3E7F">
        <w:t>Wellcome</w:t>
      </w:r>
      <w:proofErr w:type="spellEnd"/>
      <w:r w:rsidRPr="004A3E7F">
        <w:t xml:space="preserve"> Trust Centre for Neuroimaging, UCL, London, UK) and Advanced Normalization Tools </w:t>
      </w:r>
      <w:r w:rsidRPr="004A3E7F">
        <w:fldChar w:fldCharType="begin"/>
      </w:r>
      <w:r w:rsidRPr="004A3E7F">
        <w:instrText xml:space="preserve"> ADDIN ZOTERO_ITEM CSL_CITATION {"citationID":"FeCgqhsO","properties":{"formattedCitation":"(Avants {\\i{}et al.}, 2011)","plainCitation":"(Avants et al., 2011)","noteIndex":0},"citationItems":[{"id":229,"uris":["http://zotero.org/users/local/m0MXAstR/items/G5EUG8M3"],"uri":["http://zotero.org/users/local/m0MXAstR/items/G5EUG8M3"],"itemData":{"id":229,"type":"article-journal","container-title":"NeuroImage","DOI":"10.1016/j.neuroimage.2010.09.025","ISSN":"1053-8119","issue":"3","journalAbbreviation":"Neuroimage","note":"PMID: 20851191\nPMCID: PMC3065962","page":"2033-2044","source":"PubMed Central","title":"A Reproducible Evaluation of ANTs Similarity Metric Performance in Brain Image Registration","volume":"54","author":[{"family":"Avants","given":"Brian B."},{"family":"Tustison","given":"Nicholas J."},{"family":"Song","given":"Gang"},{"family":"Cook","given":"Philip A."},{"family":"Klein","given":"Arno"},{"family":"Gee","given":"James C."}],"issued":{"date-parts":[["2011",2,1]]}}}],"schema":"https://github.com/citation-style-language/schema/raw/master/csl-citation.json"} </w:instrText>
      </w:r>
      <w:r w:rsidRPr="004A3E7F">
        <w:fldChar w:fldCharType="separate"/>
      </w:r>
      <w:r w:rsidRPr="004A3E7F">
        <w:t>(Avants et al., 2011)</w:t>
      </w:r>
      <w:r w:rsidRPr="004A3E7F">
        <w:fldChar w:fldCharType="end"/>
      </w:r>
      <w:r w:rsidRPr="004A3E7F">
        <w:t xml:space="preserve">. DBS electrode localizations were then corrected for brain-shift in the postoperative CT scan </w:t>
      </w:r>
      <w:r w:rsidRPr="004A3E7F">
        <w:fldChar w:fldCharType="begin"/>
      </w:r>
      <w:r w:rsidRPr="004A3E7F">
        <w:instrText xml:space="preserve"> ADDIN ZOTERO_ITEM CSL_CITATION {"citationID":"F3m99p5W","properties":{"formattedCitation":"(Horn and K\\uc0\\u252{}hn, 2015)","plainCitation":"(Horn and Kühn, 2015)","noteIndex":0},"citationItems":[{"id":78,"uris":["http://zotero.org/users/local/m0MXAstR/items/6XDA3B9E"],"uri":["http://zotero.org/users/local/m0MXAstR/items/6XDA3B9E"],"itemData":{"id":78,"type":"article-journal","abstract":"To determine placement of electrodes after deep brain stimulation (DBS) surgery, a novel toolbox that facilitates both reconstruction of the lead electrode trajectory and the contact placement is introduced. Using the toolbox, electrode placement can be reconstructed and visualized based on the electrode-induced artifacts on post-operative magnetic resonance (MR) or computed tomography (CT) images. Correct electrode placement is essential for efficacious treatment with DBS. Post-operative knowledge about the placement of DBS electrode contacts and trajectories is a promising tool for clinical evaluation of DBS effects and adverse effects. It may help clinicians in identifying the best stimulation contacts based on anatomical target areas and may even shorten test stimulation protocols in the future. Fifty patients that underwent DBS surgery were analyzed in this study. After normalizing the post-operative MR/CT volumes into standard Montreal Neurological Institute (MNI)-stereotactic space, electrode leads (n=104) were detected by a novel algorithm that iteratively thresholds each axial slice and isolates the centroids of the electrode artifacts within the MR/CT-images (MR only n=32, CT only n=10, MR and CT n=8). Two patients received four, the others received two quadripolar DBS leads bilaterally, summing up to a total of 120 lead localizations. In a second reconstruction step, electrode contacts along the lead trajectories were reconstructed by using templates of electrode tips that had been manually created beforehand. Reconstructions that were made by the algorithm were finally compared to manual surveys of contact localizations. The algorithm was able to robustly accomplish lead reconstructions in an automated manner in 98% of electrodes and contact reconstructions in 69% of electrodes. Using additional subsequent manual refinement of the reconstructed contact positions, 118 of 120 electrode lead and contact reconstructions could be localized using the toolbox. Taken together, the toolbox presented here allows for a precise and fast reconstruction of DBS contacts by proposing a semi-automated procedure. Reconstruction results can be directly exported to two- and three-dimensional views that show the relationship between DBS contacts and anatomical target regions. The toolbox is made available to the public in form of an open-source MATLAB repository.","container-title":"NeuroImage","DOI":"10.1016/j.neuroimage.2014.12.002","ISSN":"1095-9572","journalAbbreviation":"Neuroimage","language":"eng","note":"PMID: 25498389","page":"127-135","source":"PubMed","title":"Lead-DBS: a toolbox for deep brain stimulation electrode localizations and visualizations","title-short":"Lead-DBS","volume":"107","author":[{"family":"Horn","given":"Andreas"},{"family":"Kühn","given":"Andrea A."}],"issued":{"date-parts":[["2015",2,15]]}}}],"schema":"https://github.com/citation-style-language/schema/raw/master/csl-citation.json"} </w:instrText>
      </w:r>
      <w:r w:rsidRPr="004A3E7F">
        <w:fldChar w:fldCharType="separate"/>
      </w:r>
      <w:r w:rsidRPr="004A3E7F">
        <w:t>(Horn and Kühn, 2015)</w:t>
      </w:r>
      <w:r w:rsidRPr="004A3E7F">
        <w:fldChar w:fldCharType="end"/>
      </w:r>
      <w:r w:rsidRPr="004A3E7F">
        <w:t xml:space="preserve">. Finally, DBS electrodes were localized in template space using the </w:t>
      </w:r>
      <w:proofErr w:type="spellStart"/>
      <w:r w:rsidRPr="004A3E7F">
        <w:t>PaCER</w:t>
      </w:r>
      <w:proofErr w:type="spellEnd"/>
      <w:r w:rsidRPr="004A3E7F">
        <w:t xml:space="preserve"> algorithm </w:t>
      </w:r>
      <w:r w:rsidRPr="004A3E7F">
        <w:fldChar w:fldCharType="begin"/>
      </w:r>
      <w:r w:rsidRPr="004A3E7F">
        <w:instrText xml:space="preserve"> ADDIN ZOTERO_ITEM CSL_CITATION {"citationID":"7Fx181G9","properties":{"formattedCitation":"(Husch {\\i{}et al.}, 2018)","plainCitation":"(Husch et al., 2018)","noteIndex":0},"citationItems":[{"id":238,"uris":["http://zotero.org/users/local/m0MXAstR/items/AIRHJ6IA"],"uri":["http://zotero.org/users/local/m0MXAstR/items/AIRHJ6IA"],"itemData":{"id":238,"type":"article-journal","abstract":"Deep brain stimulation (DBS) is a neurosurgical intervention where electrodes are permanently implanted into the brain in order to modulate pathologic neural activity. The post-operative reconstruction of the DBS electrodes is important for an efficient stimulation parameter tuning. A major limitation of existing approaches for electrode reconstruction from post-operative imaging that prevents the clinical routine use is that they are manual or semi-automatic, and thus both time-consuming and subjective. Moreover, the existing methods rely on a simplified model of a straight line electrode trajectory, rather than the more realistic curved trajectory. The main contribution of this paper is that for the first time we present a highly accurate and fully automated method for electrode reconstruction that considers curved trajectories. The robustness of our proposed method is demonstrated using a multi-center clinical dataset consisting of N=44 electrodes. In all cases the electrode trajectories were successfully identified and reconstructed. In addition, the accuracy is demonstrated quantitatively using a high-accuracy phantom with known ground truth. In the phantom experiment, the method could detect individual electrode contacts with high accuracy and the trajectory reconstruction reached an error level below 100 μm (0.046 ± 0.025 mm). An implementation of the method is made publicly available such that it can directly be used by researchers or clinicians. This constitutes an important step towards future integration of lead reconstruction into standard clinical care.","container-title":"NeuroImage: Clinical","DOI":"10.1016/j.nicl.2017.10.004","ISSN":"2213-1582","journalAbbreviation":"NeuroImage: Clinical","language":"en","page":"80-89","source":"ScienceDirect","title":"PaCER - A fully automated method for electrode trajectory and contact reconstruction in deep brain stimulation","volume":"17","author":[{"family":"Husch","given":"Andreas"},{"family":"V. Petersen","given":"Mikkel"},{"family":"Gemmar","given":"Peter"},{"family":"Goncalves","given":"Jorge"},{"family":"Hertel","given":"Frank"}],"issued":{"date-parts":[["2018",1,1]]}}}],"schema":"https://github.com/citation-style-language/schema/raw/master/csl-citation.json"} </w:instrText>
      </w:r>
      <w:r w:rsidRPr="004A3E7F">
        <w:fldChar w:fldCharType="separate"/>
      </w:r>
      <w:r w:rsidRPr="004A3E7F">
        <w:t>(Husch et al., 2018)</w:t>
      </w:r>
      <w:r w:rsidRPr="004A3E7F">
        <w:fldChar w:fldCharType="end"/>
      </w:r>
      <w:r w:rsidRPr="004A3E7F">
        <w:t xml:space="preserve"> and projected onto the DISTAL Atlas to visualize overlap with the STN (Ewert et al., 2018). </w:t>
      </w:r>
    </w:p>
    <w:p w14:paraId="52CC1B36" w14:textId="04D638ED" w:rsidR="00A4735F" w:rsidRPr="00ED06A9" w:rsidRDefault="00A4735F"/>
    <w:p w14:paraId="295295DE" w14:textId="77777777" w:rsidR="008D77DF" w:rsidRPr="00ED06A9" w:rsidRDefault="008D77DF"/>
    <w:tbl>
      <w:tblPr>
        <w:tblW w:w="8766" w:type="dxa"/>
        <w:tblCellMar>
          <w:left w:w="0" w:type="dxa"/>
          <w:right w:w="0" w:type="dxa"/>
        </w:tblCellMar>
        <w:tblLook w:val="0420" w:firstRow="1" w:lastRow="0" w:firstColumn="0" w:lastColumn="0" w:noHBand="0" w:noVBand="1"/>
      </w:tblPr>
      <w:tblGrid>
        <w:gridCol w:w="2922"/>
        <w:gridCol w:w="2922"/>
        <w:gridCol w:w="2922"/>
      </w:tblGrid>
      <w:tr w:rsidR="00D83D63" w:rsidRPr="00ED06A9" w14:paraId="122024C0" w14:textId="77777777" w:rsidTr="00732E5E">
        <w:trPr>
          <w:trHeight w:val="561"/>
        </w:trPr>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725D3C" w14:textId="4EA7F1C2" w:rsidR="00997DCF" w:rsidRPr="00ED06A9" w:rsidRDefault="00464397" w:rsidP="000B5D3F">
            <w:pPr>
              <w:jc w:val="center"/>
              <w:rPr>
                <w:b/>
                <w:bCs/>
              </w:rPr>
            </w:pPr>
            <w:r>
              <w:rPr>
                <w:b/>
                <w:bCs/>
              </w:rPr>
              <w:t>Participant</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6FCBCC" w14:textId="585135F1" w:rsidR="00997DCF" w:rsidRPr="00ED06A9" w:rsidRDefault="0050050D" w:rsidP="000B5D3F">
            <w:pPr>
              <w:jc w:val="center"/>
              <w:rPr>
                <w:b/>
                <w:bCs/>
              </w:rPr>
            </w:pPr>
            <w:r w:rsidRPr="00ED06A9">
              <w:rPr>
                <w:b/>
                <w:bCs/>
              </w:rPr>
              <w:t>LSTN</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EA1478" w14:textId="3E2E06FE" w:rsidR="00997DCF" w:rsidRPr="00ED06A9" w:rsidRDefault="0050050D" w:rsidP="000B5D3F">
            <w:pPr>
              <w:jc w:val="center"/>
              <w:rPr>
                <w:b/>
                <w:bCs/>
              </w:rPr>
            </w:pPr>
            <w:r w:rsidRPr="00ED06A9">
              <w:rPr>
                <w:b/>
                <w:bCs/>
              </w:rPr>
              <w:t>RSTN</w:t>
            </w:r>
          </w:p>
        </w:tc>
      </w:tr>
      <w:tr w:rsidR="00D83D63" w:rsidRPr="00ED06A9" w14:paraId="0D03C41E" w14:textId="77777777" w:rsidTr="00732E5E">
        <w:trPr>
          <w:trHeight w:val="561"/>
        </w:trPr>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2E9577" w14:textId="77777777" w:rsidR="00997DCF" w:rsidRPr="00ED06A9" w:rsidRDefault="00D83D63" w:rsidP="00B01ADD">
            <w:pPr>
              <w:jc w:val="center"/>
            </w:pPr>
            <w:r w:rsidRPr="00ED06A9">
              <w:t>1</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28ED83" w14:textId="77777777" w:rsidR="00997DCF" w:rsidRPr="00ED06A9" w:rsidRDefault="00D83D63" w:rsidP="000B5D3F">
            <w:pPr>
              <w:jc w:val="center"/>
            </w:pPr>
            <w:r w:rsidRPr="00ED06A9">
              <w:t>0-2</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2CC162" w14:textId="77777777" w:rsidR="00997DCF" w:rsidRPr="00ED06A9" w:rsidRDefault="00D83D63" w:rsidP="000B5D3F">
            <w:pPr>
              <w:jc w:val="center"/>
            </w:pPr>
            <w:r w:rsidRPr="00ED06A9">
              <w:t>8-10</w:t>
            </w:r>
          </w:p>
        </w:tc>
      </w:tr>
      <w:tr w:rsidR="00D83D63" w:rsidRPr="00ED06A9" w14:paraId="17B3CE14" w14:textId="77777777" w:rsidTr="00732E5E">
        <w:trPr>
          <w:trHeight w:val="561"/>
        </w:trPr>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875B82" w14:textId="77777777" w:rsidR="00997DCF" w:rsidRPr="00ED06A9" w:rsidRDefault="00B01ADD" w:rsidP="00B01ADD">
            <w:pPr>
              <w:jc w:val="center"/>
            </w:pPr>
            <w:r w:rsidRPr="00ED06A9">
              <w:t>2</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CE754D" w14:textId="77777777" w:rsidR="00997DCF" w:rsidRPr="00ED06A9" w:rsidRDefault="00D83D63" w:rsidP="000B5D3F">
            <w:pPr>
              <w:jc w:val="center"/>
            </w:pPr>
            <w:r w:rsidRPr="00ED06A9">
              <w:t>0-2</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76D41B" w14:textId="77777777" w:rsidR="00997DCF" w:rsidRPr="00ED06A9" w:rsidRDefault="00D83D63" w:rsidP="000B5D3F">
            <w:pPr>
              <w:jc w:val="center"/>
            </w:pPr>
            <w:r w:rsidRPr="00ED06A9">
              <w:t>8-10</w:t>
            </w:r>
          </w:p>
        </w:tc>
      </w:tr>
      <w:tr w:rsidR="00D83D63" w:rsidRPr="00ED06A9" w14:paraId="6DC2416E" w14:textId="77777777" w:rsidTr="00732E5E">
        <w:trPr>
          <w:trHeight w:val="561"/>
        </w:trPr>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F58691" w14:textId="77777777" w:rsidR="00997DCF" w:rsidRPr="00ED06A9" w:rsidRDefault="00D83D63" w:rsidP="00B01ADD">
            <w:pPr>
              <w:jc w:val="center"/>
            </w:pPr>
            <w:r w:rsidRPr="00ED06A9">
              <w:t>3</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85672" w14:textId="77777777" w:rsidR="00997DCF" w:rsidRPr="00ED06A9" w:rsidRDefault="00D83D63" w:rsidP="000B5D3F">
            <w:pPr>
              <w:jc w:val="center"/>
            </w:pPr>
            <w:r w:rsidRPr="00ED06A9">
              <w:t>0-2</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593139" w14:textId="77777777" w:rsidR="00997DCF" w:rsidRPr="00ED06A9" w:rsidRDefault="00D83D63" w:rsidP="000B5D3F">
            <w:pPr>
              <w:jc w:val="center"/>
            </w:pPr>
            <w:r w:rsidRPr="00ED06A9">
              <w:t>8-10</w:t>
            </w:r>
          </w:p>
        </w:tc>
      </w:tr>
      <w:tr w:rsidR="00D83D63" w:rsidRPr="00ED06A9" w14:paraId="64132A50" w14:textId="77777777" w:rsidTr="00732E5E">
        <w:trPr>
          <w:trHeight w:val="561"/>
        </w:trPr>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4FE30" w14:textId="77777777" w:rsidR="00997DCF" w:rsidRPr="00ED06A9" w:rsidRDefault="00B01ADD" w:rsidP="00B01ADD">
            <w:pPr>
              <w:jc w:val="center"/>
            </w:pPr>
            <w:r w:rsidRPr="00ED06A9">
              <w:t>4</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A8608F" w14:textId="77777777" w:rsidR="00997DCF" w:rsidRPr="00ED06A9" w:rsidRDefault="00D83D63" w:rsidP="000B5D3F">
            <w:pPr>
              <w:jc w:val="center"/>
            </w:pPr>
            <w:r w:rsidRPr="00ED06A9">
              <w:t>1-3</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8D4815" w14:textId="77777777" w:rsidR="00997DCF" w:rsidRPr="00ED06A9" w:rsidRDefault="00D83D63" w:rsidP="000B5D3F">
            <w:pPr>
              <w:jc w:val="center"/>
            </w:pPr>
            <w:r w:rsidRPr="00ED06A9">
              <w:t>9-11</w:t>
            </w:r>
          </w:p>
        </w:tc>
      </w:tr>
      <w:tr w:rsidR="00D83D63" w:rsidRPr="00ED06A9" w14:paraId="6FB8C7B0" w14:textId="77777777" w:rsidTr="00732E5E">
        <w:trPr>
          <w:trHeight w:val="561"/>
        </w:trPr>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4B335A" w14:textId="77777777" w:rsidR="00997DCF" w:rsidRPr="00ED06A9" w:rsidRDefault="00D83D63" w:rsidP="00B01ADD">
            <w:pPr>
              <w:jc w:val="center"/>
            </w:pPr>
            <w:r w:rsidRPr="00ED06A9">
              <w:t>5</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FDD9F0" w14:textId="77777777" w:rsidR="00997DCF" w:rsidRPr="00ED06A9" w:rsidRDefault="00D83D63" w:rsidP="000B5D3F">
            <w:pPr>
              <w:jc w:val="center"/>
            </w:pPr>
            <w:r w:rsidRPr="00ED06A9">
              <w:t>0-2</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9EA8A6" w14:textId="77777777" w:rsidR="00997DCF" w:rsidRPr="00ED06A9" w:rsidRDefault="00D83D63" w:rsidP="000B5D3F">
            <w:pPr>
              <w:jc w:val="center"/>
            </w:pPr>
            <w:r w:rsidRPr="00ED06A9">
              <w:t>9-11</w:t>
            </w:r>
          </w:p>
        </w:tc>
      </w:tr>
      <w:tr w:rsidR="00D83D63" w:rsidRPr="00ED06A9" w14:paraId="65E5F335" w14:textId="77777777" w:rsidTr="00732E5E">
        <w:trPr>
          <w:trHeight w:val="561"/>
        </w:trPr>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D18D8C" w14:textId="77777777" w:rsidR="00997DCF" w:rsidRPr="00ED06A9" w:rsidRDefault="00D83D63" w:rsidP="00B01ADD">
            <w:pPr>
              <w:jc w:val="center"/>
            </w:pPr>
            <w:r w:rsidRPr="00ED06A9">
              <w:t>6</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2FE8D5" w14:textId="77777777" w:rsidR="00997DCF" w:rsidRPr="00ED06A9" w:rsidRDefault="00D83D63" w:rsidP="000B5D3F">
            <w:pPr>
              <w:jc w:val="center"/>
            </w:pPr>
            <w:r w:rsidRPr="00ED06A9">
              <w:t>0-2</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041D55" w14:textId="77777777" w:rsidR="00997DCF" w:rsidRPr="00ED06A9" w:rsidRDefault="00D83D63" w:rsidP="000B5D3F">
            <w:pPr>
              <w:jc w:val="center"/>
            </w:pPr>
            <w:r w:rsidRPr="00ED06A9">
              <w:t>9-11</w:t>
            </w:r>
          </w:p>
        </w:tc>
      </w:tr>
      <w:tr w:rsidR="00D83D63" w:rsidRPr="00ED06A9" w14:paraId="19C382BC" w14:textId="77777777" w:rsidTr="00732E5E">
        <w:trPr>
          <w:trHeight w:val="561"/>
        </w:trPr>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B03456" w14:textId="77777777" w:rsidR="00997DCF" w:rsidRPr="00ED06A9" w:rsidRDefault="00D83D63" w:rsidP="00B01ADD">
            <w:pPr>
              <w:jc w:val="center"/>
            </w:pPr>
            <w:r w:rsidRPr="00ED06A9">
              <w:t>7</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D4994A" w14:textId="77777777" w:rsidR="00997DCF" w:rsidRPr="00ED06A9" w:rsidRDefault="00D83D63" w:rsidP="000B5D3F">
            <w:pPr>
              <w:jc w:val="center"/>
            </w:pPr>
            <w:r w:rsidRPr="00ED06A9">
              <w:t>0-2</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0981C0" w14:textId="77777777" w:rsidR="00997DCF" w:rsidRPr="00ED06A9" w:rsidRDefault="00D83D63" w:rsidP="000B5D3F">
            <w:pPr>
              <w:jc w:val="center"/>
            </w:pPr>
            <w:r w:rsidRPr="00ED06A9">
              <w:t>9-11</w:t>
            </w:r>
          </w:p>
        </w:tc>
      </w:tr>
      <w:tr w:rsidR="00D83D63" w:rsidRPr="00ED06A9" w14:paraId="75F5A31A" w14:textId="77777777" w:rsidTr="00732E5E">
        <w:trPr>
          <w:trHeight w:val="561"/>
        </w:trPr>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7B33EB" w14:textId="77777777" w:rsidR="00997DCF" w:rsidRPr="00ED06A9" w:rsidRDefault="00D83D63" w:rsidP="00B01ADD">
            <w:pPr>
              <w:jc w:val="center"/>
            </w:pPr>
            <w:r w:rsidRPr="00ED06A9">
              <w:t>8</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83C578" w14:textId="77777777" w:rsidR="00997DCF" w:rsidRPr="00ED06A9" w:rsidRDefault="00D83D63" w:rsidP="000B5D3F">
            <w:pPr>
              <w:jc w:val="center"/>
            </w:pPr>
            <w:r w:rsidRPr="00ED06A9">
              <w:t>1-3</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3B5340" w14:textId="77777777" w:rsidR="00997DCF" w:rsidRPr="00ED06A9" w:rsidRDefault="00D83D63" w:rsidP="000B5D3F">
            <w:pPr>
              <w:jc w:val="center"/>
            </w:pPr>
            <w:r w:rsidRPr="00ED06A9">
              <w:t>9-11</w:t>
            </w:r>
          </w:p>
        </w:tc>
      </w:tr>
      <w:tr w:rsidR="00D83D63" w:rsidRPr="00ED06A9" w14:paraId="310BAF7B" w14:textId="77777777" w:rsidTr="00732E5E">
        <w:trPr>
          <w:trHeight w:val="561"/>
        </w:trPr>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7F0904" w14:textId="77777777" w:rsidR="00997DCF" w:rsidRPr="00ED06A9" w:rsidRDefault="00D83D63" w:rsidP="00B01ADD">
            <w:pPr>
              <w:jc w:val="center"/>
            </w:pPr>
            <w:r w:rsidRPr="00ED06A9">
              <w:t>9</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89BFF0" w14:textId="77777777" w:rsidR="00997DCF" w:rsidRPr="00ED06A9" w:rsidRDefault="00D83D63" w:rsidP="000B5D3F">
            <w:pPr>
              <w:jc w:val="center"/>
            </w:pPr>
            <w:r w:rsidRPr="00ED06A9">
              <w:t>0-2</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9519CD" w14:textId="77777777" w:rsidR="00997DCF" w:rsidRPr="00ED06A9" w:rsidRDefault="00D83D63" w:rsidP="000B5D3F">
            <w:pPr>
              <w:jc w:val="center"/>
            </w:pPr>
            <w:r w:rsidRPr="00ED06A9">
              <w:t>8-10</w:t>
            </w:r>
          </w:p>
        </w:tc>
      </w:tr>
      <w:tr w:rsidR="00D83D63" w:rsidRPr="00ED06A9" w14:paraId="3FA4CA3B" w14:textId="77777777" w:rsidTr="00732E5E">
        <w:trPr>
          <w:trHeight w:val="561"/>
        </w:trPr>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57CBA4" w14:textId="77777777" w:rsidR="00997DCF" w:rsidRPr="00ED06A9" w:rsidRDefault="00D83D63" w:rsidP="00B01ADD">
            <w:pPr>
              <w:jc w:val="center"/>
            </w:pPr>
            <w:r w:rsidRPr="00ED06A9">
              <w:t>10</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2C10C5" w14:textId="77777777" w:rsidR="00997DCF" w:rsidRPr="00ED06A9" w:rsidRDefault="00D83D63" w:rsidP="000B5D3F">
            <w:pPr>
              <w:jc w:val="center"/>
            </w:pPr>
            <w:r w:rsidRPr="00ED06A9">
              <w:t>0-2</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8C2643" w14:textId="77777777" w:rsidR="00997DCF" w:rsidRPr="00ED06A9" w:rsidRDefault="00D83D63" w:rsidP="000B5D3F">
            <w:pPr>
              <w:jc w:val="center"/>
            </w:pPr>
            <w:r w:rsidRPr="00ED06A9">
              <w:t>8-10</w:t>
            </w:r>
          </w:p>
        </w:tc>
      </w:tr>
      <w:tr w:rsidR="00D83D63" w:rsidRPr="00ED06A9" w14:paraId="55E855B4" w14:textId="77777777" w:rsidTr="00732E5E">
        <w:trPr>
          <w:trHeight w:val="561"/>
        </w:trPr>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EF16DF" w14:textId="77777777" w:rsidR="00997DCF" w:rsidRPr="00ED06A9" w:rsidRDefault="00B01ADD" w:rsidP="00B01ADD">
            <w:pPr>
              <w:jc w:val="center"/>
            </w:pPr>
            <w:r w:rsidRPr="00ED06A9">
              <w:t>11</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4D2FE6" w14:textId="77777777" w:rsidR="00997DCF" w:rsidRPr="00ED06A9" w:rsidRDefault="00D83D63" w:rsidP="000B5D3F">
            <w:pPr>
              <w:jc w:val="center"/>
            </w:pPr>
            <w:r w:rsidRPr="00ED06A9">
              <w:t>0-2</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333796" w14:textId="77777777" w:rsidR="00997DCF" w:rsidRPr="00ED06A9" w:rsidRDefault="00D83D63" w:rsidP="000B5D3F">
            <w:pPr>
              <w:jc w:val="center"/>
            </w:pPr>
            <w:r w:rsidRPr="00ED06A9">
              <w:t>8-10</w:t>
            </w:r>
          </w:p>
        </w:tc>
      </w:tr>
      <w:tr w:rsidR="00D83D63" w:rsidRPr="00ED06A9" w14:paraId="6FF3F6B4" w14:textId="77777777" w:rsidTr="00732E5E">
        <w:trPr>
          <w:trHeight w:val="561"/>
        </w:trPr>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2CAD90" w14:textId="77777777" w:rsidR="00997DCF" w:rsidRPr="00ED06A9" w:rsidRDefault="00D83D63" w:rsidP="00B01ADD">
            <w:pPr>
              <w:jc w:val="center"/>
            </w:pPr>
            <w:r w:rsidRPr="00ED06A9">
              <w:t>12</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0B389E" w14:textId="77777777" w:rsidR="00997DCF" w:rsidRPr="00ED06A9" w:rsidRDefault="00D83D63" w:rsidP="000B5D3F">
            <w:pPr>
              <w:jc w:val="center"/>
            </w:pPr>
            <w:r w:rsidRPr="00ED06A9">
              <w:t>0-2</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87CDEE" w14:textId="77777777" w:rsidR="00997DCF" w:rsidRPr="00ED06A9" w:rsidRDefault="00D83D63" w:rsidP="000B5D3F">
            <w:pPr>
              <w:jc w:val="center"/>
            </w:pPr>
            <w:r w:rsidRPr="00ED06A9">
              <w:t>8-10</w:t>
            </w:r>
          </w:p>
        </w:tc>
      </w:tr>
    </w:tbl>
    <w:p w14:paraId="7D4C5006" w14:textId="42F0A9E5" w:rsidR="00F74906" w:rsidRPr="00ED06A9" w:rsidRDefault="001D11EF" w:rsidP="00F74906">
      <w:pPr>
        <w:rPr>
          <w:b/>
          <w:i/>
        </w:rPr>
      </w:pPr>
      <w:bookmarkStart w:id="1" w:name="OLE_LINK70"/>
      <w:bookmarkStart w:id="2" w:name="OLE_LINK71"/>
      <w:bookmarkStart w:id="3" w:name="OLE_LINK72"/>
      <w:bookmarkStart w:id="4" w:name="OLE_LINK73"/>
      <w:r w:rsidRPr="00ED06A9">
        <w:rPr>
          <w:b/>
          <w:i/>
        </w:rPr>
        <w:t xml:space="preserve">Table </w:t>
      </w:r>
      <w:r w:rsidR="00F26220" w:rsidRPr="00ED06A9">
        <w:rPr>
          <w:b/>
          <w:i/>
        </w:rPr>
        <w:t>S</w:t>
      </w:r>
      <w:r w:rsidRPr="00ED06A9">
        <w:rPr>
          <w:b/>
          <w:i/>
        </w:rPr>
        <w:t xml:space="preserve">1. Recording contacts for each STN for all </w:t>
      </w:r>
      <w:r w:rsidR="00464397">
        <w:rPr>
          <w:b/>
          <w:i/>
        </w:rPr>
        <w:t>participant</w:t>
      </w:r>
      <w:r w:rsidRPr="00ED06A9">
        <w:rPr>
          <w:b/>
          <w:i/>
        </w:rPr>
        <w:t>s</w:t>
      </w:r>
      <w:bookmarkEnd w:id="1"/>
      <w:bookmarkEnd w:id="2"/>
      <w:bookmarkEnd w:id="3"/>
      <w:bookmarkEnd w:id="4"/>
    </w:p>
    <w:p w14:paraId="73A6E119" w14:textId="77777777" w:rsidR="00F74906" w:rsidRPr="00ED06A9" w:rsidRDefault="00F74906" w:rsidP="00F74906">
      <w:pPr>
        <w:rPr>
          <w:b/>
          <w:i/>
        </w:rPr>
      </w:pPr>
    </w:p>
    <w:p w14:paraId="7C3F862B" w14:textId="77777777" w:rsidR="000B5D3F" w:rsidRPr="00ED06A9" w:rsidRDefault="000B5D3F" w:rsidP="00F74906">
      <w:r w:rsidRPr="00ED06A9">
        <w:fldChar w:fldCharType="begin"/>
      </w:r>
      <w:r w:rsidRPr="00ED06A9">
        <w:instrText xml:space="preserve"> LINK </w:instrText>
      </w:r>
      <w:r w:rsidR="00EF13BD" w:rsidRPr="00ED06A9">
        <w:instrText xml:space="preserve">Excel.Sheet.12 Book2 Sheet1!R1C1:R9C5 </w:instrText>
      </w:r>
      <w:r w:rsidRPr="00ED06A9">
        <w:instrText xml:space="preserve">\a \f 5 \h  \* MERGEFORMAT </w:instrText>
      </w:r>
      <w:r w:rsidRPr="00ED06A9">
        <w:fldChar w:fldCharType="separate"/>
      </w:r>
    </w:p>
    <w:tbl>
      <w:tblPr>
        <w:tblStyle w:val="TableGrid"/>
        <w:tblW w:w="8798" w:type="dxa"/>
        <w:tblLook w:val="04A0" w:firstRow="1" w:lastRow="0" w:firstColumn="1" w:lastColumn="0" w:noHBand="0" w:noVBand="1"/>
      </w:tblPr>
      <w:tblGrid>
        <w:gridCol w:w="1120"/>
        <w:gridCol w:w="2327"/>
        <w:gridCol w:w="1465"/>
        <w:gridCol w:w="1871"/>
        <w:gridCol w:w="2015"/>
      </w:tblGrid>
      <w:tr w:rsidR="000B5D3F" w:rsidRPr="00ED06A9" w14:paraId="53DE5AF2" w14:textId="77777777" w:rsidTr="00732E5E">
        <w:trPr>
          <w:trHeight w:val="408"/>
        </w:trPr>
        <w:tc>
          <w:tcPr>
            <w:tcW w:w="1120" w:type="dxa"/>
            <w:noWrap/>
            <w:hideMark/>
          </w:tcPr>
          <w:p w14:paraId="2C0B181B" w14:textId="77777777" w:rsidR="000B5D3F" w:rsidRPr="00ED06A9" w:rsidRDefault="000B5D3F" w:rsidP="000B5D3F">
            <w:pPr>
              <w:jc w:val="center"/>
              <w:rPr>
                <w:b/>
                <w:bCs/>
              </w:rPr>
            </w:pPr>
            <w:r w:rsidRPr="00ED06A9">
              <w:rPr>
                <w:b/>
                <w:bCs/>
              </w:rPr>
              <w:t>Task</w:t>
            </w:r>
          </w:p>
        </w:tc>
        <w:tc>
          <w:tcPr>
            <w:tcW w:w="2327" w:type="dxa"/>
            <w:noWrap/>
            <w:hideMark/>
          </w:tcPr>
          <w:p w14:paraId="40A8A0A5" w14:textId="77777777" w:rsidR="000B5D3F" w:rsidRPr="00ED06A9" w:rsidRDefault="000B5D3F" w:rsidP="000B5D3F">
            <w:pPr>
              <w:jc w:val="center"/>
              <w:rPr>
                <w:b/>
                <w:bCs/>
              </w:rPr>
            </w:pPr>
            <w:r w:rsidRPr="00ED06A9">
              <w:rPr>
                <w:b/>
                <w:bCs/>
              </w:rPr>
              <w:t>Band</w:t>
            </w:r>
          </w:p>
        </w:tc>
        <w:tc>
          <w:tcPr>
            <w:tcW w:w="1465" w:type="dxa"/>
            <w:noWrap/>
            <w:hideMark/>
          </w:tcPr>
          <w:p w14:paraId="2027B5CE" w14:textId="77777777" w:rsidR="000B5D3F" w:rsidRPr="00ED06A9" w:rsidRDefault="000B5D3F" w:rsidP="000B5D3F">
            <w:pPr>
              <w:jc w:val="center"/>
              <w:rPr>
                <w:b/>
                <w:bCs/>
              </w:rPr>
            </w:pPr>
            <w:r w:rsidRPr="00ED06A9">
              <w:rPr>
                <w:b/>
                <w:bCs/>
              </w:rPr>
              <w:t>Duration</w:t>
            </w:r>
          </w:p>
          <w:p w14:paraId="2E766DD6" w14:textId="77777777" w:rsidR="000B5D3F" w:rsidRPr="00ED06A9" w:rsidRDefault="000B5D3F" w:rsidP="000B5D3F">
            <w:pPr>
              <w:jc w:val="center"/>
              <w:rPr>
                <w:b/>
                <w:bCs/>
              </w:rPr>
            </w:pPr>
            <w:r w:rsidRPr="00ED06A9">
              <w:rPr>
                <w:b/>
                <w:bCs/>
              </w:rPr>
              <w:t>(</w:t>
            </w:r>
            <w:proofErr w:type="spellStart"/>
            <w:r w:rsidRPr="00ED06A9">
              <w:rPr>
                <w:b/>
                <w:bCs/>
              </w:rPr>
              <w:t>ms</w:t>
            </w:r>
            <w:proofErr w:type="spellEnd"/>
            <w:r w:rsidRPr="00ED06A9">
              <w:rPr>
                <w:b/>
                <w:bCs/>
              </w:rPr>
              <w:t>)</w:t>
            </w:r>
          </w:p>
        </w:tc>
        <w:tc>
          <w:tcPr>
            <w:tcW w:w="1871" w:type="dxa"/>
            <w:noWrap/>
            <w:hideMark/>
          </w:tcPr>
          <w:p w14:paraId="106087F5" w14:textId="77777777" w:rsidR="000B5D3F" w:rsidRPr="00ED06A9" w:rsidRDefault="000B5D3F" w:rsidP="000B5D3F">
            <w:pPr>
              <w:jc w:val="center"/>
              <w:rPr>
                <w:b/>
                <w:bCs/>
              </w:rPr>
            </w:pPr>
            <w:r w:rsidRPr="00ED06A9">
              <w:rPr>
                <w:b/>
                <w:bCs/>
              </w:rPr>
              <w:t>Peak Power</w:t>
            </w:r>
          </w:p>
          <w:p w14:paraId="624C73FB" w14:textId="77777777" w:rsidR="00F74906" w:rsidRPr="00ED06A9" w:rsidRDefault="00F74906" w:rsidP="000B5D3F">
            <w:pPr>
              <w:jc w:val="center"/>
              <w:rPr>
                <w:b/>
                <w:bCs/>
              </w:rPr>
            </w:pPr>
            <w:bookmarkStart w:id="5" w:name="OLE_LINK74"/>
            <w:bookmarkStart w:id="6" w:name="OLE_LINK75"/>
            <w:bookmarkStart w:id="7" w:name="OLE_LINK76"/>
            <w:r w:rsidRPr="00ED06A9">
              <w:rPr>
                <w:b/>
                <w:bCs/>
              </w:rPr>
              <w:t>(V</w:t>
            </w:r>
            <w:r w:rsidRPr="00ED06A9">
              <w:rPr>
                <w:b/>
                <w:bCs/>
                <w:vertAlign w:val="superscript"/>
              </w:rPr>
              <w:t>2</w:t>
            </w:r>
            <w:r w:rsidRPr="00ED06A9">
              <w:rPr>
                <w:b/>
                <w:bCs/>
              </w:rPr>
              <w:t>)</w:t>
            </w:r>
            <w:bookmarkEnd w:id="5"/>
            <w:bookmarkEnd w:id="6"/>
            <w:bookmarkEnd w:id="7"/>
          </w:p>
        </w:tc>
        <w:tc>
          <w:tcPr>
            <w:tcW w:w="2015" w:type="dxa"/>
            <w:noWrap/>
            <w:hideMark/>
          </w:tcPr>
          <w:p w14:paraId="2A0A43F2" w14:textId="77777777" w:rsidR="000B5D3F" w:rsidRPr="00ED06A9" w:rsidRDefault="000B5D3F" w:rsidP="000B5D3F">
            <w:pPr>
              <w:jc w:val="center"/>
              <w:rPr>
                <w:b/>
                <w:bCs/>
              </w:rPr>
            </w:pPr>
            <w:r w:rsidRPr="00ED06A9">
              <w:rPr>
                <w:b/>
                <w:bCs/>
              </w:rPr>
              <w:t>Average Power</w:t>
            </w:r>
          </w:p>
          <w:p w14:paraId="66DD53A2" w14:textId="77777777" w:rsidR="00F74906" w:rsidRPr="00ED06A9" w:rsidRDefault="00F74906" w:rsidP="000B5D3F">
            <w:pPr>
              <w:jc w:val="center"/>
              <w:rPr>
                <w:b/>
                <w:bCs/>
              </w:rPr>
            </w:pPr>
            <w:r w:rsidRPr="00ED06A9">
              <w:rPr>
                <w:b/>
                <w:bCs/>
              </w:rPr>
              <w:t>(V</w:t>
            </w:r>
            <w:r w:rsidRPr="00ED06A9">
              <w:rPr>
                <w:b/>
                <w:bCs/>
                <w:vertAlign w:val="superscript"/>
              </w:rPr>
              <w:t>2</w:t>
            </w:r>
            <w:r w:rsidRPr="00ED06A9">
              <w:rPr>
                <w:b/>
                <w:bCs/>
              </w:rPr>
              <w:t>)</w:t>
            </w:r>
          </w:p>
        </w:tc>
      </w:tr>
      <w:tr w:rsidR="000B5D3F" w:rsidRPr="00ED06A9" w14:paraId="3FD82A1E" w14:textId="77777777" w:rsidTr="00732E5E">
        <w:trPr>
          <w:trHeight w:val="408"/>
        </w:trPr>
        <w:tc>
          <w:tcPr>
            <w:tcW w:w="1120" w:type="dxa"/>
            <w:vMerge w:val="restart"/>
            <w:noWrap/>
            <w:hideMark/>
          </w:tcPr>
          <w:p w14:paraId="1453E1BD" w14:textId="77777777" w:rsidR="000B5D3F" w:rsidRPr="00ED06A9" w:rsidRDefault="000B5D3F" w:rsidP="000B5D3F">
            <w:pPr>
              <w:jc w:val="center"/>
            </w:pPr>
            <w:r w:rsidRPr="00ED06A9">
              <w:lastRenderedPageBreak/>
              <w:t>RAFT</w:t>
            </w:r>
          </w:p>
        </w:tc>
        <w:tc>
          <w:tcPr>
            <w:tcW w:w="2327" w:type="dxa"/>
            <w:noWrap/>
            <w:hideMark/>
          </w:tcPr>
          <w:p w14:paraId="7107D1BF" w14:textId="77777777" w:rsidR="000B5D3F" w:rsidRPr="00ED06A9" w:rsidRDefault="000B5D3F" w:rsidP="000B5D3F">
            <w:pPr>
              <w:jc w:val="center"/>
            </w:pPr>
            <w:r w:rsidRPr="00ED06A9">
              <w:t>Elevated Band</w:t>
            </w:r>
          </w:p>
        </w:tc>
        <w:tc>
          <w:tcPr>
            <w:tcW w:w="1465" w:type="dxa"/>
            <w:noWrap/>
            <w:hideMark/>
          </w:tcPr>
          <w:p w14:paraId="54066E2B" w14:textId="77777777" w:rsidR="000B5D3F" w:rsidRPr="00ED06A9" w:rsidRDefault="000B5D3F" w:rsidP="000B5D3F">
            <w:pPr>
              <w:jc w:val="center"/>
            </w:pPr>
            <w:r w:rsidRPr="00ED06A9">
              <w:t>690±600</w:t>
            </w:r>
          </w:p>
        </w:tc>
        <w:tc>
          <w:tcPr>
            <w:tcW w:w="1871" w:type="dxa"/>
            <w:noWrap/>
            <w:hideMark/>
          </w:tcPr>
          <w:p w14:paraId="15BD431D" w14:textId="77777777" w:rsidR="000B5D3F" w:rsidRPr="00ED06A9" w:rsidRDefault="000B5D3F" w:rsidP="000B5D3F">
            <w:pPr>
              <w:jc w:val="center"/>
            </w:pPr>
            <w:r w:rsidRPr="00ED06A9">
              <w:t>11.70±14.73</w:t>
            </w:r>
          </w:p>
        </w:tc>
        <w:tc>
          <w:tcPr>
            <w:tcW w:w="2015" w:type="dxa"/>
            <w:noWrap/>
            <w:hideMark/>
          </w:tcPr>
          <w:p w14:paraId="18C45AB2" w14:textId="77777777" w:rsidR="000B5D3F" w:rsidRPr="00ED06A9" w:rsidRDefault="000B5D3F" w:rsidP="000B5D3F">
            <w:pPr>
              <w:jc w:val="center"/>
            </w:pPr>
            <w:r w:rsidRPr="00ED06A9">
              <w:t>2.41±2.25</w:t>
            </w:r>
          </w:p>
        </w:tc>
      </w:tr>
      <w:tr w:rsidR="000B5D3F" w:rsidRPr="00ED06A9" w14:paraId="6D4E3F2F" w14:textId="77777777" w:rsidTr="00732E5E">
        <w:trPr>
          <w:trHeight w:val="408"/>
        </w:trPr>
        <w:tc>
          <w:tcPr>
            <w:tcW w:w="1120" w:type="dxa"/>
            <w:vMerge/>
            <w:hideMark/>
          </w:tcPr>
          <w:p w14:paraId="62D4975D" w14:textId="77777777" w:rsidR="000B5D3F" w:rsidRPr="00ED06A9" w:rsidRDefault="000B5D3F" w:rsidP="000B5D3F">
            <w:pPr>
              <w:jc w:val="center"/>
            </w:pPr>
          </w:p>
        </w:tc>
        <w:tc>
          <w:tcPr>
            <w:tcW w:w="2327" w:type="dxa"/>
            <w:noWrap/>
            <w:hideMark/>
          </w:tcPr>
          <w:p w14:paraId="10BFBC28" w14:textId="77777777" w:rsidR="000B5D3F" w:rsidRPr="00ED06A9" w:rsidRDefault="000B5D3F" w:rsidP="000B5D3F">
            <w:pPr>
              <w:jc w:val="center"/>
            </w:pPr>
            <w:r w:rsidRPr="00ED06A9">
              <w:t>Non-elevated Band</w:t>
            </w:r>
          </w:p>
        </w:tc>
        <w:tc>
          <w:tcPr>
            <w:tcW w:w="1465" w:type="dxa"/>
            <w:noWrap/>
            <w:hideMark/>
          </w:tcPr>
          <w:p w14:paraId="26A1F731" w14:textId="77777777" w:rsidR="000B5D3F" w:rsidRPr="00ED06A9" w:rsidRDefault="000B5D3F" w:rsidP="000B5D3F">
            <w:pPr>
              <w:jc w:val="center"/>
            </w:pPr>
            <w:r w:rsidRPr="00ED06A9">
              <w:t>200±140</w:t>
            </w:r>
          </w:p>
        </w:tc>
        <w:tc>
          <w:tcPr>
            <w:tcW w:w="1871" w:type="dxa"/>
            <w:noWrap/>
            <w:hideMark/>
          </w:tcPr>
          <w:p w14:paraId="2E94D02B" w14:textId="77777777" w:rsidR="000B5D3F" w:rsidRPr="00ED06A9" w:rsidRDefault="000B5D3F" w:rsidP="000B5D3F">
            <w:pPr>
              <w:jc w:val="center"/>
            </w:pPr>
            <w:r w:rsidRPr="00ED06A9">
              <w:t>1.31±0.67</w:t>
            </w:r>
          </w:p>
        </w:tc>
        <w:tc>
          <w:tcPr>
            <w:tcW w:w="2015" w:type="dxa"/>
            <w:noWrap/>
            <w:hideMark/>
          </w:tcPr>
          <w:p w14:paraId="1E02D265" w14:textId="77777777" w:rsidR="000B5D3F" w:rsidRPr="00ED06A9" w:rsidRDefault="000B5D3F" w:rsidP="000B5D3F">
            <w:pPr>
              <w:jc w:val="center"/>
            </w:pPr>
            <w:bookmarkStart w:id="8" w:name="OLE_LINK35"/>
            <w:bookmarkStart w:id="9" w:name="OLE_LINK36"/>
            <w:bookmarkStart w:id="10" w:name="OLE_LINK37"/>
            <w:bookmarkStart w:id="11" w:name="OLE_LINK38"/>
            <w:bookmarkStart w:id="12" w:name="RANGE!E3"/>
            <w:r w:rsidRPr="00ED06A9">
              <w:t>0.54±0.21</w:t>
            </w:r>
            <w:bookmarkEnd w:id="8"/>
            <w:bookmarkEnd w:id="9"/>
            <w:bookmarkEnd w:id="10"/>
            <w:bookmarkEnd w:id="11"/>
            <w:bookmarkEnd w:id="12"/>
          </w:p>
        </w:tc>
      </w:tr>
      <w:tr w:rsidR="000B5D3F" w:rsidRPr="00ED06A9" w14:paraId="5F3BA4E3" w14:textId="77777777" w:rsidTr="00732E5E">
        <w:trPr>
          <w:trHeight w:val="408"/>
        </w:trPr>
        <w:tc>
          <w:tcPr>
            <w:tcW w:w="1120" w:type="dxa"/>
            <w:vMerge w:val="restart"/>
            <w:noWrap/>
            <w:hideMark/>
          </w:tcPr>
          <w:p w14:paraId="6DDAEDC0" w14:textId="77777777" w:rsidR="000B5D3F" w:rsidRPr="00ED06A9" w:rsidRDefault="000B5D3F" w:rsidP="000B5D3F">
            <w:pPr>
              <w:jc w:val="center"/>
            </w:pPr>
            <w:proofErr w:type="spellStart"/>
            <w:r w:rsidRPr="00ED06A9">
              <w:t>rWFE</w:t>
            </w:r>
            <w:proofErr w:type="spellEnd"/>
          </w:p>
        </w:tc>
        <w:tc>
          <w:tcPr>
            <w:tcW w:w="2327" w:type="dxa"/>
            <w:noWrap/>
            <w:hideMark/>
          </w:tcPr>
          <w:p w14:paraId="02DFCC60" w14:textId="77777777" w:rsidR="000B5D3F" w:rsidRPr="00ED06A9" w:rsidRDefault="000B5D3F" w:rsidP="000B5D3F">
            <w:pPr>
              <w:jc w:val="center"/>
            </w:pPr>
            <w:r w:rsidRPr="00ED06A9">
              <w:t>Elevated Band</w:t>
            </w:r>
          </w:p>
        </w:tc>
        <w:tc>
          <w:tcPr>
            <w:tcW w:w="1465" w:type="dxa"/>
            <w:noWrap/>
            <w:hideMark/>
          </w:tcPr>
          <w:p w14:paraId="5EB02875" w14:textId="77777777" w:rsidR="000B5D3F" w:rsidRPr="00ED06A9" w:rsidRDefault="000B5D3F" w:rsidP="000B5D3F">
            <w:pPr>
              <w:jc w:val="center"/>
            </w:pPr>
            <w:r w:rsidRPr="00ED06A9">
              <w:t>560±350</w:t>
            </w:r>
          </w:p>
        </w:tc>
        <w:tc>
          <w:tcPr>
            <w:tcW w:w="1871" w:type="dxa"/>
            <w:noWrap/>
            <w:hideMark/>
          </w:tcPr>
          <w:p w14:paraId="270D0971" w14:textId="77777777" w:rsidR="000B5D3F" w:rsidRPr="00ED06A9" w:rsidRDefault="000B5D3F" w:rsidP="000B5D3F">
            <w:pPr>
              <w:jc w:val="center"/>
            </w:pPr>
            <w:r w:rsidRPr="00ED06A9">
              <w:t>10.24±9.35</w:t>
            </w:r>
          </w:p>
        </w:tc>
        <w:tc>
          <w:tcPr>
            <w:tcW w:w="2015" w:type="dxa"/>
            <w:noWrap/>
            <w:hideMark/>
          </w:tcPr>
          <w:p w14:paraId="3A3004F9" w14:textId="77777777" w:rsidR="000B5D3F" w:rsidRPr="00ED06A9" w:rsidRDefault="000B5D3F" w:rsidP="000B5D3F">
            <w:pPr>
              <w:jc w:val="center"/>
            </w:pPr>
            <w:r w:rsidRPr="00ED06A9">
              <w:t>2.24±1.82</w:t>
            </w:r>
          </w:p>
        </w:tc>
      </w:tr>
      <w:tr w:rsidR="000B5D3F" w:rsidRPr="00ED06A9" w14:paraId="05E42B22" w14:textId="77777777" w:rsidTr="00732E5E">
        <w:trPr>
          <w:trHeight w:val="408"/>
        </w:trPr>
        <w:tc>
          <w:tcPr>
            <w:tcW w:w="1120" w:type="dxa"/>
            <w:vMerge/>
            <w:hideMark/>
          </w:tcPr>
          <w:p w14:paraId="0E318FE7" w14:textId="77777777" w:rsidR="000B5D3F" w:rsidRPr="00ED06A9" w:rsidRDefault="000B5D3F" w:rsidP="000B5D3F">
            <w:pPr>
              <w:jc w:val="center"/>
            </w:pPr>
          </w:p>
        </w:tc>
        <w:tc>
          <w:tcPr>
            <w:tcW w:w="2327" w:type="dxa"/>
            <w:noWrap/>
            <w:hideMark/>
          </w:tcPr>
          <w:p w14:paraId="1E6A58ED" w14:textId="77777777" w:rsidR="000B5D3F" w:rsidRPr="00ED06A9" w:rsidRDefault="000B5D3F" w:rsidP="000B5D3F">
            <w:pPr>
              <w:jc w:val="center"/>
            </w:pPr>
            <w:r w:rsidRPr="00ED06A9">
              <w:t>Non-elevated Band</w:t>
            </w:r>
          </w:p>
        </w:tc>
        <w:tc>
          <w:tcPr>
            <w:tcW w:w="1465" w:type="dxa"/>
            <w:noWrap/>
            <w:hideMark/>
          </w:tcPr>
          <w:p w14:paraId="70E244ED" w14:textId="77777777" w:rsidR="000B5D3F" w:rsidRPr="00ED06A9" w:rsidRDefault="000B5D3F" w:rsidP="000B5D3F">
            <w:pPr>
              <w:jc w:val="center"/>
            </w:pPr>
            <w:r w:rsidRPr="00ED06A9">
              <w:t>200±160</w:t>
            </w:r>
          </w:p>
        </w:tc>
        <w:tc>
          <w:tcPr>
            <w:tcW w:w="1871" w:type="dxa"/>
            <w:noWrap/>
            <w:hideMark/>
          </w:tcPr>
          <w:p w14:paraId="337B2738" w14:textId="77777777" w:rsidR="000B5D3F" w:rsidRPr="00ED06A9" w:rsidRDefault="000B5D3F" w:rsidP="000B5D3F">
            <w:pPr>
              <w:jc w:val="center"/>
            </w:pPr>
            <w:r w:rsidRPr="00ED06A9">
              <w:t>1.28±0.76</w:t>
            </w:r>
          </w:p>
        </w:tc>
        <w:tc>
          <w:tcPr>
            <w:tcW w:w="2015" w:type="dxa"/>
            <w:noWrap/>
            <w:hideMark/>
          </w:tcPr>
          <w:p w14:paraId="169C5135" w14:textId="77777777" w:rsidR="000B5D3F" w:rsidRPr="00ED06A9" w:rsidRDefault="000B5D3F" w:rsidP="000B5D3F">
            <w:pPr>
              <w:jc w:val="center"/>
            </w:pPr>
            <w:r w:rsidRPr="00ED06A9">
              <w:t>0.53±0.24</w:t>
            </w:r>
          </w:p>
        </w:tc>
      </w:tr>
      <w:tr w:rsidR="000B5D3F" w:rsidRPr="00ED06A9" w14:paraId="442227DE" w14:textId="77777777" w:rsidTr="00732E5E">
        <w:trPr>
          <w:trHeight w:val="408"/>
        </w:trPr>
        <w:tc>
          <w:tcPr>
            <w:tcW w:w="1120" w:type="dxa"/>
            <w:vMerge w:val="restart"/>
            <w:noWrap/>
            <w:hideMark/>
          </w:tcPr>
          <w:p w14:paraId="1D5778C4" w14:textId="77777777" w:rsidR="000B5D3F" w:rsidRPr="00ED06A9" w:rsidRDefault="000B5D3F" w:rsidP="000B5D3F">
            <w:pPr>
              <w:jc w:val="center"/>
            </w:pPr>
            <w:r w:rsidRPr="00ED06A9">
              <w:t>SIP</w:t>
            </w:r>
          </w:p>
        </w:tc>
        <w:tc>
          <w:tcPr>
            <w:tcW w:w="2327" w:type="dxa"/>
            <w:noWrap/>
            <w:hideMark/>
          </w:tcPr>
          <w:p w14:paraId="3FC0C0A2" w14:textId="77777777" w:rsidR="000B5D3F" w:rsidRPr="00ED06A9" w:rsidRDefault="000B5D3F" w:rsidP="000B5D3F">
            <w:pPr>
              <w:jc w:val="center"/>
            </w:pPr>
            <w:r w:rsidRPr="00ED06A9">
              <w:t>Elevated Band</w:t>
            </w:r>
          </w:p>
        </w:tc>
        <w:tc>
          <w:tcPr>
            <w:tcW w:w="1465" w:type="dxa"/>
            <w:noWrap/>
            <w:hideMark/>
          </w:tcPr>
          <w:p w14:paraId="60AAE0FD" w14:textId="77777777" w:rsidR="000B5D3F" w:rsidRPr="00ED06A9" w:rsidRDefault="000B5D3F" w:rsidP="000B5D3F">
            <w:pPr>
              <w:jc w:val="center"/>
            </w:pPr>
            <w:r w:rsidRPr="00ED06A9">
              <w:t>730±950</w:t>
            </w:r>
          </w:p>
        </w:tc>
        <w:tc>
          <w:tcPr>
            <w:tcW w:w="1871" w:type="dxa"/>
            <w:noWrap/>
            <w:hideMark/>
          </w:tcPr>
          <w:p w14:paraId="16863775" w14:textId="77777777" w:rsidR="000B5D3F" w:rsidRPr="00ED06A9" w:rsidRDefault="000B5D3F" w:rsidP="000B5D3F">
            <w:pPr>
              <w:jc w:val="center"/>
            </w:pPr>
            <w:r w:rsidRPr="00ED06A9">
              <w:t>11.87±11.46</w:t>
            </w:r>
          </w:p>
        </w:tc>
        <w:tc>
          <w:tcPr>
            <w:tcW w:w="2015" w:type="dxa"/>
            <w:noWrap/>
            <w:hideMark/>
          </w:tcPr>
          <w:p w14:paraId="360A4C69" w14:textId="77777777" w:rsidR="000B5D3F" w:rsidRPr="00ED06A9" w:rsidRDefault="000B5D3F" w:rsidP="000B5D3F">
            <w:pPr>
              <w:jc w:val="center"/>
            </w:pPr>
            <w:r w:rsidRPr="00ED06A9">
              <w:t>2.62±1.99</w:t>
            </w:r>
          </w:p>
        </w:tc>
      </w:tr>
      <w:tr w:rsidR="000B5D3F" w:rsidRPr="00ED06A9" w14:paraId="0259F56A" w14:textId="77777777" w:rsidTr="00732E5E">
        <w:trPr>
          <w:trHeight w:val="408"/>
        </w:trPr>
        <w:tc>
          <w:tcPr>
            <w:tcW w:w="1120" w:type="dxa"/>
            <w:vMerge/>
            <w:hideMark/>
          </w:tcPr>
          <w:p w14:paraId="6D6053AD" w14:textId="77777777" w:rsidR="000B5D3F" w:rsidRPr="00ED06A9" w:rsidRDefault="000B5D3F" w:rsidP="000B5D3F">
            <w:pPr>
              <w:jc w:val="center"/>
            </w:pPr>
          </w:p>
        </w:tc>
        <w:tc>
          <w:tcPr>
            <w:tcW w:w="2327" w:type="dxa"/>
            <w:noWrap/>
            <w:hideMark/>
          </w:tcPr>
          <w:p w14:paraId="2377007F" w14:textId="77777777" w:rsidR="000B5D3F" w:rsidRPr="00ED06A9" w:rsidRDefault="000B5D3F" w:rsidP="000B5D3F">
            <w:pPr>
              <w:jc w:val="center"/>
            </w:pPr>
            <w:r w:rsidRPr="00ED06A9">
              <w:t>Non-elevated Band</w:t>
            </w:r>
          </w:p>
        </w:tc>
        <w:tc>
          <w:tcPr>
            <w:tcW w:w="1465" w:type="dxa"/>
            <w:noWrap/>
            <w:hideMark/>
          </w:tcPr>
          <w:p w14:paraId="275ACA4D" w14:textId="77777777" w:rsidR="000B5D3F" w:rsidRPr="00ED06A9" w:rsidRDefault="000B5D3F" w:rsidP="000B5D3F">
            <w:pPr>
              <w:jc w:val="center"/>
            </w:pPr>
            <w:r w:rsidRPr="00ED06A9">
              <w:t>180±130</w:t>
            </w:r>
          </w:p>
        </w:tc>
        <w:tc>
          <w:tcPr>
            <w:tcW w:w="1871" w:type="dxa"/>
            <w:noWrap/>
            <w:hideMark/>
          </w:tcPr>
          <w:p w14:paraId="610FAE5C" w14:textId="77777777" w:rsidR="000B5D3F" w:rsidRPr="00ED06A9" w:rsidRDefault="000B5D3F" w:rsidP="000B5D3F">
            <w:pPr>
              <w:jc w:val="center"/>
            </w:pPr>
            <w:r w:rsidRPr="00ED06A9">
              <w:t>1.43±0.95</w:t>
            </w:r>
          </w:p>
        </w:tc>
        <w:tc>
          <w:tcPr>
            <w:tcW w:w="2015" w:type="dxa"/>
            <w:noWrap/>
            <w:hideMark/>
          </w:tcPr>
          <w:p w14:paraId="31A0D6B7" w14:textId="77777777" w:rsidR="000B5D3F" w:rsidRPr="00ED06A9" w:rsidRDefault="000B5D3F" w:rsidP="000B5D3F">
            <w:pPr>
              <w:jc w:val="center"/>
            </w:pPr>
            <w:r w:rsidRPr="00ED06A9">
              <w:t>0.61±0.41</w:t>
            </w:r>
          </w:p>
        </w:tc>
      </w:tr>
      <w:tr w:rsidR="000B5D3F" w:rsidRPr="00ED06A9" w14:paraId="681CE3C4" w14:textId="77777777" w:rsidTr="00732E5E">
        <w:trPr>
          <w:trHeight w:val="408"/>
        </w:trPr>
        <w:tc>
          <w:tcPr>
            <w:tcW w:w="1120" w:type="dxa"/>
            <w:vMerge w:val="restart"/>
            <w:noWrap/>
            <w:hideMark/>
          </w:tcPr>
          <w:p w14:paraId="50288932" w14:textId="77777777" w:rsidR="000B5D3F" w:rsidRPr="00ED06A9" w:rsidRDefault="000B5D3F" w:rsidP="000B5D3F">
            <w:pPr>
              <w:jc w:val="center"/>
            </w:pPr>
            <w:r w:rsidRPr="00ED06A9">
              <w:t>FW</w:t>
            </w:r>
          </w:p>
        </w:tc>
        <w:tc>
          <w:tcPr>
            <w:tcW w:w="2327" w:type="dxa"/>
            <w:noWrap/>
            <w:hideMark/>
          </w:tcPr>
          <w:p w14:paraId="3E242B04" w14:textId="77777777" w:rsidR="000B5D3F" w:rsidRPr="00ED06A9" w:rsidRDefault="000B5D3F" w:rsidP="000B5D3F">
            <w:pPr>
              <w:jc w:val="center"/>
            </w:pPr>
            <w:r w:rsidRPr="00ED06A9">
              <w:t>Elevated Band</w:t>
            </w:r>
          </w:p>
        </w:tc>
        <w:tc>
          <w:tcPr>
            <w:tcW w:w="1465" w:type="dxa"/>
            <w:noWrap/>
            <w:hideMark/>
          </w:tcPr>
          <w:p w14:paraId="0C931FDC" w14:textId="77777777" w:rsidR="000B5D3F" w:rsidRPr="00ED06A9" w:rsidRDefault="000B5D3F" w:rsidP="000B5D3F">
            <w:pPr>
              <w:jc w:val="center"/>
            </w:pPr>
            <w:r w:rsidRPr="00ED06A9">
              <w:t>1080±1240</w:t>
            </w:r>
          </w:p>
        </w:tc>
        <w:tc>
          <w:tcPr>
            <w:tcW w:w="1871" w:type="dxa"/>
            <w:noWrap/>
            <w:hideMark/>
          </w:tcPr>
          <w:p w14:paraId="0339E184" w14:textId="77777777" w:rsidR="000B5D3F" w:rsidRPr="00ED06A9" w:rsidRDefault="000B5D3F" w:rsidP="000B5D3F">
            <w:pPr>
              <w:jc w:val="center"/>
            </w:pPr>
            <w:r w:rsidRPr="00ED06A9">
              <w:t>16.78±16.79</w:t>
            </w:r>
          </w:p>
        </w:tc>
        <w:tc>
          <w:tcPr>
            <w:tcW w:w="2015" w:type="dxa"/>
            <w:noWrap/>
            <w:hideMark/>
          </w:tcPr>
          <w:p w14:paraId="5E8D26F8" w14:textId="77777777" w:rsidR="000B5D3F" w:rsidRPr="00ED06A9" w:rsidRDefault="000B5D3F" w:rsidP="000B5D3F">
            <w:pPr>
              <w:jc w:val="center"/>
            </w:pPr>
            <w:r w:rsidRPr="00ED06A9">
              <w:t>3.35±2.71</w:t>
            </w:r>
          </w:p>
        </w:tc>
      </w:tr>
      <w:tr w:rsidR="000B5D3F" w:rsidRPr="00ED06A9" w14:paraId="064D99B4" w14:textId="77777777" w:rsidTr="00732E5E">
        <w:trPr>
          <w:trHeight w:val="408"/>
        </w:trPr>
        <w:tc>
          <w:tcPr>
            <w:tcW w:w="1120" w:type="dxa"/>
            <w:vMerge/>
            <w:hideMark/>
          </w:tcPr>
          <w:p w14:paraId="375AC7B8" w14:textId="77777777" w:rsidR="000B5D3F" w:rsidRPr="00ED06A9" w:rsidRDefault="000B5D3F" w:rsidP="000B5D3F">
            <w:pPr>
              <w:jc w:val="center"/>
            </w:pPr>
          </w:p>
        </w:tc>
        <w:tc>
          <w:tcPr>
            <w:tcW w:w="2327" w:type="dxa"/>
            <w:noWrap/>
            <w:hideMark/>
          </w:tcPr>
          <w:p w14:paraId="30ACBECD" w14:textId="77777777" w:rsidR="000B5D3F" w:rsidRPr="00ED06A9" w:rsidRDefault="000B5D3F" w:rsidP="000B5D3F">
            <w:pPr>
              <w:jc w:val="center"/>
            </w:pPr>
            <w:r w:rsidRPr="00ED06A9">
              <w:t>Non-elevated Band</w:t>
            </w:r>
          </w:p>
        </w:tc>
        <w:tc>
          <w:tcPr>
            <w:tcW w:w="1465" w:type="dxa"/>
            <w:noWrap/>
            <w:hideMark/>
          </w:tcPr>
          <w:p w14:paraId="6E2099F5" w14:textId="77777777" w:rsidR="000B5D3F" w:rsidRPr="00ED06A9" w:rsidRDefault="000B5D3F" w:rsidP="000B5D3F">
            <w:pPr>
              <w:jc w:val="center"/>
            </w:pPr>
            <w:r w:rsidRPr="00ED06A9">
              <w:t>180±130</w:t>
            </w:r>
          </w:p>
        </w:tc>
        <w:tc>
          <w:tcPr>
            <w:tcW w:w="1871" w:type="dxa"/>
            <w:noWrap/>
            <w:hideMark/>
          </w:tcPr>
          <w:p w14:paraId="73BF43E3" w14:textId="77777777" w:rsidR="000B5D3F" w:rsidRPr="00ED06A9" w:rsidRDefault="000B5D3F" w:rsidP="000B5D3F">
            <w:pPr>
              <w:jc w:val="center"/>
            </w:pPr>
            <w:r w:rsidRPr="00ED06A9">
              <w:t>1.50</w:t>
            </w:r>
            <w:bookmarkStart w:id="13" w:name="OLE_LINK77"/>
            <w:bookmarkStart w:id="14" w:name="OLE_LINK78"/>
            <w:bookmarkStart w:id="15" w:name="OLE_LINK79"/>
            <w:r w:rsidRPr="00ED06A9">
              <w:t>±</w:t>
            </w:r>
            <w:bookmarkEnd w:id="13"/>
            <w:bookmarkEnd w:id="14"/>
            <w:bookmarkEnd w:id="15"/>
            <w:r w:rsidRPr="00ED06A9">
              <w:t>1.01</w:t>
            </w:r>
          </w:p>
        </w:tc>
        <w:tc>
          <w:tcPr>
            <w:tcW w:w="2015" w:type="dxa"/>
            <w:noWrap/>
            <w:hideMark/>
          </w:tcPr>
          <w:p w14:paraId="0B9C4D49" w14:textId="77777777" w:rsidR="000B5D3F" w:rsidRPr="00ED06A9" w:rsidRDefault="000B5D3F" w:rsidP="000B5D3F">
            <w:pPr>
              <w:jc w:val="center"/>
            </w:pPr>
            <w:r w:rsidRPr="00ED06A9">
              <w:t>0.63±0.43</w:t>
            </w:r>
          </w:p>
        </w:tc>
      </w:tr>
    </w:tbl>
    <w:p w14:paraId="58A91EE8" w14:textId="2F08183C" w:rsidR="00722B2D" w:rsidRDefault="000B5D3F" w:rsidP="000E2893">
      <w:pPr>
        <w:rPr>
          <w:b/>
          <w:i/>
        </w:rPr>
      </w:pPr>
      <w:r w:rsidRPr="00ED06A9">
        <w:fldChar w:fldCharType="end"/>
      </w:r>
      <w:r w:rsidRPr="00ED06A9">
        <w:rPr>
          <w:b/>
          <w:i/>
        </w:rPr>
        <w:t xml:space="preserve">Table </w:t>
      </w:r>
      <w:r w:rsidR="00F26220" w:rsidRPr="00ED06A9">
        <w:rPr>
          <w:b/>
          <w:i/>
        </w:rPr>
        <w:t>S2</w:t>
      </w:r>
      <w:r w:rsidRPr="00ED06A9">
        <w:rPr>
          <w:b/>
          <w:i/>
        </w:rPr>
        <w:t xml:space="preserve">. </w:t>
      </w:r>
      <w:r w:rsidR="00F74906" w:rsidRPr="00ED06A9">
        <w:rPr>
          <w:b/>
          <w:i/>
        </w:rPr>
        <w:t>Burst metrics for all movement tasks (</w:t>
      </w:r>
      <w:proofErr w:type="spellStart"/>
      <w:r w:rsidR="00F74906" w:rsidRPr="00ED06A9">
        <w:rPr>
          <w:b/>
          <w:i/>
        </w:rPr>
        <w:t>mean±SD</w:t>
      </w:r>
      <w:proofErr w:type="spellEnd"/>
      <w:r w:rsidR="00F74906" w:rsidRPr="00ED06A9">
        <w:rPr>
          <w:b/>
          <w:i/>
        </w:rPr>
        <w:t xml:space="preserve">) for both the elevated and non-elevated </w:t>
      </w:r>
      <w:r w:rsidR="00B01ADD" w:rsidRPr="00ED06A9">
        <w:rPr>
          <w:b/>
          <w:i/>
        </w:rPr>
        <w:t>b</w:t>
      </w:r>
      <w:r w:rsidR="00F74906" w:rsidRPr="00ED06A9">
        <w:rPr>
          <w:b/>
          <w:i/>
        </w:rPr>
        <w:t>and</w:t>
      </w:r>
    </w:p>
    <w:p w14:paraId="64968E6F" w14:textId="1870738F" w:rsidR="004A3E7F" w:rsidRDefault="004A3E7F" w:rsidP="000E2893">
      <w:pPr>
        <w:rPr>
          <w:b/>
          <w:iCs/>
        </w:rPr>
      </w:pPr>
    </w:p>
    <w:p w14:paraId="2D0DF3E4" w14:textId="1BD2D6CE" w:rsidR="004A3E7F" w:rsidRPr="008D3D6E" w:rsidRDefault="004A3E7F" w:rsidP="000E2893">
      <w:pPr>
        <w:rPr>
          <w:b/>
          <w:iCs/>
        </w:rPr>
      </w:pPr>
      <w:r w:rsidRPr="008D3D6E">
        <w:rPr>
          <w:b/>
          <w:iCs/>
        </w:rPr>
        <w:t>References</w:t>
      </w:r>
    </w:p>
    <w:p w14:paraId="33BCCA9F" w14:textId="5490EA8A" w:rsidR="008D3D6E" w:rsidRPr="008D3D6E" w:rsidRDefault="004A3E7F" w:rsidP="008D3D6E">
      <w:pPr>
        <w:pStyle w:val="Bibliography"/>
        <w:rPr>
          <w:color w:val="000000"/>
          <w:shd w:val="clear" w:color="auto" w:fill="FFFFFF"/>
        </w:rPr>
      </w:pPr>
      <w:r w:rsidRPr="008D3D6E">
        <w:fldChar w:fldCharType="begin"/>
      </w:r>
      <w:r w:rsidRPr="008D3D6E">
        <w:instrText xml:space="preserve"> ADDIN ZOTERO_BIBL {"uncited":[],"omitted":[],"custom":[]} CSL_BIBLIOGRAPHY </w:instrText>
      </w:r>
      <w:r w:rsidRPr="008D3D6E">
        <w:fldChar w:fldCharType="separate"/>
      </w:r>
      <w:r w:rsidRPr="008D3D6E">
        <w:t>Avants BB, Tustison NJ, Song G, Cook PA, Klein A, Gee JC. A Reproducible Evaluation of ANTs Similarity Metric Performance in Brain Image Registration. Neuroimage 2011; 54: 2033–2044.</w:t>
      </w:r>
      <w:r w:rsidR="008D3D6E" w:rsidRPr="008D3D6E">
        <w:t xml:space="preserve"> https://doi.org/</w:t>
      </w:r>
      <w:r w:rsidR="008D3D6E" w:rsidRPr="008D3D6E">
        <w:rPr>
          <w:color w:val="000000"/>
          <w:shd w:val="clear" w:color="auto" w:fill="FFFFFF"/>
        </w:rPr>
        <w:t>10.1016/j.neuroimage.2010.09.025</w:t>
      </w:r>
    </w:p>
    <w:p w14:paraId="1BFD8FAB" w14:textId="239F41B5" w:rsidR="004A3E7F" w:rsidRPr="008D3D6E" w:rsidRDefault="004A3E7F" w:rsidP="004A3E7F">
      <w:pPr>
        <w:pStyle w:val="Bibliography"/>
      </w:pPr>
      <w:r w:rsidRPr="008D3D6E">
        <w:t>Ewert S, Plettig P, Li N, Chakravarty MM, Collins DL, Herrington TM, et al. Toward defining deep brain stimulation targets in MNI space: A subcortical atlas based on multimodal MRI, histology and structural connectivity. NeuroImage 2018; 170: 271–282.</w:t>
      </w:r>
      <w:r w:rsidR="008D3D6E" w:rsidRPr="008D3D6E">
        <w:t xml:space="preserve"> https://doi.org/</w:t>
      </w:r>
      <w:r w:rsidR="008D3D6E" w:rsidRPr="008D3D6E">
        <w:rPr>
          <w:color w:val="000000"/>
          <w:shd w:val="clear" w:color="auto" w:fill="FFFFFF"/>
        </w:rPr>
        <w:t>10.1016/j.neuroimage.2017.05.015</w:t>
      </w:r>
    </w:p>
    <w:p w14:paraId="697D60F8" w14:textId="5E4C5905" w:rsidR="004A3E7F" w:rsidRPr="008D3D6E" w:rsidRDefault="004A3E7F" w:rsidP="004A3E7F">
      <w:pPr>
        <w:pStyle w:val="Bibliography"/>
      </w:pPr>
      <w:r w:rsidRPr="008D3D6E">
        <w:t>Horn A, Kühn AA. Lead-DBS: a toolbox for deep brain stimulation electrode localizations and visualizations. Neuroimage 2015; 107: 127–135.</w:t>
      </w:r>
      <w:r w:rsidR="008D3D6E" w:rsidRPr="008D3D6E">
        <w:t xml:space="preserve"> https://doi.org/</w:t>
      </w:r>
      <w:r w:rsidR="008D3D6E" w:rsidRPr="008D3D6E">
        <w:rPr>
          <w:color w:val="000000"/>
          <w:shd w:val="clear" w:color="auto" w:fill="FFFFFF"/>
        </w:rPr>
        <w:t>10.1016/j.neuroimage.2014.12.002</w:t>
      </w:r>
    </w:p>
    <w:p w14:paraId="09FDFFBC" w14:textId="2EBBE662" w:rsidR="004A3E7F" w:rsidRPr="008D3D6E" w:rsidRDefault="004A3E7F" w:rsidP="004A3E7F">
      <w:pPr>
        <w:pStyle w:val="Bibliography"/>
      </w:pPr>
      <w:r w:rsidRPr="008D3D6E">
        <w:t>Horn A, Li N, Dembek TA, Kappel A, Boulay C, Ewert S, et al. Lead-DBS v2: Towards a comprehensive pipeline for deep brain stimulation imaging. NeuroImage 2019; 184: 293–316.</w:t>
      </w:r>
      <w:r w:rsidR="008D3D6E" w:rsidRPr="008D3D6E">
        <w:t xml:space="preserve"> https://doi.org/</w:t>
      </w:r>
      <w:r w:rsidR="008D3D6E" w:rsidRPr="008D3D6E">
        <w:rPr>
          <w:color w:val="000000"/>
          <w:shd w:val="clear" w:color="auto" w:fill="FFFFFF"/>
        </w:rPr>
        <w:t>10.1016/j.neuroimage.2018.08.068</w:t>
      </w:r>
    </w:p>
    <w:p w14:paraId="08DDDE8B" w14:textId="0C3D83BD" w:rsidR="008D3D6E" w:rsidRPr="008D3D6E" w:rsidRDefault="004A3E7F" w:rsidP="008D3D6E">
      <w:pPr>
        <w:pStyle w:val="Bibliography"/>
      </w:pPr>
      <w:r w:rsidRPr="008D3D6E">
        <w:t>Husch A, V. Petersen M, Gemmar P, Goncalves J, Hertel F. PaCER - A fully automated method for electrode trajectory and contact reconstruction in deep brain stimulation. NeuroImage: Clinical 2018; 17: 80–89.</w:t>
      </w:r>
      <w:r w:rsidR="008D3D6E" w:rsidRPr="008D3D6E">
        <w:t xml:space="preserve"> https://doi.org/</w:t>
      </w:r>
      <w:r w:rsidR="008D3D6E" w:rsidRPr="008D3D6E">
        <w:rPr>
          <w:color w:val="000000"/>
          <w:shd w:val="clear" w:color="auto" w:fill="FFFFFF"/>
        </w:rPr>
        <w:t>10.1016/j.nicl.2017.10.004</w:t>
      </w:r>
    </w:p>
    <w:p w14:paraId="70488983" w14:textId="77777777" w:rsidR="004A3E7F" w:rsidRPr="008D3D6E" w:rsidRDefault="004A3E7F" w:rsidP="004A3E7F">
      <w:pPr>
        <w:pStyle w:val="Bibliography"/>
      </w:pPr>
    </w:p>
    <w:p w14:paraId="62DA97B7" w14:textId="29D06BF7" w:rsidR="004A3E7F" w:rsidRPr="00ED06A9" w:rsidRDefault="004A3E7F" w:rsidP="004A3E7F">
      <w:pPr>
        <w:rPr>
          <w:b/>
          <w:i/>
        </w:rPr>
      </w:pPr>
      <w:r w:rsidRPr="008D3D6E">
        <w:fldChar w:fldCharType="end"/>
      </w:r>
    </w:p>
    <w:sectPr w:rsidR="004A3E7F" w:rsidRPr="00ED06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49C53" w14:textId="77777777" w:rsidR="0012211F" w:rsidRDefault="0012211F" w:rsidP="00F74906">
      <w:pPr>
        <w:spacing w:after="0" w:line="240" w:lineRule="auto"/>
      </w:pPr>
      <w:r>
        <w:separator/>
      </w:r>
    </w:p>
  </w:endnote>
  <w:endnote w:type="continuationSeparator" w:id="0">
    <w:p w14:paraId="08F9E1EA" w14:textId="77777777" w:rsidR="0012211F" w:rsidRDefault="0012211F" w:rsidP="00F7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CAE44" w14:textId="77777777" w:rsidR="0012211F" w:rsidRDefault="0012211F" w:rsidP="00F74906">
      <w:pPr>
        <w:spacing w:after="0" w:line="240" w:lineRule="auto"/>
      </w:pPr>
      <w:r>
        <w:separator/>
      </w:r>
    </w:p>
  </w:footnote>
  <w:footnote w:type="continuationSeparator" w:id="0">
    <w:p w14:paraId="3CE663A3" w14:textId="77777777" w:rsidR="0012211F" w:rsidRDefault="0012211F" w:rsidP="00F74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E5"/>
    <w:rsid w:val="00050F2B"/>
    <w:rsid w:val="000B5D3F"/>
    <w:rsid w:val="000E2893"/>
    <w:rsid w:val="0012211F"/>
    <w:rsid w:val="001A1D9B"/>
    <w:rsid w:val="001D11EF"/>
    <w:rsid w:val="001E5BBD"/>
    <w:rsid w:val="0027132B"/>
    <w:rsid w:val="00277FB7"/>
    <w:rsid w:val="00296B03"/>
    <w:rsid w:val="002C2151"/>
    <w:rsid w:val="002E34A2"/>
    <w:rsid w:val="00457ACB"/>
    <w:rsid w:val="00464397"/>
    <w:rsid w:val="00470DB9"/>
    <w:rsid w:val="00491AEE"/>
    <w:rsid w:val="004A3E7F"/>
    <w:rsid w:val="004D0FBF"/>
    <w:rsid w:val="004D24B0"/>
    <w:rsid w:val="0050050D"/>
    <w:rsid w:val="0052414F"/>
    <w:rsid w:val="0055211D"/>
    <w:rsid w:val="0055700F"/>
    <w:rsid w:val="00596B4A"/>
    <w:rsid w:val="005B20E5"/>
    <w:rsid w:val="005D5D0E"/>
    <w:rsid w:val="005E0D1F"/>
    <w:rsid w:val="006334D7"/>
    <w:rsid w:val="0067037C"/>
    <w:rsid w:val="00722B2D"/>
    <w:rsid w:val="00732E5E"/>
    <w:rsid w:val="00816053"/>
    <w:rsid w:val="0081654F"/>
    <w:rsid w:val="00817E3E"/>
    <w:rsid w:val="008B7CCE"/>
    <w:rsid w:val="008D3D6E"/>
    <w:rsid w:val="008D77DF"/>
    <w:rsid w:val="00997DCF"/>
    <w:rsid w:val="009F1B36"/>
    <w:rsid w:val="00A4735F"/>
    <w:rsid w:val="00AD744D"/>
    <w:rsid w:val="00B01ADD"/>
    <w:rsid w:val="00B1398D"/>
    <w:rsid w:val="00C25571"/>
    <w:rsid w:val="00CF5F45"/>
    <w:rsid w:val="00D07229"/>
    <w:rsid w:val="00D83D63"/>
    <w:rsid w:val="00DB656D"/>
    <w:rsid w:val="00ED06A9"/>
    <w:rsid w:val="00EE4F6B"/>
    <w:rsid w:val="00EF13BD"/>
    <w:rsid w:val="00F163E2"/>
    <w:rsid w:val="00F26220"/>
    <w:rsid w:val="00F65FF9"/>
    <w:rsid w:val="00F74906"/>
    <w:rsid w:val="00F77185"/>
    <w:rsid w:val="00FA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F7FF"/>
  <w15:docId w15:val="{8D937CB4-9EE6-40A9-B042-BDD1D486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4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906"/>
  </w:style>
  <w:style w:type="paragraph" w:styleId="Footer">
    <w:name w:val="footer"/>
    <w:basedOn w:val="Normal"/>
    <w:link w:val="FooterChar"/>
    <w:uiPriority w:val="99"/>
    <w:unhideWhenUsed/>
    <w:rsid w:val="00F74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906"/>
  </w:style>
  <w:style w:type="paragraph" w:styleId="BalloonText">
    <w:name w:val="Balloon Text"/>
    <w:basedOn w:val="Normal"/>
    <w:link w:val="BalloonTextChar"/>
    <w:uiPriority w:val="99"/>
    <w:semiHidden/>
    <w:unhideWhenUsed/>
    <w:rsid w:val="00F26220"/>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26220"/>
    <w:rPr>
      <w:sz w:val="18"/>
      <w:szCs w:val="18"/>
    </w:rPr>
  </w:style>
  <w:style w:type="character" w:styleId="CommentReference">
    <w:name w:val="annotation reference"/>
    <w:basedOn w:val="DefaultParagraphFont"/>
    <w:uiPriority w:val="99"/>
    <w:semiHidden/>
    <w:unhideWhenUsed/>
    <w:rsid w:val="00F26220"/>
    <w:rPr>
      <w:sz w:val="16"/>
      <w:szCs w:val="16"/>
    </w:rPr>
  </w:style>
  <w:style w:type="paragraph" w:styleId="CommentText">
    <w:name w:val="annotation text"/>
    <w:basedOn w:val="Normal"/>
    <w:link w:val="CommentTextChar"/>
    <w:uiPriority w:val="99"/>
    <w:semiHidden/>
    <w:unhideWhenUsed/>
    <w:rsid w:val="00F26220"/>
    <w:pPr>
      <w:spacing w:line="240" w:lineRule="auto"/>
    </w:pPr>
    <w:rPr>
      <w:sz w:val="20"/>
      <w:szCs w:val="20"/>
    </w:rPr>
  </w:style>
  <w:style w:type="character" w:customStyle="1" w:styleId="CommentTextChar">
    <w:name w:val="Comment Text Char"/>
    <w:basedOn w:val="DefaultParagraphFont"/>
    <w:link w:val="CommentText"/>
    <w:uiPriority w:val="99"/>
    <w:semiHidden/>
    <w:rsid w:val="00F26220"/>
    <w:rPr>
      <w:sz w:val="20"/>
      <w:szCs w:val="20"/>
    </w:rPr>
  </w:style>
  <w:style w:type="paragraph" w:styleId="CommentSubject">
    <w:name w:val="annotation subject"/>
    <w:basedOn w:val="CommentText"/>
    <w:next w:val="CommentText"/>
    <w:link w:val="CommentSubjectChar"/>
    <w:uiPriority w:val="99"/>
    <w:semiHidden/>
    <w:unhideWhenUsed/>
    <w:rsid w:val="00F26220"/>
    <w:rPr>
      <w:b/>
      <w:bCs/>
    </w:rPr>
  </w:style>
  <w:style w:type="character" w:customStyle="1" w:styleId="CommentSubjectChar">
    <w:name w:val="Comment Subject Char"/>
    <w:basedOn w:val="CommentTextChar"/>
    <w:link w:val="CommentSubject"/>
    <w:uiPriority w:val="99"/>
    <w:semiHidden/>
    <w:rsid w:val="00F26220"/>
    <w:rPr>
      <w:b/>
      <w:bCs/>
      <w:sz w:val="20"/>
      <w:szCs w:val="20"/>
    </w:rPr>
  </w:style>
  <w:style w:type="paragraph" w:styleId="Bibliography">
    <w:name w:val="Bibliography"/>
    <w:basedOn w:val="Normal"/>
    <w:next w:val="Normal"/>
    <w:uiPriority w:val="37"/>
    <w:unhideWhenUsed/>
    <w:rsid w:val="004A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4034">
      <w:bodyDiv w:val="1"/>
      <w:marLeft w:val="0"/>
      <w:marRight w:val="0"/>
      <w:marTop w:val="0"/>
      <w:marBottom w:val="0"/>
      <w:divBdr>
        <w:top w:val="none" w:sz="0" w:space="0" w:color="auto"/>
        <w:left w:val="none" w:sz="0" w:space="0" w:color="auto"/>
        <w:bottom w:val="none" w:sz="0" w:space="0" w:color="auto"/>
        <w:right w:val="none" w:sz="0" w:space="0" w:color="auto"/>
      </w:divBdr>
    </w:div>
    <w:div w:id="174422101">
      <w:bodyDiv w:val="1"/>
      <w:marLeft w:val="0"/>
      <w:marRight w:val="0"/>
      <w:marTop w:val="0"/>
      <w:marBottom w:val="0"/>
      <w:divBdr>
        <w:top w:val="none" w:sz="0" w:space="0" w:color="auto"/>
        <w:left w:val="none" w:sz="0" w:space="0" w:color="auto"/>
        <w:bottom w:val="none" w:sz="0" w:space="0" w:color="auto"/>
        <w:right w:val="none" w:sz="0" w:space="0" w:color="auto"/>
      </w:divBdr>
    </w:div>
    <w:div w:id="630788803">
      <w:bodyDiv w:val="1"/>
      <w:marLeft w:val="0"/>
      <w:marRight w:val="0"/>
      <w:marTop w:val="0"/>
      <w:marBottom w:val="0"/>
      <w:divBdr>
        <w:top w:val="none" w:sz="0" w:space="0" w:color="auto"/>
        <w:left w:val="none" w:sz="0" w:space="0" w:color="auto"/>
        <w:bottom w:val="none" w:sz="0" w:space="0" w:color="auto"/>
        <w:right w:val="none" w:sz="0" w:space="0" w:color="auto"/>
      </w:divBdr>
    </w:div>
    <w:div w:id="873426003">
      <w:bodyDiv w:val="1"/>
      <w:marLeft w:val="0"/>
      <w:marRight w:val="0"/>
      <w:marTop w:val="0"/>
      <w:marBottom w:val="0"/>
      <w:divBdr>
        <w:top w:val="none" w:sz="0" w:space="0" w:color="auto"/>
        <w:left w:val="none" w:sz="0" w:space="0" w:color="auto"/>
        <w:bottom w:val="none" w:sz="0" w:space="0" w:color="auto"/>
        <w:right w:val="none" w:sz="0" w:space="0" w:color="auto"/>
      </w:divBdr>
    </w:div>
    <w:div w:id="1055931938">
      <w:bodyDiv w:val="1"/>
      <w:marLeft w:val="0"/>
      <w:marRight w:val="0"/>
      <w:marTop w:val="0"/>
      <w:marBottom w:val="0"/>
      <w:divBdr>
        <w:top w:val="none" w:sz="0" w:space="0" w:color="auto"/>
        <w:left w:val="none" w:sz="0" w:space="0" w:color="auto"/>
        <w:bottom w:val="none" w:sz="0" w:space="0" w:color="auto"/>
        <w:right w:val="none" w:sz="0" w:space="0" w:color="auto"/>
      </w:divBdr>
    </w:div>
    <w:div w:id="1331637711">
      <w:bodyDiv w:val="1"/>
      <w:marLeft w:val="0"/>
      <w:marRight w:val="0"/>
      <w:marTop w:val="0"/>
      <w:marBottom w:val="0"/>
      <w:divBdr>
        <w:top w:val="none" w:sz="0" w:space="0" w:color="auto"/>
        <w:left w:val="none" w:sz="0" w:space="0" w:color="auto"/>
        <w:bottom w:val="none" w:sz="0" w:space="0" w:color="auto"/>
        <w:right w:val="none" w:sz="0" w:space="0" w:color="auto"/>
      </w:divBdr>
    </w:div>
    <w:div w:id="1606428139">
      <w:bodyDiv w:val="1"/>
      <w:marLeft w:val="0"/>
      <w:marRight w:val="0"/>
      <w:marTop w:val="0"/>
      <w:marBottom w:val="0"/>
      <w:divBdr>
        <w:top w:val="none" w:sz="0" w:space="0" w:color="auto"/>
        <w:left w:val="none" w:sz="0" w:space="0" w:color="auto"/>
        <w:bottom w:val="none" w:sz="0" w:space="0" w:color="auto"/>
        <w:right w:val="none" w:sz="0" w:space="0" w:color="auto"/>
      </w:divBdr>
    </w:div>
    <w:div w:id="17386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336D-8618-4233-9DEC-1C5225FC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Neuville, Raumin</cp:lastModifiedBy>
  <cp:revision>2</cp:revision>
  <dcterms:created xsi:type="dcterms:W3CDTF">2020-04-08T19:12:00Z</dcterms:created>
  <dcterms:modified xsi:type="dcterms:W3CDTF">2020-04-08T19:12:00Z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id="JZL0Lsde"/&gt;&lt;style id="http://www.zotero.org/styles/neurobiology-of-disease" hasBibliography="1" bibliographyStyleHasBeenSet="0"/&gt;&lt;prefs&gt;&lt;pref name="fieldType" value="Field"/&gt;&lt;/prefs&gt;&lt;/data&gt;</vt:lpwstr>
  </property>
</Properties>
</file>