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0F380" w14:textId="77777777" w:rsidR="00445C0A" w:rsidRPr="00E769F6" w:rsidRDefault="00445C0A" w:rsidP="00445C0A">
      <w:pPr>
        <w:jc w:val="center"/>
        <w:rPr>
          <w:b/>
          <w:bCs/>
          <w:sz w:val="22"/>
          <w:szCs w:val="22"/>
        </w:rPr>
      </w:pPr>
      <w:r w:rsidRPr="00E769F6">
        <w:rPr>
          <w:b/>
          <w:bCs/>
          <w:sz w:val="22"/>
          <w:szCs w:val="22"/>
        </w:rPr>
        <w:t>Supplementary Online Material</w:t>
      </w:r>
    </w:p>
    <w:p w14:paraId="2A90B7B8" w14:textId="77777777" w:rsidR="00445C0A" w:rsidRDefault="00445C0A" w:rsidP="00445C0A">
      <w:pPr>
        <w:jc w:val="center"/>
        <w:rPr>
          <w:sz w:val="22"/>
          <w:szCs w:val="22"/>
        </w:rPr>
      </w:pPr>
    </w:p>
    <w:p w14:paraId="03F90DE1" w14:textId="628E89CA" w:rsidR="001114D7" w:rsidRDefault="001114D7" w:rsidP="00445C0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Adjangba</w:t>
      </w:r>
      <w:proofErr w:type="spellEnd"/>
      <w:r>
        <w:rPr>
          <w:sz w:val="22"/>
          <w:szCs w:val="22"/>
        </w:rPr>
        <w:t xml:space="preserve"> et al. </w:t>
      </w:r>
      <w:r w:rsidR="00DA0D7D" w:rsidRPr="00DA0D7D">
        <w:rPr>
          <w:sz w:val="22"/>
          <w:szCs w:val="22"/>
        </w:rPr>
        <w:t>Little Evidence of Modified Genetic Effect of rs16969968 on Heavy Smoking Based on Age of Onset of Smoking</w:t>
      </w:r>
      <w:r w:rsidR="00DA0D7D">
        <w:rPr>
          <w:sz w:val="22"/>
          <w:szCs w:val="22"/>
        </w:rPr>
        <w:t>.</w:t>
      </w:r>
    </w:p>
    <w:p w14:paraId="76ACE3ED" w14:textId="77777777" w:rsidR="001114D7" w:rsidRDefault="001114D7" w:rsidP="001114D7">
      <w:pPr>
        <w:rPr>
          <w:sz w:val="22"/>
          <w:szCs w:val="22"/>
        </w:rPr>
      </w:pPr>
    </w:p>
    <w:p w14:paraId="3D37D917" w14:textId="439C7599" w:rsidR="00F55560" w:rsidRDefault="00F55560">
      <w:pPr>
        <w:rPr>
          <w:sz w:val="22"/>
          <w:szCs w:val="22"/>
        </w:rPr>
      </w:pPr>
    </w:p>
    <w:p w14:paraId="64584114" w14:textId="1A5B7A76" w:rsidR="00FB1935" w:rsidRPr="00F55560" w:rsidRDefault="00FB1935">
      <w:pPr>
        <w:rPr>
          <w:sz w:val="22"/>
          <w:szCs w:val="22"/>
        </w:rPr>
      </w:pPr>
      <w:r w:rsidRPr="00445C0A">
        <w:rPr>
          <w:b/>
          <w:bCs/>
          <w:sz w:val="22"/>
          <w:szCs w:val="22"/>
        </w:rPr>
        <w:t>Table S1.</w:t>
      </w:r>
      <w:r>
        <w:rPr>
          <w:sz w:val="22"/>
          <w:szCs w:val="22"/>
        </w:rPr>
        <w:t xml:space="preserve"> Association of rs16969968 with four encodings of cigarettes per day (CPD), stratified by early or late age at onset of regular smoking (AOS). See Methods for definitions of each encoding.</w:t>
      </w:r>
      <w:r w:rsidR="008E672A">
        <w:rPr>
          <w:sz w:val="22"/>
          <w:szCs w:val="22"/>
        </w:rPr>
        <w:t xml:space="preserve"> Association test statistic</w:t>
      </w:r>
      <w:r w:rsidR="0065075A">
        <w:rPr>
          <w:sz w:val="22"/>
          <w:szCs w:val="22"/>
        </w:rPr>
        <w:t>s</w:t>
      </w:r>
      <w:r w:rsidR="008E672A">
        <w:rPr>
          <w:sz w:val="22"/>
          <w:szCs w:val="22"/>
        </w:rPr>
        <w:t xml:space="preserve"> as reported by BOLT-</w:t>
      </w:r>
      <w:r w:rsidR="008E672A" w:rsidRPr="00480E1B">
        <w:rPr>
          <w:sz w:val="22"/>
          <w:szCs w:val="22"/>
        </w:rPr>
        <w:t>LMM.</w:t>
      </w:r>
      <w:r w:rsidR="00445C0A" w:rsidRPr="00480E1B">
        <w:rPr>
          <w:sz w:val="22"/>
          <w:szCs w:val="22"/>
        </w:rPr>
        <w:t xml:space="preserve"> </w:t>
      </w:r>
      <w:r w:rsidR="00480E1B">
        <w:rPr>
          <w:sz w:val="22"/>
          <w:szCs w:val="22"/>
        </w:rPr>
        <w:t xml:space="preserve">95% CIs apply </w:t>
      </w:r>
      <w:r w:rsidR="00480E1B" w:rsidRPr="00480E1B">
        <w:rPr>
          <w:rFonts w:eastAsia="Times New Roman"/>
          <w:i/>
          <w:iCs/>
          <w:sz w:val="22"/>
          <w:szCs w:val="22"/>
        </w:rPr>
        <w:sym w:font="Symbol" w:char="F061"/>
      </w:r>
      <w:r w:rsidR="00480E1B" w:rsidRPr="00480E1B">
        <w:rPr>
          <w:rFonts w:eastAsia="Times New Roman"/>
          <w:sz w:val="22"/>
          <w:szCs w:val="22"/>
        </w:rPr>
        <w:t>=0.05</w:t>
      </w:r>
      <w:r w:rsidR="00480E1B">
        <w:rPr>
          <w:rFonts w:eastAsia="Times New Roman"/>
          <w:sz w:val="22"/>
          <w:szCs w:val="22"/>
        </w:rPr>
        <w:t>.</w:t>
      </w:r>
    </w:p>
    <w:tbl>
      <w:tblPr>
        <w:tblW w:w="4542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09"/>
        <w:gridCol w:w="595"/>
        <w:gridCol w:w="873"/>
        <w:gridCol w:w="644"/>
        <w:gridCol w:w="810"/>
        <w:gridCol w:w="991"/>
        <w:gridCol w:w="1079"/>
        <w:gridCol w:w="991"/>
        <w:gridCol w:w="1350"/>
        <w:gridCol w:w="1169"/>
      </w:tblGrid>
      <w:tr w:rsidR="00F65A6A" w:rsidRPr="00436CF6" w14:paraId="4FECF1F0" w14:textId="77777777" w:rsidTr="00436CF6">
        <w:trPr>
          <w:trHeight w:val="531"/>
        </w:trPr>
        <w:tc>
          <w:tcPr>
            <w:tcW w:w="6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DCB4" w14:textId="4B5A72AA" w:rsidR="00F65A6A" w:rsidRPr="00436CF6" w:rsidRDefault="00F65A6A" w:rsidP="008A3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Phenotype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B556" w14:textId="67EDB4FA" w:rsidR="00F65A6A" w:rsidRPr="00436CF6" w:rsidRDefault="00F65A6A" w:rsidP="008A32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6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F9D2E" w14:textId="189873CE" w:rsidR="00F65A6A" w:rsidRPr="00436CF6" w:rsidRDefault="00F65A6A" w:rsidP="008A32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rs16969968-A Effect Estimate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A7C8" w14:textId="48F44264" w:rsidR="00F65A6A" w:rsidRPr="00436CF6" w:rsidRDefault="00F65A6A" w:rsidP="008A32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Association Test Statistic</w:t>
            </w:r>
          </w:p>
        </w:tc>
        <w:tc>
          <w:tcPr>
            <w:tcW w:w="1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74BA" w14:textId="1F984FC2" w:rsidR="00F65A6A" w:rsidRPr="00436CF6" w:rsidRDefault="00F65A6A" w:rsidP="008A32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Test of Effect Size Difference</w:t>
            </w:r>
          </w:p>
        </w:tc>
      </w:tr>
      <w:tr w:rsidR="00436CF6" w:rsidRPr="00436CF6" w14:paraId="222D0E1E" w14:textId="77777777" w:rsidTr="00436CF6">
        <w:trPr>
          <w:trHeight w:val="320"/>
        </w:trPr>
        <w:tc>
          <w:tcPr>
            <w:tcW w:w="66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0A7375" w14:textId="182F9A64" w:rsidR="00F65A6A" w:rsidRPr="00436CF6" w:rsidRDefault="00F65A6A" w:rsidP="008A329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FC1F3A" w14:textId="509FA952" w:rsidR="00F65A6A" w:rsidRPr="00436CF6" w:rsidRDefault="00F65A6A" w:rsidP="008A329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6D819" w14:textId="1EBE7ADF" w:rsidR="00F65A6A" w:rsidRPr="00436CF6" w:rsidRDefault="00F65A6A" w:rsidP="008A329A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sym w:font="Symbol" w:char="F062"/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23BB" w14:textId="1C5B546A" w:rsidR="00F65A6A" w:rsidRPr="00436CF6" w:rsidRDefault="00F65A6A" w:rsidP="008A32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07EF1" w14:textId="77777777" w:rsidR="00F65A6A" w:rsidRPr="00436CF6" w:rsidRDefault="00F65A6A" w:rsidP="008A32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Lower 95% 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E4BB" w14:textId="77777777" w:rsidR="00F65A6A" w:rsidRPr="00436CF6" w:rsidRDefault="00F65A6A" w:rsidP="008A32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Upper 95% CI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AA2E" w14:textId="07F1976C" w:rsidR="00F65A6A" w:rsidRPr="00436CF6" w:rsidRDefault="00F65A6A" w:rsidP="008A32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sym w:font="Symbol" w:char="F020"/>
            </w:r>
            <w:r w:rsidRPr="00436CF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sym w:font="Symbol" w:char="F063"/>
            </w:r>
            <w:r w:rsidRPr="00436CF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9528" w14:textId="77777777" w:rsidR="00F65A6A" w:rsidRPr="00436CF6" w:rsidRDefault="00F65A6A" w:rsidP="008A329A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4EF54" w14:textId="54A00032" w:rsidR="00F65A6A" w:rsidRPr="00436CF6" w:rsidRDefault="00F65A6A" w:rsidP="008A32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8CF3" w14:textId="388146AE" w:rsidR="00F65A6A" w:rsidRPr="00436CF6" w:rsidRDefault="00F65A6A" w:rsidP="008A32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</w:p>
          <w:p w14:paraId="10EE5484" w14:textId="548FD689" w:rsidR="00F65A6A" w:rsidRPr="00436CF6" w:rsidRDefault="00F65A6A" w:rsidP="008A32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(two-tailed)</w:t>
            </w:r>
          </w:p>
        </w:tc>
      </w:tr>
      <w:tr w:rsidR="00436CF6" w:rsidRPr="00436CF6" w14:paraId="7F194A6E" w14:textId="77777777" w:rsidTr="00436CF6">
        <w:trPr>
          <w:trHeight w:val="224"/>
        </w:trPr>
        <w:tc>
          <w:tcPr>
            <w:tcW w:w="6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5749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CPD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862D1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Early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907D" w14:textId="5525F5AE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DD4" w14:textId="6E6AB3B9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6F82" w14:textId="088AB67C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7843" w14:textId="02860812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1.189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785B" w14:textId="1EAEAF7C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321.0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28FB" w14:textId="3C79937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8.80E-72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EA92" w14:textId="72044A57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9E28" w14:textId="3490119F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</w:tr>
      <w:tr w:rsidR="00436CF6" w:rsidRPr="00436CF6" w14:paraId="0700940F" w14:textId="77777777" w:rsidTr="00436CF6">
        <w:trPr>
          <w:trHeight w:val="180"/>
        </w:trPr>
        <w:tc>
          <w:tcPr>
            <w:tcW w:w="667" w:type="pct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08495F5E" w14:textId="54224941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01DC40F1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4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3FBF8" w14:textId="3AB7ED24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0.826</w:t>
            </w:r>
          </w:p>
        </w:tc>
        <w:tc>
          <w:tcPr>
            <w:tcW w:w="32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64F90" w14:textId="5F0D310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41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6F219" w14:textId="73B698FE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2780F" w14:textId="226D58F6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55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49C29" w14:textId="458B0829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257.6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79A07" w14:textId="7A9AE30B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5.70E-58</w:t>
            </w:r>
          </w:p>
        </w:tc>
        <w:tc>
          <w:tcPr>
            <w:tcW w:w="68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CBCCF" w14:textId="23050CF2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28DD" w14:textId="13CE525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36CF6" w:rsidRPr="00436CF6" w14:paraId="2E57F54A" w14:textId="77777777" w:rsidTr="00436CF6">
        <w:trPr>
          <w:trHeight w:val="233"/>
        </w:trPr>
        <w:tc>
          <w:tcPr>
            <w:tcW w:w="6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BAF9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log</w:t>
            </w:r>
            <w:r w:rsidRPr="00436CF6"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436CF6">
              <w:rPr>
                <w:rFonts w:eastAsia="Times New Roman"/>
                <w:color w:val="000000"/>
                <w:sz w:val="20"/>
                <w:szCs w:val="20"/>
              </w:rPr>
              <w:t>(CPD)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DACCA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Early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7C0D" w14:textId="5A270FEB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E12F" w14:textId="710AB80A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7A94" w14:textId="09D83B21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4394" w14:textId="7485B1F1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4701" w14:textId="01AD1136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361.3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BAB8" w14:textId="4ECA8FE6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1.40E-80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0383" w14:textId="1C3D195D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B8DE" w14:textId="596BD11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0.172</w:t>
            </w:r>
          </w:p>
        </w:tc>
      </w:tr>
      <w:tr w:rsidR="00436CF6" w:rsidRPr="00436CF6" w14:paraId="3582BB24" w14:textId="77777777" w:rsidTr="00436CF6">
        <w:trPr>
          <w:trHeight w:val="243"/>
        </w:trPr>
        <w:tc>
          <w:tcPr>
            <w:tcW w:w="667" w:type="pct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9ED26" w14:textId="2D6693DE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1DBBBFC5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4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8B0DF" w14:textId="1EE4C3A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32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63FB7" w14:textId="3E964FC5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41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72E1E" w14:textId="530E5924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0F830" w14:textId="59CCBDC0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55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E0142" w14:textId="554D81B2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269.7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3272D" w14:textId="498DC57B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1.30E-60</w:t>
            </w:r>
          </w:p>
        </w:tc>
        <w:tc>
          <w:tcPr>
            <w:tcW w:w="68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2E043" w14:textId="5EDDD9D2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227EE" w14:textId="7FFA3AD5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36CF6" w:rsidRPr="00436CF6" w14:paraId="4164B65A" w14:textId="77777777" w:rsidTr="00436CF6">
        <w:trPr>
          <w:trHeight w:val="206"/>
        </w:trPr>
        <w:tc>
          <w:tcPr>
            <w:tcW w:w="6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1A35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binned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4640F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Early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5038" w14:textId="21166C1B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33BC" w14:textId="0B703394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8066" w14:textId="0425CA56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9F5E" w14:textId="1AAB5D5E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E2F1" w14:textId="467D43B1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373.5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12E3" w14:textId="2025F51D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3.30E-83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786A" w14:textId="0B32CA09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4E5A" w14:textId="0530E583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</w:tr>
      <w:tr w:rsidR="00436CF6" w:rsidRPr="00436CF6" w14:paraId="33B0BAB7" w14:textId="77777777" w:rsidTr="00436CF6">
        <w:trPr>
          <w:trHeight w:val="144"/>
        </w:trPr>
        <w:tc>
          <w:tcPr>
            <w:tcW w:w="667" w:type="pct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46480" w14:textId="0036930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680591E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4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7ACD7" w14:textId="48265FC3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32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7EE3" w14:textId="166CE2B6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41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68894" w14:textId="02A3662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285DC" w14:textId="08526215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55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61892" w14:textId="436DA05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275.0</w:t>
            </w:r>
          </w:p>
        </w:tc>
        <w:tc>
          <w:tcPr>
            <w:tcW w:w="50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761B" w14:textId="0E94999F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9.30E-62</w:t>
            </w:r>
          </w:p>
        </w:tc>
        <w:tc>
          <w:tcPr>
            <w:tcW w:w="68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48DDA" w14:textId="75D6108C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A5D5" w14:textId="3045B602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36CF6" w:rsidRPr="00436CF6" w14:paraId="4F66F0D6" w14:textId="77777777" w:rsidTr="00436CF6">
        <w:trPr>
          <w:trHeight w:val="233"/>
        </w:trPr>
        <w:tc>
          <w:tcPr>
            <w:tcW w:w="6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CC42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Heavy/Light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3C848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Early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56DB" w14:textId="093750E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48F" w14:textId="4814803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7550" w14:textId="548F17A0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3CDA" w14:textId="1EC89BF5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5947" w14:textId="40FE047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355.1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C9CA" w14:textId="17875FA7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3.30E-79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31C9" w14:textId="5C738A40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B8F8" w14:textId="23094ED6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</w:tr>
      <w:tr w:rsidR="00436CF6" w:rsidRPr="00436CF6" w14:paraId="26F95ED0" w14:textId="77777777" w:rsidTr="00436CF6">
        <w:trPr>
          <w:trHeight w:val="117"/>
        </w:trPr>
        <w:tc>
          <w:tcPr>
            <w:tcW w:w="66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322D91" w14:textId="0BA3E83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0AD5C4" w14:textId="77777777" w:rsidR="00F65A6A" w:rsidRPr="00436CF6" w:rsidRDefault="00F65A6A" w:rsidP="00D45C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77B9F" w14:textId="35C25F41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E5E2C" w14:textId="614EFEE6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FAEE8" w14:textId="40A0988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5A390" w14:textId="1803EE8C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0CEBD" w14:textId="4E0C19D7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238.8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7F337" w14:textId="07642B17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7.30E-54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548D" w14:textId="2D2EE291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AA1AD" w14:textId="4D129278" w:rsidR="00F65A6A" w:rsidRPr="00436CF6" w:rsidRDefault="00F65A6A" w:rsidP="00D45C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36CF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D31C4D4" w14:textId="4911AFA2" w:rsidR="00F55560" w:rsidRDefault="00F55560">
      <w:pPr>
        <w:rPr>
          <w:sz w:val="22"/>
          <w:szCs w:val="22"/>
        </w:rPr>
      </w:pPr>
    </w:p>
    <w:p w14:paraId="468BB63D" w14:textId="78DB1A93" w:rsidR="009570DE" w:rsidRDefault="009570DE">
      <w:pPr>
        <w:rPr>
          <w:sz w:val="22"/>
          <w:szCs w:val="22"/>
        </w:rPr>
      </w:pPr>
    </w:p>
    <w:p w14:paraId="2977016A" w14:textId="77777777" w:rsidR="00113108" w:rsidRDefault="00113108" w:rsidP="00065238">
      <w:pPr>
        <w:rPr>
          <w:b/>
          <w:bCs/>
          <w:sz w:val="22"/>
          <w:szCs w:val="22"/>
        </w:rPr>
      </w:pPr>
    </w:p>
    <w:p w14:paraId="6024E1B2" w14:textId="737F7207" w:rsidR="00065238" w:rsidRPr="00436CF6" w:rsidRDefault="00065238" w:rsidP="00065238">
      <w:pPr>
        <w:rPr>
          <w:sz w:val="22"/>
          <w:szCs w:val="22"/>
        </w:rPr>
      </w:pPr>
      <w:r w:rsidRPr="00436CF6">
        <w:rPr>
          <w:b/>
          <w:bCs/>
          <w:sz w:val="22"/>
          <w:szCs w:val="22"/>
        </w:rPr>
        <w:t>Table S2.</w:t>
      </w:r>
      <w:r w:rsidRPr="00436CF6">
        <w:rPr>
          <w:sz w:val="22"/>
          <w:szCs w:val="22"/>
        </w:rPr>
        <w:t xml:space="preserve"> </w:t>
      </w:r>
      <w:r w:rsidR="007C3825" w:rsidRPr="00436CF6">
        <w:rPr>
          <w:sz w:val="22"/>
          <w:szCs w:val="22"/>
        </w:rPr>
        <w:t>Results of the direct methods replication of the a</w:t>
      </w:r>
      <w:r w:rsidRPr="00436CF6">
        <w:rPr>
          <w:sz w:val="22"/>
          <w:szCs w:val="22"/>
        </w:rPr>
        <w:t xml:space="preserve">ssociation of rs16969968 with heavy vs. light CPD using logistic regression, with only sex and rs16969968 as independent </w:t>
      </w:r>
      <w:r w:rsidR="00FA1689" w:rsidRPr="00436CF6">
        <w:rPr>
          <w:sz w:val="22"/>
          <w:szCs w:val="22"/>
        </w:rPr>
        <w:t>predictors</w:t>
      </w:r>
      <w:r w:rsidRPr="00436CF6">
        <w:rPr>
          <w:sz w:val="22"/>
          <w:szCs w:val="22"/>
        </w:rPr>
        <w:t xml:space="preserve">, as in Hartz et al. </w:t>
      </w:r>
      <w:r w:rsidR="00191306" w:rsidRPr="00436CF6">
        <w:rPr>
          <w:sz w:val="22"/>
          <w:szCs w:val="22"/>
        </w:rPr>
        <w:t>Test of difference in the rs16969968-A effect sizes (</w:t>
      </w:r>
      <w:r w:rsidR="00191306" w:rsidRPr="00436CF6">
        <w:rPr>
          <w:rFonts w:eastAsia="Times New Roman"/>
          <w:i/>
          <w:iCs/>
          <w:color w:val="000000"/>
          <w:sz w:val="21"/>
          <w:szCs w:val="21"/>
        </w:rPr>
        <w:sym w:font="Symbol" w:char="F062"/>
      </w:r>
      <w:r w:rsidR="00191306" w:rsidRPr="00436CF6">
        <w:rPr>
          <w:rFonts w:eastAsia="Times New Roman"/>
          <w:color w:val="000000"/>
          <w:sz w:val="21"/>
          <w:szCs w:val="21"/>
        </w:rPr>
        <w:t xml:space="preserve">) </w:t>
      </w:r>
      <w:r w:rsidR="007038FD" w:rsidRPr="00436CF6">
        <w:rPr>
          <w:rFonts w:eastAsia="Times New Roman"/>
          <w:color w:val="000000"/>
          <w:sz w:val="21"/>
          <w:szCs w:val="21"/>
        </w:rPr>
        <w:t xml:space="preserve">estimated </w:t>
      </w:r>
      <w:r w:rsidR="00191306" w:rsidRPr="00436CF6">
        <w:rPr>
          <w:sz w:val="22"/>
          <w:szCs w:val="22"/>
        </w:rPr>
        <w:t xml:space="preserve">in early and late AOS individuals: </w:t>
      </w:r>
      <w:r w:rsidR="00191306" w:rsidRPr="00436CF6">
        <w:rPr>
          <w:i/>
          <w:iCs/>
          <w:sz w:val="22"/>
          <w:szCs w:val="22"/>
        </w:rPr>
        <w:t>Z</w:t>
      </w:r>
      <w:r w:rsidR="00191306" w:rsidRPr="00436CF6">
        <w:rPr>
          <w:sz w:val="22"/>
          <w:szCs w:val="22"/>
        </w:rPr>
        <w:t>=</w:t>
      </w:r>
      <w:r w:rsidR="009834EF" w:rsidRPr="00436CF6">
        <w:rPr>
          <w:sz w:val="22"/>
          <w:szCs w:val="22"/>
        </w:rPr>
        <w:t>1.4</w:t>
      </w:r>
      <w:r w:rsidR="00107B98" w:rsidRPr="00436CF6">
        <w:rPr>
          <w:sz w:val="22"/>
          <w:szCs w:val="22"/>
        </w:rPr>
        <w:t>0</w:t>
      </w:r>
      <w:r w:rsidR="009834EF" w:rsidRPr="00436CF6">
        <w:rPr>
          <w:sz w:val="22"/>
          <w:szCs w:val="22"/>
        </w:rPr>
        <w:t xml:space="preserve">, </w:t>
      </w:r>
      <w:r w:rsidR="009834EF" w:rsidRPr="00436CF6">
        <w:rPr>
          <w:i/>
          <w:iCs/>
          <w:sz w:val="22"/>
          <w:szCs w:val="22"/>
        </w:rPr>
        <w:t>p</w:t>
      </w:r>
      <w:r w:rsidR="009834EF" w:rsidRPr="00436CF6">
        <w:rPr>
          <w:sz w:val="22"/>
          <w:szCs w:val="22"/>
        </w:rPr>
        <w:t>=0.</w:t>
      </w:r>
      <w:r w:rsidR="00107B98" w:rsidRPr="00436CF6">
        <w:rPr>
          <w:sz w:val="22"/>
          <w:szCs w:val="22"/>
        </w:rPr>
        <w:t>1605</w:t>
      </w:r>
      <w:r w:rsidR="00112BE1" w:rsidRPr="00436CF6">
        <w:rPr>
          <w:sz w:val="22"/>
          <w:szCs w:val="22"/>
        </w:rPr>
        <w:t xml:space="preserve"> (two-tailed)</w:t>
      </w:r>
      <w:r w:rsidR="009834EF" w:rsidRPr="00436CF6">
        <w:rPr>
          <w:sz w:val="22"/>
          <w:szCs w:val="22"/>
        </w:rPr>
        <w:t xml:space="preserve">. </w:t>
      </w:r>
    </w:p>
    <w:p w14:paraId="06CD2E0A" w14:textId="77777777" w:rsidR="00191306" w:rsidRPr="00436CF6" w:rsidRDefault="00191306" w:rsidP="00065238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1473"/>
        <w:gridCol w:w="784"/>
        <w:gridCol w:w="717"/>
        <w:gridCol w:w="1473"/>
        <w:gridCol w:w="1473"/>
        <w:gridCol w:w="717"/>
        <w:gridCol w:w="845"/>
      </w:tblGrid>
      <w:tr w:rsidR="00065238" w:rsidRPr="00C17B08" w14:paraId="0D5DF0F6" w14:textId="77777777" w:rsidTr="00065238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5A47F" w14:textId="77777777" w:rsidR="00065238" w:rsidRPr="00C17B08" w:rsidRDefault="00065238" w:rsidP="0006523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471EF" w14:textId="77777777" w:rsidR="00065238" w:rsidRPr="00C17B08" w:rsidRDefault="00065238" w:rsidP="0006523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3907A" w14:textId="589E404A" w:rsidR="00065238" w:rsidRPr="00C17B08" w:rsidRDefault="00065238" w:rsidP="000652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sym w:font="Symbol" w:char="F062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A6A12" w14:textId="77777777" w:rsidR="00065238" w:rsidRPr="00C17B08" w:rsidRDefault="00065238" w:rsidP="000652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EE88" w14:textId="77777777" w:rsidR="00065238" w:rsidRPr="00C17B08" w:rsidRDefault="00065238" w:rsidP="000652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Lower 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2C7E1" w14:textId="77777777" w:rsidR="00065238" w:rsidRPr="00C17B08" w:rsidRDefault="00065238" w:rsidP="000652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Upper 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AA894" w14:textId="77777777" w:rsidR="00065238" w:rsidRPr="00C17B08" w:rsidRDefault="00065238" w:rsidP="0006523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20530" w14:textId="77777777" w:rsidR="00065238" w:rsidRPr="00C17B08" w:rsidRDefault="00065238" w:rsidP="00065238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107B98" w:rsidRPr="00C17B08" w14:paraId="024BC853" w14:textId="77777777" w:rsidTr="00065238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D2C" w14:textId="1CB24068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Early Smokers</w:t>
            </w:r>
          </w:p>
          <w:p w14:paraId="67F1BDC5" w14:textId="3BC62772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571" w14:textId="77777777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78F3" w14:textId="58538DA3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E781" w14:textId="3B88CE40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28E9" w14:textId="36D93666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65CE" w14:textId="5980BB7E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9715" w14:textId="7FC8C3A0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18.53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538" w14:textId="00899AAE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&lt;2e-16</w:t>
            </w:r>
          </w:p>
        </w:tc>
      </w:tr>
      <w:tr w:rsidR="00107B98" w:rsidRPr="00C17B08" w14:paraId="6BB4BE69" w14:textId="77777777" w:rsidTr="00065238">
        <w:trPr>
          <w:trHeight w:val="3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B8BF" w14:textId="59677BB3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51C1" w14:textId="77777777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rs16969968-A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25D6" w14:textId="222C2BD0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82F3" w14:textId="032BCFCF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4FAA" w14:textId="3C2CAD8F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6C0" w14:textId="5A6E9D22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4437" w14:textId="687DF603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E478" w14:textId="01435F6A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&lt;2e-16</w:t>
            </w:r>
          </w:p>
        </w:tc>
      </w:tr>
      <w:tr w:rsidR="00107B98" w:rsidRPr="00C17B08" w14:paraId="7B477CA5" w14:textId="77777777" w:rsidTr="00065238">
        <w:trPr>
          <w:trHeight w:val="320"/>
        </w:trPr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9B4CA" w14:textId="55BB4EF7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9598F" w14:textId="77777777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DBB4A" w14:textId="4E177497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-1.132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AE92" w14:textId="6A91F913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3E2B7" w14:textId="7E63E28D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-1.184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71D9" w14:textId="20399024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-1.080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59D33" w14:textId="5CDB005A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-42.8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C81AD" w14:textId="74C567CA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&lt;2e-16</w:t>
            </w:r>
          </w:p>
        </w:tc>
      </w:tr>
      <w:tr w:rsidR="00107B98" w:rsidRPr="00C17B08" w14:paraId="5E4140E2" w14:textId="77777777" w:rsidTr="00065238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784D" w14:textId="77777777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Late Smokers</w:t>
            </w:r>
          </w:p>
          <w:p w14:paraId="0085CBFE" w14:textId="2B8BEDE0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811A" w14:textId="77777777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9445" w14:textId="2B13DCF6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1.429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788" w14:textId="7CAE214B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210A" w14:textId="1EB2F814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1.351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4982" w14:textId="0CDF1368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1.508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800" w14:textId="22AD6B24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35.57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37CB" w14:textId="373BF675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&lt;2e-16</w:t>
            </w:r>
          </w:p>
        </w:tc>
      </w:tr>
      <w:tr w:rsidR="00107B98" w:rsidRPr="00C17B08" w14:paraId="2555F731" w14:textId="77777777" w:rsidTr="00065238">
        <w:trPr>
          <w:trHeight w:val="3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0BA7" w14:textId="47C30D0D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A835" w14:textId="2B84B220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rs16969968-A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EF56" w14:textId="23538DCD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C0A2" w14:textId="0B0A4A43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F393" w14:textId="4DB41544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1761" w14:textId="024B9DDB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E14C" w14:textId="01856AF6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18.32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DA27" w14:textId="2070C48C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&lt;2e-16</w:t>
            </w:r>
          </w:p>
        </w:tc>
      </w:tr>
      <w:tr w:rsidR="00107B98" w:rsidRPr="00C17B08" w14:paraId="513A7DFD" w14:textId="77777777" w:rsidTr="00065238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8D14A" w14:textId="0F7EF67F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1F073" w14:textId="77777777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rFonts w:eastAsia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2739E" w14:textId="6D6D37A2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-1.170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A80BC" w14:textId="137F3BDB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9B4BE" w14:textId="00761BAD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-1.222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7AE06" w14:textId="6771B5FD" w:rsidR="00107B98" w:rsidRPr="00C17B08" w:rsidRDefault="00107B98" w:rsidP="00107B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-1.118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BDD38" w14:textId="3CEA3A9C" w:rsidR="00107B98" w:rsidRPr="00C17B08" w:rsidRDefault="00107B98" w:rsidP="00107B9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-44.2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27A4D" w14:textId="5EC18DB5" w:rsidR="00107B98" w:rsidRPr="00C17B08" w:rsidRDefault="00107B98" w:rsidP="00107B9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7B08">
              <w:rPr>
                <w:color w:val="000000"/>
                <w:sz w:val="20"/>
                <w:szCs w:val="20"/>
              </w:rPr>
              <w:t>&lt;2e-16</w:t>
            </w:r>
          </w:p>
        </w:tc>
      </w:tr>
    </w:tbl>
    <w:p w14:paraId="08976022" w14:textId="01F35D22" w:rsidR="009570DE" w:rsidRPr="00436CF6" w:rsidRDefault="009570DE">
      <w:pPr>
        <w:rPr>
          <w:sz w:val="22"/>
          <w:szCs w:val="22"/>
        </w:rPr>
      </w:pPr>
    </w:p>
    <w:p w14:paraId="7048914E" w14:textId="77777777" w:rsidR="00065238" w:rsidRPr="00436CF6" w:rsidRDefault="00065238">
      <w:pPr>
        <w:rPr>
          <w:sz w:val="22"/>
          <w:szCs w:val="22"/>
        </w:rPr>
      </w:pPr>
    </w:p>
    <w:p w14:paraId="6BCBB3B3" w14:textId="4BF0454E" w:rsidR="009570DE" w:rsidRPr="00436CF6" w:rsidRDefault="009570DE">
      <w:pPr>
        <w:rPr>
          <w:sz w:val="22"/>
          <w:szCs w:val="22"/>
        </w:rPr>
      </w:pPr>
    </w:p>
    <w:p w14:paraId="5B9FA3F1" w14:textId="77777777" w:rsidR="00113108" w:rsidRDefault="00113108">
      <w:pPr>
        <w:rPr>
          <w:sz w:val="22"/>
          <w:szCs w:val="22"/>
        </w:rPr>
      </w:pPr>
    </w:p>
    <w:p w14:paraId="2736FF1E" w14:textId="77777777" w:rsidR="00AC433D" w:rsidRDefault="00AC43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3E69A20" w14:textId="2819FD4B" w:rsidR="002122DA" w:rsidRDefault="009570DE" w:rsidP="002122DA">
      <w:pPr>
        <w:rPr>
          <w:sz w:val="22"/>
          <w:szCs w:val="22"/>
        </w:rPr>
      </w:pPr>
      <w:r w:rsidRPr="009570DE">
        <w:rPr>
          <w:b/>
          <w:bCs/>
          <w:sz w:val="22"/>
          <w:szCs w:val="22"/>
        </w:rPr>
        <w:lastRenderedPageBreak/>
        <w:t>Supplementary Figure S1.</w:t>
      </w:r>
      <w:r>
        <w:rPr>
          <w:sz w:val="22"/>
          <w:szCs w:val="22"/>
        </w:rPr>
        <w:t xml:space="preserve"> Distributions of observed cigarettes per day (CPD) in the UK Biobank (left) and log</w:t>
      </w:r>
      <w:r w:rsidRPr="009570DE">
        <w:rPr>
          <w:sz w:val="22"/>
          <w:szCs w:val="22"/>
          <w:vertAlign w:val="subscript"/>
        </w:rPr>
        <w:t>10</w:t>
      </w:r>
      <w:r>
        <w:rPr>
          <w:sz w:val="22"/>
          <w:szCs w:val="22"/>
        </w:rPr>
        <w:t>(CPD) (right).</w:t>
      </w:r>
    </w:p>
    <w:p w14:paraId="74D63C86" w14:textId="70B3B56F" w:rsidR="009570DE" w:rsidRDefault="009570DE">
      <w:pPr>
        <w:rPr>
          <w:sz w:val="22"/>
          <w:szCs w:val="22"/>
        </w:rPr>
      </w:pPr>
    </w:p>
    <w:p w14:paraId="35ADB39F" w14:textId="1FB168CC" w:rsidR="009570DE" w:rsidRPr="00F55560" w:rsidRDefault="00AC433D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40E0B2F" wp14:editId="7495F72A">
            <wp:extent cx="6440214" cy="4888600"/>
            <wp:effectExtent l="0" t="0" r="0" b="127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d_hi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351" cy="490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0DE" w:rsidRPr="00F55560" w:rsidSect="00F55560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3DAD6" w14:textId="77777777" w:rsidR="005D26EA" w:rsidRDefault="005D26EA" w:rsidP="00512C90">
      <w:r>
        <w:separator/>
      </w:r>
    </w:p>
  </w:endnote>
  <w:endnote w:type="continuationSeparator" w:id="0">
    <w:p w14:paraId="0696812B" w14:textId="77777777" w:rsidR="005D26EA" w:rsidRDefault="005D26EA" w:rsidP="0051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82179154"/>
      <w:docPartObj>
        <w:docPartGallery w:val="Page Numbers (Bottom of Page)"/>
        <w:docPartUnique/>
      </w:docPartObj>
    </w:sdtPr>
    <w:sdtContent>
      <w:p w14:paraId="59E91B7A" w14:textId="69EAC8FF" w:rsidR="00512C90" w:rsidRDefault="00512C90" w:rsidP="000017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B1968B" w14:textId="77777777" w:rsidR="00512C90" w:rsidRDefault="00512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69630349"/>
      <w:docPartObj>
        <w:docPartGallery w:val="Page Numbers (Bottom of Page)"/>
        <w:docPartUnique/>
      </w:docPartObj>
    </w:sdtPr>
    <w:sdtContent>
      <w:p w14:paraId="6D09BE45" w14:textId="471F53E3" w:rsidR="00512C90" w:rsidRDefault="00512C90" w:rsidP="000017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79E9C2" w14:textId="77777777" w:rsidR="00512C90" w:rsidRDefault="00512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AD05" w14:textId="77777777" w:rsidR="005D26EA" w:rsidRDefault="005D26EA" w:rsidP="00512C90">
      <w:r>
        <w:separator/>
      </w:r>
    </w:p>
  </w:footnote>
  <w:footnote w:type="continuationSeparator" w:id="0">
    <w:p w14:paraId="0A24D048" w14:textId="77777777" w:rsidR="005D26EA" w:rsidRDefault="005D26EA" w:rsidP="0051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60"/>
    <w:rsid w:val="00005100"/>
    <w:rsid w:val="00014204"/>
    <w:rsid w:val="00014DC3"/>
    <w:rsid w:val="00041C32"/>
    <w:rsid w:val="000526EB"/>
    <w:rsid w:val="00056CA4"/>
    <w:rsid w:val="000648E3"/>
    <w:rsid w:val="00065238"/>
    <w:rsid w:val="00065EA1"/>
    <w:rsid w:val="00065F37"/>
    <w:rsid w:val="00072339"/>
    <w:rsid w:val="0007618F"/>
    <w:rsid w:val="00092A47"/>
    <w:rsid w:val="000A3588"/>
    <w:rsid w:val="000A4544"/>
    <w:rsid w:val="000B397C"/>
    <w:rsid w:val="000B7462"/>
    <w:rsid w:val="000C0A1E"/>
    <w:rsid w:val="000C5A8E"/>
    <w:rsid w:val="000E09A4"/>
    <w:rsid w:val="000E1CA5"/>
    <w:rsid w:val="000E2184"/>
    <w:rsid w:val="000E353F"/>
    <w:rsid w:val="000E7DEE"/>
    <w:rsid w:val="000F09C6"/>
    <w:rsid w:val="000F71D3"/>
    <w:rsid w:val="00107B98"/>
    <w:rsid w:val="001114D7"/>
    <w:rsid w:val="00112BE1"/>
    <w:rsid w:val="00113108"/>
    <w:rsid w:val="001233B9"/>
    <w:rsid w:val="00134024"/>
    <w:rsid w:val="00140144"/>
    <w:rsid w:val="00143710"/>
    <w:rsid w:val="00144ABA"/>
    <w:rsid w:val="00161656"/>
    <w:rsid w:val="00163C72"/>
    <w:rsid w:val="00184E19"/>
    <w:rsid w:val="001870E4"/>
    <w:rsid w:val="00187469"/>
    <w:rsid w:val="001907D2"/>
    <w:rsid w:val="00191306"/>
    <w:rsid w:val="00197CD8"/>
    <w:rsid w:val="001A27D6"/>
    <w:rsid w:val="001B200F"/>
    <w:rsid w:val="001B2586"/>
    <w:rsid w:val="001C2D55"/>
    <w:rsid w:val="001D0C40"/>
    <w:rsid w:val="001E104E"/>
    <w:rsid w:val="001E5709"/>
    <w:rsid w:val="001F7F2C"/>
    <w:rsid w:val="002005F0"/>
    <w:rsid w:val="00206F9B"/>
    <w:rsid w:val="002122DA"/>
    <w:rsid w:val="0021274C"/>
    <w:rsid w:val="00215C13"/>
    <w:rsid w:val="00215EAB"/>
    <w:rsid w:val="0021773F"/>
    <w:rsid w:val="002254D0"/>
    <w:rsid w:val="00226F71"/>
    <w:rsid w:val="002308E7"/>
    <w:rsid w:val="00230ADB"/>
    <w:rsid w:val="002429F5"/>
    <w:rsid w:val="00244F2F"/>
    <w:rsid w:val="00245922"/>
    <w:rsid w:val="00257E44"/>
    <w:rsid w:val="0026307E"/>
    <w:rsid w:val="0027194E"/>
    <w:rsid w:val="002720CF"/>
    <w:rsid w:val="002735B3"/>
    <w:rsid w:val="0028368A"/>
    <w:rsid w:val="00295CE4"/>
    <w:rsid w:val="002A7749"/>
    <w:rsid w:val="002A7ED4"/>
    <w:rsid w:val="002C3947"/>
    <w:rsid w:val="002C7493"/>
    <w:rsid w:val="002D6EAC"/>
    <w:rsid w:val="002D6EF5"/>
    <w:rsid w:val="002E79CA"/>
    <w:rsid w:val="0030490B"/>
    <w:rsid w:val="003118C4"/>
    <w:rsid w:val="00317497"/>
    <w:rsid w:val="00321F1A"/>
    <w:rsid w:val="003221E6"/>
    <w:rsid w:val="003264E5"/>
    <w:rsid w:val="00327074"/>
    <w:rsid w:val="00332AEE"/>
    <w:rsid w:val="00342431"/>
    <w:rsid w:val="003539E9"/>
    <w:rsid w:val="00371FA6"/>
    <w:rsid w:val="00390F83"/>
    <w:rsid w:val="00391520"/>
    <w:rsid w:val="00393F71"/>
    <w:rsid w:val="003A0693"/>
    <w:rsid w:val="003A4EF9"/>
    <w:rsid w:val="003A68C2"/>
    <w:rsid w:val="003B7FA9"/>
    <w:rsid w:val="003D14A4"/>
    <w:rsid w:val="003D5A93"/>
    <w:rsid w:val="003D697C"/>
    <w:rsid w:val="003E3898"/>
    <w:rsid w:val="003F662D"/>
    <w:rsid w:val="003F6CCD"/>
    <w:rsid w:val="00407DE5"/>
    <w:rsid w:val="00426A36"/>
    <w:rsid w:val="00436CF6"/>
    <w:rsid w:val="00445C0A"/>
    <w:rsid w:val="00462400"/>
    <w:rsid w:val="0047393C"/>
    <w:rsid w:val="004749D4"/>
    <w:rsid w:val="00475952"/>
    <w:rsid w:val="00480E1B"/>
    <w:rsid w:val="0048193D"/>
    <w:rsid w:val="004951C9"/>
    <w:rsid w:val="004A020B"/>
    <w:rsid w:val="004A5005"/>
    <w:rsid w:val="004A7F58"/>
    <w:rsid w:val="004B1CBB"/>
    <w:rsid w:val="004B79B4"/>
    <w:rsid w:val="004C3F22"/>
    <w:rsid w:val="004C63C4"/>
    <w:rsid w:val="004C65C3"/>
    <w:rsid w:val="004C66FD"/>
    <w:rsid w:val="004D350E"/>
    <w:rsid w:val="004D42D5"/>
    <w:rsid w:val="004D7DF0"/>
    <w:rsid w:val="004E7C2E"/>
    <w:rsid w:val="004F40E5"/>
    <w:rsid w:val="00500654"/>
    <w:rsid w:val="005043E4"/>
    <w:rsid w:val="00512C90"/>
    <w:rsid w:val="00516D75"/>
    <w:rsid w:val="00517412"/>
    <w:rsid w:val="00532A0A"/>
    <w:rsid w:val="005464AD"/>
    <w:rsid w:val="00550E50"/>
    <w:rsid w:val="00555710"/>
    <w:rsid w:val="00560F99"/>
    <w:rsid w:val="005621AF"/>
    <w:rsid w:val="005650BD"/>
    <w:rsid w:val="00567485"/>
    <w:rsid w:val="005B1B13"/>
    <w:rsid w:val="005B573B"/>
    <w:rsid w:val="005B6CE4"/>
    <w:rsid w:val="005C0348"/>
    <w:rsid w:val="005C36E8"/>
    <w:rsid w:val="005C3CFE"/>
    <w:rsid w:val="005D0A74"/>
    <w:rsid w:val="005D26EA"/>
    <w:rsid w:val="005E6635"/>
    <w:rsid w:val="005E6DC6"/>
    <w:rsid w:val="005F6612"/>
    <w:rsid w:val="00602DB7"/>
    <w:rsid w:val="006102B2"/>
    <w:rsid w:val="006312F9"/>
    <w:rsid w:val="00635CBC"/>
    <w:rsid w:val="00637A31"/>
    <w:rsid w:val="00640BF8"/>
    <w:rsid w:val="00644B4A"/>
    <w:rsid w:val="0065075A"/>
    <w:rsid w:val="0065209C"/>
    <w:rsid w:val="00655ABC"/>
    <w:rsid w:val="006575B3"/>
    <w:rsid w:val="006626AC"/>
    <w:rsid w:val="006663B4"/>
    <w:rsid w:val="00684E5E"/>
    <w:rsid w:val="0068763E"/>
    <w:rsid w:val="00687F44"/>
    <w:rsid w:val="00693C09"/>
    <w:rsid w:val="006A276F"/>
    <w:rsid w:val="006A2DC1"/>
    <w:rsid w:val="006A449E"/>
    <w:rsid w:val="006A5E97"/>
    <w:rsid w:val="006A6676"/>
    <w:rsid w:val="006C2EA7"/>
    <w:rsid w:val="006C4DF4"/>
    <w:rsid w:val="006C54C3"/>
    <w:rsid w:val="006C572B"/>
    <w:rsid w:val="006D4CAD"/>
    <w:rsid w:val="006D4EB1"/>
    <w:rsid w:val="006D75D0"/>
    <w:rsid w:val="006E31B4"/>
    <w:rsid w:val="006E7154"/>
    <w:rsid w:val="006F528E"/>
    <w:rsid w:val="00702334"/>
    <w:rsid w:val="007038FD"/>
    <w:rsid w:val="00707FAC"/>
    <w:rsid w:val="007149DC"/>
    <w:rsid w:val="00714F86"/>
    <w:rsid w:val="007233CA"/>
    <w:rsid w:val="00730A92"/>
    <w:rsid w:val="007313CA"/>
    <w:rsid w:val="00732F4A"/>
    <w:rsid w:val="0073534B"/>
    <w:rsid w:val="0073608E"/>
    <w:rsid w:val="00736332"/>
    <w:rsid w:val="00740EB7"/>
    <w:rsid w:val="007414FF"/>
    <w:rsid w:val="00744DCA"/>
    <w:rsid w:val="00746290"/>
    <w:rsid w:val="0075342E"/>
    <w:rsid w:val="007575CE"/>
    <w:rsid w:val="007612BB"/>
    <w:rsid w:val="00767FAA"/>
    <w:rsid w:val="0077474D"/>
    <w:rsid w:val="00780D82"/>
    <w:rsid w:val="007812F2"/>
    <w:rsid w:val="0078575C"/>
    <w:rsid w:val="00786038"/>
    <w:rsid w:val="0078680D"/>
    <w:rsid w:val="00795420"/>
    <w:rsid w:val="007C15FA"/>
    <w:rsid w:val="007C3825"/>
    <w:rsid w:val="007C7D94"/>
    <w:rsid w:val="007D383E"/>
    <w:rsid w:val="007D427F"/>
    <w:rsid w:val="007D7412"/>
    <w:rsid w:val="007E04DE"/>
    <w:rsid w:val="007E14DB"/>
    <w:rsid w:val="007E2ACF"/>
    <w:rsid w:val="007F13D1"/>
    <w:rsid w:val="007F3422"/>
    <w:rsid w:val="00800CD4"/>
    <w:rsid w:val="00812BC0"/>
    <w:rsid w:val="00815414"/>
    <w:rsid w:val="0082566F"/>
    <w:rsid w:val="00833A7D"/>
    <w:rsid w:val="00841E14"/>
    <w:rsid w:val="008442F6"/>
    <w:rsid w:val="00844323"/>
    <w:rsid w:val="008459BD"/>
    <w:rsid w:val="008509B0"/>
    <w:rsid w:val="00851E4C"/>
    <w:rsid w:val="00853623"/>
    <w:rsid w:val="00853CC5"/>
    <w:rsid w:val="00861B85"/>
    <w:rsid w:val="00862588"/>
    <w:rsid w:val="00880B68"/>
    <w:rsid w:val="008816DD"/>
    <w:rsid w:val="0088381F"/>
    <w:rsid w:val="00883CA1"/>
    <w:rsid w:val="00884579"/>
    <w:rsid w:val="00884612"/>
    <w:rsid w:val="0089325A"/>
    <w:rsid w:val="008932B0"/>
    <w:rsid w:val="00895901"/>
    <w:rsid w:val="00896E74"/>
    <w:rsid w:val="008A2A4C"/>
    <w:rsid w:val="008A329A"/>
    <w:rsid w:val="008A3BC0"/>
    <w:rsid w:val="008B7DF4"/>
    <w:rsid w:val="008C5E88"/>
    <w:rsid w:val="008E26FA"/>
    <w:rsid w:val="008E2F5F"/>
    <w:rsid w:val="008E512A"/>
    <w:rsid w:val="008E672A"/>
    <w:rsid w:val="008E74CC"/>
    <w:rsid w:val="008F3F08"/>
    <w:rsid w:val="009015E2"/>
    <w:rsid w:val="00910FA3"/>
    <w:rsid w:val="00934C8F"/>
    <w:rsid w:val="009560EA"/>
    <w:rsid w:val="009570DE"/>
    <w:rsid w:val="00962843"/>
    <w:rsid w:val="00976335"/>
    <w:rsid w:val="009834EF"/>
    <w:rsid w:val="0098375D"/>
    <w:rsid w:val="0098522E"/>
    <w:rsid w:val="00986099"/>
    <w:rsid w:val="009A0293"/>
    <w:rsid w:val="009A1F67"/>
    <w:rsid w:val="009B1AA8"/>
    <w:rsid w:val="009B1B3B"/>
    <w:rsid w:val="009B6A07"/>
    <w:rsid w:val="009C79A8"/>
    <w:rsid w:val="009E1F07"/>
    <w:rsid w:val="009E3FC2"/>
    <w:rsid w:val="009F031C"/>
    <w:rsid w:val="00A15616"/>
    <w:rsid w:val="00A226D8"/>
    <w:rsid w:val="00A30799"/>
    <w:rsid w:val="00A33B89"/>
    <w:rsid w:val="00A36000"/>
    <w:rsid w:val="00A36CDA"/>
    <w:rsid w:val="00A37207"/>
    <w:rsid w:val="00A54D03"/>
    <w:rsid w:val="00A56491"/>
    <w:rsid w:val="00A56BD4"/>
    <w:rsid w:val="00A57136"/>
    <w:rsid w:val="00A57954"/>
    <w:rsid w:val="00A86998"/>
    <w:rsid w:val="00A911EE"/>
    <w:rsid w:val="00A962EA"/>
    <w:rsid w:val="00AB2A63"/>
    <w:rsid w:val="00AC0217"/>
    <w:rsid w:val="00AC433D"/>
    <w:rsid w:val="00AC7075"/>
    <w:rsid w:val="00AD45FD"/>
    <w:rsid w:val="00AF0EE7"/>
    <w:rsid w:val="00AF36D0"/>
    <w:rsid w:val="00B148EE"/>
    <w:rsid w:val="00B221DC"/>
    <w:rsid w:val="00B2225C"/>
    <w:rsid w:val="00B2322F"/>
    <w:rsid w:val="00B37719"/>
    <w:rsid w:val="00B42E98"/>
    <w:rsid w:val="00B45936"/>
    <w:rsid w:val="00B506CF"/>
    <w:rsid w:val="00B532B0"/>
    <w:rsid w:val="00B631F3"/>
    <w:rsid w:val="00B662AE"/>
    <w:rsid w:val="00B73F24"/>
    <w:rsid w:val="00B75CDD"/>
    <w:rsid w:val="00B81B7B"/>
    <w:rsid w:val="00B87BDB"/>
    <w:rsid w:val="00B92E3E"/>
    <w:rsid w:val="00BB0F91"/>
    <w:rsid w:val="00BB2DB2"/>
    <w:rsid w:val="00BC13F5"/>
    <w:rsid w:val="00BC3BF0"/>
    <w:rsid w:val="00BC4111"/>
    <w:rsid w:val="00BE12E2"/>
    <w:rsid w:val="00BE1676"/>
    <w:rsid w:val="00BE26AE"/>
    <w:rsid w:val="00BE2832"/>
    <w:rsid w:val="00C016F0"/>
    <w:rsid w:val="00C025E0"/>
    <w:rsid w:val="00C118DD"/>
    <w:rsid w:val="00C14EB8"/>
    <w:rsid w:val="00C17B08"/>
    <w:rsid w:val="00C230E1"/>
    <w:rsid w:val="00C305C5"/>
    <w:rsid w:val="00C3110E"/>
    <w:rsid w:val="00C43944"/>
    <w:rsid w:val="00C52614"/>
    <w:rsid w:val="00C818AC"/>
    <w:rsid w:val="00C82F7D"/>
    <w:rsid w:val="00C843E9"/>
    <w:rsid w:val="00C84C84"/>
    <w:rsid w:val="00C86FDD"/>
    <w:rsid w:val="00C90541"/>
    <w:rsid w:val="00C923F0"/>
    <w:rsid w:val="00C92899"/>
    <w:rsid w:val="00C93BC1"/>
    <w:rsid w:val="00CA1438"/>
    <w:rsid w:val="00CA6F9D"/>
    <w:rsid w:val="00CB0249"/>
    <w:rsid w:val="00CB471A"/>
    <w:rsid w:val="00CF1486"/>
    <w:rsid w:val="00CF6853"/>
    <w:rsid w:val="00D018A6"/>
    <w:rsid w:val="00D169E0"/>
    <w:rsid w:val="00D21DB8"/>
    <w:rsid w:val="00D32DAA"/>
    <w:rsid w:val="00D32DC6"/>
    <w:rsid w:val="00D35DC7"/>
    <w:rsid w:val="00D37E03"/>
    <w:rsid w:val="00D40CA5"/>
    <w:rsid w:val="00D45C0C"/>
    <w:rsid w:val="00D51F3E"/>
    <w:rsid w:val="00D53322"/>
    <w:rsid w:val="00D54D52"/>
    <w:rsid w:val="00D57FAC"/>
    <w:rsid w:val="00D63316"/>
    <w:rsid w:val="00D713B9"/>
    <w:rsid w:val="00D87674"/>
    <w:rsid w:val="00DA0693"/>
    <w:rsid w:val="00DA0D7D"/>
    <w:rsid w:val="00DA2A0B"/>
    <w:rsid w:val="00DB03F5"/>
    <w:rsid w:val="00DC100F"/>
    <w:rsid w:val="00DC5F0B"/>
    <w:rsid w:val="00DC79A3"/>
    <w:rsid w:val="00DD0581"/>
    <w:rsid w:val="00DD4B2B"/>
    <w:rsid w:val="00DF6CD7"/>
    <w:rsid w:val="00E0145E"/>
    <w:rsid w:val="00E020E1"/>
    <w:rsid w:val="00E10660"/>
    <w:rsid w:val="00E176C3"/>
    <w:rsid w:val="00E32609"/>
    <w:rsid w:val="00E53702"/>
    <w:rsid w:val="00E624E3"/>
    <w:rsid w:val="00E62F73"/>
    <w:rsid w:val="00E66980"/>
    <w:rsid w:val="00E7197A"/>
    <w:rsid w:val="00E769F6"/>
    <w:rsid w:val="00E77F2C"/>
    <w:rsid w:val="00E82D0E"/>
    <w:rsid w:val="00E92F0F"/>
    <w:rsid w:val="00E959BE"/>
    <w:rsid w:val="00EA6069"/>
    <w:rsid w:val="00EA6F34"/>
    <w:rsid w:val="00EB2E7B"/>
    <w:rsid w:val="00EB7D26"/>
    <w:rsid w:val="00EC786B"/>
    <w:rsid w:val="00ED0B8B"/>
    <w:rsid w:val="00ED580D"/>
    <w:rsid w:val="00EE36F6"/>
    <w:rsid w:val="00EE4C5F"/>
    <w:rsid w:val="00F0509B"/>
    <w:rsid w:val="00F06C97"/>
    <w:rsid w:val="00F07564"/>
    <w:rsid w:val="00F10291"/>
    <w:rsid w:val="00F14393"/>
    <w:rsid w:val="00F20CD1"/>
    <w:rsid w:val="00F22340"/>
    <w:rsid w:val="00F334B5"/>
    <w:rsid w:val="00F352BB"/>
    <w:rsid w:val="00F442B8"/>
    <w:rsid w:val="00F553CA"/>
    <w:rsid w:val="00F5543A"/>
    <w:rsid w:val="00F55560"/>
    <w:rsid w:val="00F65A6A"/>
    <w:rsid w:val="00F82D7D"/>
    <w:rsid w:val="00F8343A"/>
    <w:rsid w:val="00F83963"/>
    <w:rsid w:val="00F87CB0"/>
    <w:rsid w:val="00F90BE4"/>
    <w:rsid w:val="00FA1689"/>
    <w:rsid w:val="00FA2E69"/>
    <w:rsid w:val="00FA3228"/>
    <w:rsid w:val="00FB00C1"/>
    <w:rsid w:val="00FB061D"/>
    <w:rsid w:val="00FB1495"/>
    <w:rsid w:val="00FB161C"/>
    <w:rsid w:val="00FB1935"/>
    <w:rsid w:val="00FB42CE"/>
    <w:rsid w:val="00FB47A4"/>
    <w:rsid w:val="00FB588F"/>
    <w:rsid w:val="00FB58B2"/>
    <w:rsid w:val="00FB6B5C"/>
    <w:rsid w:val="00FC02C9"/>
    <w:rsid w:val="00FD55C1"/>
    <w:rsid w:val="00FE796F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D70B8"/>
  <w15:chartTrackingRefBased/>
  <w15:docId w15:val="{B9E16213-0F63-4A42-B73F-8476D036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F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1A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12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C90"/>
  </w:style>
  <w:style w:type="character" w:styleId="PageNumber">
    <w:name w:val="page number"/>
    <w:basedOn w:val="DefaultParagraphFont"/>
    <w:uiPriority w:val="99"/>
    <w:semiHidden/>
    <w:unhideWhenUsed/>
    <w:rsid w:val="0051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Evans</dc:creator>
  <cp:keywords/>
  <dc:description/>
  <cp:lastModifiedBy>Luke Evans</cp:lastModifiedBy>
  <cp:revision>44</cp:revision>
  <dcterms:created xsi:type="dcterms:W3CDTF">2019-11-24T22:58:00Z</dcterms:created>
  <dcterms:modified xsi:type="dcterms:W3CDTF">2020-03-12T18:45:00Z</dcterms:modified>
</cp:coreProperties>
</file>