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A7249" w14:textId="5BCADBCB" w:rsidR="00B92659" w:rsidRPr="006E2712" w:rsidRDefault="003F1410" w:rsidP="006E2712">
      <w:pPr>
        <w:rPr>
          <w:b/>
        </w:rPr>
      </w:pPr>
      <w:r w:rsidRPr="006E2712">
        <w:rPr>
          <w:b/>
        </w:rPr>
        <w:t>Low grip</w:t>
      </w:r>
      <w:r w:rsidR="001453EF" w:rsidRPr="006E2712">
        <w:rPr>
          <w:b/>
        </w:rPr>
        <w:t xml:space="preserve"> </w:t>
      </w:r>
      <w:r w:rsidRPr="006E2712">
        <w:rPr>
          <w:b/>
        </w:rPr>
        <w:t xml:space="preserve">strength </w:t>
      </w:r>
      <w:r w:rsidR="001453EF" w:rsidRPr="006E2712">
        <w:rPr>
          <w:b/>
        </w:rPr>
        <w:t xml:space="preserve">GWAS </w:t>
      </w:r>
      <w:r w:rsidRPr="006E2712">
        <w:rPr>
          <w:b/>
        </w:rPr>
        <w:t>2020</w:t>
      </w:r>
    </w:p>
    <w:p w14:paraId="1B1F0D8C" w14:textId="77777777" w:rsidR="001453EF" w:rsidRDefault="001453EF" w:rsidP="00916D56">
      <w:pPr>
        <w:spacing w:line="276" w:lineRule="auto"/>
      </w:pPr>
      <w:r>
        <w:t xml:space="preserve">Jones </w:t>
      </w:r>
      <w:r w:rsidRPr="003F1410">
        <w:rPr>
          <w:i/>
        </w:rPr>
        <w:t>et al.</w:t>
      </w:r>
    </w:p>
    <w:p w14:paraId="0A1AD85E" w14:textId="77777777" w:rsidR="001453EF" w:rsidRDefault="001453EF" w:rsidP="00916D56">
      <w:pPr>
        <w:spacing w:line="276" w:lineRule="auto"/>
      </w:pPr>
    </w:p>
    <w:sdt>
      <w:sdtPr>
        <w:rPr>
          <w:b w:val="0"/>
          <w:sz w:val="22"/>
          <w:lang w:val="en-GB"/>
        </w:rPr>
        <w:id w:val="-602881492"/>
        <w:docPartObj>
          <w:docPartGallery w:val="Table of Contents"/>
          <w:docPartUnique/>
        </w:docPartObj>
      </w:sdtPr>
      <w:sdtEndPr>
        <w:rPr>
          <w:bCs/>
          <w:noProof/>
        </w:rPr>
      </w:sdtEndPr>
      <w:sdtContent>
        <w:p w14:paraId="42EB48AB" w14:textId="23CA9E7D" w:rsidR="001453EF" w:rsidRDefault="003F1410" w:rsidP="00916D56">
          <w:pPr>
            <w:pStyle w:val="TOCHeading"/>
            <w:spacing w:line="276" w:lineRule="auto"/>
          </w:pPr>
          <w:r w:rsidRPr="003F1410">
            <w:t>Supplementary Information</w:t>
          </w:r>
        </w:p>
        <w:p w14:paraId="1C228FA9" w14:textId="77777777" w:rsidR="0077680F" w:rsidRDefault="001453EF">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38549313" w:history="1">
            <w:r w:rsidR="0077680F" w:rsidRPr="00F91D00">
              <w:rPr>
                <w:rStyle w:val="Hyperlink"/>
                <w:noProof/>
              </w:rPr>
              <w:t>Supplementary Methods</w:t>
            </w:r>
            <w:r w:rsidR="0077680F">
              <w:rPr>
                <w:noProof/>
                <w:webHidden/>
              </w:rPr>
              <w:tab/>
            </w:r>
            <w:r w:rsidR="0077680F">
              <w:rPr>
                <w:noProof/>
                <w:webHidden/>
              </w:rPr>
              <w:fldChar w:fldCharType="begin"/>
            </w:r>
            <w:r w:rsidR="0077680F">
              <w:rPr>
                <w:noProof/>
                <w:webHidden/>
              </w:rPr>
              <w:instrText xml:space="preserve"> PAGEREF _Toc38549313 \h </w:instrText>
            </w:r>
            <w:r w:rsidR="0077680F">
              <w:rPr>
                <w:noProof/>
                <w:webHidden/>
              </w:rPr>
            </w:r>
            <w:r w:rsidR="0077680F">
              <w:rPr>
                <w:noProof/>
                <w:webHidden/>
              </w:rPr>
              <w:fldChar w:fldCharType="separate"/>
            </w:r>
            <w:r w:rsidR="0077680F">
              <w:rPr>
                <w:noProof/>
                <w:webHidden/>
              </w:rPr>
              <w:t>3</w:t>
            </w:r>
            <w:r w:rsidR="0077680F">
              <w:rPr>
                <w:noProof/>
                <w:webHidden/>
              </w:rPr>
              <w:fldChar w:fldCharType="end"/>
            </w:r>
          </w:hyperlink>
        </w:p>
        <w:p w14:paraId="74EE08B5" w14:textId="77777777" w:rsidR="0077680F" w:rsidRDefault="002B2753">
          <w:pPr>
            <w:pStyle w:val="TOC2"/>
            <w:tabs>
              <w:tab w:val="right" w:leader="dot" w:pos="9016"/>
            </w:tabs>
            <w:rPr>
              <w:rFonts w:eastAsiaTheme="minorEastAsia"/>
              <w:noProof/>
              <w:lang w:eastAsia="en-GB"/>
            </w:rPr>
          </w:pPr>
          <w:hyperlink w:anchor="_Toc38549314" w:history="1">
            <w:r w:rsidR="0077680F" w:rsidRPr="00F91D00">
              <w:rPr>
                <w:rStyle w:val="Hyperlink"/>
                <w:noProof/>
              </w:rPr>
              <w:t>Cohorts</w:t>
            </w:r>
            <w:r w:rsidR="0077680F">
              <w:rPr>
                <w:noProof/>
                <w:webHidden/>
              </w:rPr>
              <w:tab/>
            </w:r>
            <w:r w:rsidR="0077680F">
              <w:rPr>
                <w:noProof/>
                <w:webHidden/>
              </w:rPr>
              <w:fldChar w:fldCharType="begin"/>
            </w:r>
            <w:r w:rsidR="0077680F">
              <w:rPr>
                <w:noProof/>
                <w:webHidden/>
              </w:rPr>
              <w:instrText xml:space="preserve"> PAGEREF _Toc38549314 \h </w:instrText>
            </w:r>
            <w:r w:rsidR="0077680F">
              <w:rPr>
                <w:noProof/>
                <w:webHidden/>
              </w:rPr>
            </w:r>
            <w:r w:rsidR="0077680F">
              <w:rPr>
                <w:noProof/>
                <w:webHidden/>
              </w:rPr>
              <w:fldChar w:fldCharType="separate"/>
            </w:r>
            <w:r w:rsidR="0077680F">
              <w:rPr>
                <w:noProof/>
                <w:webHidden/>
              </w:rPr>
              <w:t>3</w:t>
            </w:r>
            <w:r w:rsidR="0077680F">
              <w:rPr>
                <w:noProof/>
                <w:webHidden/>
              </w:rPr>
              <w:fldChar w:fldCharType="end"/>
            </w:r>
          </w:hyperlink>
        </w:p>
        <w:p w14:paraId="6AD0EF14" w14:textId="77777777" w:rsidR="0077680F" w:rsidRDefault="002B2753">
          <w:pPr>
            <w:pStyle w:val="TOC3"/>
            <w:tabs>
              <w:tab w:val="right" w:leader="dot" w:pos="9016"/>
            </w:tabs>
            <w:rPr>
              <w:rFonts w:eastAsiaTheme="minorEastAsia"/>
              <w:noProof/>
              <w:lang w:eastAsia="en-GB"/>
            </w:rPr>
          </w:pPr>
          <w:hyperlink w:anchor="_Toc38549315" w:history="1">
            <w:r w:rsidR="0077680F" w:rsidRPr="00F91D00">
              <w:rPr>
                <w:rStyle w:val="Hyperlink"/>
                <w:noProof/>
              </w:rPr>
              <w:t>Atherosclerosis Risk in Communities (ARIC) study</w:t>
            </w:r>
            <w:r w:rsidR="0077680F">
              <w:rPr>
                <w:noProof/>
                <w:webHidden/>
              </w:rPr>
              <w:tab/>
            </w:r>
            <w:r w:rsidR="0077680F">
              <w:rPr>
                <w:noProof/>
                <w:webHidden/>
              </w:rPr>
              <w:fldChar w:fldCharType="begin"/>
            </w:r>
            <w:r w:rsidR="0077680F">
              <w:rPr>
                <w:noProof/>
                <w:webHidden/>
              </w:rPr>
              <w:instrText xml:space="preserve"> PAGEREF _Toc38549315 \h </w:instrText>
            </w:r>
            <w:r w:rsidR="0077680F">
              <w:rPr>
                <w:noProof/>
                <w:webHidden/>
              </w:rPr>
            </w:r>
            <w:r w:rsidR="0077680F">
              <w:rPr>
                <w:noProof/>
                <w:webHidden/>
              </w:rPr>
              <w:fldChar w:fldCharType="separate"/>
            </w:r>
            <w:r w:rsidR="0077680F">
              <w:rPr>
                <w:noProof/>
                <w:webHidden/>
              </w:rPr>
              <w:t>3</w:t>
            </w:r>
            <w:r w:rsidR="0077680F">
              <w:rPr>
                <w:noProof/>
                <w:webHidden/>
              </w:rPr>
              <w:fldChar w:fldCharType="end"/>
            </w:r>
          </w:hyperlink>
        </w:p>
        <w:p w14:paraId="6C70BEAF" w14:textId="77777777" w:rsidR="0077680F" w:rsidRDefault="002B2753">
          <w:pPr>
            <w:pStyle w:val="TOC3"/>
            <w:tabs>
              <w:tab w:val="right" w:leader="dot" w:pos="9016"/>
            </w:tabs>
            <w:rPr>
              <w:rFonts w:eastAsiaTheme="minorEastAsia"/>
              <w:noProof/>
              <w:lang w:eastAsia="en-GB"/>
            </w:rPr>
          </w:pPr>
          <w:hyperlink w:anchor="_Toc38549316" w:history="1">
            <w:r w:rsidR="0077680F" w:rsidRPr="00F91D00">
              <w:rPr>
                <w:rStyle w:val="Hyperlink"/>
                <w:noProof/>
              </w:rPr>
              <w:t>Berlin Aging Study II (BASE-II)</w:t>
            </w:r>
            <w:r w:rsidR="0077680F">
              <w:rPr>
                <w:noProof/>
                <w:webHidden/>
              </w:rPr>
              <w:tab/>
            </w:r>
            <w:r w:rsidR="0077680F">
              <w:rPr>
                <w:noProof/>
                <w:webHidden/>
              </w:rPr>
              <w:fldChar w:fldCharType="begin"/>
            </w:r>
            <w:r w:rsidR="0077680F">
              <w:rPr>
                <w:noProof/>
                <w:webHidden/>
              </w:rPr>
              <w:instrText xml:space="preserve"> PAGEREF _Toc38549316 \h </w:instrText>
            </w:r>
            <w:r w:rsidR="0077680F">
              <w:rPr>
                <w:noProof/>
                <w:webHidden/>
              </w:rPr>
            </w:r>
            <w:r w:rsidR="0077680F">
              <w:rPr>
                <w:noProof/>
                <w:webHidden/>
              </w:rPr>
              <w:fldChar w:fldCharType="separate"/>
            </w:r>
            <w:r w:rsidR="0077680F">
              <w:rPr>
                <w:noProof/>
                <w:webHidden/>
              </w:rPr>
              <w:t>4</w:t>
            </w:r>
            <w:r w:rsidR="0077680F">
              <w:rPr>
                <w:noProof/>
                <w:webHidden/>
              </w:rPr>
              <w:fldChar w:fldCharType="end"/>
            </w:r>
          </w:hyperlink>
        </w:p>
        <w:p w14:paraId="3C50397C" w14:textId="77777777" w:rsidR="0077680F" w:rsidRDefault="002B2753">
          <w:pPr>
            <w:pStyle w:val="TOC3"/>
            <w:tabs>
              <w:tab w:val="right" w:leader="dot" w:pos="9016"/>
            </w:tabs>
            <w:rPr>
              <w:rFonts w:eastAsiaTheme="minorEastAsia"/>
              <w:noProof/>
              <w:lang w:eastAsia="en-GB"/>
            </w:rPr>
          </w:pPr>
          <w:hyperlink w:anchor="_Toc38549317" w:history="1">
            <w:r w:rsidR="0077680F" w:rsidRPr="00F91D00">
              <w:rPr>
                <w:rStyle w:val="Hyperlink"/>
                <w:noProof/>
              </w:rPr>
              <w:t>B-Vitamins for the PRevention Of Osteoporotic Fractures (BPROOF) study</w:t>
            </w:r>
            <w:r w:rsidR="0077680F">
              <w:rPr>
                <w:noProof/>
                <w:webHidden/>
              </w:rPr>
              <w:tab/>
            </w:r>
            <w:r w:rsidR="0077680F">
              <w:rPr>
                <w:noProof/>
                <w:webHidden/>
              </w:rPr>
              <w:fldChar w:fldCharType="begin"/>
            </w:r>
            <w:r w:rsidR="0077680F">
              <w:rPr>
                <w:noProof/>
                <w:webHidden/>
              </w:rPr>
              <w:instrText xml:space="preserve"> PAGEREF _Toc38549317 \h </w:instrText>
            </w:r>
            <w:r w:rsidR="0077680F">
              <w:rPr>
                <w:noProof/>
                <w:webHidden/>
              </w:rPr>
            </w:r>
            <w:r w:rsidR="0077680F">
              <w:rPr>
                <w:noProof/>
                <w:webHidden/>
              </w:rPr>
              <w:fldChar w:fldCharType="separate"/>
            </w:r>
            <w:r w:rsidR="0077680F">
              <w:rPr>
                <w:noProof/>
                <w:webHidden/>
              </w:rPr>
              <w:t>4</w:t>
            </w:r>
            <w:r w:rsidR="0077680F">
              <w:rPr>
                <w:noProof/>
                <w:webHidden/>
              </w:rPr>
              <w:fldChar w:fldCharType="end"/>
            </w:r>
          </w:hyperlink>
        </w:p>
        <w:p w14:paraId="6CBA11E7" w14:textId="77777777" w:rsidR="0077680F" w:rsidRDefault="002B2753">
          <w:pPr>
            <w:pStyle w:val="TOC3"/>
            <w:tabs>
              <w:tab w:val="right" w:leader="dot" w:pos="9016"/>
            </w:tabs>
            <w:rPr>
              <w:rFonts w:eastAsiaTheme="minorEastAsia"/>
              <w:noProof/>
              <w:lang w:eastAsia="en-GB"/>
            </w:rPr>
          </w:pPr>
          <w:hyperlink w:anchor="_Toc38549318" w:history="1">
            <w:r w:rsidR="0077680F" w:rsidRPr="00F91D00">
              <w:rPr>
                <w:rStyle w:val="Hyperlink"/>
                <w:noProof/>
              </w:rPr>
              <w:t>Cardiovascular Health Study (CHS)</w:t>
            </w:r>
            <w:r w:rsidR="0077680F">
              <w:rPr>
                <w:noProof/>
                <w:webHidden/>
              </w:rPr>
              <w:tab/>
            </w:r>
            <w:r w:rsidR="0077680F">
              <w:rPr>
                <w:noProof/>
                <w:webHidden/>
              </w:rPr>
              <w:fldChar w:fldCharType="begin"/>
            </w:r>
            <w:r w:rsidR="0077680F">
              <w:rPr>
                <w:noProof/>
                <w:webHidden/>
              </w:rPr>
              <w:instrText xml:space="preserve"> PAGEREF _Toc38549318 \h </w:instrText>
            </w:r>
            <w:r w:rsidR="0077680F">
              <w:rPr>
                <w:noProof/>
                <w:webHidden/>
              </w:rPr>
            </w:r>
            <w:r w:rsidR="0077680F">
              <w:rPr>
                <w:noProof/>
                <w:webHidden/>
              </w:rPr>
              <w:fldChar w:fldCharType="separate"/>
            </w:r>
            <w:r w:rsidR="0077680F">
              <w:rPr>
                <w:noProof/>
                <w:webHidden/>
              </w:rPr>
              <w:t>4</w:t>
            </w:r>
            <w:r w:rsidR="0077680F">
              <w:rPr>
                <w:noProof/>
                <w:webHidden/>
              </w:rPr>
              <w:fldChar w:fldCharType="end"/>
            </w:r>
          </w:hyperlink>
        </w:p>
        <w:p w14:paraId="394DAC2D" w14:textId="77777777" w:rsidR="0077680F" w:rsidRDefault="002B2753">
          <w:pPr>
            <w:pStyle w:val="TOC3"/>
            <w:tabs>
              <w:tab w:val="right" w:leader="dot" w:pos="9016"/>
            </w:tabs>
            <w:rPr>
              <w:rFonts w:eastAsiaTheme="minorEastAsia"/>
              <w:noProof/>
              <w:lang w:eastAsia="en-GB"/>
            </w:rPr>
          </w:pPr>
          <w:hyperlink w:anchor="_Toc38549319" w:history="1">
            <w:r w:rsidR="0077680F" w:rsidRPr="00F91D00">
              <w:rPr>
                <w:rStyle w:val="Hyperlink"/>
                <w:noProof/>
              </w:rPr>
              <w:t>European Prospective Investigation of Cancer (EPIC) Norfolk</w:t>
            </w:r>
            <w:r w:rsidR="0077680F">
              <w:rPr>
                <w:noProof/>
                <w:webHidden/>
              </w:rPr>
              <w:tab/>
            </w:r>
            <w:r w:rsidR="0077680F">
              <w:rPr>
                <w:noProof/>
                <w:webHidden/>
              </w:rPr>
              <w:fldChar w:fldCharType="begin"/>
            </w:r>
            <w:r w:rsidR="0077680F">
              <w:rPr>
                <w:noProof/>
                <w:webHidden/>
              </w:rPr>
              <w:instrText xml:space="preserve"> PAGEREF _Toc38549319 \h </w:instrText>
            </w:r>
            <w:r w:rsidR="0077680F">
              <w:rPr>
                <w:noProof/>
                <w:webHidden/>
              </w:rPr>
            </w:r>
            <w:r w:rsidR="0077680F">
              <w:rPr>
                <w:noProof/>
                <w:webHidden/>
              </w:rPr>
              <w:fldChar w:fldCharType="separate"/>
            </w:r>
            <w:r w:rsidR="0077680F">
              <w:rPr>
                <w:noProof/>
                <w:webHidden/>
              </w:rPr>
              <w:t>5</w:t>
            </w:r>
            <w:r w:rsidR="0077680F">
              <w:rPr>
                <w:noProof/>
                <w:webHidden/>
              </w:rPr>
              <w:fldChar w:fldCharType="end"/>
            </w:r>
          </w:hyperlink>
        </w:p>
        <w:p w14:paraId="73D30B7E" w14:textId="77777777" w:rsidR="0077680F" w:rsidRDefault="002B2753">
          <w:pPr>
            <w:pStyle w:val="TOC3"/>
            <w:tabs>
              <w:tab w:val="right" w:leader="dot" w:pos="9016"/>
            </w:tabs>
            <w:rPr>
              <w:rFonts w:eastAsiaTheme="minorEastAsia"/>
              <w:noProof/>
              <w:lang w:eastAsia="en-GB"/>
            </w:rPr>
          </w:pPr>
          <w:hyperlink w:anchor="_Toc38549320" w:history="1">
            <w:r w:rsidR="0077680F" w:rsidRPr="00F91D00">
              <w:rPr>
                <w:rStyle w:val="Hyperlink"/>
                <w:noProof/>
              </w:rPr>
              <w:t>Framingham Heart Study</w:t>
            </w:r>
            <w:r w:rsidR="0077680F">
              <w:rPr>
                <w:noProof/>
                <w:webHidden/>
              </w:rPr>
              <w:tab/>
            </w:r>
            <w:r w:rsidR="0077680F">
              <w:rPr>
                <w:noProof/>
                <w:webHidden/>
              </w:rPr>
              <w:fldChar w:fldCharType="begin"/>
            </w:r>
            <w:r w:rsidR="0077680F">
              <w:rPr>
                <w:noProof/>
                <w:webHidden/>
              </w:rPr>
              <w:instrText xml:space="preserve"> PAGEREF _Toc38549320 \h </w:instrText>
            </w:r>
            <w:r w:rsidR="0077680F">
              <w:rPr>
                <w:noProof/>
                <w:webHidden/>
              </w:rPr>
            </w:r>
            <w:r w:rsidR="0077680F">
              <w:rPr>
                <w:noProof/>
                <w:webHidden/>
              </w:rPr>
              <w:fldChar w:fldCharType="separate"/>
            </w:r>
            <w:r w:rsidR="0077680F">
              <w:rPr>
                <w:noProof/>
                <w:webHidden/>
              </w:rPr>
              <w:t>6</w:t>
            </w:r>
            <w:r w:rsidR="0077680F">
              <w:rPr>
                <w:noProof/>
                <w:webHidden/>
              </w:rPr>
              <w:fldChar w:fldCharType="end"/>
            </w:r>
          </w:hyperlink>
        </w:p>
        <w:p w14:paraId="026CD61E" w14:textId="77777777" w:rsidR="0077680F" w:rsidRDefault="002B2753">
          <w:pPr>
            <w:pStyle w:val="TOC3"/>
            <w:tabs>
              <w:tab w:val="right" w:leader="dot" w:pos="9016"/>
            </w:tabs>
            <w:rPr>
              <w:rFonts w:eastAsiaTheme="minorEastAsia"/>
              <w:noProof/>
              <w:lang w:eastAsia="en-GB"/>
            </w:rPr>
          </w:pPr>
          <w:hyperlink w:anchor="_Toc38549321" w:history="1">
            <w:r w:rsidR="0077680F" w:rsidRPr="00F91D00">
              <w:rPr>
                <w:rStyle w:val="Hyperlink"/>
                <w:noProof/>
              </w:rPr>
              <w:t>Health and Retirement Study (HRS)</w:t>
            </w:r>
            <w:r w:rsidR="0077680F">
              <w:rPr>
                <w:noProof/>
                <w:webHidden/>
              </w:rPr>
              <w:tab/>
            </w:r>
            <w:r w:rsidR="0077680F">
              <w:rPr>
                <w:noProof/>
                <w:webHidden/>
              </w:rPr>
              <w:fldChar w:fldCharType="begin"/>
            </w:r>
            <w:r w:rsidR="0077680F">
              <w:rPr>
                <w:noProof/>
                <w:webHidden/>
              </w:rPr>
              <w:instrText xml:space="preserve"> PAGEREF _Toc38549321 \h </w:instrText>
            </w:r>
            <w:r w:rsidR="0077680F">
              <w:rPr>
                <w:noProof/>
                <w:webHidden/>
              </w:rPr>
            </w:r>
            <w:r w:rsidR="0077680F">
              <w:rPr>
                <w:noProof/>
                <w:webHidden/>
              </w:rPr>
              <w:fldChar w:fldCharType="separate"/>
            </w:r>
            <w:r w:rsidR="0077680F">
              <w:rPr>
                <w:noProof/>
                <w:webHidden/>
              </w:rPr>
              <w:t>6</w:t>
            </w:r>
            <w:r w:rsidR="0077680F">
              <w:rPr>
                <w:noProof/>
                <w:webHidden/>
              </w:rPr>
              <w:fldChar w:fldCharType="end"/>
            </w:r>
          </w:hyperlink>
        </w:p>
        <w:p w14:paraId="245EDB65" w14:textId="77777777" w:rsidR="0077680F" w:rsidRDefault="002B2753">
          <w:pPr>
            <w:pStyle w:val="TOC3"/>
            <w:tabs>
              <w:tab w:val="right" w:leader="dot" w:pos="9016"/>
            </w:tabs>
            <w:rPr>
              <w:rFonts w:eastAsiaTheme="minorEastAsia"/>
              <w:noProof/>
              <w:lang w:eastAsia="en-GB"/>
            </w:rPr>
          </w:pPr>
          <w:hyperlink w:anchor="_Toc38549322" w:history="1">
            <w:r w:rsidR="0077680F" w:rsidRPr="00F91D00">
              <w:rPr>
                <w:rStyle w:val="Hyperlink"/>
                <w:noProof/>
              </w:rPr>
              <w:t>InCHIANTI study</w:t>
            </w:r>
            <w:r w:rsidR="0077680F">
              <w:rPr>
                <w:noProof/>
                <w:webHidden/>
              </w:rPr>
              <w:tab/>
            </w:r>
            <w:r w:rsidR="0077680F">
              <w:rPr>
                <w:noProof/>
                <w:webHidden/>
              </w:rPr>
              <w:fldChar w:fldCharType="begin"/>
            </w:r>
            <w:r w:rsidR="0077680F">
              <w:rPr>
                <w:noProof/>
                <w:webHidden/>
              </w:rPr>
              <w:instrText xml:space="preserve"> PAGEREF _Toc38549322 \h </w:instrText>
            </w:r>
            <w:r w:rsidR="0077680F">
              <w:rPr>
                <w:noProof/>
                <w:webHidden/>
              </w:rPr>
            </w:r>
            <w:r w:rsidR="0077680F">
              <w:rPr>
                <w:noProof/>
                <w:webHidden/>
              </w:rPr>
              <w:fldChar w:fldCharType="separate"/>
            </w:r>
            <w:r w:rsidR="0077680F">
              <w:rPr>
                <w:noProof/>
                <w:webHidden/>
              </w:rPr>
              <w:t>7</w:t>
            </w:r>
            <w:r w:rsidR="0077680F">
              <w:rPr>
                <w:noProof/>
                <w:webHidden/>
              </w:rPr>
              <w:fldChar w:fldCharType="end"/>
            </w:r>
          </w:hyperlink>
        </w:p>
        <w:p w14:paraId="661388C2" w14:textId="77777777" w:rsidR="0077680F" w:rsidRDefault="002B2753">
          <w:pPr>
            <w:pStyle w:val="TOC3"/>
            <w:tabs>
              <w:tab w:val="right" w:leader="dot" w:pos="9016"/>
            </w:tabs>
            <w:rPr>
              <w:rFonts w:eastAsiaTheme="minorEastAsia"/>
              <w:noProof/>
              <w:lang w:eastAsia="en-GB"/>
            </w:rPr>
          </w:pPr>
          <w:hyperlink w:anchor="_Toc38549323" w:history="1">
            <w:r w:rsidR="0077680F" w:rsidRPr="00F91D00">
              <w:rPr>
                <w:rStyle w:val="Hyperlink"/>
                <w:noProof/>
              </w:rPr>
              <w:t>LASA:  Longitudinal Aging Study Amsterdam</w:t>
            </w:r>
            <w:r w:rsidR="0077680F">
              <w:rPr>
                <w:noProof/>
                <w:webHidden/>
              </w:rPr>
              <w:tab/>
            </w:r>
            <w:r w:rsidR="0077680F">
              <w:rPr>
                <w:noProof/>
                <w:webHidden/>
              </w:rPr>
              <w:fldChar w:fldCharType="begin"/>
            </w:r>
            <w:r w:rsidR="0077680F">
              <w:rPr>
                <w:noProof/>
                <w:webHidden/>
              </w:rPr>
              <w:instrText xml:space="preserve"> PAGEREF _Toc38549323 \h </w:instrText>
            </w:r>
            <w:r w:rsidR="0077680F">
              <w:rPr>
                <w:noProof/>
                <w:webHidden/>
              </w:rPr>
            </w:r>
            <w:r w:rsidR="0077680F">
              <w:rPr>
                <w:noProof/>
                <w:webHidden/>
              </w:rPr>
              <w:fldChar w:fldCharType="separate"/>
            </w:r>
            <w:r w:rsidR="0077680F">
              <w:rPr>
                <w:noProof/>
                <w:webHidden/>
              </w:rPr>
              <w:t>7</w:t>
            </w:r>
            <w:r w:rsidR="0077680F">
              <w:rPr>
                <w:noProof/>
                <w:webHidden/>
              </w:rPr>
              <w:fldChar w:fldCharType="end"/>
            </w:r>
          </w:hyperlink>
        </w:p>
        <w:p w14:paraId="16726DDE" w14:textId="77777777" w:rsidR="0077680F" w:rsidRDefault="002B2753">
          <w:pPr>
            <w:pStyle w:val="TOC3"/>
            <w:tabs>
              <w:tab w:val="right" w:leader="dot" w:pos="9016"/>
            </w:tabs>
            <w:rPr>
              <w:rFonts w:eastAsiaTheme="minorEastAsia"/>
              <w:noProof/>
              <w:lang w:eastAsia="en-GB"/>
            </w:rPr>
          </w:pPr>
          <w:hyperlink w:anchor="_Toc38549324" w:history="1">
            <w:r w:rsidR="0077680F" w:rsidRPr="00F91D00">
              <w:rPr>
                <w:rStyle w:val="Hyperlink"/>
                <w:noProof/>
              </w:rPr>
              <w:t>Long-Life Family Study</w:t>
            </w:r>
            <w:r w:rsidR="0077680F">
              <w:rPr>
                <w:noProof/>
                <w:webHidden/>
              </w:rPr>
              <w:tab/>
            </w:r>
            <w:r w:rsidR="0077680F">
              <w:rPr>
                <w:noProof/>
                <w:webHidden/>
              </w:rPr>
              <w:fldChar w:fldCharType="begin"/>
            </w:r>
            <w:r w:rsidR="0077680F">
              <w:rPr>
                <w:noProof/>
                <w:webHidden/>
              </w:rPr>
              <w:instrText xml:space="preserve"> PAGEREF _Toc38549324 \h </w:instrText>
            </w:r>
            <w:r w:rsidR="0077680F">
              <w:rPr>
                <w:noProof/>
                <w:webHidden/>
              </w:rPr>
            </w:r>
            <w:r w:rsidR="0077680F">
              <w:rPr>
                <w:noProof/>
                <w:webHidden/>
              </w:rPr>
              <w:fldChar w:fldCharType="separate"/>
            </w:r>
            <w:r w:rsidR="0077680F">
              <w:rPr>
                <w:noProof/>
                <w:webHidden/>
              </w:rPr>
              <w:t>8</w:t>
            </w:r>
            <w:r w:rsidR="0077680F">
              <w:rPr>
                <w:noProof/>
                <w:webHidden/>
              </w:rPr>
              <w:fldChar w:fldCharType="end"/>
            </w:r>
          </w:hyperlink>
        </w:p>
        <w:p w14:paraId="3EEDACFF" w14:textId="77777777" w:rsidR="0077680F" w:rsidRDefault="002B2753">
          <w:pPr>
            <w:pStyle w:val="TOC3"/>
            <w:tabs>
              <w:tab w:val="right" w:leader="dot" w:pos="9016"/>
            </w:tabs>
            <w:rPr>
              <w:rFonts w:eastAsiaTheme="minorEastAsia"/>
              <w:noProof/>
              <w:lang w:eastAsia="en-GB"/>
            </w:rPr>
          </w:pPr>
          <w:hyperlink w:anchor="_Toc38549325" w:history="1">
            <w:r w:rsidR="0077680F" w:rsidRPr="00F91D00">
              <w:rPr>
                <w:rStyle w:val="Hyperlink"/>
                <w:noProof/>
              </w:rPr>
              <w:t>MrOS (Osteoporotic Fractures in Men) study</w:t>
            </w:r>
            <w:r w:rsidR="0077680F">
              <w:rPr>
                <w:noProof/>
                <w:webHidden/>
              </w:rPr>
              <w:tab/>
            </w:r>
            <w:r w:rsidR="0077680F">
              <w:rPr>
                <w:noProof/>
                <w:webHidden/>
              </w:rPr>
              <w:fldChar w:fldCharType="begin"/>
            </w:r>
            <w:r w:rsidR="0077680F">
              <w:rPr>
                <w:noProof/>
                <w:webHidden/>
              </w:rPr>
              <w:instrText xml:space="preserve"> PAGEREF _Toc38549325 \h </w:instrText>
            </w:r>
            <w:r w:rsidR="0077680F">
              <w:rPr>
                <w:noProof/>
                <w:webHidden/>
              </w:rPr>
            </w:r>
            <w:r w:rsidR="0077680F">
              <w:rPr>
                <w:noProof/>
                <w:webHidden/>
              </w:rPr>
              <w:fldChar w:fldCharType="separate"/>
            </w:r>
            <w:r w:rsidR="0077680F">
              <w:rPr>
                <w:noProof/>
                <w:webHidden/>
              </w:rPr>
              <w:t>10</w:t>
            </w:r>
            <w:r w:rsidR="0077680F">
              <w:rPr>
                <w:noProof/>
                <w:webHidden/>
              </w:rPr>
              <w:fldChar w:fldCharType="end"/>
            </w:r>
          </w:hyperlink>
        </w:p>
        <w:p w14:paraId="3F129A30" w14:textId="77777777" w:rsidR="0077680F" w:rsidRDefault="002B2753">
          <w:pPr>
            <w:pStyle w:val="TOC3"/>
            <w:tabs>
              <w:tab w:val="right" w:leader="dot" w:pos="9016"/>
            </w:tabs>
            <w:rPr>
              <w:rFonts w:eastAsiaTheme="minorEastAsia"/>
              <w:noProof/>
              <w:lang w:eastAsia="en-GB"/>
            </w:rPr>
          </w:pPr>
          <w:hyperlink w:anchor="_Toc38549326" w:history="1">
            <w:r w:rsidR="0077680F" w:rsidRPr="00F91D00">
              <w:rPr>
                <w:rStyle w:val="Hyperlink"/>
                <w:noProof/>
              </w:rPr>
              <w:t>ROSMAP: the Religious Orders Study (ROS) and Memory and Aging Project (MAP)</w:t>
            </w:r>
            <w:r w:rsidR="0077680F">
              <w:rPr>
                <w:noProof/>
                <w:webHidden/>
              </w:rPr>
              <w:tab/>
            </w:r>
            <w:r w:rsidR="0077680F">
              <w:rPr>
                <w:noProof/>
                <w:webHidden/>
              </w:rPr>
              <w:fldChar w:fldCharType="begin"/>
            </w:r>
            <w:r w:rsidR="0077680F">
              <w:rPr>
                <w:noProof/>
                <w:webHidden/>
              </w:rPr>
              <w:instrText xml:space="preserve"> PAGEREF _Toc38549326 \h </w:instrText>
            </w:r>
            <w:r w:rsidR="0077680F">
              <w:rPr>
                <w:noProof/>
                <w:webHidden/>
              </w:rPr>
            </w:r>
            <w:r w:rsidR="0077680F">
              <w:rPr>
                <w:noProof/>
                <w:webHidden/>
              </w:rPr>
              <w:fldChar w:fldCharType="separate"/>
            </w:r>
            <w:r w:rsidR="0077680F">
              <w:rPr>
                <w:noProof/>
                <w:webHidden/>
              </w:rPr>
              <w:t>11</w:t>
            </w:r>
            <w:r w:rsidR="0077680F">
              <w:rPr>
                <w:noProof/>
                <w:webHidden/>
              </w:rPr>
              <w:fldChar w:fldCharType="end"/>
            </w:r>
          </w:hyperlink>
        </w:p>
        <w:p w14:paraId="47B1FE53" w14:textId="77777777" w:rsidR="0077680F" w:rsidRDefault="002B2753">
          <w:pPr>
            <w:pStyle w:val="TOC3"/>
            <w:tabs>
              <w:tab w:val="right" w:leader="dot" w:pos="9016"/>
            </w:tabs>
            <w:rPr>
              <w:rFonts w:eastAsiaTheme="minorEastAsia"/>
              <w:noProof/>
              <w:lang w:eastAsia="en-GB"/>
            </w:rPr>
          </w:pPr>
          <w:hyperlink w:anchor="_Toc38549327" w:history="1">
            <w:r w:rsidR="0077680F" w:rsidRPr="00F91D00">
              <w:rPr>
                <w:rStyle w:val="Hyperlink"/>
                <w:noProof/>
              </w:rPr>
              <w:t>Rotterdam Study</w:t>
            </w:r>
            <w:r w:rsidR="0077680F">
              <w:rPr>
                <w:noProof/>
                <w:webHidden/>
              </w:rPr>
              <w:tab/>
            </w:r>
            <w:r w:rsidR="0077680F">
              <w:rPr>
                <w:noProof/>
                <w:webHidden/>
              </w:rPr>
              <w:fldChar w:fldCharType="begin"/>
            </w:r>
            <w:r w:rsidR="0077680F">
              <w:rPr>
                <w:noProof/>
                <w:webHidden/>
              </w:rPr>
              <w:instrText xml:space="preserve"> PAGEREF _Toc38549327 \h </w:instrText>
            </w:r>
            <w:r w:rsidR="0077680F">
              <w:rPr>
                <w:noProof/>
                <w:webHidden/>
              </w:rPr>
            </w:r>
            <w:r w:rsidR="0077680F">
              <w:rPr>
                <w:noProof/>
                <w:webHidden/>
              </w:rPr>
              <w:fldChar w:fldCharType="separate"/>
            </w:r>
            <w:r w:rsidR="0077680F">
              <w:rPr>
                <w:noProof/>
                <w:webHidden/>
              </w:rPr>
              <w:t>11</w:t>
            </w:r>
            <w:r w:rsidR="0077680F">
              <w:rPr>
                <w:noProof/>
                <w:webHidden/>
              </w:rPr>
              <w:fldChar w:fldCharType="end"/>
            </w:r>
          </w:hyperlink>
        </w:p>
        <w:p w14:paraId="12769CA8" w14:textId="77777777" w:rsidR="0077680F" w:rsidRDefault="002B2753">
          <w:pPr>
            <w:pStyle w:val="TOC3"/>
            <w:tabs>
              <w:tab w:val="right" w:leader="dot" w:pos="9016"/>
            </w:tabs>
            <w:rPr>
              <w:rFonts w:eastAsiaTheme="minorEastAsia"/>
              <w:noProof/>
              <w:lang w:eastAsia="en-GB"/>
            </w:rPr>
          </w:pPr>
          <w:hyperlink w:anchor="_Toc38549328" w:history="1">
            <w:r w:rsidR="0077680F" w:rsidRPr="00F91D00">
              <w:rPr>
                <w:rStyle w:val="Hyperlink"/>
                <w:noProof/>
              </w:rPr>
              <w:t>Study of Health in Pomerania (SHIP)</w:t>
            </w:r>
            <w:r w:rsidR="0077680F">
              <w:rPr>
                <w:noProof/>
                <w:webHidden/>
              </w:rPr>
              <w:tab/>
            </w:r>
            <w:r w:rsidR="0077680F">
              <w:rPr>
                <w:noProof/>
                <w:webHidden/>
              </w:rPr>
              <w:fldChar w:fldCharType="begin"/>
            </w:r>
            <w:r w:rsidR="0077680F">
              <w:rPr>
                <w:noProof/>
                <w:webHidden/>
              </w:rPr>
              <w:instrText xml:space="preserve"> PAGEREF _Toc38549328 \h </w:instrText>
            </w:r>
            <w:r w:rsidR="0077680F">
              <w:rPr>
                <w:noProof/>
                <w:webHidden/>
              </w:rPr>
            </w:r>
            <w:r w:rsidR="0077680F">
              <w:rPr>
                <w:noProof/>
                <w:webHidden/>
              </w:rPr>
              <w:fldChar w:fldCharType="separate"/>
            </w:r>
            <w:r w:rsidR="0077680F">
              <w:rPr>
                <w:noProof/>
                <w:webHidden/>
              </w:rPr>
              <w:t>11</w:t>
            </w:r>
            <w:r w:rsidR="0077680F">
              <w:rPr>
                <w:noProof/>
                <w:webHidden/>
              </w:rPr>
              <w:fldChar w:fldCharType="end"/>
            </w:r>
          </w:hyperlink>
        </w:p>
        <w:p w14:paraId="6B649F16" w14:textId="77777777" w:rsidR="0077680F" w:rsidRDefault="002B2753">
          <w:pPr>
            <w:pStyle w:val="TOC3"/>
            <w:tabs>
              <w:tab w:val="right" w:leader="dot" w:pos="9016"/>
            </w:tabs>
            <w:rPr>
              <w:rFonts w:eastAsiaTheme="minorEastAsia"/>
              <w:noProof/>
              <w:lang w:eastAsia="en-GB"/>
            </w:rPr>
          </w:pPr>
          <w:hyperlink w:anchor="_Toc38549329" w:history="1">
            <w:r w:rsidR="0077680F" w:rsidRPr="00F91D00">
              <w:rPr>
                <w:rStyle w:val="Hyperlink"/>
                <w:noProof/>
              </w:rPr>
              <w:t>Toledo Study for Healthy Aging (TSHA)</w:t>
            </w:r>
            <w:r w:rsidR="0077680F">
              <w:rPr>
                <w:noProof/>
                <w:webHidden/>
              </w:rPr>
              <w:tab/>
            </w:r>
            <w:r w:rsidR="0077680F">
              <w:rPr>
                <w:noProof/>
                <w:webHidden/>
              </w:rPr>
              <w:fldChar w:fldCharType="begin"/>
            </w:r>
            <w:r w:rsidR="0077680F">
              <w:rPr>
                <w:noProof/>
                <w:webHidden/>
              </w:rPr>
              <w:instrText xml:space="preserve"> PAGEREF _Toc38549329 \h </w:instrText>
            </w:r>
            <w:r w:rsidR="0077680F">
              <w:rPr>
                <w:noProof/>
                <w:webHidden/>
              </w:rPr>
            </w:r>
            <w:r w:rsidR="0077680F">
              <w:rPr>
                <w:noProof/>
                <w:webHidden/>
              </w:rPr>
              <w:fldChar w:fldCharType="separate"/>
            </w:r>
            <w:r w:rsidR="0077680F">
              <w:rPr>
                <w:noProof/>
                <w:webHidden/>
              </w:rPr>
              <w:t>12</w:t>
            </w:r>
            <w:r w:rsidR="0077680F">
              <w:rPr>
                <w:noProof/>
                <w:webHidden/>
              </w:rPr>
              <w:fldChar w:fldCharType="end"/>
            </w:r>
          </w:hyperlink>
        </w:p>
        <w:p w14:paraId="0E3808D4" w14:textId="77777777" w:rsidR="0077680F" w:rsidRDefault="002B2753">
          <w:pPr>
            <w:pStyle w:val="TOC3"/>
            <w:tabs>
              <w:tab w:val="right" w:leader="dot" w:pos="9016"/>
            </w:tabs>
            <w:rPr>
              <w:rFonts w:eastAsiaTheme="minorEastAsia"/>
              <w:noProof/>
              <w:lang w:eastAsia="en-GB"/>
            </w:rPr>
          </w:pPr>
          <w:hyperlink w:anchor="_Toc38549330" w:history="1">
            <w:r w:rsidR="0077680F" w:rsidRPr="00F91D00">
              <w:rPr>
                <w:rStyle w:val="Hyperlink"/>
                <w:noProof/>
              </w:rPr>
              <w:t>UK Biobank (UKB)</w:t>
            </w:r>
            <w:r w:rsidR="0077680F">
              <w:rPr>
                <w:noProof/>
                <w:webHidden/>
              </w:rPr>
              <w:tab/>
            </w:r>
            <w:r w:rsidR="0077680F">
              <w:rPr>
                <w:noProof/>
                <w:webHidden/>
              </w:rPr>
              <w:fldChar w:fldCharType="begin"/>
            </w:r>
            <w:r w:rsidR="0077680F">
              <w:rPr>
                <w:noProof/>
                <w:webHidden/>
              </w:rPr>
              <w:instrText xml:space="preserve"> PAGEREF _Toc38549330 \h </w:instrText>
            </w:r>
            <w:r w:rsidR="0077680F">
              <w:rPr>
                <w:noProof/>
                <w:webHidden/>
              </w:rPr>
            </w:r>
            <w:r w:rsidR="0077680F">
              <w:rPr>
                <w:noProof/>
                <w:webHidden/>
              </w:rPr>
              <w:fldChar w:fldCharType="separate"/>
            </w:r>
            <w:r w:rsidR="0077680F">
              <w:rPr>
                <w:noProof/>
                <w:webHidden/>
              </w:rPr>
              <w:t>12</w:t>
            </w:r>
            <w:r w:rsidR="0077680F">
              <w:rPr>
                <w:noProof/>
                <w:webHidden/>
              </w:rPr>
              <w:fldChar w:fldCharType="end"/>
            </w:r>
          </w:hyperlink>
        </w:p>
        <w:p w14:paraId="16B76DFB" w14:textId="77777777" w:rsidR="0077680F" w:rsidRDefault="002B2753">
          <w:pPr>
            <w:pStyle w:val="TOC3"/>
            <w:tabs>
              <w:tab w:val="right" w:leader="dot" w:pos="9016"/>
            </w:tabs>
            <w:rPr>
              <w:rFonts w:eastAsiaTheme="minorEastAsia"/>
              <w:noProof/>
              <w:lang w:eastAsia="en-GB"/>
            </w:rPr>
          </w:pPr>
          <w:hyperlink w:anchor="_Toc38549331" w:history="1">
            <w:r w:rsidR="0077680F" w:rsidRPr="00F91D00">
              <w:rPr>
                <w:rStyle w:val="Hyperlink"/>
                <w:noProof/>
                <w:lang w:val="en-US"/>
              </w:rPr>
              <w:t>Wisconsin Longitudinal Study (WLS)</w:t>
            </w:r>
            <w:r w:rsidR="0077680F">
              <w:rPr>
                <w:noProof/>
                <w:webHidden/>
              </w:rPr>
              <w:tab/>
            </w:r>
            <w:r w:rsidR="0077680F">
              <w:rPr>
                <w:noProof/>
                <w:webHidden/>
              </w:rPr>
              <w:fldChar w:fldCharType="begin"/>
            </w:r>
            <w:r w:rsidR="0077680F">
              <w:rPr>
                <w:noProof/>
                <w:webHidden/>
              </w:rPr>
              <w:instrText xml:space="preserve"> PAGEREF _Toc38549331 \h </w:instrText>
            </w:r>
            <w:r w:rsidR="0077680F">
              <w:rPr>
                <w:noProof/>
                <w:webHidden/>
              </w:rPr>
            </w:r>
            <w:r w:rsidR="0077680F">
              <w:rPr>
                <w:noProof/>
                <w:webHidden/>
              </w:rPr>
              <w:fldChar w:fldCharType="separate"/>
            </w:r>
            <w:r w:rsidR="0077680F">
              <w:rPr>
                <w:noProof/>
                <w:webHidden/>
              </w:rPr>
              <w:t>13</w:t>
            </w:r>
            <w:r w:rsidR="0077680F">
              <w:rPr>
                <w:noProof/>
                <w:webHidden/>
              </w:rPr>
              <w:fldChar w:fldCharType="end"/>
            </w:r>
          </w:hyperlink>
        </w:p>
        <w:p w14:paraId="1602FC2B" w14:textId="77777777" w:rsidR="0077680F" w:rsidRDefault="002B2753">
          <w:pPr>
            <w:pStyle w:val="TOC2"/>
            <w:tabs>
              <w:tab w:val="right" w:leader="dot" w:pos="9016"/>
            </w:tabs>
            <w:rPr>
              <w:rFonts w:eastAsiaTheme="minorEastAsia"/>
              <w:noProof/>
              <w:lang w:eastAsia="en-GB"/>
            </w:rPr>
          </w:pPr>
          <w:hyperlink w:anchor="_Toc38549332" w:history="1">
            <w:r w:rsidR="0077680F" w:rsidRPr="00F91D00">
              <w:rPr>
                <w:rStyle w:val="Hyperlink"/>
                <w:noProof/>
              </w:rPr>
              <w:t>Acknowledgements and grant support</w:t>
            </w:r>
            <w:r w:rsidR="0077680F">
              <w:rPr>
                <w:noProof/>
                <w:webHidden/>
              </w:rPr>
              <w:tab/>
            </w:r>
            <w:r w:rsidR="0077680F">
              <w:rPr>
                <w:noProof/>
                <w:webHidden/>
              </w:rPr>
              <w:fldChar w:fldCharType="begin"/>
            </w:r>
            <w:r w:rsidR="0077680F">
              <w:rPr>
                <w:noProof/>
                <w:webHidden/>
              </w:rPr>
              <w:instrText xml:space="preserve"> PAGEREF _Toc38549332 \h </w:instrText>
            </w:r>
            <w:r w:rsidR="0077680F">
              <w:rPr>
                <w:noProof/>
                <w:webHidden/>
              </w:rPr>
            </w:r>
            <w:r w:rsidR="0077680F">
              <w:rPr>
                <w:noProof/>
                <w:webHidden/>
              </w:rPr>
              <w:fldChar w:fldCharType="separate"/>
            </w:r>
            <w:r w:rsidR="0077680F">
              <w:rPr>
                <w:noProof/>
                <w:webHidden/>
              </w:rPr>
              <w:t>13</w:t>
            </w:r>
            <w:r w:rsidR="0077680F">
              <w:rPr>
                <w:noProof/>
                <w:webHidden/>
              </w:rPr>
              <w:fldChar w:fldCharType="end"/>
            </w:r>
          </w:hyperlink>
        </w:p>
        <w:p w14:paraId="0B90CA20" w14:textId="77777777" w:rsidR="0077680F" w:rsidRDefault="002B2753">
          <w:pPr>
            <w:pStyle w:val="TOC2"/>
            <w:tabs>
              <w:tab w:val="right" w:leader="dot" w:pos="9016"/>
            </w:tabs>
            <w:rPr>
              <w:rFonts w:eastAsiaTheme="minorEastAsia"/>
              <w:noProof/>
              <w:lang w:eastAsia="en-GB"/>
            </w:rPr>
          </w:pPr>
          <w:hyperlink w:anchor="_Toc38549333" w:history="1">
            <w:r w:rsidR="0077680F" w:rsidRPr="00F91D00">
              <w:rPr>
                <w:rStyle w:val="Hyperlink"/>
                <w:noProof/>
              </w:rPr>
              <w:t>GWAS meta-analysis methods</w:t>
            </w:r>
            <w:r w:rsidR="0077680F">
              <w:rPr>
                <w:noProof/>
                <w:webHidden/>
              </w:rPr>
              <w:tab/>
            </w:r>
            <w:r w:rsidR="0077680F">
              <w:rPr>
                <w:noProof/>
                <w:webHidden/>
              </w:rPr>
              <w:fldChar w:fldCharType="begin"/>
            </w:r>
            <w:r w:rsidR="0077680F">
              <w:rPr>
                <w:noProof/>
                <w:webHidden/>
              </w:rPr>
              <w:instrText xml:space="preserve"> PAGEREF _Toc38549333 \h </w:instrText>
            </w:r>
            <w:r w:rsidR="0077680F">
              <w:rPr>
                <w:noProof/>
                <w:webHidden/>
              </w:rPr>
            </w:r>
            <w:r w:rsidR="0077680F">
              <w:rPr>
                <w:noProof/>
                <w:webHidden/>
              </w:rPr>
              <w:fldChar w:fldCharType="separate"/>
            </w:r>
            <w:r w:rsidR="0077680F">
              <w:rPr>
                <w:noProof/>
                <w:webHidden/>
              </w:rPr>
              <w:t>15</w:t>
            </w:r>
            <w:r w:rsidR="0077680F">
              <w:rPr>
                <w:noProof/>
                <w:webHidden/>
              </w:rPr>
              <w:fldChar w:fldCharType="end"/>
            </w:r>
          </w:hyperlink>
        </w:p>
        <w:p w14:paraId="4CA6F28F" w14:textId="77777777" w:rsidR="0077680F" w:rsidRDefault="002B2753">
          <w:pPr>
            <w:pStyle w:val="TOC1"/>
            <w:tabs>
              <w:tab w:val="right" w:leader="dot" w:pos="9016"/>
            </w:tabs>
            <w:rPr>
              <w:rFonts w:eastAsiaTheme="minorEastAsia"/>
              <w:noProof/>
              <w:lang w:eastAsia="en-GB"/>
            </w:rPr>
          </w:pPr>
          <w:hyperlink w:anchor="_Toc38549334" w:history="1">
            <w:r w:rsidR="0077680F" w:rsidRPr="00F91D00">
              <w:rPr>
                <w:rStyle w:val="Hyperlink"/>
                <w:noProof/>
              </w:rPr>
              <w:t>Supplementary Results</w:t>
            </w:r>
            <w:r w:rsidR="0077680F">
              <w:rPr>
                <w:noProof/>
                <w:webHidden/>
              </w:rPr>
              <w:tab/>
            </w:r>
            <w:r w:rsidR="0077680F">
              <w:rPr>
                <w:noProof/>
                <w:webHidden/>
              </w:rPr>
              <w:fldChar w:fldCharType="begin"/>
            </w:r>
            <w:r w:rsidR="0077680F">
              <w:rPr>
                <w:noProof/>
                <w:webHidden/>
              </w:rPr>
              <w:instrText xml:space="preserve"> PAGEREF _Toc38549334 \h </w:instrText>
            </w:r>
            <w:r w:rsidR="0077680F">
              <w:rPr>
                <w:noProof/>
                <w:webHidden/>
              </w:rPr>
            </w:r>
            <w:r w:rsidR="0077680F">
              <w:rPr>
                <w:noProof/>
                <w:webHidden/>
              </w:rPr>
              <w:fldChar w:fldCharType="separate"/>
            </w:r>
            <w:r w:rsidR="0077680F">
              <w:rPr>
                <w:noProof/>
                <w:webHidden/>
              </w:rPr>
              <w:t>16</w:t>
            </w:r>
            <w:r w:rsidR="0077680F">
              <w:rPr>
                <w:noProof/>
                <w:webHidden/>
              </w:rPr>
              <w:fldChar w:fldCharType="end"/>
            </w:r>
          </w:hyperlink>
        </w:p>
        <w:p w14:paraId="3BB435FC" w14:textId="77777777" w:rsidR="0077680F" w:rsidRDefault="002B2753">
          <w:pPr>
            <w:pStyle w:val="TOC2"/>
            <w:tabs>
              <w:tab w:val="right" w:leader="dot" w:pos="9016"/>
            </w:tabs>
            <w:rPr>
              <w:rFonts w:eastAsiaTheme="minorEastAsia"/>
              <w:noProof/>
              <w:lang w:eastAsia="en-GB"/>
            </w:rPr>
          </w:pPr>
          <w:hyperlink w:anchor="_Toc38549335" w:history="1">
            <w:r w:rsidR="0077680F" w:rsidRPr="00F91D00">
              <w:rPr>
                <w:rStyle w:val="Hyperlink"/>
                <w:noProof/>
              </w:rPr>
              <w:t>LDSC analysis of GWAS inflation</w:t>
            </w:r>
            <w:r w:rsidR="0077680F">
              <w:rPr>
                <w:noProof/>
                <w:webHidden/>
              </w:rPr>
              <w:tab/>
            </w:r>
            <w:r w:rsidR="0077680F">
              <w:rPr>
                <w:noProof/>
                <w:webHidden/>
              </w:rPr>
              <w:fldChar w:fldCharType="begin"/>
            </w:r>
            <w:r w:rsidR="0077680F">
              <w:rPr>
                <w:noProof/>
                <w:webHidden/>
              </w:rPr>
              <w:instrText xml:space="preserve"> PAGEREF _Toc38549335 \h </w:instrText>
            </w:r>
            <w:r w:rsidR="0077680F">
              <w:rPr>
                <w:noProof/>
                <w:webHidden/>
              </w:rPr>
            </w:r>
            <w:r w:rsidR="0077680F">
              <w:rPr>
                <w:noProof/>
                <w:webHidden/>
              </w:rPr>
              <w:fldChar w:fldCharType="separate"/>
            </w:r>
            <w:r w:rsidR="0077680F">
              <w:rPr>
                <w:noProof/>
                <w:webHidden/>
              </w:rPr>
              <w:t>16</w:t>
            </w:r>
            <w:r w:rsidR="0077680F">
              <w:rPr>
                <w:noProof/>
                <w:webHidden/>
              </w:rPr>
              <w:fldChar w:fldCharType="end"/>
            </w:r>
          </w:hyperlink>
        </w:p>
        <w:p w14:paraId="0B87DCD1" w14:textId="77777777" w:rsidR="0077680F" w:rsidRDefault="002B2753">
          <w:pPr>
            <w:pStyle w:val="TOC1"/>
            <w:tabs>
              <w:tab w:val="right" w:leader="dot" w:pos="9016"/>
            </w:tabs>
            <w:rPr>
              <w:rFonts w:eastAsiaTheme="minorEastAsia"/>
              <w:noProof/>
              <w:lang w:eastAsia="en-GB"/>
            </w:rPr>
          </w:pPr>
          <w:hyperlink w:anchor="_Toc38549336" w:history="1">
            <w:r w:rsidR="0077680F" w:rsidRPr="00F91D00">
              <w:rPr>
                <w:rStyle w:val="Hyperlink"/>
                <w:noProof/>
              </w:rPr>
              <w:t>Supplementary Figure 1: QQ plot of EWGSOP low grip GWAS results</w:t>
            </w:r>
            <w:r w:rsidR="0077680F">
              <w:rPr>
                <w:noProof/>
                <w:webHidden/>
              </w:rPr>
              <w:tab/>
            </w:r>
            <w:r w:rsidR="0077680F">
              <w:rPr>
                <w:noProof/>
                <w:webHidden/>
              </w:rPr>
              <w:fldChar w:fldCharType="begin"/>
            </w:r>
            <w:r w:rsidR="0077680F">
              <w:rPr>
                <w:noProof/>
                <w:webHidden/>
              </w:rPr>
              <w:instrText xml:space="preserve"> PAGEREF _Toc38549336 \h </w:instrText>
            </w:r>
            <w:r w:rsidR="0077680F">
              <w:rPr>
                <w:noProof/>
                <w:webHidden/>
              </w:rPr>
            </w:r>
            <w:r w:rsidR="0077680F">
              <w:rPr>
                <w:noProof/>
                <w:webHidden/>
              </w:rPr>
              <w:fldChar w:fldCharType="separate"/>
            </w:r>
            <w:r w:rsidR="0077680F">
              <w:rPr>
                <w:noProof/>
                <w:webHidden/>
              </w:rPr>
              <w:t>17</w:t>
            </w:r>
            <w:r w:rsidR="0077680F">
              <w:rPr>
                <w:noProof/>
                <w:webHidden/>
              </w:rPr>
              <w:fldChar w:fldCharType="end"/>
            </w:r>
          </w:hyperlink>
        </w:p>
        <w:p w14:paraId="762EF059" w14:textId="77777777" w:rsidR="0077680F" w:rsidRDefault="002B2753">
          <w:pPr>
            <w:pStyle w:val="TOC1"/>
            <w:tabs>
              <w:tab w:val="right" w:leader="dot" w:pos="9016"/>
            </w:tabs>
            <w:rPr>
              <w:rFonts w:eastAsiaTheme="minorEastAsia"/>
              <w:noProof/>
              <w:lang w:eastAsia="en-GB"/>
            </w:rPr>
          </w:pPr>
          <w:hyperlink w:anchor="_Toc38549337" w:history="1">
            <w:r w:rsidR="0077680F" w:rsidRPr="00F91D00">
              <w:rPr>
                <w:rStyle w:val="Hyperlink"/>
                <w:noProof/>
              </w:rPr>
              <w:t>Supplementary Figures 2A-O: LocusZoom plots for the 15 EWGSOP low grip loci</w:t>
            </w:r>
            <w:r w:rsidR="0077680F">
              <w:rPr>
                <w:noProof/>
                <w:webHidden/>
              </w:rPr>
              <w:tab/>
            </w:r>
            <w:r w:rsidR="0077680F">
              <w:rPr>
                <w:noProof/>
                <w:webHidden/>
              </w:rPr>
              <w:fldChar w:fldCharType="begin"/>
            </w:r>
            <w:r w:rsidR="0077680F">
              <w:rPr>
                <w:noProof/>
                <w:webHidden/>
              </w:rPr>
              <w:instrText xml:space="preserve"> PAGEREF _Toc38549337 \h </w:instrText>
            </w:r>
            <w:r w:rsidR="0077680F">
              <w:rPr>
                <w:noProof/>
                <w:webHidden/>
              </w:rPr>
            </w:r>
            <w:r w:rsidR="0077680F">
              <w:rPr>
                <w:noProof/>
                <w:webHidden/>
              </w:rPr>
              <w:fldChar w:fldCharType="separate"/>
            </w:r>
            <w:r w:rsidR="0077680F">
              <w:rPr>
                <w:noProof/>
                <w:webHidden/>
              </w:rPr>
              <w:t>18</w:t>
            </w:r>
            <w:r w:rsidR="0077680F">
              <w:rPr>
                <w:noProof/>
                <w:webHidden/>
              </w:rPr>
              <w:fldChar w:fldCharType="end"/>
            </w:r>
          </w:hyperlink>
        </w:p>
        <w:p w14:paraId="01C78FE8" w14:textId="77777777" w:rsidR="0077680F" w:rsidRDefault="002B2753">
          <w:pPr>
            <w:pStyle w:val="TOC2"/>
            <w:tabs>
              <w:tab w:val="right" w:leader="dot" w:pos="9016"/>
            </w:tabs>
            <w:rPr>
              <w:rFonts w:eastAsiaTheme="minorEastAsia"/>
              <w:noProof/>
              <w:lang w:eastAsia="en-GB"/>
            </w:rPr>
          </w:pPr>
          <w:hyperlink w:anchor="_Toc38549338" w:history="1">
            <w:r w:rsidR="0077680F" w:rsidRPr="00F91D00">
              <w:rPr>
                <w:rStyle w:val="Hyperlink"/>
                <w:noProof/>
              </w:rPr>
              <w:t>Supplementary Figure 2A: rs34415150 (chr6:32560477)</w:t>
            </w:r>
            <w:r w:rsidR="0077680F">
              <w:rPr>
                <w:noProof/>
                <w:webHidden/>
              </w:rPr>
              <w:tab/>
            </w:r>
            <w:r w:rsidR="0077680F">
              <w:rPr>
                <w:noProof/>
                <w:webHidden/>
              </w:rPr>
              <w:fldChar w:fldCharType="begin"/>
            </w:r>
            <w:r w:rsidR="0077680F">
              <w:rPr>
                <w:noProof/>
                <w:webHidden/>
              </w:rPr>
              <w:instrText xml:space="preserve"> PAGEREF _Toc38549338 \h </w:instrText>
            </w:r>
            <w:r w:rsidR="0077680F">
              <w:rPr>
                <w:noProof/>
                <w:webHidden/>
              </w:rPr>
            </w:r>
            <w:r w:rsidR="0077680F">
              <w:rPr>
                <w:noProof/>
                <w:webHidden/>
              </w:rPr>
              <w:fldChar w:fldCharType="separate"/>
            </w:r>
            <w:r w:rsidR="0077680F">
              <w:rPr>
                <w:noProof/>
                <w:webHidden/>
              </w:rPr>
              <w:t>18</w:t>
            </w:r>
            <w:r w:rsidR="0077680F">
              <w:rPr>
                <w:noProof/>
                <w:webHidden/>
              </w:rPr>
              <w:fldChar w:fldCharType="end"/>
            </w:r>
          </w:hyperlink>
        </w:p>
        <w:p w14:paraId="5FE85746" w14:textId="77777777" w:rsidR="0077680F" w:rsidRDefault="002B2753">
          <w:pPr>
            <w:pStyle w:val="TOC2"/>
            <w:tabs>
              <w:tab w:val="right" w:leader="dot" w:pos="9016"/>
            </w:tabs>
            <w:rPr>
              <w:rFonts w:eastAsiaTheme="minorEastAsia"/>
              <w:noProof/>
              <w:lang w:eastAsia="en-GB"/>
            </w:rPr>
          </w:pPr>
          <w:hyperlink w:anchor="_Toc38549339" w:history="1">
            <w:r w:rsidR="0077680F" w:rsidRPr="00F91D00">
              <w:rPr>
                <w:rStyle w:val="Hyperlink"/>
                <w:noProof/>
              </w:rPr>
              <w:t>Supplementary Figure 2B: rs143384 (chr20:34025756)</w:t>
            </w:r>
            <w:r w:rsidR="0077680F">
              <w:rPr>
                <w:noProof/>
                <w:webHidden/>
              </w:rPr>
              <w:tab/>
            </w:r>
            <w:r w:rsidR="0077680F">
              <w:rPr>
                <w:noProof/>
                <w:webHidden/>
              </w:rPr>
              <w:fldChar w:fldCharType="begin"/>
            </w:r>
            <w:r w:rsidR="0077680F">
              <w:rPr>
                <w:noProof/>
                <w:webHidden/>
              </w:rPr>
              <w:instrText xml:space="preserve"> PAGEREF _Toc38549339 \h </w:instrText>
            </w:r>
            <w:r w:rsidR="0077680F">
              <w:rPr>
                <w:noProof/>
                <w:webHidden/>
              </w:rPr>
            </w:r>
            <w:r w:rsidR="0077680F">
              <w:rPr>
                <w:noProof/>
                <w:webHidden/>
              </w:rPr>
              <w:fldChar w:fldCharType="separate"/>
            </w:r>
            <w:r w:rsidR="0077680F">
              <w:rPr>
                <w:noProof/>
                <w:webHidden/>
              </w:rPr>
              <w:t>19</w:t>
            </w:r>
            <w:r w:rsidR="0077680F">
              <w:rPr>
                <w:noProof/>
                <w:webHidden/>
              </w:rPr>
              <w:fldChar w:fldCharType="end"/>
            </w:r>
          </w:hyperlink>
        </w:p>
        <w:p w14:paraId="6F6907C6" w14:textId="77777777" w:rsidR="0077680F" w:rsidRDefault="002B2753">
          <w:pPr>
            <w:pStyle w:val="TOC2"/>
            <w:tabs>
              <w:tab w:val="right" w:leader="dot" w:pos="9016"/>
            </w:tabs>
            <w:rPr>
              <w:rFonts w:eastAsiaTheme="minorEastAsia"/>
              <w:noProof/>
              <w:lang w:eastAsia="en-GB"/>
            </w:rPr>
          </w:pPr>
          <w:hyperlink w:anchor="_Toc38549340" w:history="1">
            <w:r w:rsidR="0077680F" w:rsidRPr="00F91D00">
              <w:rPr>
                <w:rStyle w:val="Hyperlink"/>
                <w:noProof/>
              </w:rPr>
              <w:t>Supplementary Figure 2C: rs62102286 (chr18:46592408)</w:t>
            </w:r>
            <w:r w:rsidR="0077680F">
              <w:rPr>
                <w:noProof/>
                <w:webHidden/>
              </w:rPr>
              <w:tab/>
            </w:r>
            <w:r w:rsidR="0077680F">
              <w:rPr>
                <w:noProof/>
                <w:webHidden/>
              </w:rPr>
              <w:fldChar w:fldCharType="begin"/>
            </w:r>
            <w:r w:rsidR="0077680F">
              <w:rPr>
                <w:noProof/>
                <w:webHidden/>
              </w:rPr>
              <w:instrText xml:space="preserve"> PAGEREF _Toc38549340 \h </w:instrText>
            </w:r>
            <w:r w:rsidR="0077680F">
              <w:rPr>
                <w:noProof/>
                <w:webHidden/>
              </w:rPr>
            </w:r>
            <w:r w:rsidR="0077680F">
              <w:rPr>
                <w:noProof/>
                <w:webHidden/>
              </w:rPr>
              <w:fldChar w:fldCharType="separate"/>
            </w:r>
            <w:r w:rsidR="0077680F">
              <w:rPr>
                <w:noProof/>
                <w:webHidden/>
              </w:rPr>
              <w:t>19</w:t>
            </w:r>
            <w:r w:rsidR="0077680F">
              <w:rPr>
                <w:noProof/>
                <w:webHidden/>
              </w:rPr>
              <w:fldChar w:fldCharType="end"/>
            </w:r>
          </w:hyperlink>
        </w:p>
        <w:p w14:paraId="2B5C24A0" w14:textId="77777777" w:rsidR="0077680F" w:rsidRDefault="002B2753">
          <w:pPr>
            <w:pStyle w:val="TOC2"/>
            <w:tabs>
              <w:tab w:val="right" w:leader="dot" w:pos="9016"/>
            </w:tabs>
            <w:rPr>
              <w:rFonts w:eastAsiaTheme="minorEastAsia"/>
              <w:noProof/>
              <w:lang w:eastAsia="en-GB"/>
            </w:rPr>
          </w:pPr>
          <w:hyperlink w:anchor="_Toc38549341" w:history="1">
            <w:r w:rsidR="0077680F" w:rsidRPr="00F91D00">
              <w:rPr>
                <w:rStyle w:val="Hyperlink"/>
                <w:noProof/>
              </w:rPr>
              <w:t>Supplementary Figure 2D: rs3118903 (chr13:51099577)</w:t>
            </w:r>
            <w:r w:rsidR="0077680F">
              <w:rPr>
                <w:noProof/>
                <w:webHidden/>
              </w:rPr>
              <w:tab/>
            </w:r>
            <w:r w:rsidR="0077680F">
              <w:rPr>
                <w:noProof/>
                <w:webHidden/>
              </w:rPr>
              <w:fldChar w:fldCharType="begin"/>
            </w:r>
            <w:r w:rsidR="0077680F">
              <w:rPr>
                <w:noProof/>
                <w:webHidden/>
              </w:rPr>
              <w:instrText xml:space="preserve"> PAGEREF _Toc38549341 \h </w:instrText>
            </w:r>
            <w:r w:rsidR="0077680F">
              <w:rPr>
                <w:noProof/>
                <w:webHidden/>
              </w:rPr>
            </w:r>
            <w:r w:rsidR="0077680F">
              <w:rPr>
                <w:noProof/>
                <w:webHidden/>
              </w:rPr>
              <w:fldChar w:fldCharType="separate"/>
            </w:r>
            <w:r w:rsidR="0077680F">
              <w:rPr>
                <w:noProof/>
                <w:webHidden/>
              </w:rPr>
              <w:t>20</w:t>
            </w:r>
            <w:r w:rsidR="0077680F">
              <w:rPr>
                <w:noProof/>
                <w:webHidden/>
              </w:rPr>
              <w:fldChar w:fldCharType="end"/>
            </w:r>
          </w:hyperlink>
        </w:p>
        <w:p w14:paraId="08F5E4F8" w14:textId="77777777" w:rsidR="0077680F" w:rsidRDefault="002B2753">
          <w:pPr>
            <w:pStyle w:val="TOC2"/>
            <w:tabs>
              <w:tab w:val="right" w:leader="dot" w:pos="9016"/>
            </w:tabs>
            <w:rPr>
              <w:rFonts w:eastAsiaTheme="minorEastAsia"/>
              <w:noProof/>
              <w:lang w:eastAsia="en-GB"/>
            </w:rPr>
          </w:pPr>
          <w:hyperlink w:anchor="_Toc38549342" w:history="1">
            <w:r w:rsidR="0077680F" w:rsidRPr="00F91D00">
              <w:rPr>
                <w:rStyle w:val="Hyperlink"/>
                <w:noProof/>
              </w:rPr>
              <w:t>Supplementary Figure 2E: rs13107325 (chr4:103188709)</w:t>
            </w:r>
            <w:r w:rsidR="0077680F">
              <w:rPr>
                <w:noProof/>
                <w:webHidden/>
              </w:rPr>
              <w:tab/>
            </w:r>
            <w:r w:rsidR="0077680F">
              <w:rPr>
                <w:noProof/>
                <w:webHidden/>
              </w:rPr>
              <w:fldChar w:fldCharType="begin"/>
            </w:r>
            <w:r w:rsidR="0077680F">
              <w:rPr>
                <w:noProof/>
                <w:webHidden/>
              </w:rPr>
              <w:instrText xml:space="preserve"> PAGEREF _Toc38549342 \h </w:instrText>
            </w:r>
            <w:r w:rsidR="0077680F">
              <w:rPr>
                <w:noProof/>
                <w:webHidden/>
              </w:rPr>
            </w:r>
            <w:r w:rsidR="0077680F">
              <w:rPr>
                <w:noProof/>
                <w:webHidden/>
              </w:rPr>
              <w:fldChar w:fldCharType="separate"/>
            </w:r>
            <w:r w:rsidR="0077680F">
              <w:rPr>
                <w:noProof/>
                <w:webHidden/>
              </w:rPr>
              <w:t>20</w:t>
            </w:r>
            <w:r w:rsidR="0077680F">
              <w:rPr>
                <w:noProof/>
                <w:webHidden/>
              </w:rPr>
              <w:fldChar w:fldCharType="end"/>
            </w:r>
          </w:hyperlink>
        </w:p>
        <w:p w14:paraId="5C5DC593" w14:textId="77777777" w:rsidR="0077680F" w:rsidRDefault="002B2753">
          <w:pPr>
            <w:pStyle w:val="TOC2"/>
            <w:tabs>
              <w:tab w:val="right" w:leader="dot" w:pos="9016"/>
            </w:tabs>
            <w:rPr>
              <w:rFonts w:eastAsiaTheme="minorEastAsia"/>
              <w:noProof/>
              <w:lang w:eastAsia="en-GB"/>
            </w:rPr>
          </w:pPr>
          <w:hyperlink w:anchor="_Toc38549343" w:history="1">
            <w:r w:rsidR="0077680F" w:rsidRPr="00F91D00">
              <w:rPr>
                <w:rStyle w:val="Hyperlink"/>
                <w:noProof/>
              </w:rPr>
              <w:t>Supplementary Figure 2F: rs11236213 (chr11:74394369)</w:t>
            </w:r>
            <w:r w:rsidR="0077680F">
              <w:rPr>
                <w:noProof/>
                <w:webHidden/>
              </w:rPr>
              <w:tab/>
            </w:r>
            <w:r w:rsidR="0077680F">
              <w:rPr>
                <w:noProof/>
                <w:webHidden/>
              </w:rPr>
              <w:fldChar w:fldCharType="begin"/>
            </w:r>
            <w:r w:rsidR="0077680F">
              <w:rPr>
                <w:noProof/>
                <w:webHidden/>
              </w:rPr>
              <w:instrText xml:space="preserve"> PAGEREF _Toc38549343 \h </w:instrText>
            </w:r>
            <w:r w:rsidR="0077680F">
              <w:rPr>
                <w:noProof/>
                <w:webHidden/>
              </w:rPr>
            </w:r>
            <w:r w:rsidR="0077680F">
              <w:rPr>
                <w:noProof/>
                <w:webHidden/>
              </w:rPr>
              <w:fldChar w:fldCharType="separate"/>
            </w:r>
            <w:r w:rsidR="0077680F">
              <w:rPr>
                <w:noProof/>
                <w:webHidden/>
              </w:rPr>
              <w:t>21</w:t>
            </w:r>
            <w:r w:rsidR="0077680F">
              <w:rPr>
                <w:noProof/>
                <w:webHidden/>
              </w:rPr>
              <w:fldChar w:fldCharType="end"/>
            </w:r>
          </w:hyperlink>
        </w:p>
        <w:p w14:paraId="14717D2F" w14:textId="77777777" w:rsidR="0077680F" w:rsidRDefault="002B2753">
          <w:pPr>
            <w:pStyle w:val="TOC2"/>
            <w:tabs>
              <w:tab w:val="right" w:leader="dot" w:pos="9016"/>
            </w:tabs>
            <w:rPr>
              <w:rFonts w:eastAsiaTheme="minorEastAsia"/>
              <w:noProof/>
              <w:lang w:eastAsia="en-GB"/>
            </w:rPr>
          </w:pPr>
          <w:hyperlink w:anchor="_Toc38549344" w:history="1">
            <w:r w:rsidR="0077680F" w:rsidRPr="00F91D00">
              <w:rPr>
                <w:rStyle w:val="Hyperlink"/>
                <w:noProof/>
              </w:rPr>
              <w:t>Supplementary Figure 2G: rs34464763 (chr12:15032860)</w:t>
            </w:r>
            <w:r w:rsidR="0077680F">
              <w:rPr>
                <w:noProof/>
                <w:webHidden/>
              </w:rPr>
              <w:tab/>
            </w:r>
            <w:r w:rsidR="0077680F">
              <w:rPr>
                <w:noProof/>
                <w:webHidden/>
              </w:rPr>
              <w:fldChar w:fldCharType="begin"/>
            </w:r>
            <w:r w:rsidR="0077680F">
              <w:rPr>
                <w:noProof/>
                <w:webHidden/>
              </w:rPr>
              <w:instrText xml:space="preserve"> PAGEREF _Toc38549344 \h </w:instrText>
            </w:r>
            <w:r w:rsidR="0077680F">
              <w:rPr>
                <w:noProof/>
                <w:webHidden/>
              </w:rPr>
            </w:r>
            <w:r w:rsidR="0077680F">
              <w:rPr>
                <w:noProof/>
                <w:webHidden/>
              </w:rPr>
              <w:fldChar w:fldCharType="separate"/>
            </w:r>
            <w:r w:rsidR="0077680F">
              <w:rPr>
                <w:noProof/>
                <w:webHidden/>
              </w:rPr>
              <w:t>21</w:t>
            </w:r>
            <w:r w:rsidR="0077680F">
              <w:rPr>
                <w:noProof/>
                <w:webHidden/>
              </w:rPr>
              <w:fldChar w:fldCharType="end"/>
            </w:r>
          </w:hyperlink>
        </w:p>
        <w:p w14:paraId="60DC3350" w14:textId="77777777" w:rsidR="0077680F" w:rsidRDefault="002B2753">
          <w:pPr>
            <w:pStyle w:val="TOC2"/>
            <w:tabs>
              <w:tab w:val="right" w:leader="dot" w:pos="9016"/>
            </w:tabs>
            <w:rPr>
              <w:rFonts w:eastAsiaTheme="minorEastAsia"/>
              <w:noProof/>
              <w:lang w:eastAsia="en-GB"/>
            </w:rPr>
          </w:pPr>
          <w:hyperlink w:anchor="_Toc38549345" w:history="1">
            <w:r w:rsidR="0077680F" w:rsidRPr="00F91D00">
              <w:rPr>
                <w:rStyle w:val="Hyperlink"/>
                <w:noProof/>
              </w:rPr>
              <w:t>Supplementary Figure 2H: rs143459567 (chr16:24600412)</w:t>
            </w:r>
            <w:r w:rsidR="0077680F">
              <w:rPr>
                <w:noProof/>
                <w:webHidden/>
              </w:rPr>
              <w:tab/>
            </w:r>
            <w:r w:rsidR="0077680F">
              <w:rPr>
                <w:noProof/>
                <w:webHidden/>
              </w:rPr>
              <w:fldChar w:fldCharType="begin"/>
            </w:r>
            <w:r w:rsidR="0077680F">
              <w:rPr>
                <w:noProof/>
                <w:webHidden/>
              </w:rPr>
              <w:instrText xml:space="preserve"> PAGEREF _Toc38549345 \h </w:instrText>
            </w:r>
            <w:r w:rsidR="0077680F">
              <w:rPr>
                <w:noProof/>
                <w:webHidden/>
              </w:rPr>
            </w:r>
            <w:r w:rsidR="0077680F">
              <w:rPr>
                <w:noProof/>
                <w:webHidden/>
              </w:rPr>
              <w:fldChar w:fldCharType="separate"/>
            </w:r>
            <w:r w:rsidR="0077680F">
              <w:rPr>
                <w:noProof/>
                <w:webHidden/>
              </w:rPr>
              <w:t>22</w:t>
            </w:r>
            <w:r w:rsidR="0077680F">
              <w:rPr>
                <w:noProof/>
                <w:webHidden/>
              </w:rPr>
              <w:fldChar w:fldCharType="end"/>
            </w:r>
          </w:hyperlink>
        </w:p>
        <w:p w14:paraId="7AA96996" w14:textId="77777777" w:rsidR="0077680F" w:rsidRDefault="002B2753">
          <w:pPr>
            <w:pStyle w:val="TOC2"/>
            <w:tabs>
              <w:tab w:val="right" w:leader="dot" w:pos="9016"/>
            </w:tabs>
            <w:rPr>
              <w:rFonts w:eastAsiaTheme="minorEastAsia"/>
              <w:noProof/>
              <w:lang w:eastAsia="en-GB"/>
            </w:rPr>
          </w:pPr>
          <w:hyperlink w:anchor="_Toc38549346" w:history="1">
            <w:r w:rsidR="0077680F" w:rsidRPr="00F91D00">
              <w:rPr>
                <w:rStyle w:val="Hyperlink"/>
                <w:noProof/>
              </w:rPr>
              <w:t>Supplementary Figure 2I: rs2899611 (chr15:58327347)</w:t>
            </w:r>
            <w:r w:rsidR="0077680F">
              <w:rPr>
                <w:noProof/>
                <w:webHidden/>
              </w:rPr>
              <w:tab/>
            </w:r>
            <w:r w:rsidR="0077680F">
              <w:rPr>
                <w:noProof/>
                <w:webHidden/>
              </w:rPr>
              <w:fldChar w:fldCharType="begin"/>
            </w:r>
            <w:r w:rsidR="0077680F">
              <w:rPr>
                <w:noProof/>
                <w:webHidden/>
              </w:rPr>
              <w:instrText xml:space="preserve"> PAGEREF _Toc38549346 \h </w:instrText>
            </w:r>
            <w:r w:rsidR="0077680F">
              <w:rPr>
                <w:noProof/>
                <w:webHidden/>
              </w:rPr>
            </w:r>
            <w:r w:rsidR="0077680F">
              <w:rPr>
                <w:noProof/>
                <w:webHidden/>
              </w:rPr>
              <w:fldChar w:fldCharType="separate"/>
            </w:r>
            <w:r w:rsidR="0077680F">
              <w:rPr>
                <w:noProof/>
                <w:webHidden/>
              </w:rPr>
              <w:t>22</w:t>
            </w:r>
            <w:r w:rsidR="0077680F">
              <w:rPr>
                <w:noProof/>
                <w:webHidden/>
              </w:rPr>
              <w:fldChar w:fldCharType="end"/>
            </w:r>
          </w:hyperlink>
        </w:p>
        <w:p w14:paraId="5044A46A" w14:textId="77777777" w:rsidR="0077680F" w:rsidRDefault="002B2753">
          <w:pPr>
            <w:pStyle w:val="TOC2"/>
            <w:tabs>
              <w:tab w:val="right" w:leader="dot" w:pos="9016"/>
            </w:tabs>
            <w:rPr>
              <w:rFonts w:eastAsiaTheme="minorEastAsia"/>
              <w:noProof/>
              <w:lang w:eastAsia="en-GB"/>
            </w:rPr>
          </w:pPr>
          <w:hyperlink w:anchor="_Toc38549347" w:history="1">
            <w:r w:rsidR="0077680F" w:rsidRPr="00F91D00">
              <w:rPr>
                <w:rStyle w:val="Hyperlink"/>
                <w:noProof/>
              </w:rPr>
              <w:t>Supplementary Figure 2J: rs958685 (chr2:70703847)</w:t>
            </w:r>
            <w:r w:rsidR="0077680F">
              <w:rPr>
                <w:noProof/>
                <w:webHidden/>
              </w:rPr>
              <w:tab/>
            </w:r>
            <w:r w:rsidR="0077680F">
              <w:rPr>
                <w:noProof/>
                <w:webHidden/>
              </w:rPr>
              <w:fldChar w:fldCharType="begin"/>
            </w:r>
            <w:r w:rsidR="0077680F">
              <w:rPr>
                <w:noProof/>
                <w:webHidden/>
              </w:rPr>
              <w:instrText xml:space="preserve"> PAGEREF _Toc38549347 \h </w:instrText>
            </w:r>
            <w:r w:rsidR="0077680F">
              <w:rPr>
                <w:noProof/>
                <w:webHidden/>
              </w:rPr>
            </w:r>
            <w:r w:rsidR="0077680F">
              <w:rPr>
                <w:noProof/>
                <w:webHidden/>
              </w:rPr>
              <w:fldChar w:fldCharType="separate"/>
            </w:r>
            <w:r w:rsidR="0077680F">
              <w:rPr>
                <w:noProof/>
                <w:webHidden/>
              </w:rPr>
              <w:t>23</w:t>
            </w:r>
            <w:r w:rsidR="0077680F">
              <w:rPr>
                <w:noProof/>
                <w:webHidden/>
              </w:rPr>
              <w:fldChar w:fldCharType="end"/>
            </w:r>
          </w:hyperlink>
        </w:p>
        <w:p w14:paraId="74645956" w14:textId="77777777" w:rsidR="0077680F" w:rsidRDefault="002B2753">
          <w:pPr>
            <w:pStyle w:val="TOC2"/>
            <w:tabs>
              <w:tab w:val="right" w:leader="dot" w:pos="9016"/>
            </w:tabs>
            <w:rPr>
              <w:rFonts w:eastAsiaTheme="minorEastAsia"/>
              <w:noProof/>
              <w:lang w:eastAsia="en-GB"/>
            </w:rPr>
          </w:pPr>
          <w:hyperlink w:anchor="_Toc38549348" w:history="1">
            <w:r w:rsidR="0077680F" w:rsidRPr="00F91D00">
              <w:rPr>
                <w:rStyle w:val="Hyperlink"/>
                <w:noProof/>
              </w:rPr>
              <w:t>Supplementary Figure 2K: rs7624084 (chr3:141093285)</w:t>
            </w:r>
            <w:r w:rsidR="0077680F">
              <w:rPr>
                <w:noProof/>
                <w:webHidden/>
              </w:rPr>
              <w:tab/>
            </w:r>
            <w:r w:rsidR="0077680F">
              <w:rPr>
                <w:noProof/>
                <w:webHidden/>
              </w:rPr>
              <w:fldChar w:fldCharType="begin"/>
            </w:r>
            <w:r w:rsidR="0077680F">
              <w:rPr>
                <w:noProof/>
                <w:webHidden/>
              </w:rPr>
              <w:instrText xml:space="preserve"> PAGEREF _Toc38549348 \h </w:instrText>
            </w:r>
            <w:r w:rsidR="0077680F">
              <w:rPr>
                <w:noProof/>
                <w:webHidden/>
              </w:rPr>
            </w:r>
            <w:r w:rsidR="0077680F">
              <w:rPr>
                <w:noProof/>
                <w:webHidden/>
              </w:rPr>
              <w:fldChar w:fldCharType="separate"/>
            </w:r>
            <w:r w:rsidR="0077680F">
              <w:rPr>
                <w:noProof/>
                <w:webHidden/>
              </w:rPr>
              <w:t>23</w:t>
            </w:r>
            <w:r w:rsidR="0077680F">
              <w:rPr>
                <w:noProof/>
                <w:webHidden/>
              </w:rPr>
              <w:fldChar w:fldCharType="end"/>
            </w:r>
          </w:hyperlink>
        </w:p>
        <w:p w14:paraId="48C4287C" w14:textId="77777777" w:rsidR="0077680F" w:rsidRDefault="002B2753">
          <w:pPr>
            <w:pStyle w:val="TOC2"/>
            <w:tabs>
              <w:tab w:val="right" w:leader="dot" w:pos="9016"/>
            </w:tabs>
            <w:rPr>
              <w:rFonts w:eastAsiaTheme="minorEastAsia"/>
              <w:noProof/>
              <w:lang w:eastAsia="en-GB"/>
            </w:rPr>
          </w:pPr>
          <w:hyperlink w:anchor="_Toc38549349" w:history="1">
            <w:r w:rsidR="0077680F" w:rsidRPr="00F91D00">
              <w:rPr>
                <w:rStyle w:val="Hyperlink"/>
                <w:noProof/>
              </w:rPr>
              <w:t>Supplementary Figure 2L: rs79723785 (chr19:55818225)</w:t>
            </w:r>
            <w:r w:rsidR="0077680F">
              <w:rPr>
                <w:noProof/>
                <w:webHidden/>
              </w:rPr>
              <w:tab/>
            </w:r>
            <w:r w:rsidR="0077680F">
              <w:rPr>
                <w:noProof/>
                <w:webHidden/>
              </w:rPr>
              <w:fldChar w:fldCharType="begin"/>
            </w:r>
            <w:r w:rsidR="0077680F">
              <w:rPr>
                <w:noProof/>
                <w:webHidden/>
              </w:rPr>
              <w:instrText xml:space="preserve"> PAGEREF _Toc38549349 \h </w:instrText>
            </w:r>
            <w:r w:rsidR="0077680F">
              <w:rPr>
                <w:noProof/>
                <w:webHidden/>
              </w:rPr>
            </w:r>
            <w:r w:rsidR="0077680F">
              <w:rPr>
                <w:noProof/>
                <w:webHidden/>
              </w:rPr>
              <w:fldChar w:fldCharType="separate"/>
            </w:r>
            <w:r w:rsidR="0077680F">
              <w:rPr>
                <w:noProof/>
                <w:webHidden/>
              </w:rPr>
              <w:t>24</w:t>
            </w:r>
            <w:r w:rsidR="0077680F">
              <w:rPr>
                <w:noProof/>
                <w:webHidden/>
              </w:rPr>
              <w:fldChar w:fldCharType="end"/>
            </w:r>
          </w:hyperlink>
        </w:p>
        <w:p w14:paraId="2851FAC9" w14:textId="77777777" w:rsidR="0077680F" w:rsidRDefault="002B2753">
          <w:pPr>
            <w:pStyle w:val="TOC2"/>
            <w:tabs>
              <w:tab w:val="right" w:leader="dot" w:pos="9016"/>
            </w:tabs>
            <w:rPr>
              <w:rFonts w:eastAsiaTheme="minorEastAsia"/>
              <w:noProof/>
              <w:lang w:eastAsia="en-GB"/>
            </w:rPr>
          </w:pPr>
          <w:hyperlink w:anchor="_Toc38549350" w:history="1">
            <w:r w:rsidR="0077680F" w:rsidRPr="00F91D00">
              <w:rPr>
                <w:rStyle w:val="Hyperlink"/>
                <w:noProof/>
              </w:rPr>
              <w:t>Supplementary Figure 2M: rs10952289 (chr7:150524681)</w:t>
            </w:r>
            <w:r w:rsidR="0077680F">
              <w:rPr>
                <w:noProof/>
                <w:webHidden/>
              </w:rPr>
              <w:tab/>
            </w:r>
            <w:r w:rsidR="0077680F">
              <w:rPr>
                <w:noProof/>
                <w:webHidden/>
              </w:rPr>
              <w:fldChar w:fldCharType="begin"/>
            </w:r>
            <w:r w:rsidR="0077680F">
              <w:rPr>
                <w:noProof/>
                <w:webHidden/>
              </w:rPr>
              <w:instrText xml:space="preserve"> PAGEREF _Toc38549350 \h </w:instrText>
            </w:r>
            <w:r w:rsidR="0077680F">
              <w:rPr>
                <w:noProof/>
                <w:webHidden/>
              </w:rPr>
            </w:r>
            <w:r w:rsidR="0077680F">
              <w:rPr>
                <w:noProof/>
                <w:webHidden/>
              </w:rPr>
              <w:fldChar w:fldCharType="separate"/>
            </w:r>
            <w:r w:rsidR="0077680F">
              <w:rPr>
                <w:noProof/>
                <w:webHidden/>
              </w:rPr>
              <w:t>24</w:t>
            </w:r>
            <w:r w:rsidR="0077680F">
              <w:rPr>
                <w:noProof/>
                <w:webHidden/>
              </w:rPr>
              <w:fldChar w:fldCharType="end"/>
            </w:r>
          </w:hyperlink>
        </w:p>
        <w:p w14:paraId="6C0EAD69" w14:textId="77777777" w:rsidR="0077680F" w:rsidRDefault="002B2753">
          <w:pPr>
            <w:pStyle w:val="TOC2"/>
            <w:tabs>
              <w:tab w:val="right" w:leader="dot" w:pos="9016"/>
            </w:tabs>
            <w:rPr>
              <w:rFonts w:eastAsiaTheme="minorEastAsia"/>
              <w:noProof/>
              <w:lang w:eastAsia="en-GB"/>
            </w:rPr>
          </w:pPr>
          <w:hyperlink w:anchor="_Toc38549351" w:history="1">
            <w:r w:rsidR="0077680F" w:rsidRPr="00F91D00">
              <w:rPr>
                <w:rStyle w:val="Hyperlink"/>
                <w:noProof/>
              </w:rPr>
              <w:t>Supplementary Figure 2N: rs8061064 (chr16:53912364)</w:t>
            </w:r>
            <w:r w:rsidR="0077680F">
              <w:rPr>
                <w:noProof/>
                <w:webHidden/>
              </w:rPr>
              <w:tab/>
            </w:r>
            <w:r w:rsidR="0077680F">
              <w:rPr>
                <w:noProof/>
                <w:webHidden/>
              </w:rPr>
              <w:fldChar w:fldCharType="begin"/>
            </w:r>
            <w:r w:rsidR="0077680F">
              <w:rPr>
                <w:noProof/>
                <w:webHidden/>
              </w:rPr>
              <w:instrText xml:space="preserve"> PAGEREF _Toc38549351 \h </w:instrText>
            </w:r>
            <w:r w:rsidR="0077680F">
              <w:rPr>
                <w:noProof/>
                <w:webHidden/>
              </w:rPr>
            </w:r>
            <w:r w:rsidR="0077680F">
              <w:rPr>
                <w:noProof/>
                <w:webHidden/>
              </w:rPr>
              <w:fldChar w:fldCharType="separate"/>
            </w:r>
            <w:r w:rsidR="0077680F">
              <w:rPr>
                <w:noProof/>
                <w:webHidden/>
              </w:rPr>
              <w:t>25</w:t>
            </w:r>
            <w:r w:rsidR="0077680F">
              <w:rPr>
                <w:noProof/>
                <w:webHidden/>
              </w:rPr>
              <w:fldChar w:fldCharType="end"/>
            </w:r>
          </w:hyperlink>
        </w:p>
        <w:p w14:paraId="0A1F7E6C" w14:textId="77777777" w:rsidR="0077680F" w:rsidRDefault="002B2753">
          <w:pPr>
            <w:pStyle w:val="TOC2"/>
            <w:tabs>
              <w:tab w:val="right" w:leader="dot" w:pos="9016"/>
            </w:tabs>
            <w:rPr>
              <w:rFonts w:eastAsiaTheme="minorEastAsia"/>
              <w:noProof/>
              <w:lang w:eastAsia="en-GB"/>
            </w:rPr>
          </w:pPr>
          <w:hyperlink w:anchor="_Toc38549352" w:history="1">
            <w:r w:rsidR="0077680F" w:rsidRPr="00F91D00">
              <w:rPr>
                <w:rStyle w:val="Hyperlink"/>
                <w:noProof/>
              </w:rPr>
              <w:t>Supplementary Figure 2O: rs12140813 (chr1:227776827)</w:t>
            </w:r>
            <w:r w:rsidR="0077680F">
              <w:rPr>
                <w:noProof/>
                <w:webHidden/>
              </w:rPr>
              <w:tab/>
            </w:r>
            <w:r w:rsidR="0077680F">
              <w:rPr>
                <w:noProof/>
                <w:webHidden/>
              </w:rPr>
              <w:fldChar w:fldCharType="begin"/>
            </w:r>
            <w:r w:rsidR="0077680F">
              <w:rPr>
                <w:noProof/>
                <w:webHidden/>
              </w:rPr>
              <w:instrText xml:space="preserve"> PAGEREF _Toc38549352 \h </w:instrText>
            </w:r>
            <w:r w:rsidR="0077680F">
              <w:rPr>
                <w:noProof/>
                <w:webHidden/>
              </w:rPr>
            </w:r>
            <w:r w:rsidR="0077680F">
              <w:rPr>
                <w:noProof/>
                <w:webHidden/>
              </w:rPr>
              <w:fldChar w:fldCharType="separate"/>
            </w:r>
            <w:r w:rsidR="0077680F">
              <w:rPr>
                <w:noProof/>
                <w:webHidden/>
              </w:rPr>
              <w:t>25</w:t>
            </w:r>
            <w:r w:rsidR="0077680F">
              <w:rPr>
                <w:noProof/>
                <w:webHidden/>
              </w:rPr>
              <w:fldChar w:fldCharType="end"/>
            </w:r>
          </w:hyperlink>
        </w:p>
        <w:p w14:paraId="7541B0A6" w14:textId="77777777" w:rsidR="0077680F" w:rsidRDefault="002B2753">
          <w:pPr>
            <w:pStyle w:val="TOC1"/>
            <w:tabs>
              <w:tab w:val="right" w:leader="dot" w:pos="9016"/>
            </w:tabs>
            <w:rPr>
              <w:rFonts w:eastAsiaTheme="minorEastAsia"/>
              <w:noProof/>
              <w:lang w:eastAsia="en-GB"/>
            </w:rPr>
          </w:pPr>
          <w:hyperlink w:anchor="_Toc38549353" w:history="1">
            <w:r w:rsidR="0077680F" w:rsidRPr="00F91D00">
              <w:rPr>
                <w:rStyle w:val="Hyperlink"/>
                <w:noProof/>
              </w:rPr>
              <w:t>Supplementary Figure 3: Plot of Mendelian randomisation analysis of depression SNPs on low grip strength (EWGSOP) in females only</w:t>
            </w:r>
            <w:r w:rsidR="0077680F">
              <w:rPr>
                <w:noProof/>
                <w:webHidden/>
              </w:rPr>
              <w:tab/>
            </w:r>
            <w:r w:rsidR="0077680F">
              <w:rPr>
                <w:noProof/>
                <w:webHidden/>
              </w:rPr>
              <w:fldChar w:fldCharType="begin"/>
            </w:r>
            <w:r w:rsidR="0077680F">
              <w:rPr>
                <w:noProof/>
                <w:webHidden/>
              </w:rPr>
              <w:instrText xml:space="preserve"> PAGEREF _Toc38549353 \h </w:instrText>
            </w:r>
            <w:r w:rsidR="0077680F">
              <w:rPr>
                <w:noProof/>
                <w:webHidden/>
              </w:rPr>
            </w:r>
            <w:r w:rsidR="0077680F">
              <w:rPr>
                <w:noProof/>
                <w:webHidden/>
              </w:rPr>
              <w:fldChar w:fldCharType="separate"/>
            </w:r>
            <w:r w:rsidR="0077680F">
              <w:rPr>
                <w:noProof/>
                <w:webHidden/>
              </w:rPr>
              <w:t>26</w:t>
            </w:r>
            <w:r w:rsidR="0077680F">
              <w:rPr>
                <w:noProof/>
                <w:webHidden/>
              </w:rPr>
              <w:fldChar w:fldCharType="end"/>
            </w:r>
          </w:hyperlink>
        </w:p>
        <w:p w14:paraId="7422D214" w14:textId="77777777" w:rsidR="0077680F" w:rsidRDefault="002B2753">
          <w:pPr>
            <w:pStyle w:val="TOC1"/>
            <w:tabs>
              <w:tab w:val="right" w:leader="dot" w:pos="9016"/>
            </w:tabs>
            <w:rPr>
              <w:rFonts w:eastAsiaTheme="minorEastAsia"/>
              <w:noProof/>
              <w:lang w:eastAsia="en-GB"/>
            </w:rPr>
          </w:pPr>
          <w:hyperlink w:anchor="_Toc38549354" w:history="1">
            <w:r w:rsidR="0077680F" w:rsidRPr="00F91D00">
              <w:rPr>
                <w:rStyle w:val="Hyperlink"/>
                <w:noProof/>
              </w:rPr>
              <w:t>References</w:t>
            </w:r>
            <w:r w:rsidR="0077680F">
              <w:rPr>
                <w:noProof/>
                <w:webHidden/>
              </w:rPr>
              <w:tab/>
            </w:r>
            <w:r w:rsidR="0077680F">
              <w:rPr>
                <w:noProof/>
                <w:webHidden/>
              </w:rPr>
              <w:fldChar w:fldCharType="begin"/>
            </w:r>
            <w:r w:rsidR="0077680F">
              <w:rPr>
                <w:noProof/>
                <w:webHidden/>
              </w:rPr>
              <w:instrText xml:space="preserve"> PAGEREF _Toc38549354 \h </w:instrText>
            </w:r>
            <w:r w:rsidR="0077680F">
              <w:rPr>
                <w:noProof/>
                <w:webHidden/>
              </w:rPr>
            </w:r>
            <w:r w:rsidR="0077680F">
              <w:rPr>
                <w:noProof/>
                <w:webHidden/>
              </w:rPr>
              <w:fldChar w:fldCharType="separate"/>
            </w:r>
            <w:r w:rsidR="0077680F">
              <w:rPr>
                <w:noProof/>
                <w:webHidden/>
              </w:rPr>
              <w:t>27</w:t>
            </w:r>
            <w:r w:rsidR="0077680F">
              <w:rPr>
                <w:noProof/>
                <w:webHidden/>
              </w:rPr>
              <w:fldChar w:fldCharType="end"/>
            </w:r>
          </w:hyperlink>
        </w:p>
        <w:p w14:paraId="703E6E4D" w14:textId="77777777" w:rsidR="001453EF" w:rsidRDefault="001453EF" w:rsidP="00916D56">
          <w:pPr>
            <w:spacing w:line="276" w:lineRule="auto"/>
          </w:pPr>
          <w:r>
            <w:rPr>
              <w:b/>
              <w:bCs/>
              <w:noProof/>
            </w:rPr>
            <w:fldChar w:fldCharType="end"/>
          </w:r>
        </w:p>
      </w:sdtContent>
    </w:sdt>
    <w:p w14:paraId="6B96CE6A" w14:textId="799C16E5" w:rsidR="008E0A84" w:rsidRDefault="008E0A84">
      <w:r>
        <w:br w:type="page"/>
      </w:r>
    </w:p>
    <w:p w14:paraId="1379B411" w14:textId="77777777" w:rsidR="001453EF" w:rsidRDefault="001453EF" w:rsidP="00916D56">
      <w:pPr>
        <w:pStyle w:val="Heading1"/>
        <w:spacing w:line="276" w:lineRule="auto"/>
      </w:pPr>
      <w:bookmarkStart w:id="0" w:name="_Toc38549313"/>
      <w:r>
        <w:lastRenderedPageBreak/>
        <w:t>Supplementary Methods</w:t>
      </w:r>
      <w:bookmarkEnd w:id="0"/>
    </w:p>
    <w:p w14:paraId="3EFDB7E2" w14:textId="77777777" w:rsidR="001453EF" w:rsidRDefault="001453EF" w:rsidP="00916D56">
      <w:pPr>
        <w:spacing w:line="276" w:lineRule="auto"/>
      </w:pPr>
    </w:p>
    <w:p w14:paraId="26842C6C" w14:textId="77777777" w:rsidR="001453EF" w:rsidRDefault="001453EF" w:rsidP="00916D56">
      <w:pPr>
        <w:pStyle w:val="Heading2"/>
        <w:spacing w:line="276" w:lineRule="auto"/>
      </w:pPr>
      <w:bookmarkStart w:id="1" w:name="_Toc38549314"/>
      <w:r>
        <w:t>Cohorts</w:t>
      </w:r>
      <w:bookmarkEnd w:id="1"/>
    </w:p>
    <w:p w14:paraId="6BE2B295" w14:textId="6667D56B" w:rsidR="00DA1549" w:rsidRDefault="001574EB" w:rsidP="00916D56">
      <w:pPr>
        <w:spacing w:line="276" w:lineRule="auto"/>
        <w:rPr>
          <w:lang w:val="en-US"/>
        </w:rPr>
      </w:pPr>
      <w:r>
        <w:rPr>
          <w:lang w:val="en-US"/>
        </w:rPr>
        <w:t xml:space="preserve">22 studies with a total of </w:t>
      </w:r>
      <w:r w:rsidR="00127C46">
        <w:t>254,894</w:t>
      </w:r>
      <w:r w:rsidR="00127C46" w:rsidRPr="00F0705F">
        <w:t xml:space="preserve"> </w:t>
      </w:r>
      <w:r>
        <w:rPr>
          <w:lang w:val="en-US"/>
        </w:rPr>
        <w:t xml:space="preserve">participants of European ancestries and </w:t>
      </w:r>
      <w:r w:rsidR="00127C46">
        <w:rPr>
          <w:lang w:val="en-US"/>
        </w:rPr>
        <w:t>age 60</w:t>
      </w:r>
      <w:r>
        <w:rPr>
          <w:lang w:val="en-US"/>
        </w:rPr>
        <w:t xml:space="preserve"> </w:t>
      </w:r>
      <w:r w:rsidR="00127C46">
        <w:rPr>
          <w:lang w:val="en-US"/>
        </w:rPr>
        <w:t xml:space="preserve">or older </w:t>
      </w:r>
      <w:r>
        <w:rPr>
          <w:lang w:val="en-US"/>
        </w:rPr>
        <w:t>were included in the analysis low grip strength.</w:t>
      </w:r>
      <w:r w:rsidR="00127C46">
        <w:rPr>
          <w:lang w:val="en-US"/>
        </w:rPr>
        <w:t xml:space="preserve"> See Supplementary Table 1 for </w:t>
      </w:r>
      <w:r w:rsidR="00765171">
        <w:rPr>
          <w:lang w:val="en-US"/>
        </w:rPr>
        <w:t xml:space="preserve">number of cases/controls in each cohort. Here follows </w:t>
      </w:r>
      <w:r w:rsidR="00765171" w:rsidRPr="008E0A84">
        <w:rPr>
          <w:lang w:val="en-US"/>
        </w:rPr>
        <w:t xml:space="preserve">individual study </w:t>
      </w:r>
      <w:r w:rsidR="008E0A84" w:rsidRPr="008E0A84">
        <w:t>descriptions</w:t>
      </w:r>
      <w:r w:rsidR="00765171" w:rsidRPr="008E0A84">
        <w:rPr>
          <w:lang w:val="en-US"/>
        </w:rPr>
        <w:t>:</w:t>
      </w:r>
    </w:p>
    <w:p w14:paraId="72E9F6E9" w14:textId="77777777" w:rsidR="00DA1549" w:rsidRDefault="00DA1549" w:rsidP="00916D56">
      <w:pPr>
        <w:spacing w:line="276" w:lineRule="auto"/>
      </w:pPr>
    </w:p>
    <w:p w14:paraId="14B2415B" w14:textId="6E9D4CF1" w:rsidR="00DA1549" w:rsidRDefault="00DA1549" w:rsidP="00DA1549">
      <w:pPr>
        <w:pStyle w:val="Heading3"/>
      </w:pPr>
      <w:bookmarkStart w:id="2" w:name="_Toc38549315"/>
      <w:r w:rsidRPr="00DA1549">
        <w:t>Atherosclerosis Risk in Communities</w:t>
      </w:r>
      <w:r>
        <w:t xml:space="preserve"> (ARIC) study</w:t>
      </w:r>
      <w:bookmarkEnd w:id="2"/>
    </w:p>
    <w:p w14:paraId="1C2DB10F" w14:textId="28022FC3" w:rsidR="007A357C" w:rsidRDefault="007A357C" w:rsidP="007A357C">
      <w:pPr>
        <w:spacing w:line="276" w:lineRule="auto"/>
      </w:pPr>
      <w:r>
        <w:t>The Atherosclerosis Risk in Communities (ARIC) Study is a population-based prospective cohort study of cardiovascular disease and includes a total of 15,792 participants aged 45-64 years at baseline (1987-89), chosen by probability sampling from four US communities</w:t>
      </w:r>
      <w:r>
        <w:fldChar w:fldCharType="begin" w:fldLock="1"/>
      </w:r>
      <w:r w:rsidR="00511A98">
        <w:instrText>ADDIN CSL_CITATION {"citationItems":[{"id":"ITEM-1","itemData":{"ISSN":"0002-9262","PMID":"2646917","abstract":"Atherosclerosis Risk in Communities (ARIC) is a new prospective study to investigate the etiology of atherosclerosis and its clinical sequelae and variation in cardiovascular risk factors, medical care, and disease by race, sex, place, and time. In each of four US communities--Forsyth County, North Carolina, Jackson, Mississippi, suburbs of Minneapolis, Minnesota, and Washington County, Maryland--4,000 adults aged 45-64 years will be examined twice, three years apart. ARIC has coordinating, ultrasound, pulmonary, and electrocardiographic centers and three central laboratories. Three cohorts represent the ethnic mix of their communities; the Jackson cohort, its black population. Examinations include ultrasound scanning of carotid and popliteal arteries; lipids, lipoproteins, and apolipoproteins assayed in the Lipid Laboratory; and coagulation, inhibition, and platelet and fibrinolytic activity assayed in the Hemostasis Laboratory. Surveillance for coronary heart disease will involve review of hospitalizations and deaths among community residents aged 35-74 years. ARIC aims to study atherosclerosis by direct observation of the disease and by use of modern biochemistry.","author":[{"dropping-particle":"","family":"The ARIC investigators","given":"","non-dropping-particle":"","parse-names":false,"suffix":""}],"container-title":"American journal of epidemiology","id":"ITEM-1","issue":"4","issued":{"date-parts":[["1989","4"]]},"page":"687-702","title":"The Atherosclerosis Risk in Communities (ARIC) Study: design and objectives. The ARIC investigators.","type":"article-journal","volume":"129"},"uris":["http://www.mendeley.com/documents/?uuid=64c481b8-8e24-4a4d-adff-d5a47bc0b19b"]}],"mendeley":{"formattedCitation":"&lt;span style=\"baseline\"&gt;(1)&lt;/span&gt;","plainTextFormattedCitation":"(1)","previouslyFormattedCitation":"&lt;span style=\"baseline\"&gt;(1)&lt;/span&gt;"},"properties":{"noteIndex":0},"schema":"https://github.com/citation-style-language/schema/raw/master/csl-citation.json"}</w:instrText>
      </w:r>
      <w:r>
        <w:fldChar w:fldCharType="separate"/>
      </w:r>
      <w:r w:rsidRPr="007A357C">
        <w:rPr>
          <w:noProof/>
        </w:rPr>
        <w:t>(1)</w:t>
      </w:r>
      <w:r>
        <w:fldChar w:fldCharType="end"/>
      </w:r>
      <w:r>
        <w:t>. Cohort members completed five clinic examinations, conducted approximately three years apart between 1987 and 1998, with a fifth visit conducted from 2011 – 2013. Clinic examinations included assessment of cardiovascular risk factors, self-reported medical family history, employment and educational status, diet, physical activity, comorbidity, clinical and laboratory measurements. The present analyses were restricted to participants of European descent and utilized measurements from the Visit 5 grip strength assessment</w:t>
      </w:r>
      <w:r w:rsidR="00B21D26">
        <w:t>, where all individuals were aged 66 or older at assessment</w:t>
      </w:r>
      <w:r>
        <w:t xml:space="preserve">. Grip strength in kilograms of force was assessed using Jamar Hydraulic Hand Dynamometer in the participant's preferred hand (usually the dominant). The better of two trials was used for the dynapenia definitions and subsequent association analyses. </w:t>
      </w:r>
    </w:p>
    <w:p w14:paraId="3900A31C" w14:textId="390288E0" w:rsidR="007A357C" w:rsidRDefault="007A357C" w:rsidP="007A357C">
      <w:pPr>
        <w:spacing w:line="276" w:lineRule="auto"/>
      </w:pPr>
      <w:r>
        <w:t xml:space="preserve">Genotyping was performed using the </w:t>
      </w:r>
      <w:proofErr w:type="spellStart"/>
      <w:r>
        <w:t>Affymetrix</w:t>
      </w:r>
      <w:proofErr w:type="spellEnd"/>
      <w:r>
        <w:t xml:space="preserve"> Genome-Wide Human SNP Array 6.0 (</w:t>
      </w:r>
      <w:proofErr w:type="spellStart"/>
      <w:r>
        <w:t>Affymetrix</w:t>
      </w:r>
      <w:proofErr w:type="spellEnd"/>
      <w:r>
        <w:t>, Santa Clara, CA, USA). Exclusions at the individual level included removing first-degree relatives, ancestry outliers, samples with low call rate (&lt;95%) or unexpected duplicates, and samples with a mismatch between called and phenotypic sex. SNPs were excluded due to having a low call rate for the combined sample (&lt;95%), no chromosome location, being monomorphic in both the European and African descended genotyped individuals, and having an HWE p-value &lt;10-6. Before imputation, additional quality control was completed using the “HRC/1KG Imputation Preparation and Checking Tool” developed by Will Rayner (version 4.2.5). SNPs with incorrect strand or reference/alternate allele designations were fixed accordingly and further SNPs were excluded due to mismatches with the 1000 Genomes reference panel, having allele frequency differences &gt;0.2 from the European 1000 Genomes data, and being palindromic with frequencies &gt;0.4. A total of 752,325 SNPs were submitted for imputation on the Michigan Imputation Server using the Haplotype Reference Consortium (HRC) r1.1 2016 reference panel with the following options chosen: phasing, Eagle v2.3; population, EUR (for quality control purposes); mode, Quality Control &amp; Imputation.</w:t>
      </w:r>
    </w:p>
    <w:p w14:paraId="15820B84" w14:textId="57B8BC89" w:rsidR="00DA1549" w:rsidRDefault="007A357C" w:rsidP="007A357C">
      <w:pPr>
        <w:spacing w:line="276" w:lineRule="auto"/>
      </w:pPr>
      <w:r>
        <w:t>After filtering for age, phenotype, genotype availability and removing all related individuals, 3655 individuals remained, with a minimum age of 66 and a maximum of 90. The number of cases and controls for each analysis/dynapenia definition is as follows: for FNIH, 351 cases and 3,304 controls; for EWGSOP, 939 cases and 2,716 controls. Logistic regression analyses were conducted using the ‘--logistic-</w:t>
      </w:r>
      <w:proofErr w:type="spellStart"/>
      <w:r>
        <w:t>snp</w:t>
      </w:r>
      <w:proofErr w:type="spellEnd"/>
      <w:r>
        <w:t>’ option on FAST (version 2.4)</w:t>
      </w:r>
      <w:r>
        <w:fldChar w:fldCharType="begin" w:fldLock="1"/>
      </w:r>
      <w:r w:rsidR="00511A98">
        <w:instrText>ADDIN CSL_CITATION {"citationItems":[{"id":"ITEM-1","itemData":{"DOI":"10.1371/journal.pone.0068585","ISSN":"1932-6203","author":[{"dropping-particle":"","family":"Chanda","given":"Pritam","non-dropping-particle":"","parse-names":false,"suffix":""},{"dropping-particle":"","family":"Huang","given":"Hailiang","non-dropping-particle":"","parse-names":false,"suffix":""},{"dropping-particle":"","family":"Arking","given":"Dan E.","non-dropping-particle":"","parse-names":false,"suffix":""},{"dropping-particle":"","family":"Bader","given":"Joel S.","non-dropping-particle":"","parse-names":false,"suffix":""}],"container-title":"PLoS ONE","editor":[{"dropping-particle":"","family":"Veitia","given":"Reiner Albert","non-dropping-particle":"","parse-names":false,"suffix":""}],"id":"ITEM-1","issue":"7","issued":{"date-parts":[["2013","7","23"]]},"page":"e68585","title":"Fast Association Tests for Genes with FAST","type":"article-journal","volume":"8"},"uris":["http://www.mendeley.com/documents/?uuid=8e0bae63-5863-4666-8696-bfbc980e7965"]}],"mendeley":{"formattedCitation":"&lt;span style=\"baseline\"&gt;(2)&lt;/span&gt;","plainTextFormattedCitation":"(2)","previouslyFormattedCitation":"&lt;span style=\"baseline\"&gt;(2)&lt;/span&gt;"},"properties":{"noteIndex":0},"schema":"https://github.com/citation-style-language/schema/raw/master/csl-citation.json"}</w:instrText>
      </w:r>
      <w:r>
        <w:fldChar w:fldCharType="separate"/>
      </w:r>
      <w:r w:rsidRPr="007A357C">
        <w:rPr>
          <w:noProof/>
        </w:rPr>
        <w:t>(2)</w:t>
      </w:r>
      <w:r>
        <w:fldChar w:fldCharType="end"/>
      </w:r>
      <w:r>
        <w:t xml:space="preserve"> with imputed continuous dosage data. Covariates for adjustment included age, height, weight, sex (except in the sex-stratified analyses), study site and PCs 1-4. Only SNPs with a MAF ≥0.02 were included in association analyses.</w:t>
      </w:r>
    </w:p>
    <w:p w14:paraId="46A6D7BC" w14:textId="77777777" w:rsidR="007A77BB" w:rsidRPr="00A04434" w:rsidRDefault="007A77BB" w:rsidP="007A77BB">
      <w:pPr>
        <w:spacing w:line="276" w:lineRule="auto"/>
      </w:pPr>
    </w:p>
    <w:p w14:paraId="7D254C81" w14:textId="1F2A4A56" w:rsidR="008E0A84" w:rsidRDefault="007A77BB" w:rsidP="008E0A84">
      <w:pPr>
        <w:pStyle w:val="Heading3"/>
        <w:spacing w:line="276" w:lineRule="auto"/>
        <w:rPr>
          <w:rStyle w:val="Heading3Char"/>
          <w:b/>
          <w:i/>
        </w:rPr>
      </w:pPr>
      <w:bookmarkStart w:id="3" w:name="_Toc38549316"/>
      <w:r w:rsidRPr="008E0A84">
        <w:rPr>
          <w:rStyle w:val="Heading3Char"/>
          <w:b/>
          <w:i/>
        </w:rPr>
        <w:t xml:space="preserve">Berlin Aging Study II </w:t>
      </w:r>
      <w:r w:rsidR="00D30B61" w:rsidRPr="008E0A84">
        <w:rPr>
          <w:rStyle w:val="Heading3Char"/>
          <w:b/>
          <w:i/>
        </w:rPr>
        <w:t>(BASE-II)</w:t>
      </w:r>
      <w:bookmarkEnd w:id="3"/>
    </w:p>
    <w:p w14:paraId="2D0600DA" w14:textId="01AE4A7D" w:rsidR="00681D0F" w:rsidRDefault="00681D0F" w:rsidP="00681D0F">
      <w:pPr>
        <w:spacing w:line="276" w:lineRule="auto"/>
      </w:pPr>
      <w:r>
        <w:t xml:space="preserve">BASE-II is a multidisciplinary study initiated in 2009 investigating </w:t>
      </w:r>
      <w:r w:rsidR="00511A98">
        <w:t xml:space="preserve">factors related to human aging </w:t>
      </w:r>
      <w:r w:rsidR="00511A98">
        <w:fldChar w:fldCharType="begin" w:fldLock="1"/>
      </w:r>
      <w:r w:rsidR="00511A98">
        <w:instrText>ADDIN CSL_CITATION {"citationItems":[{"id":"ITEM-1","itemData":{"DOI":"10.1093/ije/dyt018","ISSN":"1464-3685","PMID":"23505255","abstract":"Similar to other industrialized countries, Germany's population is ageing. Whereas some people enjoy good physical and cognitive health into old age, others suffer from a multitude of age-related disorders and impairments which reduce life expectancy and affect quality of life. To identify and characterize the factors associated with 'healthy' vs. 'unhealthy' ageing, we have launched the Berlin Aging Study II (BASE-II), a multidisciplinary and multi-institutional project that ascertains a large number of ageing-related variables from a wide range of different functional domains. Phenotypic assessments include factors related to geriatrics and internal medicine, immunology, genetics, psychology, sociology and economics. Baseline recruitment of the BASE-II cohort was recently completed and has led to the sampling of 1600 older adults (age range 60-80 years), as well as 600 younger adults (20-35 years) serving as the basic population for in-depth analyses. BASE-II data are linked to the German Socio-Economic Panel Study (SOEP), a long-running panel survey representative of the German population, to estimate sample selectivity. A major goal of BASE-II is to facilitate collaboration with other research groups by freely sharing relevant phenotypic and genotypic data with qualified outside investigators.","author":[{"dropping-particle":"","family":"Bertram","given":"Lars","non-dropping-particle":"","parse-names":false,"suffix":""},{"dropping-particle":"","family":"Böckenhoff","given":"Anke","non-dropping-particle":"","parse-names":false,"suffix":""},{"dropping-particle":"","family":"Demuth","given":"Ilja","non-dropping-particle":"","parse-names":false,"suffix":""},{"dropping-particle":"","family":"Düzel","given":"Sandra","non-dropping-particle":"","parse-names":false,"suffix":""},{"dropping-particle":"","family":"Eckardt","given":"Rahel","non-dropping-particle":"","parse-names":false,"suffix":""},{"dropping-particle":"","family":"Li","given":"Shu-Chen","non-dropping-particle":"","parse-names":false,"suffix":""},{"dropping-particle":"","family":"Lindenberger","given":"Ulman","non-dropping-particle":"","parse-names":false,"suffix":""},{"dropping-particle":"","family":"Pawelec","given":"Graham","non-dropping-particle":"","parse-names":false,"suffix":""},{"dropping-particle":"","family":"Siedler","given":"Thomas","non-dropping-particle":"","parse-names":false,"suffix":""},{"dropping-particle":"","family":"Wagner","given":"Gert G","non-dropping-particle":"","parse-names":false,"suffix":""},{"dropping-particle":"","family":"Steinhagen-Thiessen","given":"Elisabeth","non-dropping-particle":"","parse-names":false,"suffix":""}],"container-title":"International Journal of Epidemiology","id":"ITEM-1","issue":"3","issued":{"date-parts":[["2014","6"]]},"page":"703-712","title":"Cohort Profile: The Berlin Aging Study II (BASE-II)†","type":"article-journal","volume":"43"},"uris":["http://www.mendeley.com/documents/?uuid=2574cbba-d98b-443f-8e82-3d87670947a8"]}],"mendeley":{"formattedCitation":"&lt;span style=\"baseline\"&gt;(3)&lt;/span&gt;","plainTextFormattedCitation":"(3)","previouslyFormattedCitation":"&lt;span style=\"baseline\"&gt;(3)&lt;/span&gt;"},"properties":{"noteIndex":0},"schema":"https://github.com/citation-style-language/schema/raw/master/csl-citation.json"}</w:instrText>
      </w:r>
      <w:r w:rsidR="00511A98">
        <w:fldChar w:fldCharType="separate"/>
      </w:r>
      <w:r w:rsidR="00511A98" w:rsidRPr="00511A98">
        <w:rPr>
          <w:noProof/>
        </w:rPr>
        <w:t>(3)</w:t>
      </w:r>
      <w:r w:rsidR="00511A98">
        <w:fldChar w:fldCharType="end"/>
      </w:r>
      <w:r>
        <w:t xml:space="preserve">. All subjects are recruited from the Berlin metropolitan area and underwent an extensive phenotypic assessment, including a 2-day internal medicine examination (follow-up will be completed in 2020). The BASE-II research project (Co-PIs are Lars Bertram, </w:t>
      </w:r>
      <w:proofErr w:type="spellStart"/>
      <w:r>
        <w:t>Ilja</w:t>
      </w:r>
      <w:proofErr w:type="spellEnd"/>
      <w:r>
        <w:t xml:space="preserve"> Demuth, Denis </w:t>
      </w:r>
      <w:proofErr w:type="spellStart"/>
      <w:r>
        <w:t>Gerstorf</w:t>
      </w:r>
      <w:proofErr w:type="spellEnd"/>
      <w:r>
        <w:t xml:space="preserve">, </w:t>
      </w:r>
      <w:proofErr w:type="spellStart"/>
      <w:r>
        <w:t>Ulman</w:t>
      </w:r>
      <w:proofErr w:type="spellEnd"/>
      <w:r>
        <w:t xml:space="preserve"> </w:t>
      </w:r>
      <w:proofErr w:type="spellStart"/>
      <w:r>
        <w:t>Lindenberger</w:t>
      </w:r>
      <w:proofErr w:type="spellEnd"/>
      <w:r>
        <w:t xml:space="preserve">, Graham </w:t>
      </w:r>
      <w:proofErr w:type="spellStart"/>
      <w:r>
        <w:t>Pawelec</w:t>
      </w:r>
      <w:proofErr w:type="spellEnd"/>
      <w:r>
        <w:t xml:space="preserve">, Elisabeth </w:t>
      </w:r>
      <w:proofErr w:type="spellStart"/>
      <w:r>
        <w:t>Steinhagen</w:t>
      </w:r>
      <w:proofErr w:type="spellEnd"/>
      <w:r>
        <w:t xml:space="preserve">-Thiessen, and </w:t>
      </w:r>
      <w:proofErr w:type="spellStart"/>
      <w:r>
        <w:t>Gert</w:t>
      </w:r>
      <w:proofErr w:type="spellEnd"/>
      <w:r>
        <w:t xml:space="preserve"> G. Wagner) is supported by the German Federal Ministry of Education and Research (</w:t>
      </w:r>
      <w:proofErr w:type="spellStart"/>
      <w:r>
        <w:t>Bundesministerium</w:t>
      </w:r>
      <w:proofErr w:type="spellEnd"/>
      <w:r>
        <w:t xml:space="preserve"> </w:t>
      </w:r>
      <w:proofErr w:type="spellStart"/>
      <w:r>
        <w:t>für</w:t>
      </w:r>
      <w:proofErr w:type="spellEnd"/>
      <w:r>
        <w:t xml:space="preserve"> </w:t>
      </w:r>
      <w:proofErr w:type="spellStart"/>
      <w:r>
        <w:t>Bildung</w:t>
      </w:r>
      <w:proofErr w:type="spellEnd"/>
      <w:r>
        <w:t xml:space="preserve"> und </w:t>
      </w:r>
      <w:proofErr w:type="spellStart"/>
      <w:r>
        <w:t>Forschung</w:t>
      </w:r>
      <w:proofErr w:type="spellEnd"/>
      <w:r>
        <w:t xml:space="preserve">, BMBF) under grant numbers #16SV5536K, #16SV5537, #16SV5538, #16SV5837, #01UW0808, 01GL1716A and 01GL1716B. Another source of funding is the Max Planck Institute for Human Development, Berlin, Germany. Additional contributions (e.g., equipment, logistics, </w:t>
      </w:r>
      <w:proofErr w:type="gramStart"/>
      <w:r>
        <w:t>personnel</w:t>
      </w:r>
      <w:proofErr w:type="gramEnd"/>
      <w:r>
        <w:t>) are made from each of the other participating sites.</w:t>
      </w:r>
    </w:p>
    <w:p w14:paraId="48B1F54B" w14:textId="156C64C5" w:rsidR="007A77BB" w:rsidRDefault="00681D0F" w:rsidP="00681D0F">
      <w:pPr>
        <w:spacing w:line="276" w:lineRule="auto"/>
      </w:pPr>
      <w:r>
        <w:t>Genome-wide SNP genotyping was performed using the "Genome-Wide Human SNP Array 6.0" [</w:t>
      </w:r>
      <w:proofErr w:type="spellStart"/>
      <w:r>
        <w:t>Affymetrix</w:t>
      </w:r>
      <w:proofErr w:type="spellEnd"/>
      <w:r>
        <w:t xml:space="preserve">, </w:t>
      </w:r>
      <w:proofErr w:type="spellStart"/>
      <w:r>
        <w:t>Inc</w:t>
      </w:r>
      <w:proofErr w:type="spellEnd"/>
      <w:r>
        <w:t>]) on the full BASE-II dataset</w:t>
      </w:r>
      <w:r w:rsidR="00511A98">
        <w:t xml:space="preserve"> </w:t>
      </w:r>
      <w:r w:rsidR="00511A98">
        <w:fldChar w:fldCharType="begin" w:fldLock="1"/>
      </w:r>
      <w:r w:rsidR="00511A98">
        <w:instrText>ADDIN CSL_CITATION {"citationItems":[{"id":"ITEM-1","itemData":{"DOI":"10.1093/ije/dyt018","ISSN":"1464-3685","PMID":"23505255","abstract":"Similar to other industrialized countries, Germany's population is ageing. Whereas some people enjoy good physical and cognitive health into old age, others suffer from a multitude of age-related disorders and impairments which reduce life expectancy and affect quality of life. To identify and characterize the factors associated with 'healthy' vs. 'unhealthy' ageing, we have launched the Berlin Aging Study II (BASE-II), a multidisciplinary and multi-institutional project that ascertains a large number of ageing-related variables from a wide range of different functional domains. Phenotypic assessments include factors related to geriatrics and internal medicine, immunology, genetics, psychology, sociology and economics. Baseline recruitment of the BASE-II cohort was recently completed and has led to the sampling of 1600 older adults (age range 60-80 years), as well as 600 younger adults (20-35 years) serving as the basic population for in-depth analyses. BASE-II data are linked to the German Socio-Economic Panel Study (SOEP), a long-running panel survey representative of the German population, to estimate sample selectivity. A major goal of BASE-II is to facilitate collaboration with other research groups by freely sharing relevant phenotypic and genotypic data with qualified outside investigators.","author":[{"dropping-particle":"","family":"Bertram","given":"Lars","non-dropping-particle":"","parse-names":false,"suffix":""},{"dropping-particle":"","family":"Böckenhoff","given":"Anke","non-dropping-particle":"","parse-names":false,"suffix":""},{"dropping-particle":"","family":"Demuth","given":"Ilja","non-dropping-particle":"","parse-names":false,"suffix":""},{"dropping-particle":"","family":"Düzel","given":"Sandra","non-dropping-particle":"","parse-names":false,"suffix":""},{"dropping-particle":"","family":"Eckardt","given":"Rahel","non-dropping-particle":"","parse-names":false,"suffix":""},{"dropping-particle":"","family":"Li","given":"Shu-Chen","non-dropping-particle":"","parse-names":false,"suffix":""},{"dropping-particle":"","family":"Lindenberger","given":"Ulman","non-dropping-particle":"","parse-names":false,"suffix":""},{"dropping-particle":"","family":"Pawelec","given":"Graham","non-dropping-particle":"","parse-names":false,"suffix":""},{"dropping-particle":"","family":"Siedler","given":"Thomas","non-dropping-particle":"","parse-names":false,"suffix":""},{"dropping-particle":"","family":"Wagner","given":"Gert G","non-dropping-particle":"","parse-names":false,"suffix":""},{"dropping-particle":"","family":"Steinhagen-Thiessen","given":"Elisabeth","non-dropping-particle":"","parse-names":false,"suffix":""}],"container-title":"International Journal of Epidemiology","id":"ITEM-1","issue":"3","issued":{"date-parts":[["2014","6"]]},"page":"703-712","title":"Cohort Profile: The Berlin Aging Study II (BASE-II)†","type":"article-journal","volume":"43"},"uris":["http://www.mendeley.com/documents/?uuid=2574cbba-d98b-443f-8e82-3d87670947a8"]}],"mendeley":{"formattedCitation":"&lt;span style=\"baseline\"&gt;(3)&lt;/span&gt;","plainTextFormattedCitation":"(3)","previouslyFormattedCitation":"&lt;span style=\"baseline\"&gt;(3)&lt;/span&gt;"},"properties":{"noteIndex":0},"schema":"https://github.com/citation-style-language/schema/raw/master/csl-citation.json"}</w:instrText>
      </w:r>
      <w:r w:rsidR="00511A98">
        <w:fldChar w:fldCharType="separate"/>
      </w:r>
      <w:r w:rsidR="00511A98" w:rsidRPr="00511A98">
        <w:rPr>
          <w:noProof/>
        </w:rPr>
        <w:t>(3)</w:t>
      </w:r>
      <w:r w:rsidR="00511A98">
        <w:fldChar w:fldCharType="end"/>
      </w:r>
      <w:r>
        <w:t xml:space="preserve">. For full QC and imputation procedures see (REF: PMID 26821332). Briefly, genome-wide imputation of unobserved genotypes was carried out on the </w:t>
      </w:r>
      <w:proofErr w:type="spellStart"/>
      <w:r>
        <w:t>QC’ed</w:t>
      </w:r>
      <w:proofErr w:type="spellEnd"/>
      <w:r>
        <w:t xml:space="preserve"> data using IMPUTE2 v2.2.2 (https://mathgen.stats.ox.ac.uk/impute/impute_v2.html) based on precompiled ‘ALL 1000G Phase1 integrated haplotypes' reference panels (December 2013 release) [14]. A total of 27,213,648 SNPs were imputed, but only autosomal SNPs with an IMPUTE info value ≥0.35 and minor allele frequencies ≥1% were retained for subsequent analyses. Overall, genotype and hand grip strength data were available in 1,531 unrelated (i.e. IBD/IBS sharing &gt;12.5% using –genome in PLINK1.9) BASE-II participants aged 60+. To calculate PCs to be used as co-variates in the genome-wide analyses, LD pruning was applied to pre-imputation genotype data using PLINK (--</w:t>
      </w:r>
      <w:proofErr w:type="spellStart"/>
      <w:r>
        <w:t>indep</w:t>
      </w:r>
      <w:proofErr w:type="spellEnd"/>
      <w:r>
        <w:t>-pairwise 1500 150 0.2) resulting in 117835 SNPs. Eigenvalues and eigenvectors were then calculated using PLINK (–</w:t>
      </w:r>
      <w:proofErr w:type="spellStart"/>
      <w:r>
        <w:t>pca</w:t>
      </w:r>
      <w:proofErr w:type="spellEnd"/>
      <w:r>
        <w:t xml:space="preserve">). Based on the resulting scree plot, we selected the first 10 PCs as covariates. For the actual GWAS we used SNPTEST (https://mathgen.stats.ox.ac.uk/genetics_software/snptest/snptest.html) v2.5.4-beta3 </w:t>
      </w:r>
      <w:proofErr w:type="gramStart"/>
      <w:r>
        <w:t>( -</w:t>
      </w:r>
      <w:proofErr w:type="gramEnd"/>
      <w:r>
        <w:t>frequentist 1 -method score -</w:t>
      </w:r>
      <w:proofErr w:type="spellStart"/>
      <w:r>
        <w:t>cov_names</w:t>
      </w:r>
      <w:proofErr w:type="spellEnd"/>
      <w:r>
        <w:t xml:space="preserve"> PC1 PC2 PC3 PC4 PC5 PC6 PC7 PC8 PC9 PC10 age -</w:t>
      </w:r>
      <w:proofErr w:type="spellStart"/>
      <w:r>
        <w:t>cov_names</w:t>
      </w:r>
      <w:proofErr w:type="spellEnd"/>
      <w:r>
        <w:t xml:space="preserve"> sex (for combined phenotypes only)).</w:t>
      </w:r>
    </w:p>
    <w:p w14:paraId="74287F98" w14:textId="77777777" w:rsidR="00DA1549" w:rsidRDefault="00DA1549" w:rsidP="00916D56">
      <w:pPr>
        <w:spacing w:line="276" w:lineRule="auto"/>
      </w:pPr>
    </w:p>
    <w:p w14:paraId="50B3E46D" w14:textId="658FA7BA" w:rsidR="00DA1549" w:rsidRDefault="00D30B61" w:rsidP="00DA1549">
      <w:pPr>
        <w:pStyle w:val="Heading3"/>
      </w:pPr>
      <w:bookmarkStart w:id="4" w:name="_Toc38549317"/>
      <w:r w:rsidRPr="00D30B61">
        <w:t xml:space="preserve">B-Vitamins for the </w:t>
      </w:r>
      <w:proofErr w:type="spellStart"/>
      <w:r w:rsidRPr="00D30B61">
        <w:t>PRevention</w:t>
      </w:r>
      <w:proofErr w:type="spellEnd"/>
      <w:r w:rsidRPr="00D30B61">
        <w:t xml:space="preserve"> </w:t>
      </w:r>
      <w:proofErr w:type="gramStart"/>
      <w:r w:rsidRPr="00D30B61">
        <w:t>Of</w:t>
      </w:r>
      <w:proofErr w:type="gramEnd"/>
      <w:r w:rsidRPr="00D30B61">
        <w:t xml:space="preserve"> Osteoporotic Fractures</w:t>
      </w:r>
      <w:r>
        <w:t xml:space="preserve"> (</w:t>
      </w:r>
      <w:r w:rsidR="00DA1549">
        <w:t>BPROOF</w:t>
      </w:r>
      <w:r>
        <w:t>) study</w:t>
      </w:r>
      <w:bookmarkEnd w:id="4"/>
    </w:p>
    <w:p w14:paraId="239D9C29" w14:textId="22F07CAA" w:rsidR="00DA1549" w:rsidRDefault="004304A3" w:rsidP="00916D56">
      <w:pPr>
        <w:spacing w:line="276" w:lineRule="auto"/>
      </w:pPr>
      <w:r w:rsidRPr="004304A3">
        <w:t>The B-PROOF study is a randomized, placebo-controlled, double-blind trial that studied the effect of vitamin B12 and folic acid supplementation on osteoporotic fractures in 2,919 people of 65 years or over, and having homocysteine levels of 12-50 µ</w:t>
      </w:r>
      <w:proofErr w:type="spellStart"/>
      <w:r w:rsidRPr="004304A3">
        <w:t>mol</w:t>
      </w:r>
      <w:proofErr w:type="spellEnd"/>
      <w:r w:rsidRPr="004304A3">
        <w:t>/L. Participants were recruited between 2008 and 2011 and followed during a 2-3 year period</w:t>
      </w:r>
      <w:r>
        <w:t xml:space="preserve"> </w:t>
      </w:r>
      <w:r>
        <w:fldChar w:fldCharType="begin" w:fldLock="1"/>
      </w:r>
      <w:r w:rsidR="008D5EE7">
        <w:instrText>ADDIN CSL_CITATION {"citationItems":[{"id":"ITEM-1","itemData":{"abstract":"Osteoporosis is a major health problem, and the economic burden is expected to rise due to an increase in life expectancy throughout the world. Current observational evidence suggests that an elevated homocysteine concentration and poor vitamin B12 and folate status are associated with an increased fracture risk. As vitamin B12 and folate intake and status play a large role in homocysteine metabolism, it is hypothesized that supplementation with these B-vitamins will reduce fracture incidence in elderly people with an elevated homocysteine concentration. The B-PROOF (B-Vitamins for the PRevention Of Osteoporotic Fractures) study is a randomized double-blind placebo-controlled trial. The intervention comprises a period of two years, and includes 2919 subjects, aged 65 years and older, independently living or institutionalized, with an elevated homocysteine concentration (&gt; 12 mumol/L). One group receives daily a tablet with 500 mug vitamin B12 and 400 mug folic acid and the other group receives a placebo tablet. In both tablets 15 mug (600 IU) vitamin D is included. The primary outcome of the study is osteoporotic fractures. Measurements are performed at baseline and after two years and cover bone health i.e. bone mineral density and bone turnover markers, physical performance and physical activity including falls, nutritional intake and status, cognitive function, depression, genetics and quality of life. This large multi-center project is carried out by a consortium from the Erasmus MC (Rotterdam, the Netherlands), VUmc (Amsterdam, the Netherlands) and Wageningen University, (Wageningen, the Netherlands), the latter acting as coordinator. To our best knowledge, the B-PROOF study is the first intervention study in which the effect of vitamin B12 and folic acid supplementation on osteoporotic fractures is studied in a general elderly population. We expect the first longitudinal results of the B-PROOF intervention in the second semester of 2013. The results of this intervention will provide evidence on the efficacy of vitamin B12 and folate supplementation in the prevention of osteoporotic fractures. The B-PROOF study is registered with the Netherlands Trial (NTR NTR1333) and with ClinicalTrials.gov (NCT00696514).","author":[{"dropping-particle":"","family":"J.P.","given":"van Wijngaarden","non-dropping-particle":"","parse-names":false,"suffix":""},{"dropping-particle":"","family":"R.A.","given":"Dhonukshe-Rutten","non-dropping-particle":"","parse-names":false,"suffix":""},{"dropping-particle":"","family":"N.M.","given":"van Schoor","non-dropping-particle":"","parse-names":false,"suffix":""},{"dropping-particle":"","family":"N.","given":"van der Velde","non-dropping-particle":"","parse-names":false,"suffix":""},{"dropping-particle":"","family":"K.M.","given":"Swart","non-dropping-particle":"","parse-names":false,"suffix":""},{"dropping-particle":"","family":"A.W.","given":"Enneman","non-dropping-particle":"","parse-names":false,"suffix":""},{"dropping-particle":"","family":"S.C.","given":"van Dijk","non-dropping-particle":"","parse-names":false,"suffix":""},{"dropping-particle":"","family":"E.M.","given":"Brouwer-Brolsma","non-dropping-particle":"","parse-names":false,"suffix":""},{"dropping-particle":"","family":"M.C.","given":"Zillikens","non-dropping-particle":"","parse-names":false,"suffix":""},{"dropping-particle":"","family":"J.B.","given":"van Meurs","non-dropping-particle":"","parse-names":false,"suffix":""},{"dropping-particle":"","family":"J.","given":"Brug","non-dropping-particle":"","parse-names":false,"suffix":""},{"dropping-particle":"","family":"A.G.","given":"Uitterlinden","non-dropping-particle":"","parse-names":false,"suffix":""},{"dropping-particle":"","family":"P.","given":"Lips","non-dropping-particle":"","parse-names":false,"suffix":""},{"dropping-particle":"","family":"L.C.","given":"de Groot","non-dropping-particle":"","parse-names":false,"suffix":""}],"container-title":"BMC geriatrics","id":"ITEM-1","issued":{"date-parts":[["2011"]]},"page":"80","title":"Rationale and design of the B-PROOF study, a randomized controlled trial on the effect of supplemental intake of vitamin B12 and folic acid on fracture incidence","type":"article-journal","volume":"11"},"uris":["http://www.mendeley.com/documents/?uuid=3ac510e7-acc4-4b99-bfcb-d18581872c39"]}],"mendeley":{"formattedCitation":"&lt;span style=\"baseline\"&gt;(4)&lt;/span&gt;","plainTextFormattedCitation":"(4)","previouslyFormattedCitation":"&lt;span style=\"baseline\"&gt;(4)&lt;/span&gt;"},"properties":{"noteIndex":0},"schema":"https://github.com/citation-style-language/schema/raw/master/csl-citation.json"}</w:instrText>
      </w:r>
      <w:r>
        <w:fldChar w:fldCharType="separate"/>
      </w:r>
      <w:r w:rsidRPr="004304A3">
        <w:rPr>
          <w:noProof/>
        </w:rPr>
        <w:t>(4)</w:t>
      </w:r>
      <w:r>
        <w:fldChar w:fldCharType="end"/>
      </w:r>
      <w:r w:rsidR="008D5EE7">
        <w:t xml:space="preserve">. Genotyping </w:t>
      </w:r>
      <w:r w:rsidRPr="004304A3">
        <w:t xml:space="preserve">was done by using the Illumina Omni-express array. Imputations to HRC1.1 were performed using the Michigan Imputation Server with standard settings. The GWAS analyses were performed using </w:t>
      </w:r>
      <w:proofErr w:type="spellStart"/>
      <w:r w:rsidRPr="004304A3">
        <w:t>rvtest</w:t>
      </w:r>
      <w:proofErr w:type="spellEnd"/>
      <w:r w:rsidRPr="004304A3">
        <w:t>.</w:t>
      </w:r>
    </w:p>
    <w:p w14:paraId="284D9A45" w14:textId="77777777" w:rsidR="00A04434" w:rsidRPr="00B66370" w:rsidRDefault="00A04434" w:rsidP="00916D56">
      <w:pPr>
        <w:spacing w:line="276" w:lineRule="auto"/>
      </w:pPr>
    </w:p>
    <w:p w14:paraId="6C24B210" w14:textId="77777777" w:rsidR="00192030" w:rsidRPr="00361D07" w:rsidRDefault="00B66370" w:rsidP="00916D56">
      <w:pPr>
        <w:pStyle w:val="Heading3"/>
        <w:spacing w:line="276" w:lineRule="auto"/>
        <w:rPr>
          <w:rStyle w:val="Heading3Char"/>
          <w:b/>
          <w:i/>
        </w:rPr>
      </w:pPr>
      <w:bookmarkStart w:id="5" w:name="_Toc38549318"/>
      <w:r w:rsidRPr="00361D07">
        <w:rPr>
          <w:rStyle w:val="Heading3Char"/>
          <w:b/>
          <w:i/>
        </w:rPr>
        <w:t>Ca</w:t>
      </w:r>
      <w:r w:rsidR="000217DD" w:rsidRPr="00361D07">
        <w:rPr>
          <w:rStyle w:val="Heading3Char"/>
          <w:b/>
          <w:i/>
        </w:rPr>
        <w:t>rdiovascular Health Study (CHS</w:t>
      </w:r>
      <w:r w:rsidR="00192030" w:rsidRPr="00361D07">
        <w:rPr>
          <w:rStyle w:val="Heading3Char"/>
          <w:b/>
          <w:i/>
        </w:rPr>
        <w:t>)</w:t>
      </w:r>
      <w:bookmarkEnd w:id="5"/>
    </w:p>
    <w:p w14:paraId="4E29EB1D" w14:textId="022DB98E" w:rsidR="00511A98" w:rsidRDefault="00511A98" w:rsidP="00511A98">
      <w:pPr>
        <w:spacing w:line="276" w:lineRule="auto"/>
      </w:pPr>
      <w:r w:rsidRPr="007C014C">
        <w:t xml:space="preserve">The Cardiovascular Health Study is a population-based, prospective cohort study of </w:t>
      </w:r>
      <w:r>
        <w:t>risk factors for development and progression of CHD and stroke in</w:t>
      </w:r>
      <w:r w:rsidRPr="007C014C">
        <w:t xml:space="preserve"> older adults ages 65 years or older </w:t>
      </w:r>
      <w:r w:rsidRPr="007C014C">
        <w:fldChar w:fldCharType="begin" w:fldLock="1"/>
      </w:r>
      <w:r w:rsidR="008D5EE7">
        <w:instrText>ADDIN CSL_CITATION {"citationItems":[{"id":"ITEM-1","itemData":{"DOI":"10.1016/1047-2797(91)90005-W","ISSN":"1047-2797","abstract":"The Cardiovascular Health Study (CHS) is a population-based, longitudinal study of coronary heart disease and stroke in adults aged 65 years and older. The main objective of the study is to identify factors related to the onset and course of coronary heart disease and stroke. CHS is designed to determine the importance of conventional cardiovascular disease (CVD) risk factors in older adults, and to identify new risk factors in this age group, especially those that may be protective and modifiable. The study design called for enrollment of 1250 men and women in each of four communities: Forsyth County, North Carolina; Sacramento County, California; Washington County, Maryland; and Pittsburgh, Pennsylvania. Eligible participants were sampled from Medicare eligibility lists in each area. Extensive physical and laboratory evaluations were performed at baseline to identify the presence and severity of CVD risk factors such as hypertension, hypercholesterolemia and glucose intolerance; subclinical disease such as carotid artery atherosclerosis, left ventricular enlargement, and transient ischemia; and clinically overt CVD. These examinations in CHS permit evaluation of CVD risk factors in older adults, particularly in groups previously under-represented in epidemiologic studies, such as women and the very old. The first of two examination cycles began in June 1989. A second comprehensive examination will be repeated three years later. Periodic interim contacts are scheduled to ascertain and verify the incidence of CVD events, the frequency of recurrent events, and the sequellae of CVD.","author":[{"dropping-particle":"","family":"Fried","given":"Linda P.","non-dropping-particle":"","parse-names":false,"suffix":""},{"dropping-particle":"","family":"Borhani","given":"Nemat O.","non-dropping-particle":"","parse-names":false,"suffix":""},{"dropping-particle":"","family":"Enright","given":"Paul","non-dropping-particle":"","parse-names":false,"suffix":""},{"dropping-particle":"","family":"Furberg","given":"Curt D.","non-dropping-particle":"","parse-names":false,"suffix":""},{"dropping-particle":"","family":"Gardin","given":"Julius M.","non-dropping-particle":"","parse-names":false,"suffix":""},{"dropping-particle":"","family":"Kronmal","given":"Richard A.","non-dropping-particle":"","parse-names":false,"suffix":""},{"dropping-particle":"","family":"Kuller","given":"Lewis H.","non-dropping-particle":"","parse-names":false,"suffix":""},{"dropping-particle":"","family":"Manolio","given":"Teri A.","non-dropping-particle":"","parse-names":false,"suffix":""},{"dropping-particle":"","family":"Mittelmark","given":"Maurice B.","non-dropping-particle":"","parse-names":false,"suffix":""},{"dropping-particle":"","family":"Newman","given":"Anne","non-dropping-particle":"","parse-names":false,"suffix":""},{"dropping-particle":"","family":"O'Leary","given":"Daniel H.","non-dropping-particle":"","parse-names":false,"suffix":""},{"dropping-particle":"","family":"Psaty","given":"Bruce","non-dropping-particle":"","parse-names":false,"suffix":""},{"dropping-particle":"","family":"Rautaharju","given":"Pentti","non-dropping-particle":"","parse-names":false,"suffix":""},{"dropping-particle":"","family":"Tracy","given":"Russell P.","non-dropping-particle":"","parse-names":false,"suffix":""},{"dropping-particle":"","family":"Weiler","given":"Philip G.","non-dropping-particle":"","parse-names":false,"suffix":""}],"container-title":"Annals of Epidemiology","id":"ITEM-1","issue":"3","issued":{"date-parts":[["1991","2"]]},"page":"263-276","publisher":"Elsevier","title":"The cardiovascular health study: Design and rationale","type":"article-journal","volume":"1"},"uris":["http://www.mendeley.com/documents/?uuid=b267c98d-8308-3d10-a53d-fa122e53f8d5","http://www.mendeley.com/documents/?uuid=7d1b3902-a313-4be2-9bc2-0d32f1354665"]}],"mendeley":{"formattedCitation":"&lt;span style=\"baseline\"&gt;(5)&lt;/span&gt;","plainTextFormattedCitation":"(5)","previouslyFormattedCitation":"&lt;span style=\"baseline\"&gt;(5)&lt;/span&gt;"},"properties":{"noteIndex":0},"schema":"https://github.com/citation-style-language/schema/raw/master/csl-citation.json"}</w:instrText>
      </w:r>
      <w:r w:rsidRPr="007C014C">
        <w:fldChar w:fldCharType="separate"/>
      </w:r>
      <w:r w:rsidR="004304A3" w:rsidRPr="004304A3">
        <w:rPr>
          <w:noProof/>
        </w:rPr>
        <w:t>(5)</w:t>
      </w:r>
      <w:r w:rsidRPr="007C014C">
        <w:fldChar w:fldCharType="end"/>
      </w:r>
      <w:r w:rsidRPr="007C014C">
        <w:t xml:space="preserve">. A cohort </w:t>
      </w:r>
      <w:r w:rsidRPr="007C014C">
        <w:lastRenderedPageBreak/>
        <w:t xml:space="preserve">of 5,201 non-institutionalized men and women were selected and enrolled from randomly </w:t>
      </w:r>
      <w:r>
        <w:t xml:space="preserve">generated </w:t>
      </w:r>
      <w:r w:rsidRPr="007C014C">
        <w:t xml:space="preserve">Medicare eligibility lists in 4 U.S. communities in 1989-90; an additional 687 </w:t>
      </w:r>
      <w:r>
        <w:t xml:space="preserve">predominantly </w:t>
      </w:r>
      <w:r w:rsidRPr="007C014C">
        <w:t xml:space="preserve">African American participants were recruited and enrolled in 1992-93. </w:t>
      </w:r>
      <w:r>
        <w:t xml:space="preserve">Clinic examinations were performed at study baseline, at annual visits through 1999, and again in 2005-2006. Participants were contact by telephone annually between exams, and every </w:t>
      </w:r>
      <w:r w:rsidR="00E65C53">
        <w:t>6 months after the exams ended</w:t>
      </w:r>
      <w:r w:rsidRPr="007C014C">
        <w:t xml:space="preserve">. Multiple physical and biological tests have been </w:t>
      </w:r>
      <w:r>
        <w:t>performed, including assessment of physical function</w:t>
      </w:r>
      <w:r w:rsidRPr="007C014C">
        <w:t xml:space="preserve">. </w:t>
      </w:r>
      <w:r>
        <w:t>The current analysis included</w:t>
      </w:r>
      <w:r w:rsidRPr="007C014C">
        <w:t xml:space="preserve"> 3,061 </w:t>
      </w:r>
      <w:r>
        <w:t xml:space="preserve">CHS </w:t>
      </w:r>
      <w:r w:rsidRPr="007C014C">
        <w:t>participants</w:t>
      </w:r>
      <w:r>
        <w:t xml:space="preserve"> of European ancestry for whom genotype and grip strength data were available</w:t>
      </w:r>
      <w:r w:rsidRPr="007C014C">
        <w:t>.</w:t>
      </w:r>
    </w:p>
    <w:p w14:paraId="392D877C" w14:textId="77777777" w:rsidR="00511A98" w:rsidRDefault="00511A98" w:rsidP="00511A98">
      <w:pPr>
        <w:spacing w:line="276" w:lineRule="auto"/>
      </w:pPr>
      <w:r w:rsidRPr="00833996">
        <w:t xml:space="preserve">Blood samples were drawn from all participants at their baseline examination and DNA was subsequently extracted from available samples. Genotyping was performed at the General Clinical Research </w:t>
      </w:r>
      <w:proofErr w:type="spellStart"/>
      <w:r w:rsidRPr="00833996">
        <w:t>Center’s</w:t>
      </w:r>
      <w:proofErr w:type="spellEnd"/>
      <w:r w:rsidRPr="00833996">
        <w:t xml:space="preserve"> Phenotyping/Genotyping Laboratory at Cedars-Sinai among CHS participants who consented to genetic testing and had DNA available using the Illumina 370CNV </w:t>
      </w:r>
      <w:proofErr w:type="spellStart"/>
      <w:r w:rsidRPr="00833996">
        <w:t>BeadChip</w:t>
      </w:r>
      <w:proofErr w:type="spellEnd"/>
      <w:r w:rsidRPr="00833996">
        <w:t xml:space="preserve"> system</w:t>
      </w:r>
      <w:r>
        <w:t xml:space="preserve">. </w:t>
      </w:r>
      <w:r w:rsidRPr="00833996">
        <w:t xml:space="preserve">CHS was approved by institutional review committees at each field </w:t>
      </w:r>
      <w:proofErr w:type="spellStart"/>
      <w:r w:rsidRPr="00833996">
        <w:t>center</w:t>
      </w:r>
      <w:proofErr w:type="spellEnd"/>
      <w:r w:rsidRPr="00833996">
        <w:t xml:space="preserve"> and individuals in the present analysis had available DNA and gave informed consent including consent to use of genetic information</w:t>
      </w:r>
      <w:r>
        <w:t>.</w:t>
      </w:r>
    </w:p>
    <w:p w14:paraId="04B0D113" w14:textId="22B3729F" w:rsidR="009C3DAB" w:rsidRDefault="00511A98" w:rsidP="00511A98">
      <w:pPr>
        <w:spacing w:line="276" w:lineRule="auto"/>
      </w:pPr>
      <w:r w:rsidRPr="00833996">
        <w:t>Imputation to the HRC r1.1 2016 panel was performed on the Michigan imputation server.</w:t>
      </w:r>
      <w:r>
        <w:t xml:space="preserve"> </w:t>
      </w:r>
      <w:r w:rsidRPr="00833996">
        <w:t>SNPs were excluded for variance on the allele dosage ≤0.01.</w:t>
      </w:r>
      <w:r>
        <w:t xml:space="preserve"> The GWAS was conducted using a custom program written in R. Logistic regression models adjusted for age, sex (for the combined analyses), field </w:t>
      </w:r>
      <w:proofErr w:type="spellStart"/>
      <w:r>
        <w:t>center</w:t>
      </w:r>
      <w:proofErr w:type="spellEnd"/>
      <w:r>
        <w:t>, and principal components were fit.</w:t>
      </w:r>
    </w:p>
    <w:p w14:paraId="18A354D0" w14:textId="77777777" w:rsidR="008E0A84" w:rsidRDefault="008E0A84" w:rsidP="00916D56">
      <w:pPr>
        <w:spacing w:line="276" w:lineRule="auto"/>
      </w:pPr>
    </w:p>
    <w:p w14:paraId="2B184410" w14:textId="3770044F" w:rsidR="007A77BB" w:rsidRDefault="009C3DAB" w:rsidP="007A77BB">
      <w:pPr>
        <w:pStyle w:val="Heading3"/>
        <w:spacing w:line="276" w:lineRule="auto"/>
        <w:rPr>
          <w:rStyle w:val="Heading3Char"/>
          <w:b/>
          <w:i/>
        </w:rPr>
      </w:pPr>
      <w:bookmarkStart w:id="6" w:name="_Toc38549319"/>
      <w:bookmarkStart w:id="7" w:name="_Hlk21959924"/>
      <w:r w:rsidRPr="00192030">
        <w:rPr>
          <w:rStyle w:val="Heading3Char"/>
          <w:b/>
          <w:i/>
        </w:rPr>
        <w:t xml:space="preserve">European Prospective Investigation of Cancer </w:t>
      </w:r>
      <w:r w:rsidR="00D30B61">
        <w:rPr>
          <w:rStyle w:val="Heading3Char"/>
          <w:b/>
          <w:i/>
        </w:rPr>
        <w:t>(EPIC)</w:t>
      </w:r>
      <w:r w:rsidRPr="00192030">
        <w:rPr>
          <w:rStyle w:val="Heading3Char"/>
          <w:b/>
          <w:i/>
        </w:rPr>
        <w:t xml:space="preserve"> Norfolk</w:t>
      </w:r>
      <w:bookmarkEnd w:id="6"/>
      <w:r w:rsidRPr="00192030">
        <w:rPr>
          <w:rStyle w:val="Heading3Char"/>
          <w:b/>
          <w:i/>
        </w:rPr>
        <w:t xml:space="preserve"> </w:t>
      </w:r>
    </w:p>
    <w:bookmarkEnd w:id="7"/>
    <w:p w14:paraId="01CC1AE8" w14:textId="5D3BC3DC" w:rsidR="00447438" w:rsidRDefault="00447438" w:rsidP="00447438">
      <w:pPr>
        <w:spacing w:line="276" w:lineRule="auto"/>
      </w:pPr>
      <w:r>
        <w:t xml:space="preserve">The European Prospective Investigation into Cancer and Nutrition (EPIC)-Norfolk study </w:t>
      </w:r>
      <w:r w:rsidR="00D344F0">
        <w:fldChar w:fldCharType="begin" w:fldLock="1"/>
      </w:r>
      <w:r w:rsidR="008D5EE7">
        <w:instrText>ADDIN CSL_CITATION {"citationItems":[{"id":"ITEM-1","itemData":{"URL":"https://dx.doi.org/10.22025/2019.10.105.00004","id":"ITEM-1","issued":{"date-parts":[["0"]]},"title":"The EPIC (European Prospective Investigation into Cancer) Norfolk Cohort","type":"webpage"},"uris":["http://www.mendeley.com/documents/?uuid=a3554923-a370-4a63-bb46-32e7d5db7fd2"]}],"mendeley":{"formattedCitation":"&lt;span style=\"baseline\"&gt;(6)&lt;/span&gt;","plainTextFormattedCitation":"(6)","previouslyFormattedCitation":"&lt;span style=\"baseline\"&gt;(6)&lt;/span&gt;"},"properties":{"noteIndex":0},"schema":"https://github.com/citation-style-language/schema/raw/master/csl-citation.json"}</w:instrText>
      </w:r>
      <w:r w:rsidR="00D344F0">
        <w:fldChar w:fldCharType="separate"/>
      </w:r>
      <w:r w:rsidR="004304A3" w:rsidRPr="004304A3">
        <w:rPr>
          <w:noProof/>
        </w:rPr>
        <w:t>(6)</w:t>
      </w:r>
      <w:r w:rsidR="00D344F0">
        <w:fldChar w:fldCharType="end"/>
      </w:r>
      <w:r>
        <w:t xml:space="preserve"> is a prospective population-based cohort study which recruited 25,639 men and women aged 40-79 years at baseline between 1993 and 1998 from 35 participating general practices in Norfolk, UK. Individuals attended for a baseline health check including the provision of blood samples for concurrent and future analysis. Further health check visits have been conducted since the baseline visit.  Participants have contributed information about their diet, lifestyle and health through questionnaires and health checks over two decades. The Norwich Local Research Ethics Committee granted ethical approval for the study. All participants gave written informed consent.  Grip strength measurement was taken at the third (2004-2006), the fourth (2012-2016) and the fifth (2016-2018) health checks. To maximum the sample size, we take grip and related measures from a late health check visit if it is unavailable at previous visit. Related samples, ethnic outliers and participants whose age was less than 60 years old were </w:t>
      </w:r>
      <w:r w:rsidR="00D344F0">
        <w:t>excluded from further analysis.</w:t>
      </w:r>
    </w:p>
    <w:p w14:paraId="0539CC84" w14:textId="4C305C06" w:rsidR="00447438" w:rsidRDefault="00447438" w:rsidP="00447438">
      <w:pPr>
        <w:spacing w:line="276" w:lineRule="auto"/>
      </w:pPr>
      <w:r>
        <w:t xml:space="preserve">DNA has been extracted from all EPIC participants and stored blood has been analysed for an extensive range of classical and novel biomarkers. Samples were genotyped using </w:t>
      </w:r>
      <w:proofErr w:type="spellStart"/>
      <w:r>
        <w:t>Affymetrix</w:t>
      </w:r>
      <w:proofErr w:type="spellEnd"/>
      <w:r>
        <w:t xml:space="preserve"> Axiom array at Cambridge Genomic Services, Department of Pathology, University of Cambridge, UK, and samples were excluded if lower call rate (&lt;95%), or heterozygosity outliers, or gender mismatch, or failed channel contrast (</w:t>
      </w:r>
      <w:proofErr w:type="spellStart"/>
      <w:r>
        <w:t>DishQC</w:t>
      </w:r>
      <w:proofErr w:type="spellEnd"/>
      <w:r>
        <w:t xml:space="preserve"> &lt;0.82), or unusually high number of singleton genotypes, or impossible IBD values.  SNPs were removed if lower call rate (&lt;95%), or MAF=0, or failed HWE (p&lt;10-6), or clusters failed </w:t>
      </w:r>
      <w:proofErr w:type="spellStart"/>
      <w:r>
        <w:t>Affymetrix</w:t>
      </w:r>
      <w:proofErr w:type="spellEnd"/>
      <w:r>
        <w:t xml:space="preserve"> </w:t>
      </w:r>
      <w:proofErr w:type="spellStart"/>
      <w:r>
        <w:t>SNPolisher</w:t>
      </w:r>
      <w:proofErr w:type="spellEnd"/>
      <w:r>
        <w:t xml:space="preserve"> standard tests and thresholds, or MAF significantly affected by plate, or duplicates or </w:t>
      </w:r>
      <w:proofErr w:type="spellStart"/>
      <w:r>
        <w:t>unflippable</w:t>
      </w:r>
      <w:proofErr w:type="spellEnd"/>
      <w:r>
        <w:t xml:space="preserve">.  A total of 21044 samples were forwarded to </w:t>
      </w:r>
      <w:r>
        <w:lastRenderedPageBreak/>
        <w:t>imputation using HRC r1 reference panel, and using UK10K+1000Gp3 refere</w:t>
      </w:r>
      <w:r w:rsidR="00D344F0">
        <w:t xml:space="preserve">nce panel for additional SNPs. </w:t>
      </w:r>
    </w:p>
    <w:p w14:paraId="5F6212DB" w14:textId="206A6F56" w:rsidR="00D30B61" w:rsidRDefault="00447438" w:rsidP="00916D56">
      <w:pPr>
        <w:spacing w:line="276" w:lineRule="auto"/>
      </w:pPr>
      <w:r>
        <w:t xml:space="preserve">GWAS analysis was performed on 7508 participants using SNPTEST v2.5.4-beta3 (-method </w:t>
      </w:r>
      <w:proofErr w:type="spellStart"/>
      <w:r>
        <w:t>newml</w:t>
      </w:r>
      <w:proofErr w:type="spellEnd"/>
      <w:r>
        <w:t>) under an additive model with covariates age, sex, and the first</w:t>
      </w:r>
      <w:r w:rsidR="00D344F0">
        <w:t xml:space="preserve"> 10 principal components.  </w:t>
      </w:r>
    </w:p>
    <w:p w14:paraId="507A3253" w14:textId="77777777" w:rsidR="00D30B61" w:rsidRDefault="00D30B61" w:rsidP="00916D56">
      <w:pPr>
        <w:spacing w:line="276" w:lineRule="auto"/>
      </w:pPr>
    </w:p>
    <w:p w14:paraId="7AE98107" w14:textId="26211E48" w:rsidR="00D30B61" w:rsidRDefault="00D30B61" w:rsidP="00D30B61">
      <w:pPr>
        <w:pStyle w:val="Heading3"/>
      </w:pPr>
      <w:bookmarkStart w:id="8" w:name="_Toc38549320"/>
      <w:r>
        <w:t>Framingham Heart Study</w:t>
      </w:r>
      <w:bookmarkEnd w:id="8"/>
    </w:p>
    <w:p w14:paraId="3BC5716A" w14:textId="594FF083" w:rsidR="00CD4212" w:rsidRDefault="00CD4212" w:rsidP="00CD4212">
      <w:pPr>
        <w:spacing w:line="276" w:lineRule="auto"/>
      </w:pPr>
      <w:r>
        <w:t>The Framingham Heart Study (FHS) is a single-site, community-based cohort study that was initiated in 1948 to investigate risk factors for cardiovascular disease and other major illnesses. The FHS includes three generations: the original coh</w:t>
      </w:r>
      <w:r w:rsidR="00532D5C">
        <w:t xml:space="preserve">ort followed since 1948 (Gen1) </w:t>
      </w:r>
      <w:r w:rsidR="00532D5C">
        <w:fldChar w:fldCharType="begin" w:fldLock="1"/>
      </w:r>
      <w:r w:rsidR="008D5EE7">
        <w:instrText>ADDIN CSL_CITATION {"citationItems":[{"id":"ITEM-1","itemData":{"DOI":"10.1161/01.CIR.34.4.553","ISSN":"0009-7322","PMID":"5921755","author":[{"dropping-particle":"","family":"DAWBER","given":"THOMAS R.","non-dropping-particle":"","parse-names":false,"suffix":""},{"dropping-particle":"","family":"KANNEL","given":"WILLIAM B.","non-dropping-particle":"","parse-names":false,"suffix":""}],"container-title":"Circulation","id":"ITEM-1","issue":"4","issued":{"date-parts":[["1966","10"]]},"page":"553-555","title":"The Framingham Study An Epidemiological Approach to Coronary Heart Disease","type":"article-journal","volume":"34"},"uris":["http://www.mendeley.com/documents/?uuid=1413ef16-a4c2-4f53-8a49-a0cd5095dbe1"]}],"mendeley":{"formattedCitation":"&lt;span style=\"baseline\"&gt;(7)&lt;/span&gt;","plainTextFormattedCitation":"(7)","previouslyFormattedCitation":"&lt;span style=\"baseline\"&gt;(7)&lt;/span&gt;"},"properties":{"noteIndex":0},"schema":"https://github.com/citation-style-language/schema/raw/master/csl-citation.json"}</w:instrText>
      </w:r>
      <w:r w:rsidR="00532D5C">
        <w:fldChar w:fldCharType="separate"/>
      </w:r>
      <w:r w:rsidR="004304A3" w:rsidRPr="004304A3">
        <w:rPr>
          <w:noProof/>
        </w:rPr>
        <w:t>(7)</w:t>
      </w:r>
      <w:r w:rsidR="00532D5C">
        <w:fldChar w:fldCharType="end"/>
      </w:r>
      <w:r>
        <w:t xml:space="preserve">; their offspring and spouses of the offspring, followed since 1971 (Offspring or Gen2) </w:t>
      </w:r>
      <w:r w:rsidR="0006356C">
        <w:fldChar w:fldCharType="begin" w:fldLock="1"/>
      </w:r>
      <w:r w:rsidR="008D5EE7">
        <w:instrText>ADDIN CSL_CITATION {"citationItems":[{"id":"ITEM-1","itemData":{"DOI":"10.1016/0091-7435(75)90037-7","ISSN":"00917435","author":[{"dropping-particle":"","family":"Feinleib","given":"Manning","non-dropping-particle":"","parse-names":false,"suffix":""},{"dropping-particle":"","family":"Kannel","given":"William B.","non-dropping-particle":"","parse-names":false,"suffix":""},{"dropping-particle":"","family":"Garrison","given":"Robert J.","non-dropping-particle":"","parse-names":false,"suffix":""},{"dropping-particle":"","family":"McNamara","given":"Patricia M.","non-dropping-particle":"","parse-names":false,"suffix":""},{"dropping-particle":"","family":"Castelli","given":"William P.","non-dropping-particle":"","parse-names":false,"suffix":""}],"container-title":"Preventive Medicine","id":"ITEM-1","issue":"4","issued":{"date-parts":[["1975","12"]]},"page":"518-525","title":"The framingham offspring study. Design and preliminary data","type":"article-journal","volume":"4"},"uris":["http://www.mendeley.com/documents/?uuid=8f678b21-667f-414f-9be8-ebdd602473ee"]}],"mendeley":{"formattedCitation":"&lt;span style=\"baseline\"&gt;(8)&lt;/span&gt;","plainTextFormattedCitation":"(8)","previouslyFormattedCitation":"&lt;span style=\"baseline\"&gt;(8)&lt;/span&gt;"},"properties":{"noteIndex":0},"schema":"https://github.com/citation-style-language/schema/raw/master/csl-citation.json"}</w:instrText>
      </w:r>
      <w:r w:rsidR="0006356C">
        <w:fldChar w:fldCharType="separate"/>
      </w:r>
      <w:r w:rsidR="004304A3" w:rsidRPr="004304A3">
        <w:rPr>
          <w:noProof/>
        </w:rPr>
        <w:t>(8)</w:t>
      </w:r>
      <w:r w:rsidR="0006356C">
        <w:fldChar w:fldCharType="end"/>
      </w:r>
      <w:r>
        <w:t>; and children of the offspring  enrolled in 2</w:t>
      </w:r>
      <w:r w:rsidR="00C14EB1">
        <w:t xml:space="preserve">002 (Third Generation or Gen3) </w:t>
      </w:r>
      <w:r w:rsidR="00C14EB1">
        <w:fldChar w:fldCharType="begin" w:fldLock="1"/>
      </w:r>
      <w:r w:rsidR="008D5EE7">
        <w:instrText>ADDIN CSL_CITATION {"citationItems":[{"id":"ITEM-1","itemData":{"DOI":"10.1093/aje/kwm021","ISSN":"0002-9262","author":[{"dropping-particle":"","family":"Splansky","given":"G. L.","non-dropping-particle":"","parse-names":false,"suffix":""},{"dropping-particle":"","family":"Corey","given":"D.","non-dropping-particle":"","parse-names":false,"suffix":""},{"dropping-particle":"","family":"Yang","given":"Q.","non-dropping-particle":"","parse-names":false,"suffix":""},{"dropping-particle":"","family":"Atwood","given":"L. D.","non-dropping-particle":"","parse-names":false,"suffix":""},{"dropping-particle":"","family":"Cupples","given":"L. A.","non-dropping-particle":"","parse-names":false,"suffix":""},{"dropping-particle":"","family":"Benjamin","given":"E. J.","non-dropping-particle":"","parse-names":false,"suffix":""},{"dropping-particle":"","family":"D'Agostino","given":"R. B.","non-dropping-particle":"","parse-names":false,"suffix":""},{"dropping-particle":"","family":"Fox","given":"C. S.","non-dropping-particle":"","parse-names":false,"suffix":""},{"dropping-particle":"","family":"Larson","given":"M. G.","non-dropping-particle":"","parse-names":false,"suffix":""},{"dropping-particle":"","family":"Murabito","given":"J. M.","non-dropping-particle":"","parse-names":false,"suffix":""},{"dropping-particle":"","family":"O'Donnell","given":"C. J.","non-dropping-particle":"","parse-names":false,"suffix":""},{"dropping-particle":"","family":"Vasan","given":"R. S.","non-dropping-particle":"","parse-names":false,"suffix":""},{"dropping-particle":"","family":"Wolf","given":"P. A.","non-dropping-particle":"","parse-names":false,"suffix":""},{"dropping-particle":"","family":"Levy","given":"D.","non-dropping-particle":"","parse-names":false,"suffix":""}],"container-title":"American Journal of Epidemiology","id":"ITEM-1","issue":"11","issued":{"date-parts":[["2007","4","2"]]},"page":"1328-1335","title":"The Third Generation Cohort of the National Heart, Lung, and Blood Institute's Framingham Heart Study: Design, Recruitment, and Initial Examination","type":"article-journal","volume":"165"},"uris":["http://www.mendeley.com/documents/?uuid=3fade7e7-5be9-4a30-a4a6-da26340fa8c1"]}],"mendeley":{"formattedCitation":"&lt;span style=\"baseline\"&gt;(9)&lt;/span&gt;","plainTextFormattedCitation":"(9)","previouslyFormattedCitation":"&lt;span style=\"baseline\"&gt;(9)&lt;/span&gt;"},"properties":{"noteIndex":0},"schema":"https://github.com/citation-style-language/schema/raw/master/csl-citation.json"}</w:instrText>
      </w:r>
      <w:r w:rsidR="00C14EB1">
        <w:fldChar w:fldCharType="separate"/>
      </w:r>
      <w:r w:rsidR="004304A3" w:rsidRPr="004304A3">
        <w:rPr>
          <w:noProof/>
        </w:rPr>
        <w:t>(9)</w:t>
      </w:r>
      <w:r w:rsidR="00C14EB1">
        <w:fldChar w:fldCharType="end"/>
      </w:r>
      <w:r>
        <w:t xml:space="preserve">. The Original cohort enrolled 5,209 men and women who comprised two-thirds of the adult population then residing in Framingham, MA, USA. The Offspring cohort comprises 5,124 persons who have been examined about every 4 to 8 years. Examination 1 of the Gen3 occurred between 2002 and 2005 and involved 4,095 participants. Offspring spouses not previously enrolled who were a biological parent of a Gen 3 participant were enrolled into the New Offspring Spouse cohort to complete family pedigrees. All cohorts continue under active surveillance. The FHS follows two multi-ethnic cohorts, Omni group 1 and Omni group 2 to reflect the current diversity of the town of Framingham, MA. </w:t>
      </w:r>
    </w:p>
    <w:p w14:paraId="209CB3EB" w14:textId="77777777" w:rsidR="00CD4212" w:rsidRDefault="00CD4212" w:rsidP="00CD4212">
      <w:pPr>
        <w:spacing w:line="276" w:lineRule="auto"/>
      </w:pPr>
      <w:r>
        <w:t>In the 1990s and early 2000s, DNA samples were collected in the Original, Offspring, Third Generation, and Offspring Spouse cohorts of the FHS. All individuals provided consent for genotyping. NHLBI funded genotyping using 550,000 SNPs (</w:t>
      </w:r>
      <w:proofErr w:type="spellStart"/>
      <w:r>
        <w:t>Affymetrix</w:t>
      </w:r>
      <w:proofErr w:type="spellEnd"/>
      <w:r>
        <w:t xml:space="preserve"> 500K mapping array plus </w:t>
      </w:r>
      <w:proofErr w:type="spellStart"/>
      <w:r>
        <w:t>Affymetrix</w:t>
      </w:r>
      <w:proofErr w:type="spellEnd"/>
      <w:r>
        <w:t xml:space="preserve"> 50K supplemental array). Imputations were performed with miniMACH3 using the HRC release 1.1 reference panel for SNPs passing the following criteria: call rate ≥ 97%, </w:t>
      </w:r>
      <w:proofErr w:type="spellStart"/>
      <w:r>
        <w:t>pHWE</w:t>
      </w:r>
      <w:proofErr w:type="spellEnd"/>
      <w:r>
        <w:t xml:space="preserve"> ≥ 10-6, &lt; 100 Mendel errors, and MAF ≥ 1%. </w:t>
      </w:r>
    </w:p>
    <w:p w14:paraId="7A779285" w14:textId="36AF11FE" w:rsidR="007A77BB" w:rsidRDefault="00CD4212" w:rsidP="00CD4212">
      <w:pPr>
        <w:spacing w:line="276" w:lineRule="auto"/>
      </w:pPr>
      <w:r>
        <w:t>Grip strength was recorded by trained technicians at the time of Offspring exam 7, exam 8 and exam 9 and Gen 3 exam 2, using a Jamar dynamometer. The maximum of six trials (three trial in each hand) was used. For participants with hand grip data at more than one examination, the first exam the individual was age 60 or older was used for analysis. The Boston University Medical Campus IRB approved the content of all examinations and participant provided informed consent at all attended exam.</w:t>
      </w:r>
    </w:p>
    <w:p w14:paraId="36AC7524" w14:textId="77777777" w:rsidR="00D30B61" w:rsidRDefault="00D30B61" w:rsidP="00916D56">
      <w:pPr>
        <w:spacing w:line="276" w:lineRule="auto"/>
      </w:pPr>
    </w:p>
    <w:p w14:paraId="1116C2C5" w14:textId="5D26EC7D" w:rsidR="00D30B61" w:rsidRDefault="00D30B61" w:rsidP="00D30B61">
      <w:pPr>
        <w:pStyle w:val="Heading3"/>
      </w:pPr>
      <w:bookmarkStart w:id="9" w:name="_Toc38549321"/>
      <w:r>
        <w:t>Health and Retirement Study (HRS)</w:t>
      </w:r>
      <w:bookmarkEnd w:id="9"/>
    </w:p>
    <w:p w14:paraId="7D05615F" w14:textId="1E9F6BA1" w:rsidR="008D5EE7" w:rsidRDefault="008D5EE7" w:rsidP="008D5EE7">
      <w:r>
        <w:t xml:space="preserve">The Health Retirement Study is representative American cohort with participants over age 50 to monitor factors related to aging and retirement </w:t>
      </w:r>
      <w:r>
        <w:fldChar w:fldCharType="begin" w:fldLock="1"/>
      </w:r>
      <w:r>
        <w:instrText>ADDIN CSL_CITATION {"citationItems":[{"id":"ITEM-1","itemData":{"DOI":"10.1093/workar/wax032","ISSN":"20544650","abstract":"Twenty-five years ago, the largest academic behavioral and social science project ever undertaken in the United States began: the Health and Retirement Study (HRS). The HRS is an invaluable publicly available dataset for investigating work, aging, and retirement and informing public policy on these issues. This biennial longitudinal study began in 1992 and has studied more than 43,000 individuals and produced almost 4,000 journal articles, dissertations, books, book chapters, and reports to date. The purpose of this special issue of Work, Aging and Retirement is to describe the HRS and highlight relevant research that utilizes this rich and complex dataset. First, we briefly describe the background that led to the development of the HRS. Then we summarize key aspects of the study, including its development, sampling, and methodology. Our review of the content of the survey focuses on the aspects of the study most relevant to research on worker aging and retirement. Next, we identify key strengths and important limitations of the study and provide advice to current and future HRS data users. Finally, we summarize the articles in this Special Issue (all of which use data from the HRS) and how they advance our knowledge and understanding of worker aging and retirement.","author":[{"dropping-particle":"","family":"Fisher","given":"Gwenith G.","non-dropping-particle":"","parse-names":false,"suffix":""},{"dropping-particle":"","family":"Ryan","given":"Lindsay H.","non-dropping-particle":"","parse-names":false,"suffix":""}],"container-title":"Work, Aging and Retirement","id":"ITEM-1","issue":"1","issued":{"date-parts":[["2018"]]},"page":"1-9","title":"Overview of the health and retirement study and introduction to the special issue","type":"article-journal","volume":"4"},"uris":["http://www.mendeley.com/documents/?uuid=c001ff4d-8c68-4175-a128-d42cfbec620a"]},{"id":"ITEM-2","itemData":{"DOI":"10.2307/146277","ISSN":"0022166X","abstract":"This paper examines the scientific, public policy, and organizational background out of which the Health and Retirement Study emerged. It describes the evolution of the major parameters of the survey and the unique planning structure designed to ensure that the substantive insights of the research community were fully reflected in the content of the database, highlights key survey innovations contained in the HRS, and provides a preliminary assessment of the quality of the data as reflected by sample size, sample composition, response rate, and survey content. The paper also describes the several types of administrative data that are expected to be added to the HRS data: earnings and benefits from Social Security files, and health insurance and pension data from the employers of survey respondents.","author":[{"dropping-particle":"","family":"Juster","given":"F. Thomas","non-dropping-particle":"","parse-names":false,"suffix":""},{"dropping-particle":"","family":"Suzman","given":"Richard","non-dropping-particle":"","parse-names":false,"suffix":""}],"container-title":"The Journal of Human Resources","id":"ITEM-2","issued":{"date-parts":[["1995"]]},"page":"S7","title":"An Overview of the Health and Retirement Study","type":"article-journal","volume":"30"},"uris":["http://www.mendeley.com/documents/?uuid=cdab4d57-78bc-4bdf-9ca7-5cbee71c98ce"]}],"mendeley":{"formattedCitation":"&lt;span style=\"baseline\"&gt;(10,11)&lt;/span&gt;","plainTextFormattedCitation":"(10,11)","previouslyFormattedCitation":"&lt;span style=\"baseline\"&gt;(10,11)&lt;/span&gt;"},"properties":{"noteIndex":0},"schema":"https://github.com/citation-style-language/schema/raw/master/csl-citation.json"}</w:instrText>
      </w:r>
      <w:r>
        <w:fldChar w:fldCharType="separate"/>
      </w:r>
      <w:r w:rsidRPr="008D5EE7">
        <w:rPr>
          <w:noProof/>
        </w:rPr>
        <w:t>(10,11)</w:t>
      </w:r>
      <w:r>
        <w:fldChar w:fldCharType="end"/>
      </w:r>
      <w:r>
        <w:t xml:space="preserve">. A random subset of ~26,000 participants were selected in three phases (phase 1 in 2006, phase 2 in 2008, and phase 3 in 2010) to collect biological specimen between 2006 and 2010. The DNA samples were genotyped at the </w:t>
      </w:r>
      <w:proofErr w:type="spellStart"/>
      <w:r>
        <w:t>Center</w:t>
      </w:r>
      <w:proofErr w:type="spellEnd"/>
      <w:r>
        <w:t xml:space="preserve"> for Inherited Disease Research (CIDR) on Illumina HumanOmni2.5 array, Phases 1-2 on HumanOmni2.5-4v1 and Phase 3 on HumanOmni2.5-8v1. Both arrays are designed to human genome build 37. Imputation analyses were performed using IMPUTE version 2.3 </w:t>
      </w:r>
      <w:r>
        <w:fldChar w:fldCharType="begin" w:fldLock="1"/>
      </w:r>
      <w:r>
        <w:instrText>ADDIN CSL_CITATION {"citationItems":[{"id":"ITEM-1","itemData":{"DOI":"10.1038/ng.2354","ISSN":"10614036","abstract":"The 1000 Genomes Project and disease-specific sequencing efforts are producing large collections of haplotypes that can be used as reference panels for genotype imputation in genome-wide association studies (GWAS). However, imputing from large reference panels with existing methods imposes a high computational burden. We introduce a strategy called 'pre-phasing' that maintains the accuracy of leading methods while reducing computational costs. We first statistically estimate the haplotypes for each individual within the GWAS sample (pre-phasing) and then impute missing genotypes into these estimated haplotypes. This reduces the computational cost because (i) the GWAS samples must be phased only once, whereas standard methods would implicitly repeat phasing with each reference panel update, and (ii) it is much faster to match a phased GWAS haplotype to one reference haplotype than to match two unphased GWAS genotypes to a pair of reference haplotypes. We implemented our approach in the MaCH and IMPUTE2 frameworks, and we tested it on data sets from the Wellcome Trust Case Control Consortium 2 (WTCCC2), the Genetic Association Information Network (GAIN), the Women's Health Initiative (WHI) and the 1000 Genomes Project. This strategy will be particularly valuable for repeated imputation as reference panels evolve. © 2012 Nature America, Inc. All rights reserved.","author":[{"dropping-particle":"","family":"Howie","given":"Bryan","non-dropping-particle":"","parse-names":false,"suffix":""},{"dropping-particle":"","family":"Fuchsberger","given":"Christian","non-dropping-particle":"","parse-names":false,"suffix":""},{"dropping-particle":"","family":"Stephens","given":"Matthew","non-dropping-particle":"","parse-names":false,"suffix":""},{"dropping-particle":"","family":"Marchini","given":"Jonathan","non-dropping-particle":"","parse-names":false,"suffix":""},{"dropping-particle":"","family":"Abecasis","given":"Gonçalo R.","non-dropping-particle":"","parse-names":false,"suffix":""}],"container-title":"Nature Genetics","id":"ITEM-1","issue":"8","issued":{"date-parts":[["2012"]]},"page":"955-959","title":"Fast and accurate genotype imputation in genome-wide association studies through pre-phasing","type":"article-journal","volume":"44"},"uris":["http://www.mendeley.com/documents/?uuid=1e845218-8b4a-4adc-8c00-f289da2167a0"]}],"mendeley":{"formattedCitation":"&lt;span style=\"baseline\"&gt;(12)&lt;/span&gt;","plainTextFormattedCitation":"(12)","previouslyFormattedCitation":"&lt;span style=\"baseline\"&gt;(12)&lt;/span&gt;"},"properties":{"noteIndex":0},"schema":"https://github.com/citation-style-language/schema/raw/master/csl-citation.json"}</w:instrText>
      </w:r>
      <w:r>
        <w:fldChar w:fldCharType="separate"/>
      </w:r>
      <w:r w:rsidRPr="008D5EE7">
        <w:rPr>
          <w:noProof/>
        </w:rPr>
        <w:t>(12)</w:t>
      </w:r>
      <w:r>
        <w:fldChar w:fldCharType="end"/>
      </w:r>
      <w:r>
        <w:t xml:space="preserve">. </w:t>
      </w:r>
    </w:p>
    <w:p w14:paraId="52756901" w14:textId="77777777" w:rsidR="008D5EE7" w:rsidRDefault="008D5EE7" w:rsidP="008D5EE7">
      <w:r>
        <w:lastRenderedPageBreak/>
        <w:t>Genotyping data were available for 15,708 samples (6519 males and 9189 females) in the combined Phase 1-3 dataset.  15,454 remained after filtering related or duplicated samples, genotyping controls, and those with a missing call rate ≥ 2%. 12,940 (84%) were Whites. Of which, 10,919 reached 60 years old. The grip strength was measured using a medley spring-type hand dynamometer. Two measurements were taken from each hand and the maximum at the most recent visit was used to conduct association analyses. Grip strength ≥ 90 kg was considered unreal and set to missing based on actual data distribution. Dynapenia was determined based on the EWGSOP or FNIH definition. 10,814 white participant (4650 males and 6164 females) had both genotyping and grip strength data. 3624 (34%) and 1754 (16%) met the EWGSOP and FNIH criteria, respectively. Women were more likely to have dynapenia than men by the EWGSOP (39% vs. 27%) or FNIH (18% vs. 14%).</w:t>
      </w:r>
    </w:p>
    <w:p w14:paraId="394B6076" w14:textId="131BE8CD" w:rsidR="00D30B61" w:rsidRDefault="008D5EE7" w:rsidP="008D5EE7">
      <w:r>
        <w:t xml:space="preserve">In genome-wide association analyses, the EWGSOP or FNIH dynapenia was associated with SNPs, one at a time, in a linear mixed effects model, including additive allelic effect of the candidate SNP, sex (if not sex-specific), age at measurement, plus random polygenic and environment effects. The analyses were conducted using the BOLT-LMM version 2.2 </w:t>
      </w:r>
      <w:r>
        <w:fldChar w:fldCharType="begin" w:fldLock="1"/>
      </w:r>
      <w:r>
        <w:instrText>ADDIN CSL_CITATION {"citationItems":[{"id":"ITEM-1","itemData":{"DOI":"10.1038/ng.3190","ISBN":"1546-1718 (Electronic)\\r1061-4036 (Linking)","ISSN":"1546-1718","PMID":"25642633","abstract":"Linear mixed models are a powerful statistical tool for identifying genetic associations and avoiding confounding. However, existing methods are computationally intractable in large cohorts and may not optimize power. All existing methods require time cost O(MN(2)) (where N is the number of samples and M is the number of SNPs) and implicitly assume an infinitesimal genetic architecture in which effect sizes are normally distributed, which can limit power. Here we present a far more efficient mixed-model association method, BOLT-LMM, which requires only a small number of O(MN) time iterations and increases power by modeling more realistic, non-infinitesimal genetic architectures via a Bayesian mixture prior on marker effect sizes. We applied BOLT-LMM to 9 quantitative traits in 23,294 samples from the Women's Genome Health Study (WGHS) and observed significant increases in power, consistent with simulations. Theory and simulations show that the boost in power increases with cohort size, making BOLT-LMM appealing for genome-wide association studies in large cohorts.","author":[{"dropping-particle":"","family":"Loh","given":"Po-Ru","non-dropping-particle":"","parse-names":false,"suffix":""},{"dropping-particle":"","family":"Tucker","given":"George","non-dropping-particle":"","parse-names":false,"suffix":""},{"dropping-particle":"","family":"Bulik-Sullivan","given":"Brendan K","non-dropping-particle":"","parse-names":false,"suffix":""},{"dropping-particle":"","family":"Vilhjálmsson","given":"Bjarni J","non-dropping-particle":"","parse-names":false,"suffix":""},{"dropping-particle":"","family":"Finucane","given":"Hilary K","non-dropping-particle":"","parse-names":false,"suffix":""},{"dropping-particle":"","family":"Salem","given":"Rany M","non-dropping-particle":"","parse-names":false,"suffix":""},{"dropping-particle":"","family":"Chasman","given":"Daniel I","non-dropping-particle":"","parse-names":false,"suffix":""},{"dropping-particle":"","family":"Ridker","given":"Paul M","non-dropping-particle":"","parse-names":false,"suffix":""},{"dropping-particle":"","family":"Neale","given":"Benjamin M","non-dropping-particle":"","parse-names":false,"suffix":""},{"dropping-particle":"","family":"Berger","given":"Bonnie","non-dropping-particle":"","parse-names":false,"suffix":""},{"dropping-particle":"","family":"Patterson","given":"Nick","non-dropping-particle":"","parse-names":false,"suffix":""},{"dropping-particle":"","family":"Price","given":"Alkes L","non-dropping-particle":"","parse-names":false,"suffix":""}],"container-title":"Nature genetics","id":"ITEM-1","issue":"3","issued":{"date-parts":[["2015","3"]]},"note":"From Duplicate 1 (Efficient Bayesian mixed-model analysis increases association power in large cohorts. - Loh, Po-Ru; Tucker, George; Bulik-Sullivan, Brendan K; Vilhjálmsson, Bjarni J; Finucane, Hilary K; Salem, Rany M; Chasman, Daniel I; Ridker, Paul M; Neale, Benjamin M; Berger, Bonnie; Patterson, Nick; Price, Alkes L)\n\nBOLT-LMM (GWAS of imputed data using linear mixed model)\n\nFrom Duplicate 2 (Efficient Bayesian mixed-model analysis increases association power in large cohorts. - Loh, Po-Ru; Tucker, George; Bulik-Sullivan, Brendan K; Vilhjálmsson, Bjarni J; Finucane, Hilary K; Salem, Rany M; Chasman, Daniel I; Ridker, Paul M; Neale, Benjamin M; Berger, Bonnie; Patterson, Nick; Price, Alkes L)\n\nFrom Duplicate 2 (Efficient Bayesian mixed-model analysis increases association power in large cohorts. - Loh, Po-Ru; Tucker, George; Bulik-Sullivan, Brendan K; Vilhjálmsson, Bjarni J; Finucane, Hilary K; Salem, Rany M; Chasman, Daniel I; Ridker, Paul M; Neale, Benjamin M; Berger, Bonnie; Patterson, Nick; Price, Alkes L)\n\nBOLT-LMM (GWAS of imputed data using linear mixed model)","page":"284-90","publisher":"Nature Publishing Group","title":"Efficient Bayesian mixed-model analysis increases association power in large cohorts.","type":"article-journal","volume":"47"},"uris":["http://www.mendeley.com/documents/?uuid=2503ede2-4902-4222-9ce1-f798bf68d6b2"]}],"mendeley":{"formattedCitation":"&lt;span style=\"baseline\"&gt;(13)&lt;/span&gt;","plainTextFormattedCitation":"(13)","previouslyFormattedCitation":"&lt;span style=\"baseline\"&gt;(13)&lt;/span&gt;"},"properties":{"noteIndex":0},"schema":"https://github.com/citation-style-language/schema/raw/master/csl-citation.json"}</w:instrText>
      </w:r>
      <w:r>
        <w:fldChar w:fldCharType="separate"/>
      </w:r>
      <w:r w:rsidRPr="008D5EE7">
        <w:rPr>
          <w:noProof/>
        </w:rPr>
        <w:t>(13)</w:t>
      </w:r>
      <w:r>
        <w:fldChar w:fldCharType="end"/>
      </w:r>
      <w:r>
        <w:t xml:space="preserve">, with precomputed LD scores from Europeans in the 1000 Genomes. </w:t>
      </w:r>
    </w:p>
    <w:p w14:paraId="3D898FEE" w14:textId="77777777" w:rsidR="00D30B61" w:rsidRDefault="00D30B61" w:rsidP="00D30B61"/>
    <w:p w14:paraId="61636B03" w14:textId="1A583B44" w:rsidR="00D30B61" w:rsidRDefault="00D30B61" w:rsidP="00D30B61">
      <w:pPr>
        <w:pStyle w:val="Heading3"/>
      </w:pPr>
      <w:bookmarkStart w:id="10" w:name="_Toc38549322"/>
      <w:proofErr w:type="spellStart"/>
      <w:r>
        <w:t>InCHIANTI</w:t>
      </w:r>
      <w:proofErr w:type="spellEnd"/>
      <w:r>
        <w:t xml:space="preserve"> study</w:t>
      </w:r>
      <w:bookmarkEnd w:id="10"/>
    </w:p>
    <w:p w14:paraId="13DF8EEF" w14:textId="3EBAB9CE" w:rsidR="0067273D" w:rsidRDefault="0067273D" w:rsidP="0067273D">
      <w:r>
        <w:t xml:space="preserve">The </w:t>
      </w:r>
      <w:proofErr w:type="spellStart"/>
      <w:r>
        <w:t>InCHIANTI</w:t>
      </w:r>
      <w:proofErr w:type="spellEnd"/>
      <w:r>
        <w:t xml:space="preserve"> study is a population-based epidemiological study aimed at evaluating the factors that influence mobility in the older population living in the Chianti region in Tuscany, Italy. The details of the study have been previously reported </w:t>
      </w:r>
      <w:r>
        <w:fldChar w:fldCharType="begin" w:fldLock="1"/>
      </w:r>
      <w:r>
        <w:instrText>ADDIN CSL_CITATION {"citationItems":[{"id":"ITEM-1","itemData":{"DOI":"10.1111/j.1532-5415.2000.tb03873.x","ISSN":"0002-8614","PMID":"11129752","abstract":"BACKGROUND Older patients are often referred to geriatricians because of complaints of progressive difficulties in walking. The diagnostic and therapeutic approach to these patients is complex. Multiple physiologic subsystems may influence the ability to walk, and no standard criteria are currently available to establish whether these subsystems are functioning within the normal range. To address this lack of knowledge we conducted the InCHIANTI study. OBJECTIVE To identify measures that clinicians can use to understand the causes of walking difficulties in older persons. DESIGN A population-based study of persons living in the Chianti geographic area (Tuscany, Italy). PARTICIPANTS 1,453 persons (age-range 20-102 years; 91.6% of the eligible) selected from city registry of Greve in Chianti and Bagno a Ripoli (Tuscany, Italy), using a multistage sampling method. MEASUREMENTS Factors that influence walking ability were classified into six main physiologic subsystems: central nervous system, perceptual system, peripheral nervous system, muscles, bone/joints, and energy production/delivery. Measures of the integrity and functioning of each of these proposed subsystems were identified and administered to all participants. CONCLUSIONS Data collected in InCHIANTI will be used to identify the main risk factors that influence loss of the ability to walk in older persons, to define physiologic subsystems that are critical for walking, to select the best measures of their integrity, and to establish critical ranges in these measures that are compatible with \"normal\" walking ability. The final goal is to translate epidemiological research into a geriatric clinical tool that makes possible more precise diagnosis and more effective treatment in patients with walking dysfunction.","author":[{"dropping-particle":"","family":"Ferrucci","given":"L","non-dropping-particle":"","parse-names":false,"suffix":""},{"dropping-particle":"","family":"Bandinelli","given":"S","non-dropping-particle":"","parse-names":false,"suffix":""},{"dropping-particle":"","family":"Benvenuti","given":"E","non-dropping-particle":"","parse-names":false,"suffix":""},{"dropping-particle":"","family":"Iorio","given":"A","non-dropping-particle":"Di","parse-names":false,"suffix":""},{"dropping-particle":"","family":"Macchi","given":"C","non-dropping-particle":"","parse-names":false,"suffix":""},{"dropping-particle":"","family":"Harris","given":"T B","non-dropping-particle":"","parse-names":false,"suffix":""},{"dropping-particle":"","family":"Guralnik","given":"J M","non-dropping-particle":"","parse-names":false,"suffix":""}],"container-title":"Journal of the American Geriatrics Society","id":"ITEM-1","issue":"12","issued":{"date-parts":[["2000","12"]]},"page":"1618-25","title":"Subsystems contributing to the decline in ability to walk: bridging the gap between epidemiology and geriatric practice in the InCHIANTI study.","type":"article-journal","volume":"48"},"uris":["http://www.mendeley.com/documents/?uuid=fd77d03b-5eea-4aab-bdcd-eff870b5b5d3"]}],"mendeley":{"formattedCitation":"&lt;span style=\"baseline\"&gt;(14)&lt;/span&gt;","plainTextFormattedCitation":"(14)","previouslyFormattedCitation":"&lt;span style=\"baseline\"&gt;(14)&lt;/span&gt;"},"properties":{"noteIndex":0},"schema":"https://github.com/citation-style-language/schema/raw/master/csl-citation.json"}</w:instrText>
      </w:r>
      <w:r>
        <w:fldChar w:fldCharType="separate"/>
      </w:r>
      <w:r w:rsidRPr="0067273D">
        <w:rPr>
          <w:noProof/>
        </w:rPr>
        <w:t>(14)</w:t>
      </w:r>
      <w:r>
        <w:fldChar w:fldCharType="end"/>
      </w:r>
      <w:r>
        <w:t xml:space="preserve">. Briefly, 1616 residents were selected from the population registry of </w:t>
      </w:r>
      <w:proofErr w:type="spellStart"/>
      <w:r>
        <w:t>Greve</w:t>
      </w:r>
      <w:proofErr w:type="spellEnd"/>
      <w:r>
        <w:t xml:space="preserve"> in Chianti (a rural area: 11,709 residents with 19.3% of the population greater than 65 years of age), and </w:t>
      </w:r>
      <w:proofErr w:type="spellStart"/>
      <w:r>
        <w:t>Bagno</w:t>
      </w:r>
      <w:proofErr w:type="spellEnd"/>
      <w:r>
        <w:t xml:space="preserve"> a </w:t>
      </w:r>
      <w:proofErr w:type="spellStart"/>
      <w:r>
        <w:t>Ripoli</w:t>
      </w:r>
      <w:proofErr w:type="spellEnd"/>
      <w:r>
        <w:t xml:space="preserve"> (</w:t>
      </w:r>
      <w:proofErr w:type="spellStart"/>
      <w:r>
        <w:t>Antella</w:t>
      </w:r>
      <w:proofErr w:type="spellEnd"/>
      <w:r>
        <w:t xml:space="preserve"> village near Florence; 4,704 inhabitants, with 20.3% greater than 65 years of age). The participation rate was 90% (n=1453), and the subjects ranged between 21-102 years of age. Overnight fasted blood samples were for genomic DNA extraction. Maximal isometric hand grip strength was measured in kilograms using a hand-held dynamometer (Smith &amp; Nephew, </w:t>
      </w:r>
      <w:proofErr w:type="spellStart"/>
      <w:r>
        <w:t>Agrate</w:t>
      </w:r>
      <w:proofErr w:type="spellEnd"/>
      <w:r>
        <w:t xml:space="preserve"> Brianza, </w:t>
      </w:r>
      <w:proofErr w:type="gramStart"/>
      <w:r>
        <w:t>Milan</w:t>
      </w:r>
      <w:proofErr w:type="gramEnd"/>
      <w:r>
        <w:t>, Italy). The subject was seated in front of a bench with the tested arm supported on the bench and the elbow flexed to 45°. Participants were asked to perform the task twice with each hand, and the maximum strength attained during the four trials was used for the present analyses. Dynapenia was determined using the FNIH criteria and EWGSOP criteria. The study protocol was approved by the Italian National Institute of Research and Care of Aging Institutional Review and Internal Review Board of the National Institute for Environmental Health Sciences (NIEHS). All participants provided written informed consent.</w:t>
      </w:r>
    </w:p>
    <w:p w14:paraId="3E0D2BDB" w14:textId="3EE87D98" w:rsidR="00D30B61" w:rsidRDefault="0067273D" w:rsidP="0067273D">
      <w:r>
        <w:t xml:space="preserve">Genome-wide genotyping was conducted using Illumina </w:t>
      </w:r>
      <w:proofErr w:type="spellStart"/>
      <w:r>
        <w:t>Infinium</w:t>
      </w:r>
      <w:proofErr w:type="spellEnd"/>
      <w:r>
        <w:t xml:space="preserve"> </w:t>
      </w:r>
      <w:proofErr w:type="spellStart"/>
      <w:r>
        <w:t>HumanHap</w:t>
      </w:r>
      <w:proofErr w:type="spellEnd"/>
      <w:r>
        <w:t xml:space="preserve"> 550K SNP arrays </w:t>
      </w:r>
      <w:r>
        <w:fldChar w:fldCharType="begin" w:fldLock="1"/>
      </w:r>
      <w:r>
        <w:instrText>ADDIN CSL_CITATION {"citationItems":[{"id":"ITEM-1","itemData":{"DOI":"10.1371/journal.pgen.1000072","ISSN":"1553-7404","PMID":"18464913","abstract":"There is considerable evidence that human genetic variation influences gene expression. Genome-wide studies have revealed that mRNA levels are associated with genetic variation in or close to the gene coding for those mRNA transcripts - cis effects, and elsewhere in the genome - trans effects. The role of genetic variation in determining protein levels has not been systematically assessed. Using a genome-wide association approach we show that common genetic variation influences levels of clinically relevant proteins in human serum and plasma. We evaluated the role of 496,032 polymorphisms on levels of 42 proteins measured in 1200 fasting individuals from the population based InCHIANTI study. Proteins included insulin, several interleukins, adipokines, chemokines, and liver function markers that are implicated in many common diseases including metabolic, inflammatory, and infectious conditions. We identified eight Cis effects, including variants in or near the IL6R (p = 1.8x10(-57)), CCL4L1 (p = 3.9x10(-21)), IL18 (p = 6.8x10(-13)), LPA (p = 4.4x10(-10)), GGT1 (p = 1.5x10(-7)), SHBG (p = 3.1x10(-7)), CRP (p = 6.4x10(-6)) and IL1RN (p = 7.3x10(-6)) genes, all associated with their respective protein products with effect sizes ranging from 0.19 to 0.69 standard deviations per allele. Mechanisms implicated include altered rates of cleavage of bound to unbound soluble receptor (IL6R), altered secretion rates of different sized proteins (LPA), variation in gene copy number (CCL4L1) and altered transcription (GGT1). We identified one novel trans effect that was an association between ABO blood group and tumour necrosis factor alpha (TNF-alpha) levels (p = 6.8x10(-40)), but this finding was not present when TNF-alpha was measured using a different assay , or in a second study, suggesting an assay-specific association. Our results show that protein levels share some of the features of the genetics of gene expression. These include the presence of strong genetic effects in cis locations. The identification of protein quantitative trait loci (pQTLs) may be a powerful complementary method of improving our understanding of disease pathways.","author":[{"dropping-particle":"","family":"Melzer","given":"David","non-dropping-particle":"","parse-names":false,"suffix":""},{"dropping-particle":"","family":"Perry","given":"John R B","non-dropping-particle":"","parse-names":false,"suffix":""},{"dropping-particle":"","family":"Hernandez","given":"Dena","non-dropping-particle":"","parse-names":false,"suffix":""},{"dropping-particle":"","family":"Corsi","given":"Anna-Maria","non-dropping-particle":"","parse-names":false,"suffix":""},{"dropping-particle":"","family":"Stevens","given":"Kara","non-dropping-particle":"","parse-names":false,"suffix":""},{"dropping-particle":"","family":"Rafferty","given":"Ian","non-dropping-particle":"","parse-names":false,"suffix":""},{"dropping-particle":"","family":"Lauretani","given":"Fulvio","non-dropping-particle":"","parse-names":false,"suffix":""},{"dropping-particle":"","family":"Murray","given":"Anna","non-dropping-particle":"","parse-names":false,"suffix":""},{"dropping-particle":"","family":"Gibbs","given":"J Raphael","non-dropping-particle":"","parse-names":false,"suffix":""},{"dropping-particle":"","family":"Paolisso","given":"Giuseppe","non-dropping-particle":"","parse-names":false,"suffix":""},{"dropping-particle":"","family":"Rafiq","given":"Sajjad","non-dropping-particle":"","parse-names":false,"suffix":""},{"dropping-particle":"","family":"Simon-Sanchez","given":"Javier","non-dropping-particle":"","parse-names":false,"suffix":""},{"dropping-particle":"","family":"Lango","given":"Hana","non-dropping-particle":"","parse-names":false,"suffix":""},{"dropping-particle":"","family":"Scholz","given":"Sonja","non-dropping-particle":"","parse-names":false,"suffix":""},{"dropping-particle":"","family":"Weedon","given":"Michael N","non-dropping-particle":"","parse-names":false,"suffix":""},{"dropping-particle":"","family":"Arepalli","given":"Sampath","non-dropping-particle":"","parse-names":false,"suffix":""},{"dropping-particle":"","family":"Rice","given":"Neil","non-dropping-particle":"","parse-names":false,"suffix":""},{"dropping-particle":"","family":"Washecka","given":"Nicole","non-dropping-particle":"","parse-names":false,"suffix":""},{"dropping-particle":"","family":"Hurst","given":"Alison","non-dropping-particle":"","parse-names":false,"suffix":""},{"dropping-particle":"","family":"Britton","given":"Angela","non-dropping-particle":"","parse-names":false,"suffix":""},{"dropping-particle":"","family":"Henley","given":"William","non-dropping-particle":"","parse-names":false,"suffix":""},{"dropping-particle":"","family":"Leemput","given":"Joyce","non-dropping-particle":"van de","parse-names":false,"suffix":""},{"dropping-particle":"","family":"Li","given":"Rongling","non-dropping-particle":"","parse-names":false,"suffix":""},{"dropping-particle":"","family":"Newman","given":"Anne B","non-dropping-particle":"","parse-names":false,"suffix":""},{"dropping-particle":"","family":"Tranah","given":"Greg","non-dropping-particle":"","parse-names":false,"suffix":""},{"dropping-particle":"","family":"Harris","given":"Tamara","non-dropping-particle":"","parse-names":false,"suffix":""},{"dropping-particle":"","family":"Panicker","given":"Vijay","non-dropping-particle":"","parse-names":false,"suffix":""},{"dropping-particle":"","family":"Dayan","given":"Colin","non-dropping-particle":"","parse-names":false,"suffix":""},{"dropping-particle":"","family":"Bennett","given":"Amanda","non-dropping-particle":"","parse-names":false,"suffix":""},{"dropping-particle":"","family":"McCarthy","given":"Mark I","non-dropping-particle":"","parse-names":false,"suffix":""},{"dropping-particle":"","family":"Ruokonen","given":"Aimo","non-dropping-particle":"","parse-names":false,"suffix":""},{"dropping-particle":"","family":"Jarvelin","given":"Marjo-Riitta","non-dropping-particle":"","parse-names":false,"suffix":""},{"dropping-particle":"","family":"Guralnik","given":"Jack","non-dropping-particle":"","parse-names":false,"suffix":""},{"dropping-particle":"","family":"Bandinelli","given":"Stefania","non-dropping-particle":"","parse-names":false,"suffix":""},{"dropping-particle":"","family":"Frayling","given":"Timothy M","non-dropping-particle":"","parse-names":false,"suffix":""},{"dropping-particle":"","family":"Singleton","given":"Andrew","non-dropping-particle":"","parse-names":false,"suffix":""},{"dropping-particle":"","family":"Ferrucci","given":"Luigi","non-dropping-particle":"","parse-names":false,"suffix":""}],"container-title":"PLoS genetics","id":"ITEM-1","issue":"5","issued":{"date-parts":[["2008","5","9"]]},"page":"e1000072","title":"A genome-wide association study identifies protein quantitative trait loci (pQTLs).","type":"article-journal","volume":"4"},"uris":["http://www.mendeley.com/documents/?uuid=c5e930f0-6ede-4c7d-aa39-f57f738b7cd2"]}],"mendeley":{"formattedCitation":"&lt;span style=\"baseline\"&gt;(15)&lt;/span&gt;","plainTextFormattedCitation":"(15)","previouslyFormattedCitation":"&lt;span style=\"baseline\"&gt;(15)&lt;/span&gt;"},"properties":{"noteIndex":0},"schema":"https://github.com/citation-style-language/schema/raw/master/csl-citation.json"}</w:instrText>
      </w:r>
      <w:r>
        <w:fldChar w:fldCharType="separate"/>
      </w:r>
      <w:r w:rsidRPr="0067273D">
        <w:rPr>
          <w:noProof/>
        </w:rPr>
        <w:t>(15)</w:t>
      </w:r>
      <w:r>
        <w:fldChar w:fldCharType="end"/>
      </w:r>
      <w:r>
        <w:t xml:space="preserve">. Genotyping was completed for 1210 subjects with a sample call rate &gt;97%, heterozygosity rates &gt; 0.3 and correct sex specification. 495,343 autosomal SNPs that passed quality control (MAF&gt;1%, completeness &gt;99%, HWE &gt; 10-4) were used for imputation using as reference the Haplotype Reference Consortium (HRC) panel, version 1.1. The imputation was done using </w:t>
      </w:r>
      <w:proofErr w:type="spellStart"/>
      <w:r>
        <w:t>Minimac</w:t>
      </w:r>
      <w:proofErr w:type="spellEnd"/>
      <w:r>
        <w:t xml:space="preserve">, and the process was facilitated by the Michigan Imputation server </w:t>
      </w:r>
      <w:r>
        <w:fldChar w:fldCharType="begin" w:fldLock="1"/>
      </w:r>
      <w: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genetics","id":"ITEM-1","issue":"10","issued":{"date-parts":[["2016"]]},"page":"1284-1287","title":"Next-generation genotype imputation service and methods.","type":"article-journal","volume":"48"},"uris":["http://www.mendeley.com/documents/?uuid=2a017664-0849-4e04-b05d-303150ddc0bd"]}],"mendeley":{"formattedCitation":"&lt;span style=\"baseline\"&gt;(16)&lt;/span&gt;","plainTextFormattedCitation":"(16)"},"properties":{"noteIndex":0},"schema":"https://github.com/citation-style-language/schema/raw/master/csl-citation.json"}</w:instrText>
      </w:r>
      <w:r>
        <w:fldChar w:fldCharType="separate"/>
      </w:r>
      <w:r w:rsidRPr="0067273D">
        <w:rPr>
          <w:noProof/>
        </w:rPr>
        <w:t>(16)</w:t>
      </w:r>
      <w:r>
        <w:fldChar w:fldCharType="end"/>
      </w:r>
      <w:r>
        <w:t>. Associations between grip strength and SNP dosages was performed using logistic regression in PLINK 1.9, adjusting for age, sex (except sex-specific analyses), study site, and 10 principal components.</w:t>
      </w:r>
    </w:p>
    <w:p w14:paraId="309EB70C" w14:textId="77777777" w:rsidR="00D30B61" w:rsidRDefault="00D30B61" w:rsidP="00D30B61"/>
    <w:p w14:paraId="47D64FCD" w14:textId="77777777" w:rsidR="007A77BB" w:rsidRDefault="007A77BB" w:rsidP="007A77BB">
      <w:pPr>
        <w:pStyle w:val="Heading3"/>
        <w:spacing w:line="276" w:lineRule="auto"/>
        <w:rPr>
          <w:rStyle w:val="Heading3Char"/>
          <w:b/>
          <w:i/>
        </w:rPr>
      </w:pPr>
      <w:bookmarkStart w:id="11" w:name="_Toc38549323"/>
      <w:r>
        <w:rPr>
          <w:rStyle w:val="Heading3Char"/>
          <w:b/>
          <w:i/>
        </w:rPr>
        <w:t xml:space="preserve">LASA: </w:t>
      </w:r>
      <w:r w:rsidRPr="00192030">
        <w:rPr>
          <w:rStyle w:val="Heading3Char"/>
          <w:b/>
          <w:i/>
        </w:rPr>
        <w:t xml:space="preserve"> </w:t>
      </w:r>
      <w:r w:rsidRPr="007A77BB">
        <w:rPr>
          <w:rStyle w:val="Heading3Char"/>
          <w:b/>
          <w:i/>
        </w:rPr>
        <w:t>Longitudinal Aging Study Amsterdam</w:t>
      </w:r>
      <w:bookmarkEnd w:id="11"/>
    </w:p>
    <w:p w14:paraId="72F4B30E" w14:textId="66673867" w:rsidR="00A377AB" w:rsidRDefault="00A377AB" w:rsidP="00A377AB">
      <w:pPr>
        <w:spacing w:line="276" w:lineRule="auto"/>
      </w:pPr>
      <w:r w:rsidRPr="00043CE7">
        <w:lastRenderedPageBreak/>
        <w:t>Longitudinal Aging Study Amsterdam (LASA) is an ongoing, population-based cohort of individuals 55 years and older living in the Netherlands. The design and rationale is described elsewhere</w:t>
      </w:r>
      <w:r>
        <w:t xml:space="preserve"> </w:t>
      </w:r>
      <w:r>
        <w:fldChar w:fldCharType="begin" w:fldLock="1"/>
      </w:r>
      <w:r w:rsidR="0067273D">
        <w:instrText>ADDIN CSL_CITATION {"citationItems":[{"id":"ITEM-1","itemData":{"DOI":"10.1007/s10654-016-0192-0","ISSN":"0393-2990","author":[{"dropping-particle":"","family":"Hoogendijk","given":"Emiel O.","non-dropping-particle":"","parse-names":false,"suffix":""},{"dropping-particle":"","family":"Deeg","given":"Dorly J. H.","non-dropping-particle":"","parse-names":false,"suffix":""},{"dropping-particle":"","family":"Poppelaars","given":"Jan","non-dropping-particle":"","parse-names":false,"suffix":""},{"dropping-particle":"","family":"Horst","given":"Marleen","non-dropping-particle":"van der","parse-names":false,"suffix":""},{"dropping-particle":"","family":"Broese van Groenou","given":"Marjolein I.","non-dropping-particle":"","parse-names":false,"suffix":""},{"dropping-particle":"","family":"Comijs","given":"Hannie C.","non-dropping-particle":"","parse-names":false,"suffix":""},{"dropping-particle":"","family":"Pasman","given":"H. Roeline W.","non-dropping-particle":"","parse-names":false,"suffix":""},{"dropping-particle":"","family":"Schoor","given":"Natasja M.","non-dropping-particle":"van","parse-names":false,"suffix":""},{"dropping-particle":"","family":"Suanet","given":"Bianca","non-dropping-particle":"","parse-names":false,"suffix":""},{"dropping-particle":"","family":"Thomése","given":"Fleur","non-dropping-particle":"","parse-names":false,"suffix":""},{"dropping-particle":"","family":"Tilburg","given":"Theo G.","non-dropping-particle":"van","parse-names":false,"suffix":""},{"dropping-particle":"","family":"Visser","given":"Marjolein","non-dropping-particle":"","parse-names":false,"suffix":""},{"dropping-particle":"","family":"Huisman","given":"Martijn","non-dropping-particle":"","parse-names":false,"suffix":""}],"container-title":"European Journal of Epidemiology","id":"ITEM-1","issue":"9","issued":{"date-parts":[["2016","9","20"]]},"page":"927-945","title":"The Longitudinal Aging Study Amsterdam: cohort update 2016 and major findings","type":"article-journal","volume":"31"},"uris":["http://www.mendeley.com/documents/?uuid=6b0e7aad-fb29-412b-8f51-a4fde222e658"]},{"id":"ITEM-2","itemData":{"DOI":"10.1093/ije/dyq219","ISSN":"0300-5771","author":[{"dropping-particle":"","family":"Huisman","given":"M.","non-dropping-particle":"","parse-names":false,"suffix":""},{"dropping-particle":"","family":"Poppelaars","given":"J.","non-dropping-particle":"","parse-names":false,"suffix":""},{"dropping-particle":"","family":"Horst","given":"M.","non-dropping-particle":"van der","parse-names":false,"suffix":""},{"dropping-particle":"","family":"Beekman","given":"A. T.","non-dropping-particle":"","parse-names":false,"suffix":""},{"dropping-particle":"","family":"Brug","given":"J.","non-dropping-particle":"","parse-names":false,"suffix":""},{"dropping-particle":"","family":"Tilburg","given":"T. G.","non-dropping-particle":"van","parse-names":false,"suffix":""},{"dropping-particle":"","family":"Deeg","given":"D. J.","non-dropping-particle":"","parse-names":false,"suffix":""}],"container-title":"International Journal of Epidemiology","id":"ITEM-2","issue":"4","issued":{"date-parts":[["2011","8","1"]]},"page":"868-876","title":"Cohort Profile: The Longitudinal Aging Study Amsterdam","type":"article-journal","volume":"40"},"uris":["http://www.mendeley.com/documents/?uuid=468347a3-44ff-4221-a43c-099bdbfda256"]}],"mendeley":{"formattedCitation":"&lt;span style=\"baseline\"&gt;(17,18)&lt;/span&gt;","plainTextFormattedCitation":"(17,18)","previouslyFormattedCitation":"&lt;span style=\"baseline\"&gt;(16,17)&lt;/span&gt;"},"properties":{"noteIndex":0},"schema":"https://github.com/citation-style-language/schema/raw/master/csl-citation.json"}</w:instrText>
      </w:r>
      <w:r>
        <w:fldChar w:fldCharType="separate"/>
      </w:r>
      <w:r w:rsidR="0067273D" w:rsidRPr="0067273D">
        <w:rPr>
          <w:noProof/>
        </w:rPr>
        <w:t>(17,18)</w:t>
      </w:r>
      <w:r>
        <w:fldChar w:fldCharType="end"/>
      </w:r>
      <w:r w:rsidRPr="00043CE7">
        <w:t xml:space="preserve">. </w:t>
      </w:r>
      <w:r w:rsidRPr="004262E3">
        <w:t>In short, 3017 participants (55-84 years old) were included at baseline (1992-1993) and two additional cohorts were added in 2002-2003 and 2012-2013 with respectively 1002 and 1023 participants. Follow-up visits were conducted every 3 years</w:t>
      </w:r>
      <w:r>
        <w:t xml:space="preserve">. </w:t>
      </w:r>
      <w:r w:rsidRPr="004262E3">
        <w:rPr>
          <w:lang w:val="en-US"/>
        </w:rPr>
        <w:t>Trained interviewers collected data on cognitive, emotional, physical and social functioning during a home interview. Subsequently, all participants were invited for a medical interview during which further diagnostic examinations were done and blood samples were drawn.</w:t>
      </w:r>
      <w:r>
        <w:rPr>
          <w:lang w:val="en-US"/>
        </w:rPr>
        <w:t xml:space="preserve"> </w:t>
      </w:r>
      <w:r w:rsidRPr="00043CE7">
        <w:t xml:space="preserve">LASA has been approved by the Medical Ethics Committee of VU University Medical </w:t>
      </w:r>
      <w:proofErr w:type="spellStart"/>
      <w:r w:rsidRPr="00043CE7">
        <w:t>Center</w:t>
      </w:r>
      <w:proofErr w:type="spellEnd"/>
      <w:r w:rsidRPr="00043CE7">
        <w:t>. All participants gave written informed consent.</w:t>
      </w:r>
    </w:p>
    <w:p w14:paraId="30861DBE" w14:textId="23AE172C" w:rsidR="00A377AB" w:rsidRPr="00043CE7" w:rsidRDefault="00A377AB" w:rsidP="00A377AB">
      <w:pPr>
        <w:spacing w:line="276" w:lineRule="auto"/>
      </w:pPr>
      <w:r w:rsidRPr="00043CE7">
        <w:rPr>
          <w:lang w:val="en-US"/>
        </w:rPr>
        <w:t>DNA was isolated from buffy coats or full blood samples drawn at baseline. Genotyping was done using two arrays: Axiom-NL Array (</w:t>
      </w:r>
      <w:proofErr w:type="spellStart"/>
      <w:r w:rsidRPr="00043CE7">
        <w:rPr>
          <w:lang w:val="en-US"/>
        </w:rPr>
        <w:t>Affymetrix</w:t>
      </w:r>
      <w:proofErr w:type="spellEnd"/>
      <w:r w:rsidRPr="00043CE7">
        <w:rPr>
          <w:lang w:val="en-US"/>
        </w:rPr>
        <w:t xml:space="preserve"> </w:t>
      </w:r>
      <w:proofErr w:type="spellStart"/>
      <w:r w:rsidRPr="00043CE7">
        <w:rPr>
          <w:lang w:val="en-US"/>
        </w:rPr>
        <w:t>Inc</w:t>
      </w:r>
      <w:proofErr w:type="spellEnd"/>
      <w:r w:rsidRPr="00043CE7">
        <w:rPr>
          <w:lang w:val="en-US"/>
        </w:rPr>
        <w:t xml:space="preserve">, Santa Clara, </w:t>
      </w:r>
      <w:proofErr w:type="gramStart"/>
      <w:r w:rsidRPr="00043CE7">
        <w:rPr>
          <w:lang w:val="en-US"/>
        </w:rPr>
        <w:t>CA</w:t>
      </w:r>
      <w:proofErr w:type="gramEnd"/>
      <w:r w:rsidRPr="00043CE7">
        <w:rPr>
          <w:lang w:val="en-US"/>
        </w:rPr>
        <w:t xml:space="preserve">., USA) and </w:t>
      </w:r>
      <w:proofErr w:type="spellStart"/>
      <w:r w:rsidRPr="00043CE7">
        <w:rPr>
          <w:lang w:val="en-US"/>
        </w:rPr>
        <w:t>Infinium</w:t>
      </w:r>
      <w:proofErr w:type="spellEnd"/>
      <w:r w:rsidRPr="00043CE7">
        <w:rPr>
          <w:lang w:val="en-US"/>
        </w:rPr>
        <w:t xml:space="preserve"> Global Screening Array (GSA) (Illumina </w:t>
      </w:r>
      <w:proofErr w:type="spellStart"/>
      <w:r w:rsidRPr="00043CE7">
        <w:rPr>
          <w:lang w:val="en-US"/>
        </w:rPr>
        <w:t>Inc</w:t>
      </w:r>
      <w:proofErr w:type="spellEnd"/>
      <w:r w:rsidRPr="00043CE7">
        <w:rPr>
          <w:lang w:val="en-US"/>
        </w:rPr>
        <w:t>, San Diego, CA., USA). Qua</w:t>
      </w:r>
      <w:r>
        <w:rPr>
          <w:lang w:val="en-US"/>
        </w:rPr>
        <w:t>lity control (QC)</w:t>
      </w:r>
      <w:r w:rsidRPr="00043CE7">
        <w:rPr>
          <w:lang w:val="en-US"/>
        </w:rPr>
        <w:t xml:space="preserve"> was done separately for each array using </w:t>
      </w:r>
      <w:proofErr w:type="spellStart"/>
      <w:r w:rsidRPr="00043CE7">
        <w:rPr>
          <w:lang w:val="en-US"/>
        </w:rPr>
        <w:t>Ricopili</w:t>
      </w:r>
      <w:proofErr w:type="spellEnd"/>
      <w:r>
        <w:rPr>
          <w:lang w:val="en-US"/>
        </w:rPr>
        <w:t xml:space="preserve"> (Rapid Imputation for </w:t>
      </w:r>
      <w:proofErr w:type="spellStart"/>
      <w:r>
        <w:rPr>
          <w:lang w:val="en-US"/>
        </w:rPr>
        <w:t>COnsortias</w:t>
      </w:r>
      <w:proofErr w:type="spellEnd"/>
      <w:r>
        <w:rPr>
          <w:lang w:val="en-US"/>
        </w:rPr>
        <w:t xml:space="preserve"> </w:t>
      </w:r>
      <w:proofErr w:type="spellStart"/>
      <w:r>
        <w:rPr>
          <w:lang w:val="en-US"/>
        </w:rPr>
        <w:t>PIpeLI</w:t>
      </w:r>
      <w:r w:rsidRPr="00043CE7">
        <w:rPr>
          <w:lang w:val="en-US"/>
        </w:rPr>
        <w:t>ne</w:t>
      </w:r>
      <w:proofErr w:type="spellEnd"/>
      <w:r w:rsidRPr="00043CE7">
        <w:rPr>
          <w:lang w:val="en-US"/>
        </w:rPr>
        <w:t xml:space="preserve"> for GWAS), an established tool developed by the Psychiatric Genomics Consortium</w:t>
      </w:r>
      <w:r>
        <w:rPr>
          <w:lang w:val="en-US"/>
        </w:rPr>
        <w:t xml:space="preserve"> </w:t>
      </w:r>
      <w:r>
        <w:rPr>
          <w:lang w:val="en-US"/>
        </w:rPr>
        <w:fldChar w:fldCharType="begin" w:fldLock="1"/>
      </w:r>
      <w:r w:rsidR="0067273D">
        <w:rPr>
          <w:lang w:val="en-US"/>
        </w:rPr>
        <w:instrText>ADDIN CSL_CITATION {"citationItems":[{"id":"ITEM-1","itemData":{"DOI":"10.1093/bioinformatics/btz633","ISSN":"1367-4803","author":[{"dropping-particle":"","family":"Lam","given":"Max","non-dropping-particle":"","parse-names":false,"suffix":""},{"dropping-particle":"","family":"Awasthi","given":"Swapnil","non-dropping-particle":"","parse-names":false,"suffix":""},{"dropping-particle":"","family":"Watson","given":"Hunna J","non-dropping-particle":"","parse-names":false,"suffix":""},{"dropping-particle":"","family":"Goldstein","given":"Jackie","non-dropping-particle":"","parse-names":false,"suffix":""},{"dropping-particle":"","family":"Panagiotaropoulou","given":"Georgia","non-dropping-particle":"","parse-names":false,"suffix":""},{"dropping-particle":"","family":"Trubetskoy","given":"Vassily","non-dropping-particle":"","parse-names":false,"suffix":""},{"dropping-particle":"","family":"Karlsson","given":"Robert","non-dropping-particle":"","parse-names":false,"suffix":""},{"dropping-particle":"","family":"Frei","given":"Oleksander","non-dropping-particle":"","parse-names":false,"suffix":""},{"dropping-particle":"","family":"Fan","given":"Chun-Chieh","non-dropping-particle":"","parse-names":false,"suffix":""},{"dropping-particle":"","family":"Witte","given":"Ward","non-dropping-particle":"De","parse-names":false,"suffix":""},{"dropping-particle":"","family":"Mota","given":"Nina R","non-dropping-particle":"","parse-names":false,"suffix":""},{"dropping-particle":"","family":"Mullins","given":"Niamh","non-dropping-particle":"","parse-names":false,"suffix":""},{"dropping-particle":"","family":"Brügger","given":"Kim","non-dropping-particle":"","parse-names":false,"suffix":""},{"dropping-particle":"","family":"Lee","given":"S Hong","non-dropping-particle":"","parse-names":false,"suffix":""},{"dropping-particle":"","family":"Wray","given":"Naomi R","non-dropping-particle":"","parse-names":false,"suffix":""},{"dropping-particle":"","family":"Skarabis","given":"Nora","non-dropping-particle":"","parse-names":false,"suffix":""},{"dropping-particle":"","family":"Huang","given":"Hailiang","non-dropping-particle":"","parse-names":false,"suffix":""},{"dropping-particle":"","family":"Neale","given":"Benjamin","non-dropping-particle":"","parse-names":false,"suffix":""},{"dropping-particle":"","family":"Daly","given":"Mark J","non-dropping-particle":"","parse-names":false,"suffix":""},{"dropping-particle":"","family":"Mattheisen","given":"Manuel","non-dropping-particle":"","parse-names":false,"suffix":""},{"dropping-particle":"","family":"Walters","given":"Raymond","non-dropping-particle":"","parse-names":false,"suffix":""},{"dropping-particle":"","family":"Ripke","given":"Stephan","non-dropping-particle":"","parse-names":false,"suffix":""}],"container-title":"Bioinformatics","editor":[{"dropping-particle":"","family":"Schwartz","given":"Russell","non-dropping-particle":"","parse-names":false,"suffix":""}],"id":"ITEM-1","issued":{"date-parts":[["2019","8","8"]]},"title":"RICOPILI: Rapid Imputation for COnsortias PIpeLIne","type":"article-journal"},"uris":["http://www.mendeley.com/documents/?uuid=8e07dfa6-38bb-41d5-93b7-d8a8bbb00d26"]}],"mendeley":{"formattedCitation":"&lt;span style=\"baseline\"&gt;(19)&lt;/span&gt;","plainTextFormattedCitation":"(19)","previouslyFormattedCitation":"&lt;span style=\"baseline\"&gt;(18)&lt;/span&gt;"},"properties":{"noteIndex":0},"schema":"https://github.com/citation-style-language/schema/raw/master/csl-citation.json"}</w:instrText>
      </w:r>
      <w:r>
        <w:rPr>
          <w:lang w:val="en-US"/>
        </w:rPr>
        <w:fldChar w:fldCharType="separate"/>
      </w:r>
      <w:r w:rsidR="0067273D" w:rsidRPr="0067273D">
        <w:rPr>
          <w:noProof/>
          <w:lang w:val="en-US"/>
        </w:rPr>
        <w:t>(19)</w:t>
      </w:r>
      <w:r>
        <w:rPr>
          <w:lang w:val="en-US"/>
        </w:rPr>
        <w:fldChar w:fldCharType="end"/>
      </w:r>
      <w:r w:rsidRPr="00043CE7">
        <w:rPr>
          <w:lang w:val="en-US"/>
        </w:rPr>
        <w:t xml:space="preserve">. </w:t>
      </w:r>
      <w:r w:rsidRPr="00043CE7">
        <w:t>After QC, the data was imputed using as reference the Haplotype Reference Consortium (HRC) panel, version 1.1</w:t>
      </w:r>
      <w:r>
        <w:t xml:space="preserve"> </w:t>
      </w:r>
      <w:r>
        <w:fldChar w:fldCharType="begin" w:fldLock="1"/>
      </w:r>
      <w:r w:rsidR="0067273D">
        <w:instrText>ADDIN CSL_CITATION {"citationItems":[{"id":"ITEM-1","itemData":{"DOI":"10.1038/ng.3643","ISSN":"1546-1718","PMID":"27548312","abstract":"We describe a reference panel of 64,976 human haplotypes at 39,235,157 SNPs constructed using whole-genome sequence data from 20 studies of predominantly European ancestry. Using this resource leads to accurate genotype imputation at minor allele frequencies as low as 0.1% and a large increase in the number of SNPs tested in association studies, and it can help to discover and refine causal loci. We describe remote server resources that allow researchers to carry out imputation and phasing consistently and efficiently.","author":[{"dropping-particle":"","family":"McCarthy","given":"Shane","non-dropping-particle":"","parse-names":false,"suffix":""},{"dropping-particle":"","family":"Das","given":"Sayantan","non-dropping-particle":"","parse-names":false,"suffix":""},{"dropping-particle":"","family":"Kretzschmar","given":"Warren","non-dropping-particle":"","parse-names":false,"suffix":""},{"dropping-particle":"","family":"Delaneau","given":"Olivier","non-dropping-particle":"","parse-names":false,"suffix":""},{"dropping-particle":"","family":"Wood","given":"Andrew R","non-dropping-particle":"","parse-names":false,"suffix":""},{"dropping-particle":"","family":"Teumer","given":"Alexander","non-dropping-particle":"","parse-names":false,"suffix":""},{"dropping-particle":"","family":"Kang","given":"Hyun Min","non-dropping-particle":"","parse-names":false,"suffix":""},{"dropping-particle":"","family":"Fuchsberger","given":"Christian","non-dropping-particle":"","parse-names":false,"suffix":""},{"dropping-particle":"","family":"Danecek","given":"Petr","non-dropping-particle":"","parse-names":false,"suffix":""},{"dropping-particle":"","family":"Sharp","given":"Kevin","non-dropping-particle":"","parse-names":false,"suffix":""},{"dropping-particle":"","family":"Luo","given":"Yang","non-dropping-particle":"","parse-names":false,"suffix":""},{"dropping-particle":"","family":"Sidore","given":"Carlo","non-dropping-particle":"","parse-names":false,"suffix":""},{"dropping-particle":"","family":"Kwong","given":"Alan","non-dropping-particle":"","parse-names":false,"suffix":""},{"dropping-particle":"","family":"Timpson","given":"Nicholas","non-dropping-particle":"","parse-names":false,"suffix":""},{"dropping-particle":"","family":"Koskinen","given":"Seppo","non-dropping-particle":"","parse-names":false,"suffix":""},{"dropping-particle":"","family":"Vrieze","given":"Scott","non-dropping-particle":"","parse-names":false,"suffix":""},{"dropping-particle":"","family":"Scott","given":"Laura J","non-dropping-particle":"","parse-names":false,"suffix":""},{"dropping-particle":"","family":"Zhang","given":"He","non-dropping-particle":"","parse-names":false,"suffix":""},{"dropping-particle":"","family":"Mahajan","given":"Anubha","non-dropping-particle":"","parse-names":false,"suffix":""},{"dropping-particle":"","family":"Veldink","given":"Jan","non-dropping-particle":"","parse-names":false,"suffix":""},{"dropping-particle":"","family":"Peters","given":"Ulrike","non-dropping-particle":"","parse-names":false,"suffix":""},{"dropping-particle":"","family":"Pato","given":"Carlos","non-dropping-particle":"","parse-names":false,"suffix":""},{"dropping-particle":"","family":"Duijn","given":"Cornelia M","non-dropping-particle":"van","parse-names":false,"suffix":""},{"dropping-particle":"","family":"Gillies","given":"Christopher E","non-dropping-particle":"","parse-names":false,"suffix":""},{"dropping-particle":"","family":"Gandin","given":"Ilaria","non-dropping-particle":"","parse-names":false,"suffix":""},{"dropping-particle":"","family":"Mezzavilla","given":"Massimo","non-dropping-particle":"","parse-names":false,"suffix":""},{"dropping-particle":"","family":"Gilly","given":"Arthur","non-dropping-particle":"","parse-names":false,"suffix":""},{"dropping-particle":"","family":"Cocca","given":"Massimiliano","non-dropping-particle":"","parse-names":false,"suffix":""},{"dropping-particle":"","family":"Traglia","given":"Michela","non-dropping-particle":"","parse-names":false,"suffix":""},{"dropping-particle":"","family":"Angius","given":"Andrea","non-dropping-particle":"","parse-names":false,"suffix":""},{"dropping-particle":"","family":"Barrett","given":"Jeffrey C","non-dropping-particle":"","parse-names":false,"suffix":""},{"dropping-particle":"","family":"Boomsma","given":"Dorrett","non-dropping-particle":"","parse-names":false,"suffix":""},{"dropping-particle":"","family":"Branham","given":"Kari","non-dropping-particle":"","parse-names":false,"suffix":""},{"dropping-particle":"","family":"Breen","given":"Gerome","non-dropping-particle":"","parse-names":false,"suffix":""},{"dropping-particle":"","family":"Brummett","given":"Chad M","non-dropping-particle":"","parse-names":false,"suffix":""},{"dropping-particle":"","family":"Busonero","given":"Fabio","non-dropping-particle":"","parse-names":false,"suffix":""},{"dropping-particle":"","family":"Campbell","given":"Harry","non-dropping-particle":"","parse-names":false,"suffix":""},{"dropping-particle":"","family":"Chan","given":"Andrew","non-dropping-particle":"","parse-names":false,"suffix":""},{"dropping-particle":"","family":"Chen","given":"Sai","non-dropping-particle":"","parse-names":false,"suffix":""},{"dropping-particle":"","family":"Chew","given":"Emily","non-dropping-particle":"","parse-names":false,"suffix":""},{"dropping-particle":"","family":"Collins","given":"Francis S","non-dropping-particle":"","parse-names":false,"suffix":""},{"dropping-particle":"","family":"Corbin","given":"Laura J","non-dropping-particle":"","parse-names":false,"suffix":""},{"dropping-particle":"","family":"Smith","given":"George Davey","non-dropping-particle":"","parse-names":false,"suffix":""},{"dropping-particle":"","family":"Dedoussis","given":"George","non-dropping-particle":"","parse-names":false,"suffix":""},{"dropping-particle":"","family":"Dorr","given":"Marcus","non-dropping-particle":"","parse-names":false,"suffix":""},{"dropping-particle":"","family":"Farmaki","given":"Aliki-Eleni","non-dropping-particle":"","parse-names":false,"suffix":""},{"dropping-particle":"","family":"Ferrucci","given":"Luigi","non-dropping-particle":"","parse-names":false,"suffix":""},{"dropping-particle":"","family":"Forer","given":"Lukas","non-dropping-particle":"","parse-names":false,"suffix":""},{"dropping-particle":"","family":"Fraser","given":"Ross M","non-dropping-particle":"","parse-names":false,"suffix":""},{"dropping-particle":"","family":"Gabriel","given":"Stacey","non-dropping-particle":"","parse-names":false,"suffix":""},{"dropping-particle":"","family":"Levy","given":"Shawn","non-dropping-particle":"","parse-names":false,"suffix":""},{"dropping-particle":"","family":"Groop","given":"Leif","non-dropping-particle":"","parse-names":false,"suffix":""},{"dropping-particle":"","family":"Harrison","given":"Tabitha","non-dropping-particle":"","parse-names":false,"suffix":""},{"dropping-particle":"","family":"Hattersley","given":"Andrew","non-dropping-particle":"","parse-names":false,"suffix":""},{"dropping-particle":"","family":"Holmen","given":"Oddgeir L","non-dropping-particle":"","parse-names":false,"suffix":""},{"dropping-particle":"","family":"Hveem","given":"Kristian","non-dropping-particle":"","parse-names":false,"suffix":""},{"dropping-particle":"","family":"Kretzler","given":"Matthias","non-dropping-particle":"","parse-names":false,"suffix":""},{"dropping-particle":"","family":"Lee","given":"James C","non-dropping-particle":"","parse-names":false,"suffix":""},{"dropping-particle":"","family":"McGue","given":"Matt","non-dropping-particle":"","parse-names":false,"suffix":""},{"dropping-particle":"","family":"Meitinger","given":"Thomas","non-dropping-particle":"","parse-names":false,"suffix":""},{"dropping-particle":"","family":"Melzer","given":"David","non-dropping-particle":"","parse-names":false,"suffix":""},{"dropping-particle":"","family":"Min","given":"Josine L","non-dropping-particle":"","parse-names":false,"suffix":""},{"dropping-particle":"","family":"Mohlke","given":"Karen L","non-dropping-particle":"","parse-names":false,"suffix":""},{"dropping-particle":"","family":"Vincent","given":"John B","non-dropping-particle":"","parse-names":false,"suffix":""},{"dropping-particle":"","family":"Nauck","given":"Matthias","non-dropping-particle":"","parse-names":false,"suffix":""},{"dropping-particle":"","family":"Nickerson","given":"Deborah","non-dropping-particle":"","parse-names":false,"suffix":""},{"dropping-particle":"","family":"Palotie","given":"Aarno","non-dropping-particle":"","parse-names":false,"suffix":""},{"dropping-particle":"","family":"Pato","given":"Michele","non-dropping-particle":"","parse-names":false,"suffix":""},{"dropping-particle":"","family":"Pirastu","given":"Nicola","non-dropping-particle":"","parse-names":false,"suffix":""},{"dropping-particle":"","family":"McInnis","given":"Melvin","non-dropping-particle":"","parse-names":false,"suffix":""},{"dropping-particle":"","family":"Richards","given":"J Brent","non-dropping-particle":"","parse-names":false,"suffix":""},{"dropping-particle":"","family":"Sala","given":"Cinzia","non-dropping-particle":"","parse-names":false,"suffix":""},{"dropping-particle":"","family":"Salomaa","given":"Veikko","non-dropping-particle":"","parse-names":false,"suffix":""},{"dropping-particle":"","family":"Schlessinger","given":"David","non-dropping-particle":"","parse-names":false,"suffix":""},{"dropping-particle":"","family":"Schoenherr","given":"Sebastian","non-dropping-particle":"","parse-names":false,"suffix":""},{"dropping-particle":"","family":"Slagboom","given":"P Eline","non-dropping-particle":"","parse-names":false,"suffix":""},{"dropping-particle":"","family":"Small","given":"Kerrin","non-dropping-particle":"","parse-names":false,"suffix":""},{"dropping-particle":"","family":"Spector","given":"Timothy","non-dropping-particle":"","parse-names":false,"suffix":""},{"dropping-particle":"","family":"Stambolian","given":"Dwight","non-dropping-particle":"","parse-names":false,"suffix":""},{"dropping-particle":"","family":"Tuke","given":"Marcus","non-dropping-particle":"","parse-names":false,"suffix":""},{"dropping-particle":"","family":"Tuomilehto","given":"Jaakko","non-dropping-particle":"","parse-names":false,"suffix":""},{"dropping-particle":"","family":"Berg","given":"Leonard H","non-dropping-particle":"Van den","parse-names":false,"suffix":""},{"dropping-particle":"","family":"Rheenen","given":"Wouter","non-dropping-particle":"Van","parse-names":false,"suffix":""},{"dropping-particle":"","family":"Volker","given":"Uwe","non-dropping-particle":"","parse-names":false,"suffix":""},{"dropping-particle":"","family":"Wijmenga","given":"Cisca","non-dropping-particle":"","parse-names":false,"suffix":""},{"dropping-particle":"","family":"Toniolo","given":"Daniela","non-dropping-particle":"","parse-names":false,"suffix":""},{"dropping-particle":"","family":"Zeggini","given":"Eleftheria","non-dropping-particle":"","parse-names":false,"suffix":""},{"dropping-particle":"","family":"Gasparini","given":"Paolo","non-dropping-particle":"","parse-names":false,"suffix":""},{"dropping-particle":"","family":"Sampson","given":"Matthew G","non-dropping-particle":"","parse-names":false,"suffix":""},{"dropping-particle":"","family":"Wilson","given":"James F","non-dropping-particle":"","parse-names":false,"suffix":""},{"dropping-particle":"","family":"Frayling","given":"Timothy","non-dropping-particle":"","parse-names":false,"suffix":""},{"dropping-particle":"","family":"Bakker","given":"Paul I W","non-dropping-particle":"de","parse-names":false,"suffix":""},{"dropping-particle":"","family":"Swertz","given":"Morris A","non-dropping-particle":"","parse-names":false,"suffix":""},{"dropping-particle":"","family":"McCarroll","given":"Steven","non-dropping-particle":"","parse-names":false,"suffix":""},{"dropping-particle":"","family":"Kooperberg","given":"Charles","non-dropping-particle":"","parse-names":false,"suffix":""},{"dropping-particle":"","family":"Dekker","given":"Annelot","non-dropping-particle":"","parse-names":false,"suffix":""},{"dropping-particle":"","family":"Altshuler","given":"David","non-dropping-particle":"","parse-names":false,"suffix":""},{"dropping-particle":"","family":"Willer","given":"Cristen","non-dropping-particle":"","parse-names":false,"suffix":""},{"dropping-particle":"","family":"Iacono","given":"William","non-dropping-particle":"","parse-names":false,"suffix":""},{"dropping-particle":"","family":"Ripatti","given":"Samuli","non-dropping-particle":"","parse-names":false,"suffix":""},{"dropping-particle":"","family":"Soranzo","given":"Nicole","non-dropping-particle":"","parse-names":false,"suffix":""},{"dropping-particle":"","family":"Walter","given":"Klaudia","non-dropping-particle":"","parse-names":false,"suffix":""},{"dropping-particle":"","family":"Swaroop","given":"Anand","non-dropping-particle":"","parse-names":false,"suffix":""},{"dropping-particle":"","family":"Cucca","given":"Francesco","non-dropping-particle":"","parse-names":false,"suffix":""},{"dropping-particle":"","family":"Anderson","given":"Carl A","non-dropping-particle":"","parse-names":false,"suffix":""},{"dropping-particle":"","family":"Myers","given":"Richard M","non-dropping-particle":"","parse-names":false,"suffix":""},{"dropping-particle":"","family":"Boehnke","given":"Michael","non-dropping-particle":"","parse-names":false,"suffix":""},{"dropping-particle":"","family":"McCarthy","given":"Mark I","non-dropping-particle":"","parse-names":false,"suffix":""},{"dropping-particle":"","family":"Durbin","given":"Richard","non-dropping-particle":"","parse-names":false,"suffix":""},{"dropping-particle":"","family":"Haplotype Reference Consortium","given":"","non-dropping-particle":"","parse-names":false,"suffix":""}],"container-title":"Nature genetics","id":"ITEM-1","issue":"10","issued":{"date-parts":[["2016","10","22"]]},"page":"1279-83","title":"A reference panel of 64,976 haplotypes for genotype imputation.","type":"article-journal","volume":"48"},"uris":["http://www.mendeley.com/documents/?uuid=d5d98974-3657-3e5f-849c-2388bd04145e"]}],"mendeley":{"formattedCitation":"&lt;span style=\"baseline\"&gt;(20)&lt;/span&gt;","plainTextFormattedCitation":"(20)","previouslyFormattedCitation":"&lt;span style=\"baseline\"&gt;(19)&lt;/span&gt;"},"properties":{"noteIndex":0},"schema":"https://github.com/citation-style-language/schema/raw/master/csl-citation.json"}</w:instrText>
      </w:r>
      <w:r>
        <w:fldChar w:fldCharType="separate"/>
      </w:r>
      <w:r w:rsidR="0067273D" w:rsidRPr="0067273D">
        <w:rPr>
          <w:noProof/>
        </w:rPr>
        <w:t>(20)</w:t>
      </w:r>
      <w:r>
        <w:fldChar w:fldCharType="end"/>
      </w:r>
      <w:r w:rsidRPr="00043CE7">
        <w:t xml:space="preserve">. The imputation was done using </w:t>
      </w:r>
      <w:proofErr w:type="spellStart"/>
      <w:r w:rsidRPr="00043CE7">
        <w:t>Minimac</w:t>
      </w:r>
      <w:proofErr w:type="spellEnd"/>
      <w:r w:rsidRPr="00043CE7">
        <w:t xml:space="preserve"> 3, and the process was facilitated by the Michigan Imputation server</w:t>
      </w:r>
      <w:r>
        <w:fldChar w:fldCharType="begin" w:fldLock="1"/>
      </w:r>
      <w:r w:rsidR="0067273D">
        <w:instrText>ADDIN CSL_CITATION {"citationItems":[{"id":"ITEM-1","itemData":{"DOI":"10.1038/ng.3656","ISSN":"1061-4036","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Genetics","id":"ITEM-1","issue":"10","issued":{"date-parts":[["2016","10","29"]]},"page":"1284-1287","title":"Next-generation genotype imputation service and methods","type":"article-journal","volume":"48"},"uris":["http://www.mendeley.com/documents/?uuid=f5309603-e395-44a7-83fe-e533d875903b"]}],"mendeley":{"formattedCitation":"&lt;span style=\"baseline\"&gt;(21)&lt;/span&gt;","plainTextFormattedCitation":"(21)","previouslyFormattedCitation":"&lt;span style=\"baseline\"&gt;(20)&lt;/span&gt;"},"properties":{"noteIndex":0},"schema":"https://github.com/citation-style-language/schema/raw/master/csl-citation.json"}</w:instrText>
      </w:r>
      <w:r>
        <w:fldChar w:fldCharType="separate"/>
      </w:r>
      <w:r w:rsidR="0067273D" w:rsidRPr="0067273D">
        <w:rPr>
          <w:noProof/>
        </w:rPr>
        <w:t>(21)</w:t>
      </w:r>
      <w:r>
        <w:fldChar w:fldCharType="end"/>
      </w:r>
      <w:r w:rsidRPr="00043CE7">
        <w:t>.</w:t>
      </w:r>
    </w:p>
    <w:p w14:paraId="242FCD07" w14:textId="77777777" w:rsidR="00A377AB" w:rsidRPr="00043CE7" w:rsidRDefault="00A377AB" w:rsidP="00A377AB">
      <w:pPr>
        <w:spacing w:line="276" w:lineRule="auto"/>
      </w:pPr>
      <w:r w:rsidRPr="00043CE7">
        <w:t>Grip strength was measured during the medical interview using a dynamometer (Takei TKK 5001, Takei Scientific Instruments Co. Ltd., Tokyo, Japan) and it was recorded in the nearest 1 kg. Dynapenia was determined using the FNIH criteria and EWGSOP criteria.</w:t>
      </w:r>
    </w:p>
    <w:p w14:paraId="33EEF0E5" w14:textId="58D95890" w:rsidR="007A77BB" w:rsidRDefault="00A377AB" w:rsidP="00A377AB">
      <w:pPr>
        <w:spacing w:line="276" w:lineRule="auto"/>
      </w:pPr>
      <w:r>
        <w:t>The analyses were performed separately per genotyping array and were adjusted for age, sex (except sex-specific analyses), 10 principal components and cohort (for the GSA array). Logistic regression in Plink v.1.9 was used.</w:t>
      </w:r>
    </w:p>
    <w:p w14:paraId="7C832B47" w14:textId="77777777" w:rsidR="00D30B61" w:rsidRDefault="00D30B61" w:rsidP="00916D56">
      <w:pPr>
        <w:spacing w:line="276" w:lineRule="auto"/>
      </w:pPr>
    </w:p>
    <w:p w14:paraId="4B6A0A09" w14:textId="58241E74" w:rsidR="00D30B61" w:rsidRDefault="00D30B61" w:rsidP="00D30B61">
      <w:pPr>
        <w:pStyle w:val="Heading3"/>
      </w:pPr>
      <w:bookmarkStart w:id="12" w:name="_Toc38549324"/>
      <w:r>
        <w:t>Long-Life Family Study</w:t>
      </w:r>
      <w:bookmarkEnd w:id="12"/>
    </w:p>
    <w:p w14:paraId="131E967E" w14:textId="77777777" w:rsidR="008B0CF9" w:rsidRDefault="008B0CF9" w:rsidP="008B0CF9">
      <w:r w:rsidRPr="004A32FF">
        <w:t>The Long Life Family Study is a multi-</w:t>
      </w:r>
      <w:r>
        <w:t xml:space="preserve"> </w:t>
      </w:r>
      <w:r w:rsidRPr="004A32FF">
        <w:t>centr</w:t>
      </w:r>
      <w:r>
        <w:t>e</w:t>
      </w:r>
      <w:r w:rsidRPr="004A32FF">
        <w:t xml:space="preserve"> international study on the genetics and familial components of exceptional survival. Between 2006 to 2009, LLFS successfully enrolled and rigorously </w:t>
      </w:r>
      <w:proofErr w:type="spellStart"/>
      <w:r w:rsidRPr="004A32FF">
        <w:t>phenotyped</w:t>
      </w:r>
      <w:proofErr w:type="spellEnd"/>
      <w:r w:rsidRPr="004A32FF">
        <w:t xml:space="preserve"> </w:t>
      </w:r>
      <w:proofErr w:type="spellStart"/>
      <w:r w:rsidRPr="004A32FF">
        <w:t>probands</w:t>
      </w:r>
      <w:proofErr w:type="spellEnd"/>
      <w:r w:rsidRPr="004A32FF">
        <w:t>,</w:t>
      </w:r>
      <w:r w:rsidRPr="004A32FF">
        <w:rPr>
          <w:b/>
          <w:noProof/>
        </w:rPr>
        <w:t xml:space="preserve"> </w:t>
      </w:r>
      <w:r w:rsidRPr="004A32FF">
        <w:t>their siblings, and children of families demonstrating exceptional survival (4,953 individuals from 539 families</w:t>
      </w:r>
      <w:r w:rsidRPr="000911AA">
        <w:t>;</w:t>
      </w:r>
      <w:r w:rsidRPr="0023772A">
        <w:t xml:space="preserve"> N=1727 </w:t>
      </w:r>
      <w:proofErr w:type="spellStart"/>
      <w:r w:rsidRPr="0023772A">
        <w:t>probands</w:t>
      </w:r>
      <w:proofErr w:type="spellEnd"/>
      <w:r w:rsidRPr="0023772A">
        <w:t>; 3226 offspring</w:t>
      </w:r>
      <w:r w:rsidRPr="004A32FF">
        <w:t xml:space="preserve">). LLFS includes: Field </w:t>
      </w:r>
      <w:r>
        <w:t>centres</w:t>
      </w:r>
      <w:r w:rsidRPr="004A32FF">
        <w:t xml:space="preserve"> at Boston U</w:t>
      </w:r>
      <w:r>
        <w:t>niversity</w:t>
      </w:r>
      <w:r w:rsidRPr="004A32FF">
        <w:t>, Columbia U</w:t>
      </w:r>
      <w:r>
        <w:t>niversity</w:t>
      </w:r>
      <w:r w:rsidRPr="004A32FF">
        <w:t>, U</w:t>
      </w:r>
      <w:r>
        <w:t xml:space="preserve">niversity of </w:t>
      </w:r>
      <w:r w:rsidRPr="004A32FF">
        <w:t>P</w:t>
      </w:r>
      <w:r>
        <w:t>ittsburgh</w:t>
      </w:r>
      <w:r w:rsidRPr="004A32FF">
        <w:t>, and U</w:t>
      </w:r>
      <w:r>
        <w:t>niversity of</w:t>
      </w:r>
      <w:r w:rsidRPr="004A32FF">
        <w:t xml:space="preserve"> Southern Denmark, a</w:t>
      </w:r>
      <w:r>
        <w:t>t</w:t>
      </w:r>
      <w:r w:rsidRPr="004A32FF">
        <w:t xml:space="preserve"> Laboratory Core (U</w:t>
      </w:r>
      <w:r>
        <w:t>niversity of</w:t>
      </w:r>
      <w:r w:rsidRPr="004A32FF">
        <w:t xml:space="preserve"> Minnesota) and a Coordinating </w:t>
      </w:r>
      <w:proofErr w:type="spellStart"/>
      <w:r w:rsidRPr="004A32FF">
        <w:t>Center</w:t>
      </w:r>
      <w:proofErr w:type="spellEnd"/>
      <w:r w:rsidRPr="004A32FF">
        <w:t xml:space="preserve"> (Washington U</w:t>
      </w:r>
      <w:r>
        <w:t>niversity in St. Louis</w:t>
      </w:r>
      <w:r w:rsidRPr="004A32FF">
        <w:t>)</w:t>
      </w:r>
      <w:r w:rsidRPr="000B4190">
        <w:t xml:space="preserve">. In brief, the LLFS recruited selected families with multiple exceptionally old living individuals, </w:t>
      </w:r>
      <w:r>
        <w:t>t</w:t>
      </w:r>
      <w:r w:rsidRPr="000B4190">
        <w:t xml:space="preserve">he </w:t>
      </w:r>
      <w:proofErr w:type="spellStart"/>
      <w:r w:rsidRPr="000B4190">
        <w:t>probands</w:t>
      </w:r>
      <w:proofErr w:type="spellEnd"/>
      <w:r w:rsidRPr="000B4190">
        <w:t xml:space="preserve"> were ≥79 years old in the USA, and ≥90 years old in Denmark. Families were selected to participate in the study based on The Family Longevity Selection Score (</w:t>
      </w:r>
      <w:proofErr w:type="spellStart"/>
      <w:r w:rsidRPr="000B4190">
        <w:t>FLoSS</w:t>
      </w:r>
      <w:proofErr w:type="spellEnd"/>
      <w:r w:rsidRPr="000B4190">
        <w:t xml:space="preserve">) </w:t>
      </w:r>
      <w:r>
        <w:fldChar w:fldCharType="begin" w:fldLock="1"/>
      </w:r>
      <w:r>
        <w:instrText>ADDIN CSL_CITATION {"citationItems":[{"id":"ITEM-1","itemData":{"DOI":"10.1093/aje/kwp309","ISSN":"1476-6256","PMID":"19910380","abstract":"Family studies of exceptional longevity can potentially identify genetic and other factors contributing to long life and healthy aging. Although such studies seek families that are exceptionally long lived, they also need living members who can provide DNA and phenotype information. On the basis of these considerations, the authors developed a metric to rank families for selection into a family study of longevity. Their measure, the family longevity selection score (FLoSS), is the sum of 2 components: 1) an estimated family longevity score built from birth-, gender-, and nation-specific cohort survival probabilities and 2) a bonus for older living siblings. The authors examined properties of FLoSS-based family rankings by using data from 3 ongoing studies: the New England Centenarian Study, the Framingham Heart Study, and screenees for the Long Life Family Study. FLoSS-based selection yields families with exceptional longevity, satisfactory sibship sizes and numbers of living siblings, and high ages. Parameters in the FLoSS formula can be tailored for studies of specific populations or age ranges or with different conditions. The first component of the FLoSS also provides a conceptually sound survival measure to characterize exceptional longevity in individuals or families in various types of studies and correlates well with later-observed longevity.","author":[{"dropping-particle":"","family":"Sebastiani","given":"Paola","non-dropping-particle":"","parse-names":false,"suffix":""},{"dropping-particle":"","family":"Hadley","given":"Evan C","non-dropping-particle":"","parse-names":false,"suffix":""},{"dropping-particle":"","family":"Province","given":"Michael","non-dropping-particle":"","parse-names":false,"suffix":""},{"dropping-particle":"","family":"Christensen","given":"Kaare","non-dropping-particle":"","parse-names":false,"suffix":""},{"dropping-particle":"","family":"Rossi","given":"Winifred","non-dropping-particle":"","parse-names":false,"suffix":""},{"dropping-particle":"","family":"Perls","given":"Thomas T","non-dropping-particle":"","parse-names":false,"suffix":""},{"dropping-particle":"","family":"Ash","given":"Arlene S","non-dropping-particle":"","parse-names":false,"suffix":""}],"container-title":"American journal of epidemiology","id":"ITEM-1","issue":"12","issued":{"date-parts":[["2009","12","15"]]},"page":"1555-62","title":"A family longevity selection score: ranking sibships by their longevity, size, and availability for study.","type":"article-journal","volume":"170"},"uris":["http://www.mendeley.com/documents/?uuid=fa2d8f59-ffb2-4030-84f5-3f4ab37d8db9"]}],"mendeley":{"formattedCitation":"&lt;span style=\"baseline\"&gt;(22)&lt;/span&gt;","plainTextFormattedCitation":"(22)","previouslyFormattedCitation":"&lt;span style=\"baseline\"&gt;(21)&lt;/span&gt;"},"properties":{"noteIndex":0},"schema":"https://github.com/citation-style-language/schema/raw/master/csl-citation.json"}</w:instrText>
      </w:r>
      <w:r>
        <w:fldChar w:fldCharType="separate"/>
      </w:r>
      <w:r w:rsidRPr="0067273D">
        <w:rPr>
          <w:noProof/>
        </w:rPr>
        <w:t>(22)</w:t>
      </w:r>
      <w:r>
        <w:fldChar w:fldCharType="end"/>
      </w:r>
      <w:r w:rsidRPr="000B4190">
        <w:t xml:space="preserve"> which calculated the rank </w:t>
      </w:r>
      <w:proofErr w:type="spellStart"/>
      <w:r w:rsidRPr="000B4190">
        <w:t>sibships</w:t>
      </w:r>
      <w:proofErr w:type="spellEnd"/>
      <w:r w:rsidRPr="000B4190">
        <w:t xml:space="preserve"> by current age or age at death of siblings, the size of the </w:t>
      </w:r>
      <w:proofErr w:type="spellStart"/>
      <w:r w:rsidRPr="000B4190">
        <w:t>sibship</w:t>
      </w:r>
      <w:proofErr w:type="spellEnd"/>
      <w:r w:rsidRPr="000B4190">
        <w:t xml:space="preserve"> and the number of alive individuals available for study. A </w:t>
      </w:r>
      <w:proofErr w:type="spellStart"/>
      <w:r w:rsidRPr="000B4190">
        <w:t>proband's</w:t>
      </w:r>
      <w:proofErr w:type="spellEnd"/>
      <w:r w:rsidRPr="000B4190">
        <w:t xml:space="preserve"> family was eligible if the </w:t>
      </w:r>
      <w:proofErr w:type="spellStart"/>
      <w:r w:rsidRPr="000B4190">
        <w:t>FLoSS</w:t>
      </w:r>
      <w:proofErr w:type="spellEnd"/>
      <w:r w:rsidRPr="000B4190">
        <w:t xml:space="preserve"> reached a score of 7 or higher, which met the following criteria: (1) the </w:t>
      </w:r>
      <w:proofErr w:type="spellStart"/>
      <w:r w:rsidRPr="000B4190">
        <w:t>proband</w:t>
      </w:r>
      <w:proofErr w:type="spellEnd"/>
      <w:r w:rsidRPr="000B4190">
        <w:t>, at least one living sibling, and one of their living offspring (minimum family size of 3) were all able to give informed consent, and (2) were willing to participate in the interview and examination including the blood sample for serum and DNA extraction. The age of the 3359 participants</w:t>
      </w:r>
      <w:r>
        <w:t xml:space="preserve"> who were aged 60 years and older with valid grip strength and genotyped data</w:t>
      </w:r>
      <w:r w:rsidRPr="000B4190">
        <w:t xml:space="preserve"> in the current analyses was: 77.6 </w:t>
      </w:r>
      <w:r>
        <w:rPr>
          <w:rFonts w:cstheme="minorHAnsi"/>
        </w:rPr>
        <w:t>±</w:t>
      </w:r>
      <w:r w:rsidRPr="000B4190">
        <w:t xml:space="preserve"> 12.9 (range: 60-110).</w:t>
      </w:r>
    </w:p>
    <w:p w14:paraId="1780175F" w14:textId="77777777" w:rsidR="008B0CF9" w:rsidRDefault="008B0CF9" w:rsidP="008B0CF9">
      <w:r w:rsidRPr="000B4190">
        <w:lastRenderedPageBreak/>
        <w:t>Grip strength was measured using a JAMAR® hand-held dynamometer (</w:t>
      </w:r>
      <w:proofErr w:type="spellStart"/>
      <w:r w:rsidRPr="000B4190">
        <w:t>Sammos</w:t>
      </w:r>
      <w:proofErr w:type="spellEnd"/>
      <w:r w:rsidRPr="000B4190">
        <w:t xml:space="preserve"> Preston </w:t>
      </w:r>
      <w:proofErr w:type="spellStart"/>
      <w:r w:rsidRPr="000B4190">
        <w:t>Rolyan</w:t>
      </w:r>
      <w:proofErr w:type="spellEnd"/>
      <w:r w:rsidRPr="000B4190">
        <w:t>, Bolingbrook, IL). Two trials for each were conducted, and the maximum value for the strongest hand was used in analyses.</w:t>
      </w:r>
    </w:p>
    <w:p w14:paraId="280D68D0" w14:textId="77777777" w:rsidR="008B0CF9" w:rsidRDefault="008B0CF9" w:rsidP="008B0CF9">
      <w:r>
        <w:t xml:space="preserve">Genotype data were produced on 4,716 of the consented LLFS subjects using the Illumina 2.5 million </w:t>
      </w:r>
      <w:proofErr w:type="spellStart"/>
      <w:r>
        <w:t>HumanOmni</w:t>
      </w:r>
      <w:proofErr w:type="spellEnd"/>
      <w:r>
        <w:t xml:space="preserve"> array, with the purpose of utilizing them in genome-wide association (GWA) analyses. Genotypes were called using Bead Studio. LLFS QC of the genotypes included using the package GRR (Graphical Representation of Relationships)</w:t>
      </w:r>
      <w:r>
        <w:fldChar w:fldCharType="begin" w:fldLock="1"/>
      </w:r>
      <w:r>
        <w:instrText>ADDIN CSL_CITATION {"citationItems":[{"id":"ITEM-1","itemData":{"DOI":"10.1093/bioinformatics/17.8.742","ISSN":"1367-4803","PMID":"11524377","abstract":"SUMMARY A graphical tool for verifying assumed relationships between individuals in genetic studies is described. GRR can detect many common errors using genotypes from many markers. AVAILABILITY GRR is available at http://bioinformatics.well.ox.ac.uk/GRR.","author":[{"dropping-particle":"","family":"Abecasis","given":"G R","non-dropping-particle":"","parse-names":false,"suffix":""},{"dropping-particle":"","family":"Cherny","given":"S S","non-dropping-particle":"","parse-names":false,"suffix":""},{"dropping-particle":"","family":"Cookson","given":"W O","non-dropping-particle":"","parse-names":false,"suffix":""},{"dropping-particle":"","family":"Cardon","given":"L R","non-dropping-particle":"","parse-names":false,"suffix":""}],"container-title":"Bioinformatics (Oxford, England)","id":"ITEM-1","issue":"8","issued":{"date-parts":[["2001","8"]]},"page":"742-3","title":"GRR: graphical representation of relationship errors.","type":"article-journal","volume":"17"},"uris":["http://www.mendeley.com/documents/?uuid=f38eeb9b-4e79-47a8-a3ea-87780e246c19"]}],"mendeley":{"formattedCitation":"&lt;span style=\"baseline\"&gt;(23)&lt;/span&gt;","plainTextFormattedCitation":"(23)","previouslyFormattedCitation":"&lt;span style=\"baseline\"&gt;(22)&lt;/span&gt;"},"properties":{"noteIndex":0},"schema":"https://github.com/citation-style-language/schema/raw/master/csl-citation.json"}</w:instrText>
      </w:r>
      <w:r>
        <w:fldChar w:fldCharType="separate"/>
      </w:r>
      <w:r w:rsidRPr="0067273D">
        <w:rPr>
          <w:noProof/>
        </w:rPr>
        <w:t>(23)</w:t>
      </w:r>
      <w:r>
        <w:fldChar w:fldCharType="end"/>
      </w:r>
      <w:r>
        <w:t xml:space="preserve"> to check familial relationships and sample switches based on Identity-by-State genotypes. Corrections to familial relationships were made as warranted by the data.  After GRR, additional QC included removing 18 samples with autosomal call rates less than 97.5%, leaving 4,693 (4,597 with EU ancestry) subjects for further analysis.  To determine and exclude outliers with respect to ancestral population, we generated principle components (PCs) with smartpca2016 </w:t>
      </w:r>
      <w:r>
        <w:fldChar w:fldCharType="begin" w:fldLock="1"/>
      </w:r>
      <w:r>
        <w:instrText>ADDIN CSL_CITATION {"citationItems":[{"id":"ITEM-1","itemData":{"DOI":"10.1038/ng1847","ISSN":"1061-4036","author":[{"dropping-particle":"","family":"Price","given":"Alkes L","non-dropping-particle":"","parse-names":false,"suffix":""},{"dropping-particle":"","family":"Patterson","given":"Nick J","non-dropping-particle":"","parse-names":false,"suffix":""},{"dropping-particle":"","family":"Plenge","given":"Robert M","non-dropping-particle":"","parse-names":false,"suffix":""},{"dropping-particle":"","family":"Weinblatt","given":"Michael E","non-dropping-particle":"","parse-names":false,"suffix":""},{"dropping-particle":"","family":"Shadick","given":"Nancy A","non-dropping-particle":"","parse-names":false,"suffix":""},{"dropping-particle":"","family":"Reich","given":"David","non-dropping-particle":"","parse-names":false,"suffix":""}],"container-title":"Nature Genetics","id":"ITEM-1","issue":"8","issued":{"date-parts":[["2006","8","23"]]},"page":"904-909","title":"Principal components analysis corrects for stratification in genome-wide association studies","type":"article-journal","volume":"38"},"uris":["http://www.mendeley.com/documents/?uuid=a5fee897-0dc4-4614-92fc-ae6e3019a55d"]}],"mendeley":{"formattedCitation":"&lt;span style=\"baseline\"&gt;(24)&lt;/span&gt;","plainTextFormattedCitation":"(24)","previouslyFormattedCitation":"&lt;span style=\"baseline\"&gt;(23)&lt;/span&gt;"},"properties":{"noteIndex":0},"schema":"https://github.com/citation-style-language/schema/raw/master/csl-citation.json"}</w:instrText>
      </w:r>
      <w:r>
        <w:fldChar w:fldCharType="separate"/>
      </w:r>
      <w:r w:rsidRPr="0067273D">
        <w:rPr>
          <w:noProof/>
        </w:rPr>
        <w:t>(24)</w:t>
      </w:r>
      <w:r>
        <w:fldChar w:fldCharType="end"/>
      </w:r>
      <w:r>
        <w:t xml:space="preserve"> from 112,639 Tag SNPs in 4,597 (of 4,693) LLFS samples of European Ancestry and included 2,504 haplotypes from 1000 genomes Cosmopolitan panel to support ancestral clustering.  18 additional individuals of the 4,597 samples with EU ancestry were identified as PCs outliers and removed prior to imputation.  Further, we calculated sample heterozygosity and removed 5 outliers (3 overlap in PCA outliers) with excess heterozygosity, i.e. heterozygosity &gt; median + 3*IQR, thereby leaving 4,577 samples for imputation.  </w:t>
      </w:r>
    </w:p>
    <w:p w14:paraId="257AAA1D" w14:textId="77777777" w:rsidR="008B0CF9" w:rsidRDefault="008B0CF9" w:rsidP="008B0CF9">
      <w:r>
        <w:t xml:space="preserve">SNP QC included using Loki </w:t>
      </w:r>
      <w:r>
        <w:fldChar w:fldCharType="begin" w:fldLock="1"/>
      </w:r>
      <w:r>
        <w:instrText>ADDIN CSL_CITATION {"citationItems":[{"id":"ITEM-1","itemData":{"DOI":"10.1086/515506","ISSN":"0002-9297","PMID":"9326339","abstract":"A new method for segregation and linkage analysis, with pedigree data, is described. Reversible jump Markov chain Monte Carlo methods are used to implement a sampling scheme in which the Markov chain can jump between parameter subspaces corresponding to models with different numbers of quantitative-trait loci (QTL's). Joint estimation of QTL number, position, and effects is possible, avoiding the problems that can arise from misspecification of the number of QTL's in a linkage analysis. The method is illustrated by use of a data set simulated for the 9th Genetic Analysis Workshop; this data set had several oligogenic traits, generated by use of a 1,497-member pedigree. The mixing characteristics of the method appear to be good, and the method correctly recovers the simulated model from the test data set. The approach appears to have great potential both for robust linkage analysis and for the answering of more general questions regarding the genetic control of complex traits.","author":[{"dropping-particle":"","family":"Heath","given":"S C","non-dropping-particle":"","parse-names":false,"suffix":""}],"container-title":"American journal of human genetics","id":"ITEM-1","issue":"3","issued":{"date-parts":[["1997","9"]]},"page":"748-60","title":"Markov chain Monte Carlo segregation and linkage analysis for oligogenic models.","type":"article-journal","volume":"61"},"uris":["http://www.mendeley.com/documents/?uuid=f990e46f-1c0a-43a2-9c1d-089c98aad39d"]}],"mendeley":{"formattedCitation":"&lt;span style=\"baseline\"&gt;(25)&lt;/span&gt;","plainTextFormattedCitation":"(25)","previouslyFormattedCitation":"&lt;span style=\"baseline\"&gt;(24)&lt;/span&gt;"},"properties":{"noteIndex":0},"schema":"https://github.com/citation-style-language/schema/raw/master/csl-citation.json"}</w:instrText>
      </w:r>
      <w:r>
        <w:fldChar w:fldCharType="separate"/>
      </w:r>
      <w:r w:rsidRPr="0067273D">
        <w:rPr>
          <w:noProof/>
        </w:rPr>
        <w:t>(25)</w:t>
      </w:r>
      <w:r>
        <w:fldChar w:fldCharType="end"/>
      </w:r>
      <w:r>
        <w:t xml:space="preserve"> to identify all Mendel errors in SNPs among families. 3,647 SNPs were identified as outliers with respect to total number of detected Mendelian errors and were excluded. All other genotype calls resulting in Mendel errors were set to missing, which occurred 153,363 times in our data. SNPs with a call rate lower than 98% were also excluded (n=83,774; 1,188 of these were also Mendelian outlier SNPs). Applying both the call rate and Mendelian error criteria, 86,233 autosomal SNPs were removed, leaving 2,225,478 SNPs in the cleaned genotyped data passing QC criteria.</w:t>
      </w:r>
    </w:p>
    <w:p w14:paraId="6DDCD700" w14:textId="77777777" w:rsidR="008B0CF9" w:rsidRDefault="008B0CF9" w:rsidP="008B0CF9">
      <w:r>
        <w:t xml:space="preserve">From the SNPs that passed LLFS QC procedures, we applied the following criteria, per the MI server, to ensure the highest quality imputation. The imputation ‘scaffold’ for the MI server included SNPs from our cleaned genotyped SNPs (n=2,225,478) which met the following additional criteria: 1) Hardy-Weinberg equilibrium (p&gt;=1E-06); 2) No allele mismatch when compared with 1000HG; 3) No position mismatch when compared with 1000HG (e.g. assembly GRCh37); 4) No association with known inversions between GRCh37 and GRCh38 (identified by order reversal between </w:t>
      </w:r>
      <w:proofErr w:type="spellStart"/>
      <w:r>
        <w:t>rs</w:t>
      </w:r>
      <w:proofErr w:type="spellEnd"/>
      <w:r>
        <w:t>-named SNPs in b138 and b144 from NCBI annotation downloads); and 5) Monomorphic markers.</w:t>
      </w:r>
    </w:p>
    <w:p w14:paraId="4C310B3E" w14:textId="77777777" w:rsidR="008B0CF9" w:rsidRDefault="008B0CF9" w:rsidP="008B0CF9">
      <w:r>
        <w:t xml:space="preserve">The cleaned binary files (one for each chromosome) were then uploaded to the imputation server for pre-phasing and imputation in VCF format (after </w:t>
      </w:r>
      <w:proofErr w:type="spellStart"/>
      <w:r>
        <w:t>bgzip</w:t>
      </w:r>
      <w:proofErr w:type="spellEnd"/>
      <w:r>
        <w:t xml:space="preserve"> and </w:t>
      </w:r>
      <w:proofErr w:type="spellStart"/>
      <w:r>
        <w:t>tabix</w:t>
      </w:r>
      <w:proofErr w:type="spellEnd"/>
      <w:r>
        <w:t xml:space="preserve"> in the UNIX environment).  The final number of clean autosomal SNPs used for imputation was 1,559,272.</w:t>
      </w:r>
      <w:r w:rsidRPr="003064C4">
        <w:t xml:space="preserve"> Autosomal Imputation was performed on the Michigan Imputation Server (https://imputationserver.sph.umich.edu) by chromosome (e.g. 22 simultaneous jobs).  The reference panel used was HRC r1.1 2016, phasing was performed with Eagle v2.3, population was set to EUR., and the mode option employed</w:t>
      </w:r>
      <w:r>
        <w:t xml:space="preserve"> quality control and imputation.</w:t>
      </w:r>
    </w:p>
    <w:p w14:paraId="10892743" w14:textId="77777777" w:rsidR="008B0CF9" w:rsidRDefault="008B0CF9" w:rsidP="008B0CF9">
      <w:r>
        <w:t>GWAS was done using R package GENESIS via Bioconductor. The protocol in GENESIS is to first fit a null model without genotype data, which adjusts the outcome based on the covariates, principal components, and family correlations (GENESIS function ‘</w:t>
      </w:r>
      <w:proofErr w:type="spellStart"/>
      <w:r>
        <w:t>fitNullModel</w:t>
      </w:r>
      <w:proofErr w:type="spellEnd"/>
      <w:r>
        <w:t>’). Genetic relatedness matrix is established using sample of independent genotyped SNPs, then specified as the covariance matrix in the mixed model. Population stratification is adjusted for by a set of principal components specific to the outcome, which are derived from the same sample of independent SNPs. This data is then used in SNP association tests (GENESIS function ‘</w:t>
      </w:r>
      <w:proofErr w:type="spellStart"/>
      <w:r>
        <w:t>assocTestSingle</w:t>
      </w:r>
      <w:proofErr w:type="spellEnd"/>
      <w:r>
        <w:t xml:space="preserve">’), so that the mixed models only need to </w:t>
      </w:r>
      <w:r>
        <w:lastRenderedPageBreak/>
        <w:t>be run once. Tests were adjusted for Age, sex (if combined sex analysis), field centre, principal components (for population stratification). Betas, SEs, and Odds ratios were separately calculated from the Score and Score SE statistics output by GENESIS using the following equations: (https://support.bioconductor.org/p/119621/)</w:t>
      </w:r>
    </w:p>
    <w:p w14:paraId="78B3F1BB" w14:textId="77777777" w:rsidR="008B0CF9" w:rsidRDefault="008B0CF9" w:rsidP="008B0CF9">
      <w:pPr>
        <w:pStyle w:val="ListParagraph"/>
        <w:numPr>
          <w:ilvl w:val="0"/>
          <w:numId w:val="1"/>
        </w:numPr>
      </w:pPr>
      <w:r>
        <w:t>Beta = Score/(Score.SE)^2</w:t>
      </w:r>
    </w:p>
    <w:p w14:paraId="2A4D7C36" w14:textId="77777777" w:rsidR="008B0CF9" w:rsidRDefault="008B0CF9" w:rsidP="008B0CF9">
      <w:pPr>
        <w:pStyle w:val="ListParagraph"/>
        <w:numPr>
          <w:ilvl w:val="0"/>
          <w:numId w:val="1"/>
        </w:numPr>
      </w:pPr>
      <w:r>
        <w:t>SE = 1/ Score.SE</w:t>
      </w:r>
    </w:p>
    <w:p w14:paraId="79A2DF08" w14:textId="77777777" w:rsidR="008B0CF9" w:rsidRDefault="008B0CF9" w:rsidP="008B0CF9">
      <w:pPr>
        <w:pStyle w:val="ListParagraph"/>
        <w:numPr>
          <w:ilvl w:val="0"/>
          <w:numId w:val="1"/>
        </w:numPr>
      </w:pPr>
      <w:r>
        <w:t xml:space="preserve">OR = </w:t>
      </w:r>
      <w:proofErr w:type="spellStart"/>
      <w:r>
        <w:t>exp</w:t>
      </w:r>
      <w:proofErr w:type="spellEnd"/>
      <w:r>
        <w:t>(beta)</w:t>
      </w:r>
    </w:p>
    <w:p w14:paraId="3B9F163E" w14:textId="77777777" w:rsidR="00D30B61" w:rsidRDefault="00D30B61" w:rsidP="00D30B61"/>
    <w:p w14:paraId="61252E46" w14:textId="6D38F362" w:rsidR="00D30B61" w:rsidRPr="00D30B61" w:rsidRDefault="00D30B61" w:rsidP="00D30B61">
      <w:pPr>
        <w:pStyle w:val="Heading3"/>
      </w:pPr>
      <w:bookmarkStart w:id="13" w:name="_Toc38549325"/>
      <w:proofErr w:type="spellStart"/>
      <w:r>
        <w:t>MrOS</w:t>
      </w:r>
      <w:proofErr w:type="spellEnd"/>
      <w:r>
        <w:t xml:space="preserve"> (</w:t>
      </w:r>
      <w:r w:rsidRPr="00D30B61">
        <w:t>Osteoporotic Fractures in Men</w:t>
      </w:r>
      <w:r>
        <w:t>) study</w:t>
      </w:r>
      <w:bookmarkEnd w:id="13"/>
    </w:p>
    <w:p w14:paraId="19E3F70C" w14:textId="0C1E6FF4" w:rsidR="00946AF4" w:rsidRDefault="00946AF4" w:rsidP="00946AF4">
      <w:pPr>
        <w:spacing w:line="276" w:lineRule="auto"/>
      </w:pPr>
      <w:r>
        <w:t>The Osteoporotic Fractures in Men (</w:t>
      </w:r>
      <w:proofErr w:type="spellStart"/>
      <w:r>
        <w:t>MrOS</w:t>
      </w:r>
      <w:proofErr w:type="spellEnd"/>
      <w:r>
        <w:t xml:space="preserve">) study is a </w:t>
      </w:r>
      <w:proofErr w:type="spellStart"/>
      <w:r>
        <w:t>multicenter</w:t>
      </w:r>
      <w:proofErr w:type="spellEnd"/>
      <w:r>
        <w:t xml:space="preserve">, prospective study including older men in Sweden, Hong Kong and the United States. The </w:t>
      </w:r>
      <w:proofErr w:type="spellStart"/>
      <w:r>
        <w:t>MrOS</w:t>
      </w:r>
      <w:proofErr w:type="spellEnd"/>
      <w:r>
        <w:t xml:space="preserve"> Sweden study (n=3014) consists of three sub-cohorts from three different Swedish cities (n=1005 in Malmö, n=1010 in Gothenburg, and n=999 in Uppsala) </w:t>
      </w:r>
      <w:r>
        <w:fldChar w:fldCharType="begin" w:fldLock="1"/>
      </w:r>
      <w:r w:rsidR="0067273D">
        <w:instrText>ADDIN CSL_CITATION {"citationItems":[{"id":"ITEM-1","itemData":{"DOI":"10.1359/jbmr.060110","ISSN":"0884-0431","PMID":"16598372","abstract":"UNLABELLED The role of androgens for bone health in elderly men is unclear. We show that free testosterone within the normal range is a predictor of BMD at predominantly cortical bone sites and of previous osteoporosis-related fractures in elderly Swedish men. INTRODUCTION Osteoporosis-related fractures constitute a major health concern not only in women but also in men. Previous studies have clearly shown that serum levels of estradiol are associated with BMD, whereas more conflicting data have been presented regarding the predictive value of testosterone (T) for bone health in elderly men. The aim of this study was to investigate if serum levels of T are associated with BMD and/or prevalent fractures in a large cohort of elderly men. MATERIALS AND METHODS In the Swedish part of the MrOS study (n = 2908; average age, 75.4 years), bone parameters were measured using DXA, and prevalent fractures were recorded using standardized questionnaires and by vertebral X-ray analyses. Serum levels of total T, total estradiol (E2), and sex hormone-binding globulin (SHBG) were measured by radioimmunoassay, and free T (FT) and free E2 (FE2) were derived from the mass action equations. Height, weight, age, physical activity, smoking habits, and calcium intake were included together with FT and FE2 in regression models for BMD. RESULTS FT was an independent positive predictor of BMD in total body, total hip, femur trochanter, and arm but not in the lumbar spine. The highest independent predictive value of FT was found in the arm and the hip (with a relatively high content of cortical bone). FE2 was an independent predictor of BMD at all bone sites studied, and the highest predictive value was seen for lumbar spine (with relatively high content of trabecular bone) BMD. FT but not FE2 was a positive predictor of total body bone area and BMC. FT levels below the median were independent predictors of prevalent osteoporosis-related fractures (OR, 1.56; 95% CI, 1.14-2.14; p &lt; 0.01) and X-ray-verified vertebral fractures (OR, 2.00; 95% CI, 1.34-2.86; p &lt; 0.001). The predictive value of FT for prevalent fractures was not affected by adjustment for BMD. CONCLUSIONS These findings show that variation of FT within the normal range is an independent but modest predictor of BMD at predominantly cortical bone sites and of previous osteoporosis-related fractures in elderly men. Our data indicate that not only estrogens but also androgens are of importance for bone health in elderly m…","author":[{"dropping-particle":"","family":"Mellström","given":"Dan","non-dropping-particle":"","parse-names":false,"suffix":""},{"dropping-particle":"","family":"Johnell","given":"Olof","non-dropping-particle":"","parse-names":false,"suffix":""},{"dropping-particle":"","family":"Ljunggren","given":"Osten","non-dropping-particle":"","parse-names":false,"suffix":""},{"dropping-particle":"","family":"Eriksson","given":"Anna-Lena","non-dropping-particle":"","parse-names":false,"suffix":""},{"dropping-particle":"","family":"Lorentzon","given":"Mattias","non-dropping-particle":"","parse-names":false,"suffix":""},{"dropping-particle":"","family":"Mallmin","given":"Hans","non-dropping-particle":"","parse-names":false,"suffix":""},{"dropping-particle":"","family":"Holmberg","given":"Anna","non-dropping-particle":"","parse-names":false,"suffix":""},{"dropping-particle":"","family":"Redlund-Johnell","given":"Inga","non-dropping-particle":"","parse-names":false,"suffix":""},{"dropping-particle":"","family":"Orwoll","given":"Eric","non-dropping-particle":"","parse-names":false,"suffix":""},{"dropping-particle":"","family":"Ohlsson","given":"Claes","non-dropping-particle":"","parse-names":false,"suffix":""}],"container-title":"Journal of bone and mineral research : the official journal of the American Society for Bone and Mineral Research","id":"ITEM-1","issue":"4","issued":{"date-parts":[["2006","4"]]},"page":"529-35","title":"Free testosterone is an independent predictor of BMD and prevalent fractures in elderly men: MrOS Sweden.","type":"article-journal","volume":"21"},"uris":["http://www.mendeley.com/documents/?uuid=d588e580-d470-4d1c-a425-dc564c74b105"]}],"mendeley":{"formattedCitation":"&lt;span style=\"baseline\"&gt;(26)&lt;/span&gt;","plainTextFormattedCitation":"(26)","previouslyFormattedCitation":"&lt;span style=\"baseline\"&gt;(25)&lt;/span&gt;"},"properties":{"noteIndex":0},"schema":"https://github.com/citation-style-language/schema/raw/master/csl-citation.json"}</w:instrText>
      </w:r>
      <w:r>
        <w:fldChar w:fldCharType="separate"/>
      </w:r>
      <w:r w:rsidR="0067273D" w:rsidRPr="0067273D">
        <w:rPr>
          <w:noProof/>
        </w:rPr>
        <w:t>(26)</w:t>
      </w:r>
      <w:r>
        <w:fldChar w:fldCharType="end"/>
      </w:r>
      <w:r>
        <w:t>. Study subjects (men aged 69 to 81 years) were randomly identified using national population registers.  A total of 45% of the subjects who were contacted participated in the study. To be eligible for the study, the subjects had to be able to walk without assistance, provide self-reported data, and sign an informed consent. The study was approved by the ethics committees at the Universities of Gothenburg, Lund, and Uppsala. Informed consent was obtained from all study participants. In this study 941 unrelated participants from Gothenburg and 891 unrelated participants from Malmö were included.</w:t>
      </w:r>
    </w:p>
    <w:p w14:paraId="59894E77" w14:textId="77777777" w:rsidR="00946AF4" w:rsidRDefault="00946AF4" w:rsidP="00946AF4">
      <w:pPr>
        <w:spacing w:line="276" w:lineRule="auto"/>
      </w:pPr>
      <w:r>
        <w:t>A Jamar® hydraulic hand dynamometer (5030J1, Jackson, MI, USA), with adjustable handgrip, was used in the grip strength test. Participants were made to sit in a standard chair with the arm resting on a moveable table with the dynamometer in an upright position. Two trials were performed on each hand. The better of the two results (presented as kilograms of force) was used in the analyses. Grip strength was not measured if the subject had current arthritis or pain in the wrist or hand or had undergone fusion, arthroplasty, tendon repair, synovectomy or related surgery of the upper extremity in the 3 months preceding the test. The coefficient of variation was 0.5%.</w:t>
      </w:r>
    </w:p>
    <w:p w14:paraId="62BE1C40" w14:textId="77777777" w:rsidR="00946AF4" w:rsidRDefault="00946AF4" w:rsidP="00946AF4">
      <w:pPr>
        <w:spacing w:line="276" w:lineRule="auto"/>
      </w:pPr>
      <w:r>
        <w:t xml:space="preserve">Genotyping, imputation and quality controls of </w:t>
      </w:r>
      <w:proofErr w:type="spellStart"/>
      <w:r>
        <w:t>MrOS</w:t>
      </w:r>
      <w:proofErr w:type="spellEnd"/>
      <w:r>
        <w:t xml:space="preserve"> Gothenburg were performed using the Illumina HumanOmni1_Quad_v1-0 B array. Genotypes were called using the Illumina’s </w:t>
      </w:r>
      <w:proofErr w:type="spellStart"/>
      <w:r>
        <w:t>BeadStudio</w:t>
      </w:r>
      <w:proofErr w:type="spellEnd"/>
      <w:r>
        <w:t xml:space="preserve"> calling algorithm. The sample quality control exclusion criteria were sample call rate &lt; 97%, excessive autosomal </w:t>
      </w:r>
      <w:proofErr w:type="spellStart"/>
      <w:r>
        <w:t>heterozygozity</w:t>
      </w:r>
      <w:proofErr w:type="spellEnd"/>
      <w:r>
        <w:t xml:space="preserve">, first and second degree relatives, genotypic sex mismatch using X and Y chromosome probe intensities and gross chromosome abnormalities. Genotyped SNPs with </w:t>
      </w:r>
      <w:proofErr w:type="spellStart"/>
      <w:r>
        <w:t>GenTrain</w:t>
      </w:r>
      <w:proofErr w:type="spellEnd"/>
      <w:r>
        <w:t xml:space="preserve"> scores &lt;0.6, cluster separation scores &lt;0.4, call rates &lt;97%, or MAF &lt;0.01 were excluded. Also, autosomal SNPs with Hardy-Weinberg Equilibrium P-value &lt;10-4 were excluded and genotype clusters for SNPs on </w:t>
      </w:r>
      <w:proofErr w:type="spellStart"/>
      <w:r>
        <w:t>chrX</w:t>
      </w:r>
      <w:proofErr w:type="spellEnd"/>
      <w:r>
        <w:t xml:space="preserve">, </w:t>
      </w:r>
      <w:proofErr w:type="spellStart"/>
      <w:r>
        <w:t>chrY</w:t>
      </w:r>
      <w:proofErr w:type="spellEnd"/>
      <w:r>
        <w:t xml:space="preserve">, </w:t>
      </w:r>
      <w:proofErr w:type="spellStart"/>
      <w:r>
        <w:t>chrXY</w:t>
      </w:r>
      <w:proofErr w:type="spellEnd"/>
      <w:r>
        <w:t xml:space="preserve"> and </w:t>
      </w:r>
      <w:proofErr w:type="spellStart"/>
      <w:r>
        <w:t>chrMT</w:t>
      </w:r>
      <w:proofErr w:type="spellEnd"/>
      <w:r>
        <w:t xml:space="preserve"> were reviewed manually. 714543 autosomal SNPs passed quality control. </w:t>
      </w:r>
    </w:p>
    <w:p w14:paraId="324EA6E8" w14:textId="77777777" w:rsidR="00946AF4" w:rsidRDefault="00946AF4" w:rsidP="00946AF4">
      <w:pPr>
        <w:spacing w:line="276" w:lineRule="auto"/>
      </w:pPr>
      <w:r>
        <w:t xml:space="preserve">Genotyping, imputation and quality controls of </w:t>
      </w:r>
      <w:proofErr w:type="spellStart"/>
      <w:r>
        <w:t>MrOS</w:t>
      </w:r>
      <w:proofErr w:type="spellEnd"/>
      <w:r>
        <w:t xml:space="preserve"> Malmö were performed using the HumanOmniExpress-12v1_B build 36. The sample quality control exclusion criteria were sample call rate &lt; 97.5%, missing data, excessive autosomal </w:t>
      </w:r>
      <w:proofErr w:type="spellStart"/>
      <w:r>
        <w:t>heterozygozity</w:t>
      </w:r>
      <w:proofErr w:type="spellEnd"/>
      <w:r>
        <w:t>, familiar relationship (one sample excluded), genotypic sex mismatch, non-</w:t>
      </w:r>
      <w:proofErr w:type="spellStart"/>
      <w:r>
        <w:t>caucasians</w:t>
      </w:r>
      <w:proofErr w:type="spellEnd"/>
      <w:r>
        <w:t xml:space="preserve"> and gross chromosome abnormalities. SNPs with call rates&lt;95% were excluded. 725409 autosomal SNPs passed quality control.</w:t>
      </w:r>
    </w:p>
    <w:p w14:paraId="74B90E9B" w14:textId="547963FC" w:rsidR="00946AF4" w:rsidRDefault="00946AF4" w:rsidP="00946AF4">
      <w:pPr>
        <w:spacing w:line="276" w:lineRule="auto"/>
      </w:pPr>
      <w:r>
        <w:lastRenderedPageBreak/>
        <w:t xml:space="preserve">The genotype data for both </w:t>
      </w:r>
      <w:proofErr w:type="spellStart"/>
      <w:r>
        <w:t>MrOS</w:t>
      </w:r>
      <w:proofErr w:type="spellEnd"/>
      <w:r>
        <w:t xml:space="preserve"> Gothenburg and </w:t>
      </w:r>
      <w:proofErr w:type="spellStart"/>
      <w:r>
        <w:t>MrOS</w:t>
      </w:r>
      <w:proofErr w:type="spellEnd"/>
      <w:r>
        <w:t xml:space="preserve"> Malmö were pre-phased first without a reference panel, using SHAPEIT2. The imputation was done using Sanger Imputation Service to the Haplotype Reference Consortium release 1.1.</w:t>
      </w:r>
    </w:p>
    <w:p w14:paraId="75D7D33E" w14:textId="7A724F9C" w:rsidR="00D30B61" w:rsidRDefault="00946AF4" w:rsidP="00946AF4">
      <w:pPr>
        <w:spacing w:line="276" w:lineRule="auto"/>
      </w:pPr>
      <w:r>
        <w:t>Associations between grip strength and SNP dosages were obtained using logistic regression in PLINK 1.9, adjusting for age.</w:t>
      </w:r>
    </w:p>
    <w:p w14:paraId="27301297" w14:textId="77777777" w:rsidR="00D30B61" w:rsidRDefault="00D30B61" w:rsidP="00916D56">
      <w:pPr>
        <w:spacing w:line="276" w:lineRule="auto"/>
      </w:pPr>
    </w:p>
    <w:p w14:paraId="6AF2950D" w14:textId="11367CEE" w:rsidR="00D30B61" w:rsidRDefault="00D30B61" w:rsidP="00D30B61">
      <w:pPr>
        <w:pStyle w:val="Heading3"/>
      </w:pPr>
      <w:bookmarkStart w:id="14" w:name="_Toc38549326"/>
      <w:r>
        <w:t xml:space="preserve">ROSMAP: </w:t>
      </w:r>
      <w:r w:rsidR="00D606ED" w:rsidRPr="00D606ED">
        <w:t>the Religious Orders Study (ROS) and Memory and Aging Project (MAP)</w:t>
      </w:r>
      <w:bookmarkEnd w:id="14"/>
    </w:p>
    <w:p w14:paraId="6D37C3DD" w14:textId="59701BD9" w:rsidR="00D606ED" w:rsidRDefault="00D606ED" w:rsidP="00D606ED">
      <w:pPr>
        <w:spacing w:line="276" w:lineRule="auto"/>
      </w:pPr>
      <w:r>
        <w:t xml:space="preserve">The ROS, started in 1994, enrolled Catholic priests, nuns, and brothers, from about 40 groups in 12 states </w:t>
      </w:r>
      <w:r>
        <w:fldChar w:fldCharType="begin" w:fldLock="1"/>
      </w:r>
      <w:r w:rsidR="0067273D">
        <w:instrText>ADDIN CSL_CITATION {"citationItems":[{"id":"ITEM-1","itemData":{"DOI":"10.2174/156720512801322573","ISSN":"15672050","author":[{"dropping-particle":"","family":"A. Bennett","given":"David","non-dropping-particle":"","parse-names":false,"suffix":""},{"dropping-particle":"","family":"A. Schneider","given":"Julie","non-dropping-particle":"","parse-names":false,"suffix":""},{"dropping-particle":"","family":"Arvanitakis","given":"Zoe","non-dropping-particle":"","parse-names":false,"suffix":""},{"dropping-particle":"","family":"S. Wilson","given":"Robert","non-dropping-particle":"","parse-names":false,"suffix":""}],"container-title":"Current Alzheimer Research","id":"ITEM-1","issue":"6","issued":{"date-parts":[["2012","6","1"]]},"page":"628-645","title":"Overview and Findings from the Religious Orders Study","type":"article-journal","volume":"9"},"uris":["http://www.mendeley.com/documents/?uuid=f33e8875-0fb9-45fb-a4d0-7dd36e3386f2"]}],"mendeley":{"formattedCitation":"&lt;span style=\"baseline\"&gt;(27)&lt;/span&gt;","plainTextFormattedCitation":"(27)","previouslyFormattedCitation":"&lt;span style=\"baseline\"&gt;(26)&lt;/span&gt;"},"properties":{"noteIndex":0},"schema":"https://github.com/citation-style-language/schema/raw/master/csl-citation.json"}</w:instrText>
      </w:r>
      <w:r>
        <w:fldChar w:fldCharType="separate"/>
      </w:r>
      <w:r w:rsidR="0067273D" w:rsidRPr="0067273D">
        <w:rPr>
          <w:noProof/>
        </w:rPr>
        <w:t>(27)</w:t>
      </w:r>
      <w:r>
        <w:fldChar w:fldCharType="end"/>
      </w:r>
      <w:r>
        <w:t xml:space="preserve">. The follow-up rate of survivors exceeds 90%. Participants were free of known dementia at </w:t>
      </w:r>
      <w:proofErr w:type="spellStart"/>
      <w:r>
        <w:t>enrollment</w:t>
      </w:r>
      <w:proofErr w:type="spellEnd"/>
      <w:r>
        <w:t xml:space="preserve">, agreed to annual clinical evaluations, and signed both an informed consent and an Anatomic Gift Act form donating their brains at time of death. Participants take a neuropsychological test battery. DNA was extracted from whole blood, lymphocytes, or frozen post-mortem brain tissue. Genotyping was performed at the Broad Institute’s </w:t>
      </w:r>
      <w:proofErr w:type="spellStart"/>
      <w:r>
        <w:t>Center</w:t>
      </w:r>
      <w:proofErr w:type="spellEnd"/>
      <w:r>
        <w:t xml:space="preserve"> for Genotyping and the Translational Genomics Research Institute and the Children's Hospital of Philadelphia. </w:t>
      </w:r>
    </w:p>
    <w:p w14:paraId="7A46031E" w14:textId="38FC68EF" w:rsidR="00D30B61" w:rsidRDefault="00D606ED" w:rsidP="00D606ED">
      <w:pPr>
        <w:spacing w:line="276" w:lineRule="auto"/>
      </w:pPr>
      <w:r>
        <w:t xml:space="preserve">The Rush Memory and AP, started in 1997, enrolled older men and women from assisted living facilities in the Chicago area with no evidence on dementia at baseline </w:t>
      </w:r>
      <w:r>
        <w:fldChar w:fldCharType="begin" w:fldLock="1"/>
      </w:r>
      <w:r w:rsidR="0067273D">
        <w:instrText>ADDIN CSL_CITATION {"citationItems":[{"id":"ITEM-1","itemData":{"DOI":"10.2174/156720512801322573","ISSN":"15672050","author":[{"dropping-particle":"","family":"A. Bennett","given":"David","non-dropping-particle":"","parse-names":false,"suffix":""},{"dropping-particle":"","family":"A. Schneider","given":"Julie","non-dropping-particle":"","parse-names":false,"suffix":""},{"dropping-particle":"","family":"Arvanitakis","given":"Zoe","non-dropping-particle":"","parse-names":false,"suffix":""},{"dropping-particle":"","family":"S. Wilson","given":"Robert","non-dropping-particle":"","parse-names":false,"suffix":""}],"container-title":"Current Alzheimer Research","id":"ITEM-1","issue":"6","issued":{"date-parts":[["2012","6","1"]]},"page":"628-645","title":"Overview and Findings from the Religious Orders Study","type":"article-journal","volume":"9"},"uris":["http://www.mendeley.com/documents/?uuid=f33e8875-0fb9-45fb-a4d0-7dd36e3386f2"]}],"mendeley":{"formattedCitation":"&lt;span style=\"baseline\"&gt;(27)&lt;/span&gt;","plainTextFormattedCitation":"(27)","previouslyFormattedCitation":"&lt;span style=\"baseline\"&gt;(26)&lt;/span&gt;"},"properties":{"noteIndex":0},"schema":"https://github.com/citation-style-language/schema/raw/master/csl-citation.json"}</w:instrText>
      </w:r>
      <w:r>
        <w:fldChar w:fldCharType="separate"/>
      </w:r>
      <w:r w:rsidR="0067273D" w:rsidRPr="0067273D">
        <w:rPr>
          <w:noProof/>
        </w:rPr>
        <w:t>(27)</w:t>
      </w:r>
      <w:r>
        <w:fldChar w:fldCharType="end"/>
      </w:r>
      <w:r>
        <w:t xml:space="preserve">. The follow-up rate of survivors exceeds 90%. Participants agreed to annual clinical evaluations, and signed both an informed consent and an Anatomic Gift Act form donating their brains at time of death. Participants were invited to take a neuropsychological test battery. DNA was extracted from whole blood, lymphocytes, or frozen </w:t>
      </w:r>
      <w:proofErr w:type="spellStart"/>
      <w:r>
        <w:t>postmortem</w:t>
      </w:r>
      <w:proofErr w:type="spellEnd"/>
      <w:r>
        <w:t xml:space="preserve"> brain tissue. Genotyping was performed at the Broad Institute’s </w:t>
      </w:r>
      <w:proofErr w:type="spellStart"/>
      <w:r>
        <w:t>Center</w:t>
      </w:r>
      <w:proofErr w:type="spellEnd"/>
      <w:r>
        <w:t xml:space="preserve"> for Genotyping and the Translational Genomics Research Institute and the Children's Hospital of Philadelphia.</w:t>
      </w:r>
    </w:p>
    <w:p w14:paraId="1425A820" w14:textId="77777777" w:rsidR="00D30B61" w:rsidRDefault="00D30B61" w:rsidP="00916D56">
      <w:pPr>
        <w:spacing w:line="276" w:lineRule="auto"/>
      </w:pPr>
    </w:p>
    <w:p w14:paraId="51355D42" w14:textId="579FF887" w:rsidR="001453EF" w:rsidRDefault="001453EF" w:rsidP="00916D56">
      <w:pPr>
        <w:pStyle w:val="Heading3"/>
        <w:spacing w:line="276" w:lineRule="auto"/>
      </w:pPr>
      <w:bookmarkStart w:id="15" w:name="_Toc38549327"/>
      <w:r>
        <w:t>Rotterdam</w:t>
      </w:r>
      <w:r w:rsidR="00D30B61">
        <w:t xml:space="preserve"> Study</w:t>
      </w:r>
      <w:bookmarkEnd w:id="15"/>
    </w:p>
    <w:p w14:paraId="534D25A0" w14:textId="706B9E4C" w:rsidR="00B45F17" w:rsidRDefault="00B45F17" w:rsidP="00B45F17">
      <w:pPr>
        <w:jc w:val="both"/>
      </w:pPr>
      <w:r w:rsidRPr="00BE0E5A">
        <w:t>The Rotterdam Study is an ongoing prospective population-based cohort that investigates occurrence, determinants, and consequences of disea</w:t>
      </w:r>
      <w:r>
        <w:t xml:space="preserve">ses in an ageing population </w:t>
      </w:r>
      <w:r>
        <w:fldChar w:fldCharType="begin" w:fldLock="1"/>
      </w:r>
      <w:r w:rsidR="0067273D">
        <w:instrText>ADDIN CSL_CITATION {"citationItems":[{"id":"ITEM-1","itemData":{"DOI":"10.1007/s10654-017-0321-4","ISSN":"0393-2990","author":[{"dropping-particle":"","family":"Ikram","given":"M. Arfan","non-dropping-particle":"","parse-names":false,"suffix":""},{"dropping-particle":"","family":"Brusselle","given":"Guy G. O.","non-dropping-particle":"","parse-names":false,"suffix":""},{"dropping-particle":"","family":"Murad","given":"Sarwa Darwish","non-dropping-particle":"","parse-names":false,"suffix":""},{"dropping-particle":"","family":"Duijn","given":"Cornelia M.","non-dropping-particle":"van","parse-names":false,"suffix":""},{"dropping-particle":"","family":"Franco","given":"Oscar H.","non-dropping-particle":"","parse-names":false,"suffix":""},{"dropping-particle":"","family":"Goedegebure","given":"André","non-dropping-particle":"","parse-names":false,"suffix":""},{"dropping-particle":"","family":"Klaver","given":"Caroline C. W.","non-dropping-particle":"","parse-names":false,"suffix":""},{"dropping-particle":"","family":"Nijsten","given":"Tamar E. C.","non-dropping-particle":"","parse-names":false,"suffix":""},{"dropping-particle":"","family":"Peeters","given":"Robin P.","non-dropping-particle":"","parse-names":false,"suffix":""},{"dropping-particle":"","family":"Stricker","given":"Bruno H.","non-dropping-particle":"","parse-names":false,"suffix":""},{"dropping-particle":"","family":"Tiemeier","given":"Henning","non-dropping-particle":"","parse-names":false,"suffix":""},{"dropping-particle":"","family":"Uitterlinden","given":"André G.","non-dropping-particle":"","parse-names":false,"suffix":""},{"dropping-particle":"","family":"Vernooij","given":"Meike W.","non-dropping-particle":"","parse-names":false,"suffix":""},{"dropping-particle":"","family":"Hofman","given":"Albert","non-dropping-particle":"","parse-names":false,"suffix":""}],"container-title":"European Journal of Epidemiology","id":"ITEM-1","issue":"9","issued":{"date-parts":[["2017","9","24"]]},"page":"807-850","title":"The Rotterdam Study: 2018 update on objectives, design and main results","type":"article-journal","volume":"32"},"uris":["http://www.mendeley.com/documents/?uuid=e08e7e2a-feb4-4ffc-a08b-a70dba0a12fc"]}],"mendeley":{"formattedCitation":"&lt;span style=\"baseline\"&gt;(28)&lt;/span&gt;","plainTextFormattedCitation":"(28)","previouslyFormattedCitation":"&lt;span style=\"baseline\"&gt;(27)&lt;/span&gt;"},"properties":{"noteIndex":0},"schema":"https://github.com/citation-style-language/schema/raw/master/csl-citation.json"}</w:instrText>
      </w:r>
      <w:r>
        <w:fldChar w:fldCharType="separate"/>
      </w:r>
      <w:r w:rsidR="0067273D" w:rsidRPr="0067273D">
        <w:rPr>
          <w:noProof/>
        </w:rPr>
        <w:t>(28)</w:t>
      </w:r>
      <w:r>
        <w:fldChar w:fldCharType="end"/>
      </w:r>
      <w:r w:rsidRPr="00BE0E5A">
        <w:t>. The first baseline measurement of Rotterdam Study started in 1990. After two expansions in 2000 and 2006, it comprised 14,926 participants aged 45 years and over by the end of 2008. Follow-up visits were held every 3-5 years. The Rotterdam Study has been approved by the Medical Ethics Committee of the Erasmus MC (registration number MEC 02.1015) and by the Dutch Ministr</w:t>
      </w:r>
      <w:r>
        <w:t xml:space="preserve">y of Health, Welfare and Sport. </w:t>
      </w:r>
      <w:r w:rsidRPr="00BE0E5A">
        <w:t>All participants provided written informed consent to participate in the study and to have their information obtained from treating physicians.</w:t>
      </w:r>
      <w:r>
        <w:t xml:space="preserve"> </w:t>
      </w:r>
      <w:r w:rsidRPr="00EE3C10">
        <w:t>Imputations to HRC</w:t>
      </w:r>
      <w:r>
        <w:t xml:space="preserve">1.1 </w:t>
      </w:r>
      <w:r w:rsidRPr="00EE3C10">
        <w:t>were performed using the Michigan Imputation Server with standard settings</w:t>
      </w:r>
      <w:r>
        <w:t xml:space="preserve"> </w:t>
      </w:r>
      <w:r>
        <w:fldChar w:fldCharType="begin" w:fldLock="1"/>
      </w:r>
      <w:r w:rsidR="0067273D">
        <w:instrText>ADDIN CSL_CITATION {"citationItems":[{"id":"ITEM-1","itemData":{"DOI":"10.1038/ng.3643","ISSN":"1546-1718","PMID":"27548312","abstract":"We describe a reference panel of 64,976 human haplotypes at 39,235,157 SNPs constructed using whole-genome sequence data from 20 studies of predominantly European ancestry. Using this resource leads to accurate genotype imputation at minor allele frequencies as low as 0.1% and a large increase in the number of SNPs tested in association studies, and it can help to discover and refine causal loci. We describe remote server resources that allow researchers to carry out imputation and phasing consistently and efficiently.","author":[{"dropping-particle":"","family":"McCarthy","given":"Shane","non-dropping-particle":"","parse-names":false,"suffix":""},{"dropping-particle":"","family":"Das","given":"Sayantan","non-dropping-particle":"","parse-names":false,"suffix":""},{"dropping-particle":"","family":"Kretzschmar","given":"Warren","non-dropping-particle":"","parse-names":false,"suffix":""},{"dropping-particle":"","family":"Delaneau","given":"Olivier","non-dropping-particle":"","parse-names":false,"suffix":""},{"dropping-particle":"","family":"Wood","given":"Andrew R","non-dropping-particle":"","parse-names":false,"suffix":""},{"dropping-particle":"","family":"Teumer","given":"Alexander","non-dropping-particle":"","parse-names":false,"suffix":""},{"dropping-particle":"","family":"Kang","given":"Hyun Min","non-dropping-particle":"","parse-names":false,"suffix":""},{"dropping-particle":"","family":"Fuchsberger","given":"Christian","non-dropping-particle":"","parse-names":false,"suffix":""},{"dropping-particle":"","family":"Danecek","given":"Petr","non-dropping-particle":"","parse-names":false,"suffix":""},{"dropping-particle":"","family":"Sharp","given":"Kevin","non-dropping-particle":"","parse-names":false,"suffix":""},{"dropping-particle":"","family":"Luo","given":"Yang","non-dropping-particle":"","parse-names":false,"suffix":""},{"dropping-particle":"","family":"Sidore","given":"Carlo","non-dropping-particle":"","parse-names":false,"suffix":""},{"dropping-particle":"","family":"Kwong","given":"Alan","non-dropping-particle":"","parse-names":false,"suffix":""},{"dropping-particle":"","family":"Timpson","given":"Nicholas","non-dropping-particle":"","parse-names":false,"suffix":""},{"dropping-particle":"","family":"Koskinen","given":"Seppo","non-dropping-particle":"","parse-names":false,"suffix":""},{"dropping-particle":"","family":"Vrieze","given":"Scott","non-dropping-particle":"","parse-names":false,"suffix":""},{"dropping-particle":"","family":"Scott","given":"Laura J","non-dropping-particle":"","parse-names":false,"suffix":""},{"dropping-particle":"","family":"Zhang","given":"He","non-dropping-particle":"","parse-names":false,"suffix":""},{"dropping-particle":"","family":"Mahajan","given":"Anubha","non-dropping-particle":"","parse-names":false,"suffix":""},{"dropping-particle":"","family":"Veldink","given":"Jan","non-dropping-particle":"","parse-names":false,"suffix":""},{"dropping-particle":"","family":"Peters","given":"Ulrike","non-dropping-particle":"","parse-names":false,"suffix":""},{"dropping-particle":"","family":"Pato","given":"Carlos","non-dropping-particle":"","parse-names":false,"suffix":""},{"dropping-particle":"","family":"Duijn","given":"Cornelia M","non-dropping-particle":"van","parse-names":false,"suffix":""},{"dropping-particle":"","family":"Gillies","given":"Christopher E","non-dropping-particle":"","parse-names":false,"suffix":""},{"dropping-particle":"","family":"Gandin","given":"Ilaria","non-dropping-particle":"","parse-names":false,"suffix":""},{"dropping-particle":"","family":"Mezzavilla","given":"Massimo","non-dropping-particle":"","parse-names":false,"suffix":""},{"dropping-particle":"","family":"Gilly","given":"Arthur","non-dropping-particle":"","parse-names":false,"suffix":""},{"dropping-particle":"","family":"Cocca","given":"Massimiliano","non-dropping-particle":"","parse-names":false,"suffix":""},{"dropping-particle":"","family":"Traglia","given":"Michela","non-dropping-particle":"","parse-names":false,"suffix":""},{"dropping-particle":"","family":"Angius","given":"Andrea","non-dropping-particle":"","parse-names":false,"suffix":""},{"dropping-particle":"","family":"Barrett","given":"Jeffrey C","non-dropping-particle":"","parse-names":false,"suffix":""},{"dropping-particle":"","family":"Boomsma","given":"Dorrett","non-dropping-particle":"","parse-names":false,"suffix":""},{"dropping-particle":"","family":"Branham","given":"Kari","non-dropping-particle":"","parse-names":false,"suffix":""},{"dropping-particle":"","family":"Breen","given":"Gerome","non-dropping-particle":"","parse-names":false,"suffix":""},{"dropping-particle":"","family":"Brummett","given":"Chad M","non-dropping-particle":"","parse-names":false,"suffix":""},{"dropping-particle":"","family":"Busonero","given":"Fabio","non-dropping-particle":"","parse-names":false,"suffix":""},{"dropping-particle":"","family":"Campbell","given":"Harry","non-dropping-particle":"","parse-names":false,"suffix":""},{"dropping-particle":"","family":"Chan","given":"Andrew","non-dropping-particle":"","parse-names":false,"suffix":""},{"dropping-particle":"","family":"Chen","given":"Sai","non-dropping-particle":"","parse-names":false,"suffix":""},{"dropping-particle":"","family":"Chew","given":"Emily","non-dropping-particle":"","parse-names":false,"suffix":""},{"dropping-particle":"","family":"Collins","given":"Francis S","non-dropping-particle":"","parse-names":false,"suffix":""},{"dropping-particle":"","family":"Corbin","given":"Laura J","non-dropping-particle":"","parse-names":false,"suffix":""},{"dropping-particle":"","family":"Smith","given":"George Davey","non-dropping-particle":"","parse-names":false,"suffix":""},{"dropping-particle":"","family":"Dedoussis","given":"George","non-dropping-particle":"","parse-names":false,"suffix":""},{"dropping-particle":"","family":"Dorr","given":"Marcus","non-dropping-particle":"","parse-names":false,"suffix":""},{"dropping-particle":"","family":"Farmaki","given":"Aliki-Eleni","non-dropping-particle":"","parse-names":false,"suffix":""},{"dropping-particle":"","family":"Ferrucci","given":"Luigi","non-dropping-particle":"","parse-names":false,"suffix":""},{"dropping-particle":"","family":"Forer","given":"Lukas","non-dropping-particle":"","parse-names":false,"suffix":""},{"dropping-particle":"","family":"Fraser","given":"Ross M","non-dropping-particle":"","parse-names":false,"suffix":""},{"dropping-particle":"","family":"Gabriel","given":"Stacey","non-dropping-particle":"","parse-names":false,"suffix":""},{"dropping-particle":"","family":"Levy","given":"Shawn","non-dropping-particle":"","parse-names":false,"suffix":""},{"dropping-particle":"","family":"Groop","given":"Leif","non-dropping-particle":"","parse-names":false,"suffix":""},{"dropping-particle":"","family":"Harrison","given":"Tabitha","non-dropping-particle":"","parse-names":false,"suffix":""},{"dropping-particle":"","family":"Hattersley","given":"Andrew","non-dropping-particle":"","parse-names":false,"suffix":""},{"dropping-particle":"","family":"Holmen","given":"Oddgeir L","non-dropping-particle":"","parse-names":false,"suffix":""},{"dropping-particle":"","family":"Hveem","given":"Kristian","non-dropping-particle":"","parse-names":false,"suffix":""},{"dropping-particle":"","family":"Kretzler","given":"Matthias","non-dropping-particle":"","parse-names":false,"suffix":""},{"dropping-particle":"","family":"Lee","given":"James C","non-dropping-particle":"","parse-names":false,"suffix":""},{"dropping-particle":"","family":"McGue","given":"Matt","non-dropping-particle":"","parse-names":false,"suffix":""},{"dropping-particle":"","family":"Meitinger","given":"Thomas","non-dropping-particle":"","parse-names":false,"suffix":""},{"dropping-particle":"","family":"Melzer","given":"David","non-dropping-particle":"","parse-names":false,"suffix":""},{"dropping-particle":"","family":"Min","given":"Josine L","non-dropping-particle":"","parse-names":false,"suffix":""},{"dropping-particle":"","family":"Mohlke","given":"Karen L","non-dropping-particle":"","parse-names":false,"suffix":""},{"dropping-particle":"","family":"Vincent","given":"John B","non-dropping-particle":"","parse-names":false,"suffix":""},{"dropping-particle":"","family":"Nauck","given":"Matthias","non-dropping-particle":"","parse-names":false,"suffix":""},{"dropping-particle":"","family":"Nickerson","given":"Deborah","non-dropping-particle":"","parse-names":false,"suffix":""},{"dropping-particle":"","family":"Palotie","given":"Aarno","non-dropping-particle":"","parse-names":false,"suffix":""},{"dropping-particle":"","family":"Pato","given":"Michele","non-dropping-particle":"","parse-names":false,"suffix":""},{"dropping-particle":"","family":"Pirastu","given":"Nicola","non-dropping-particle":"","parse-names":false,"suffix":""},{"dropping-particle":"","family":"McInnis","given":"Melvin","non-dropping-particle":"","parse-names":false,"suffix":""},{"dropping-particle":"","family":"Richards","given":"J Brent","non-dropping-particle":"","parse-names":false,"suffix":""},{"dropping-particle":"","family":"Sala","given":"Cinzia","non-dropping-particle":"","parse-names":false,"suffix":""},{"dropping-particle":"","family":"Salomaa","given":"Veikko","non-dropping-particle":"","parse-names":false,"suffix":""},{"dropping-particle":"","family":"Schlessinger","given":"David","non-dropping-particle":"","parse-names":false,"suffix":""},{"dropping-particle":"","family":"Schoenherr","given":"Sebastian","non-dropping-particle":"","parse-names":false,"suffix":""},{"dropping-particle":"","family":"Slagboom","given":"P Eline","non-dropping-particle":"","parse-names":false,"suffix":""},{"dropping-particle":"","family":"Small","given":"Kerrin","non-dropping-particle":"","parse-names":false,"suffix":""},{"dropping-particle":"","family":"Spector","given":"Timothy","non-dropping-particle":"","parse-names":false,"suffix":""},{"dropping-particle":"","family":"Stambolian","given":"Dwight","non-dropping-particle":"","parse-names":false,"suffix":""},{"dropping-particle":"","family":"Tuke","given":"Marcus","non-dropping-particle":"","parse-names":false,"suffix":""},{"dropping-particle":"","family":"Tuomilehto","given":"Jaakko","non-dropping-particle":"","parse-names":false,"suffix":""},{"dropping-particle":"","family":"Berg","given":"Leonard H","non-dropping-particle":"Van den","parse-names":false,"suffix":""},{"dropping-particle":"","family":"Rheenen","given":"Wouter","non-dropping-particle":"Van","parse-names":false,"suffix":""},{"dropping-particle":"","family":"Volker","given":"Uwe","non-dropping-particle":"","parse-names":false,"suffix":""},{"dropping-particle":"","family":"Wijmenga","given":"Cisca","non-dropping-particle":"","parse-names":false,"suffix":""},{"dropping-particle":"","family":"Toniolo","given":"Daniela","non-dropping-particle":"","parse-names":false,"suffix":""},{"dropping-particle":"","family":"Zeggini","given":"Eleftheria","non-dropping-particle":"","parse-names":false,"suffix":""},{"dropping-particle":"","family":"Gasparini","given":"Paolo","non-dropping-particle":"","parse-names":false,"suffix":""},{"dropping-particle":"","family":"Sampson","given":"Matthew G","non-dropping-particle":"","parse-names":false,"suffix":""},{"dropping-particle":"","family":"Wilson","given":"James F","non-dropping-particle":"","parse-names":false,"suffix":""},{"dropping-particle":"","family":"Frayling","given":"Timothy","non-dropping-particle":"","parse-names":false,"suffix":""},{"dropping-particle":"","family":"Bakker","given":"Paul I W","non-dropping-particle":"de","parse-names":false,"suffix":""},{"dropping-particle":"","family":"Swertz","given":"Morris A","non-dropping-particle":"","parse-names":false,"suffix":""},{"dropping-particle":"","family":"McCarroll","given":"Steven","non-dropping-particle":"","parse-names":false,"suffix":""},{"dropping-particle":"","family":"Kooperberg","given":"Charles","non-dropping-particle":"","parse-names":false,"suffix":""},{"dropping-particle":"","family":"Dekker","given":"Annelot","non-dropping-particle":"","parse-names":false,"suffix":""},{"dropping-particle":"","family":"Altshuler","given":"David","non-dropping-particle":"","parse-names":false,"suffix":""},{"dropping-particle":"","family":"Willer","given":"Cristen","non-dropping-particle":"","parse-names":false,"suffix":""},{"dropping-particle":"","family":"Iacono","given":"William","non-dropping-particle":"","parse-names":false,"suffix":""},{"dropping-particle":"","family":"Ripatti","given":"Samuli","non-dropping-particle":"","parse-names":false,"suffix":""},{"dropping-particle":"","family":"Soranzo","given":"Nicole","non-dropping-particle":"","parse-names":false,"suffix":""},{"dropping-particle":"","family":"Walter","given":"Klaudia","non-dropping-particle":"","parse-names":false,"suffix":""},{"dropping-particle":"","family":"Swaroop","given":"Anand","non-dropping-particle":"","parse-names":false,"suffix":""},{"dropping-particle":"","family":"Cucca","given":"Francesco","non-dropping-particle":"","parse-names":false,"suffix":""},{"dropping-particle":"","family":"Anderson","given":"Carl A","non-dropping-particle":"","parse-names":false,"suffix":""},{"dropping-particle":"","family":"Myers","given":"Richard M","non-dropping-particle":"","parse-names":false,"suffix":""},{"dropping-particle":"","family":"Boehnke","given":"Michael","non-dropping-particle":"","parse-names":false,"suffix":""},{"dropping-particle":"","family":"McCarthy","given":"Mark I","non-dropping-particle":"","parse-names":false,"suffix":""},{"dropping-particle":"","family":"Durbin","given":"Richard","non-dropping-particle":"","parse-names":false,"suffix":""},{"dropping-particle":"","family":"Haplotype Reference Consortium","given":"","non-dropping-particle":"","parse-names":false,"suffix":""}],"container-title":"Nature genetics","id":"ITEM-1","issue":"10","issued":{"date-parts":[["2016","10","22"]]},"page":"1279-83","title":"A reference panel of 64,976 haplotypes for genotype imputation.","type":"article-journal","volume":"48"},"uris":["http://www.mendeley.com/documents/?uuid=d5d98974-3657-3e5f-849c-2388bd04145e"]},{"id":"ITEM-2","itemData":{"DOI":"10.1038/ng.3656","ISSN":"1546-1718","PMID":"27571263","abstract":"Genotype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genetics","id":"ITEM-2","issue":"10","issued":{"date-parts":[["2016"]]},"page":"1284-1287","title":"Next-generation genotype imputation service and methods.","type":"article-journal","volume":"48"},"uris":["http://www.mendeley.com/documents/?uuid=2a017664-0849-4e04-b05d-303150ddc0bd"]}],"mendeley":{"formattedCitation":"&lt;span style=\"baseline\"&gt;(16,20)&lt;/span&gt;","plainTextFormattedCitation":"(16,20)","previouslyFormattedCitation":"&lt;span style=\"baseline\"&gt;(19,28)&lt;/span&gt;"},"properties":{"noteIndex":0},"schema":"https://github.com/citation-style-language/schema/raw/master/csl-citation.json"}</w:instrText>
      </w:r>
      <w:r>
        <w:fldChar w:fldCharType="separate"/>
      </w:r>
      <w:r w:rsidR="0067273D" w:rsidRPr="0067273D">
        <w:rPr>
          <w:noProof/>
        </w:rPr>
        <w:t>(16,20)</w:t>
      </w:r>
      <w:r>
        <w:fldChar w:fldCharType="end"/>
      </w:r>
      <w:r>
        <w:t xml:space="preserve">. </w:t>
      </w:r>
    </w:p>
    <w:p w14:paraId="30CBD0C2" w14:textId="77777777" w:rsidR="00D30B61" w:rsidRDefault="00D30B61"/>
    <w:p w14:paraId="161468E9" w14:textId="6944379E" w:rsidR="00D30B61" w:rsidRDefault="00D30B61" w:rsidP="00D30B61">
      <w:pPr>
        <w:pStyle w:val="Heading3"/>
      </w:pPr>
      <w:bookmarkStart w:id="16" w:name="_Toc38549328"/>
      <w:r w:rsidRPr="00D30B61">
        <w:t>Study of Health in Pomerania (SHIP)</w:t>
      </w:r>
      <w:bookmarkEnd w:id="16"/>
    </w:p>
    <w:p w14:paraId="7645E1E1" w14:textId="3CCC6684" w:rsidR="0059540C" w:rsidRDefault="0059540C" w:rsidP="0059540C">
      <w:r w:rsidRPr="00190A8E">
        <w:t xml:space="preserve">The Study of Health in Pomerania (SHIP) is a population-based project in West Pomerania, the north-east area of </w:t>
      </w:r>
      <w:r w:rsidRPr="0059540C">
        <w:t xml:space="preserve">Germany </w:t>
      </w:r>
      <w:r w:rsidRPr="0059540C">
        <w:fldChar w:fldCharType="begin" w:fldLock="1"/>
      </w:r>
      <w:r w:rsidR="0067273D">
        <w:instrText>ADDIN CSL_CITATION {"citationItems":[{"id":"ITEM-1","itemData":{"DOI":"10.1093/ije/dyp394","ISSN":"0300-5771","author":[{"dropping-particle":"","family":"Volzke","given":"H.","non-dropping-particle":"","parse-names":false,"suffix":""},{"dropping-particle":"","family":"Alte","given":"D.","non-dropping-particle":"","parse-names":false,"suffix":""},{"dropping-particle":"","family":"Schmidt","given":"C. O.","non-dropping-particle":"","parse-names":false,"suffix":""},{"dropping-particle":"","family":"Radke","given":"D.","non-dropping-particle":"","parse-names":false,"suffix":""},{"dropping-particle":"","family":"Lorbeer","given":"R.","non-dropping-particle":"","parse-names":false,"suffix":""},{"dropping-particle":"","family":"Friedrich","given":"N.","non-dropping-particle":"","parse-names":false,"suffix":""},{"dropping-particle":"","family":"Aumann","given":"N.","non-dropping-particle":"","parse-names":false,"suffix":""},{"dropping-particle":"","family":"Lau","given":"K.","non-dropping-particle":"","parse-names":false,"suffix":""},{"dropping-particle":"","family":"Piontek","given":"M.","non-dropping-particle":"","parse-names":false,"suffix":""},{"dropping-particle":"","family":"Born","given":"G.","non-dropping-particle":"","parse-names":false,"suffix":""},{"dropping-particle":"","family":"Havemann","given":"C.","non-dropping-particle":"","parse-names":false,"suffix":""},{"dropping-particle":"","family":"Ittermann","given":"T.","non-dropping-particle":"","parse-names":false,"suffix":""},{"dropping-particle":"","family":"Schipf","given":"S.","non-dropping-particle":"","parse-names":false,"suffix":""},{"dropping-particle":"","family":"Haring","given":"R.","non-dropping-particle":"","parse-names":false,"suffix":""},{"dropping-particle":"","family":"Baumeister","given":"S. E.","non-dropping-particle":"","parse-names":false,"suffix":""},{"dropping-particle":"","family":"Wallaschofski","given":"H.","non-dropping-particle":"","parse-names":false,"suffix":""},{"dropping-particle":"","family":"Nauck","given":"M.","non-dropping-particle":"","parse-names":false,"suffix":""},{"dropping-particle":"","family":"Frick","given":"S.","non-dropping-particle":"","parse-names":false,"suffix":""},{"dropping-particle":"","family":"Arnold","given":"A.","non-dropping-particle":"","parse-names":false,"suffix":""},{"dropping-particle":"","family":"Junger","given":"M.","non-dropping-particle":"","parse-names":false,"suffix":""},{"dropping-particle":"","family":"Mayerle","given":"J.","non-dropping-particle":"","parse-names":false,"suffix":""},{"dropping-particle":"","family":"Kraft","given":"M.","non-dropping-particle":"","parse-names":false,"suffix":""},{"dropping-particle":"","family":"Lerch","given":"M. M.","non-dropping-particle":"","parse-names":false,"suffix":""},{"dropping-particle":"","family":"Dorr","given":"M.","non-dropping-particle":"","parse-names":false,"suffix":""},{"dropping-particle":"","family":"Reffelmann","given":"T.","non-dropping-particle":"","parse-names":false,"suffix":""},{"dropping-particle":"","family":"Empen","given":"K.","non-dropping-particle":"","parse-names":false,"suffix":""},{"dropping-particle":"","family":"Felix","given":"S. B.","non-dropping-particle":"","parse-names":false,"suffix":""},{"dropping-particle":"","family":"Obst","given":"A.","non-dropping-particle":"","parse-names":false,"suffix":""},{"dropping-particle":"","family":"Koch","given":"B.","non-dropping-particle":"","parse-names":false,"suffix":""},{"dropping-particle":"","family":"Glaser","given":"S.","non-dropping-particle":"","parse-names":false,"suffix":""},{"dropping-particle":"","family":"Ewert","given":"R.","non-dropping-particle":"","parse-names":false,"suffix":""},{"dropping-particle":"","family":"Fietze","given":"I.","non-dropping-particle":"","parse-names":false,"suffix":""},{"dropping-particle":"","family":"Penzel","given":"T.","non-dropping-particle":"","parse-names":false,"suffix":""},{"dropping-particle":"","family":"Doren","given":"M.","non-dropping-particle":"","parse-names":false,"suffix":""},{"dropping-particle":"","family":"Rathmann","given":"W.","non-dropping-particle":"","parse-names":false,"suffix":""},{"dropping-particle":"","family":"Haerting","given":"J.","non-dropping-particle":"","parse-names":false,"suffix":""},{"dropping-particle":"","family":"Hannemann","given":"M.","non-dropping-particle":"","parse-names":false,"suffix":""},{"dropping-particle":"","family":"Ropcke","given":"J.","non-dropping-particle":"","parse-names":false,"suffix":""},{"dropping-particle":"","family":"Schminke","given":"U.","non-dropping-particle":"","parse-names":false,"suffix":""},{"dropping-particle":"","family":"Jurgens","given":"C.","non-dropping-particle":"","parse-names":false,"suffix":""},{"dropping-particle":"","family":"Tost","given":"F.","non-dropping-particle":"","parse-names":false,"suffix":""},{"dropping-particle":"","family":"Rettig","given":"R.","non-dropping-particle":"","parse-names":false,"suffix":""},{"dropping-particle":"","family":"Kors","given":"J. A.","non-dropping-particle":"","parse-names":false,"suffix":""},{"dropping-particle":"","family":"Ungerer","given":"S.","non-dropping-particle":"","parse-names":false,"suffix":""},{"dropping-particle":"","family":"Hegenscheid","given":"K.","non-dropping-particle":"","parse-names":false,"suffix":""},{"dropping-particle":"","family":"Kuhn","given":"J.-P.","non-dropping-particle":"","parse-names":false,"suffix":""},{"dropping-particle":"","family":"Kuhn","given":"J.","non-dropping-particle":"","parse-names":false,"suffix":""},{"dropping-particle":"","family":"Hosten","given":"N.","non-dropping-particle":"","parse-names":false,"suffix":""},{"dropping-particle":"","family":"Puls","given":"R.","non-dropping-particle":"","parse-names":false,"suffix":""},{"dropping-particle":"","family":"Henke","given":"J.","non-dropping-particle":"","parse-names":false,"suffix":""},{"dropping-particle":"","family":"Gloger","given":"O.","non-dropping-particle":"","parse-names":false,"suffix":""},{"dropping-particle":"","family":"Teumer","given":"A.","non-dropping-particle":"","parse-names":false,"suffix":""},{"dropping-particle":"","family":"Homuth","given":"G.","non-dropping-particle":"","parse-names":false,"suffix":""},{"dropping-particle":"","family":"Volker","given":"U.","non-dropping-particle":"","parse-names":false,"suffix":""},{"dropping-particle":"","family":"Schwahn","given":"C.","non-dropping-particle":"","parse-names":false,"suffix":""},{"dropping-particle":"","family":"Holtfreter","given":"B.","non-dropping-particle":"","parse-names":false,"suffix":""},{"dropping-particle":"","family":"Polzer","given":"I.","non-dropping-particle":"","parse-names":false,"suffix":""},{"dropping-particle":"","family":"Kohlmann","given":"T.","non-dropping-particle":"","parse-names":false,"suffix":""},{"dropping-particle":"","family":"Grabe","given":"H. J.","non-dropping-particle":"","parse-names":false,"suffix":""},{"dropping-particle":"","family":"Rosskopf","given":"D.","non-dropping-particle":"","parse-names":false,"suffix":""},{"dropping-particle":"","family":"Kroemer","given":"H. K.","non-dropping-particle":"","parse-names":false,"suffix":""},{"dropping-particle":"","family":"Kocher","given":"T.","non-dropping-particle":"","parse-names":false,"suffix":""},{"dropping-particle":"","family":"Biffar","given":"R.","non-dropping-particle":"","parse-names":false,"suffix":""},{"dropping-particle":"","family":"John","given":"U.","non-dropping-particle":"","parse-names":false,"suffix":""},{"dropping-particle":"","family":"Hoffmann","given":"W.","non-dropping-particle":"","parse-names":false,"suffix":""}],"container-title":"International Journal of Epidemiology","id":"ITEM-1","issue":"2","issued":{"date-parts":[["2011","4"]]},"page":"294-307","publisher":"Narnia","title":"Cohort Profile: The Study of Health in Pomerania","type":"article-journal","volume":"40"},"uris":["http://www.mendeley.com/documents/?uuid=de54034a-7a92-3103-ae88-52a692f09a27","http://www.mendeley.com/documents/?uuid=e75601dd-6cdf-4841-a0f6-5a36e3fa847c"]}],"mendeley":{"formattedCitation":"&lt;span style=\"baseline\"&gt;(29)&lt;/span&gt;","plainTextFormattedCitation":"(29)","previouslyFormattedCitation":"&lt;span style=\"baseline\"&gt;(29)&lt;/span&gt;"},"properties":{"noteIndex":0},"schema":"https://github.com/citation-style-language/schema/raw/master/csl-citation.json"}</w:instrText>
      </w:r>
      <w:r w:rsidRPr="0059540C">
        <w:fldChar w:fldCharType="separate"/>
      </w:r>
      <w:r w:rsidR="0067273D" w:rsidRPr="0067273D">
        <w:rPr>
          <w:noProof/>
        </w:rPr>
        <w:t>(29)</w:t>
      </w:r>
      <w:r w:rsidRPr="0059540C">
        <w:fldChar w:fldCharType="end"/>
      </w:r>
      <w:r w:rsidRPr="0059540C">
        <w:t>.</w:t>
      </w:r>
      <w:r w:rsidRPr="00190A8E">
        <w:t xml:space="preserve"> A sample from the population aged 20 to 79 years was drawn from population registries. First, the three cities of the region (with 17,076 to 65,977 inhabitants) and the 12 towns (with 1,516 to 3,044 inhabitants) were selected, and then 17 out of 97 smaller towns (with less than 1,500 inhabitants), were drawn at random. Second, from each of the selected </w:t>
      </w:r>
      <w:r w:rsidRPr="00190A8E">
        <w:lastRenderedPageBreak/>
        <w:t xml:space="preserve">communities, subjects were drawn at random, proportional to the population size of each community and stratified by age and gender. Only individuals with German citizenship and main residency in the study area were included. Finally, 7,008 subjects were sampled, with 292 persons of each gender in each of the twelve five-year age strata. In order to minimize drop-outs by migration or death, subjects were selected in two waves. The net sample (without migrated or deceased persons) comprised 6,267 eligible subjects. Selected persons received a maximum of three written invitations. In case of non-response, letters were followed by a phone call or by home visits if contact by phone was not possible. The SHIP population finally comprised 4,308 participants (corresponding to a final response of 68.8%). </w:t>
      </w:r>
      <w:r w:rsidRPr="000F667C">
        <w:t>The medical ethics committee of the University of Greifswald approved the study protocol, and oral and written informed consents were obtained from each of the study participants.</w:t>
      </w:r>
      <w:r>
        <w:t xml:space="preserve"> </w:t>
      </w:r>
      <w:r w:rsidRPr="00190A8E">
        <w:t>Handgrip strength was assessed in the second five-year follow-up of the study (SHIP-2) and used for this project.</w:t>
      </w:r>
    </w:p>
    <w:p w14:paraId="68F0BB14" w14:textId="71F758FD" w:rsidR="0059540C" w:rsidRDefault="0059540C" w:rsidP="0059540C">
      <w:proofErr w:type="spellStart"/>
      <w:r w:rsidRPr="00CE08A3">
        <w:rPr>
          <w:rFonts w:cstheme="minorHAnsi"/>
        </w:rPr>
        <w:t>Nonfasting</w:t>
      </w:r>
      <w:proofErr w:type="spellEnd"/>
      <w:r w:rsidRPr="00CE08A3">
        <w:rPr>
          <w:rFonts w:cstheme="minorHAnsi"/>
        </w:rPr>
        <w:t xml:space="preserve"> blood samples were drawn from the cubital vein in the supine position. The samples were taken between 07:00 AM and 04:00 PM, and serum aliquots were prepared for immediate analysis and for storage at -80 °C in the Integrated Research Biobank (</w:t>
      </w:r>
      <w:proofErr w:type="spellStart"/>
      <w:r w:rsidRPr="00CE08A3">
        <w:rPr>
          <w:rFonts w:cstheme="minorHAnsi"/>
        </w:rPr>
        <w:t>Liconic</w:t>
      </w:r>
      <w:proofErr w:type="spellEnd"/>
      <w:r w:rsidRPr="00CE08A3">
        <w:rPr>
          <w:rFonts w:cstheme="minorHAnsi"/>
        </w:rPr>
        <w:t xml:space="preserve">, Liechtenstein). The SHIP samples were genotyped using the </w:t>
      </w:r>
      <w:proofErr w:type="spellStart"/>
      <w:r w:rsidRPr="00CE08A3">
        <w:rPr>
          <w:rFonts w:cstheme="minorHAnsi"/>
        </w:rPr>
        <w:t>Affymetrix</w:t>
      </w:r>
      <w:proofErr w:type="spellEnd"/>
      <w:r w:rsidRPr="00CE08A3">
        <w:rPr>
          <w:rFonts w:cstheme="minorHAnsi"/>
        </w:rPr>
        <w:t xml:space="preserve"> Genome-Wide Human SNP Array 6.0. Hybridisation of genomic DNA was done in accordance with the manufactu</w:t>
      </w:r>
      <w:r>
        <w:rPr>
          <w:rFonts w:cstheme="minorHAnsi"/>
        </w:rPr>
        <w:t>rer’s standard recommendations.</w:t>
      </w:r>
      <w:r w:rsidRPr="00CE08A3">
        <w:rPr>
          <w:rFonts w:cstheme="minorHAnsi"/>
        </w:rPr>
        <w:t xml:space="preserve"> Genetic data were stored using the database </w:t>
      </w:r>
      <w:proofErr w:type="spellStart"/>
      <w:r w:rsidRPr="00CE08A3">
        <w:rPr>
          <w:rFonts w:cstheme="minorHAnsi"/>
        </w:rPr>
        <w:t>Caché</w:t>
      </w:r>
      <w:proofErr w:type="spellEnd"/>
      <w:r w:rsidRPr="00CE08A3">
        <w:rPr>
          <w:rFonts w:cstheme="minorHAnsi"/>
        </w:rPr>
        <w:t xml:space="preserve"> (</w:t>
      </w:r>
      <w:proofErr w:type="spellStart"/>
      <w:r w:rsidRPr="00CE08A3">
        <w:rPr>
          <w:rFonts w:cstheme="minorHAnsi"/>
        </w:rPr>
        <w:t>InterSystems</w:t>
      </w:r>
      <w:proofErr w:type="spellEnd"/>
      <w:r w:rsidRPr="00CE08A3">
        <w:rPr>
          <w:rFonts w:cstheme="minorHAnsi"/>
        </w:rPr>
        <w:t xml:space="preserve">). Genotypes were determined using the Birdseed2 clustering algorithm. For quality control purposes, several control samples where added. On the chip level, only subjects with a genotyping rate on QC </w:t>
      </w:r>
      <w:proofErr w:type="spellStart"/>
      <w:r w:rsidRPr="00CE08A3">
        <w:rPr>
          <w:rFonts w:cstheme="minorHAnsi"/>
        </w:rPr>
        <w:t>probesets</w:t>
      </w:r>
      <w:proofErr w:type="spellEnd"/>
      <w:r w:rsidRPr="00CE08A3">
        <w:rPr>
          <w:rFonts w:cstheme="minorHAnsi"/>
        </w:rPr>
        <w:t xml:space="preserve"> (QC </w:t>
      </w:r>
      <w:proofErr w:type="spellStart"/>
      <w:r w:rsidRPr="00CE08A3">
        <w:rPr>
          <w:rFonts w:cstheme="minorHAnsi"/>
        </w:rPr>
        <w:t>callrate</w:t>
      </w:r>
      <w:proofErr w:type="spellEnd"/>
      <w:r w:rsidRPr="00CE08A3">
        <w:rPr>
          <w:rFonts w:cstheme="minorHAnsi"/>
        </w:rPr>
        <w:t xml:space="preserve">) of at least 86% were included. Finally, all arrays had a sample </w:t>
      </w:r>
      <w:proofErr w:type="spellStart"/>
      <w:r w:rsidRPr="00CE08A3">
        <w:rPr>
          <w:rFonts w:cstheme="minorHAnsi"/>
        </w:rPr>
        <w:t>callrate</w:t>
      </w:r>
      <w:proofErr w:type="spellEnd"/>
      <w:r w:rsidRPr="00CE08A3">
        <w:rPr>
          <w:rFonts w:cstheme="minorHAnsi"/>
        </w:rPr>
        <w:t xml:space="preserve"> &gt; 92%. The overall genotyping efficiency of the GWA was 98.55 %. Imputation of genotypes was performed using the HRCv1.1 reference panel and the Eagle and minimac3 software implemented in the Michigan Imputation Server for pre-phasing and imputation, respectively. SNPs with a Hardy-Weinberg-Equilibrium p-value &lt;0.0001, a call rate &lt;0.95, and </w:t>
      </w:r>
      <w:r>
        <w:rPr>
          <w:rFonts w:cstheme="minorHAnsi"/>
        </w:rPr>
        <w:t>monomorphic SNPs</w:t>
      </w:r>
      <w:r w:rsidRPr="00CE08A3">
        <w:rPr>
          <w:rFonts w:cstheme="minorHAnsi"/>
        </w:rPr>
        <w:t xml:space="preserve"> were removed before imputation.</w:t>
      </w:r>
      <w:r>
        <w:rPr>
          <w:rFonts w:cstheme="minorHAnsi"/>
        </w:rPr>
        <w:t xml:space="preserve"> The GWAS were performed sex-stratified using </w:t>
      </w:r>
      <w:r w:rsidRPr="00CE08A3">
        <w:rPr>
          <w:rFonts w:cstheme="minorHAnsi"/>
        </w:rPr>
        <w:t>EPACTS-3.2.6-patched</w:t>
      </w:r>
      <w:r>
        <w:rPr>
          <w:rFonts w:cstheme="minorHAnsi"/>
        </w:rPr>
        <w:t xml:space="preserve"> adjusting for age, the (two) handgrip measurement devices, and the first 10 genetic principal components.</w:t>
      </w:r>
    </w:p>
    <w:p w14:paraId="16071F8C" w14:textId="77777777" w:rsidR="008E0A84" w:rsidRDefault="008E0A84"/>
    <w:p w14:paraId="7873FBDD" w14:textId="425C627A" w:rsidR="00D30B61" w:rsidRDefault="00D30B61" w:rsidP="00D30B61">
      <w:pPr>
        <w:pStyle w:val="Heading3"/>
      </w:pPr>
      <w:bookmarkStart w:id="17" w:name="_Toc38549329"/>
      <w:r w:rsidRPr="00D30B61">
        <w:t>Toledo Study for Healthy Aging (TSHA)</w:t>
      </w:r>
      <w:bookmarkEnd w:id="17"/>
    </w:p>
    <w:p w14:paraId="4D4CF23D" w14:textId="534EBFAB" w:rsidR="00D30B61" w:rsidRDefault="008D5EE7">
      <w:r w:rsidRPr="008D5EE7">
        <w:t>Data were taken from the Toledo Study for Healthy Aging, a population-based study conducted on 2,488 individuals aged 65 years and older. Study participants were selected by a two-stage random sampling from the municipal census of Toledo, covering both institutionalized and community dwelling persons from rural and urban settings. Data were collected from 2006 to 2009, and included information on social support, activities of daily living, comorbidity, physical activity, quality of life, depressive symptoms, and cognitive function. In addition, a nurse collected anthropometric data, conducted tests of physical performance (walk speed, upper and lower extremities strength, and the stand-and-sit from a chair test) and obtained a blood sample. The diagnosis of the frailty syndrome was based on the Fried criteria (weakness, low speed, low physical activity, exhaustion, and weight loss). For this analysis, participants from the second wave of data collection 2013 – 2015 were included.</w:t>
      </w:r>
    </w:p>
    <w:p w14:paraId="1BF5F5CA" w14:textId="52EE608C" w:rsidR="00D30B61" w:rsidRDefault="008D5EE7" w:rsidP="008D5EE7">
      <w:r>
        <w:t xml:space="preserve">Genotyping was performing using Illumina </w:t>
      </w:r>
      <w:proofErr w:type="spellStart"/>
      <w:r>
        <w:t>Infinium</w:t>
      </w:r>
      <w:proofErr w:type="spellEnd"/>
      <w:r>
        <w:t xml:space="preserve"> Global Screening Array. The call rate was 0.98, 3.4% of the sample presented a call rate lower than 95% and were excluded from the analysis. Imputation Panel: HRC (Version r1.1 2016) using Michigan Imputation Server. GWAS was performed using SNPTEST logistic regression adjusted for age, sex, and 6 EVs.</w:t>
      </w:r>
    </w:p>
    <w:p w14:paraId="23AAB11F" w14:textId="77777777" w:rsidR="007A77BB" w:rsidRDefault="007A77BB" w:rsidP="007A77BB">
      <w:pPr>
        <w:spacing w:line="276" w:lineRule="auto"/>
      </w:pPr>
    </w:p>
    <w:p w14:paraId="6659A68F" w14:textId="13163C75" w:rsidR="007A77BB" w:rsidRDefault="007A77BB" w:rsidP="007A77BB">
      <w:pPr>
        <w:pStyle w:val="Heading3"/>
        <w:spacing w:line="276" w:lineRule="auto"/>
      </w:pPr>
      <w:bookmarkStart w:id="18" w:name="_Toc38549330"/>
      <w:r w:rsidRPr="001453EF">
        <w:t>UK Biobank</w:t>
      </w:r>
      <w:r>
        <w:t xml:space="preserve"> (UKB)</w:t>
      </w:r>
      <w:bookmarkEnd w:id="18"/>
    </w:p>
    <w:p w14:paraId="1857B3EA" w14:textId="0B22E567" w:rsidR="007A77BB" w:rsidRDefault="007A77BB" w:rsidP="007A77BB">
      <w:pPr>
        <w:spacing w:line="276" w:lineRule="auto"/>
        <w:rPr>
          <w:lang w:val="en-US"/>
        </w:rPr>
      </w:pPr>
      <w:r w:rsidRPr="007801DE">
        <w:rPr>
          <w:lang w:val="en-US"/>
        </w:rPr>
        <w:t>Between 2006 and 2010, 503,325 volunteers (aged 4</w:t>
      </w:r>
      <w:r w:rsidR="00127C46">
        <w:rPr>
          <w:lang w:val="en-US"/>
        </w:rPr>
        <w:t>0</w:t>
      </w:r>
      <w:r w:rsidRPr="007801DE">
        <w:rPr>
          <w:lang w:val="en-US"/>
        </w:rPr>
        <w:t xml:space="preserve"> to </w:t>
      </w:r>
      <w:r w:rsidR="00127C46">
        <w:rPr>
          <w:lang w:val="en-US"/>
        </w:rPr>
        <w:t>70</w:t>
      </w:r>
      <w:r w:rsidRPr="007801DE">
        <w:rPr>
          <w:lang w:val="en-US"/>
        </w:rPr>
        <w:t xml:space="preserve"> years old) were recruited from across the United Kingdom to the UK Biobank study </w:t>
      </w:r>
      <w:r w:rsidRPr="007801DE">
        <w:rPr>
          <w:lang w:val="en-US"/>
        </w:rPr>
        <w:fldChar w:fldCharType="begin" w:fldLock="1"/>
      </w:r>
      <w:r w:rsidR="0067273D">
        <w:rPr>
          <w:lang w:val="en-US"/>
        </w:rPr>
        <w:instrText>ADDIN CSL_CITATION {"citationItems":[{"id":"ITEM-1","itemData":{"author":[{"dropping-particle":"","family":"UK Biobank","given":"","non-dropping-particle":"","parse-names":false,"suffix":""}],"id":"ITEM-1","issued":{"date-parts":[["2014"]]},"title":"UK Biobank genotype collections and QC on 150k participants, April 2014","type":"webpage"},"uris":["http://www.mendeley.com/documents/?uuid=bdd7a25e-44f7-4fe1-a436-c4817a973462","http://www.mendeley.com/documents/?uuid=52fe1a65-6eb7-444e-abf3-597c6c2671d1"]}],"mendeley":{"formattedCitation":"&lt;span style=\"baseline\"&gt;(30)&lt;/span&gt;","plainTextFormattedCitation":"(30)","previouslyFormattedCitation":"&lt;span style=\"baseline\"&gt;(30)&lt;/span&gt;"},"properties":{"noteIndex":0},"schema":"https://github.com/citation-style-language/schema/raw/master/csl-citation.json"}</w:instrText>
      </w:r>
      <w:r w:rsidRPr="007801DE">
        <w:rPr>
          <w:lang w:val="en-US"/>
        </w:rPr>
        <w:fldChar w:fldCharType="separate"/>
      </w:r>
      <w:r w:rsidR="0067273D" w:rsidRPr="0067273D">
        <w:rPr>
          <w:noProof/>
          <w:lang w:val="en-US"/>
        </w:rPr>
        <w:t>(30)</w:t>
      </w:r>
      <w:r w:rsidRPr="007801DE">
        <w:rPr>
          <w:lang w:val="en-US"/>
        </w:rPr>
        <w:fldChar w:fldCharType="end"/>
      </w:r>
      <w:r w:rsidRPr="007801DE">
        <w:rPr>
          <w:lang w:val="en-US"/>
        </w:rPr>
        <w:t>. Genetic data was available on 488,377 UK Biobank participants after genotype calling and quality control performed centrally by the UK Biobank team</w:t>
      </w:r>
      <w:r w:rsidR="00127C46">
        <w:rPr>
          <w:lang w:val="en-US"/>
        </w:rPr>
        <w:fldChar w:fldCharType="begin" w:fldLock="1"/>
      </w:r>
      <w:r w:rsidR="0067273D">
        <w:rPr>
          <w:lang w:val="en-US"/>
        </w:rPr>
        <w:instrText>ADDIN CSL_CITATION {"citationItems":[{"id":"ITEM-1","itemData":{"DOI":"10.1038/s41586-018-0579-z","ISSN":"14764687","PMID":"30305743","abstract":"The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dropping-particle":"","family":"Cortes","given":"Adrian","non-dropping-particle":"","parse-names":false,"suffix":""},{"dropping-particle":"","family":"Welsh","given":"Samantha","non-dropping-particle":"","parse-names":false,"suffix":""},{"dropping-particle":"","family":"Young","given":"Alan","non-dropping-particle":"","parse-names":false,"suffix":""},{"dropping-particle":"","family":"Effingham","given":"Mark","non-dropping-particle":"","parse-names":false,"suffix":""},{"dropping-particle":"","family":"McVean","given":"Gil","non-dropping-particle":"","parse-names":false,"suffix":""},{"dropping-particle":"","family":"Leslie","given":"Stephen","non-dropping-particle":"","parse-names":false,"suffix":""},{"dropping-particle":"","family":"Allen","given":"Naomi","non-dropping-particle":"","parse-names":false,"suffix":""},{"dropping-particle":"","family":"Donnelly","given":"Peter","non-dropping-particle":"","parse-names":false,"suffix":""},{"dropping-particle":"","family":"Marchini","given":"Jonathan","non-dropping-particle":"","parse-names":false,"suffix":""}],"container-title":"Nature","id":"ITEM-1","issue":"7726","issued":{"date-parts":[["2018"]]},"page":"203-209","title":"The UK Biobank resource with deep phenotyping and genomic data","type":"article-journal","volume":"562"},"uris":["http://www.mendeley.com/documents/?uuid=17e49f6a-b795-457c-a138-ba1231fd3137"]}],"mendeley":{"formattedCitation":"&lt;span style=\"baseline\"&gt;(31)&lt;/span&gt;","plainTextFormattedCitation":"(31)","previouslyFormattedCitation":"&lt;span style=\"baseline\"&gt;(31)&lt;/span&gt;"},"properties":{"noteIndex":0},"schema":"https://github.com/citation-style-language/schema/raw/master/csl-citation.json"}</w:instrText>
      </w:r>
      <w:r w:rsidR="00127C46">
        <w:rPr>
          <w:lang w:val="en-US"/>
        </w:rPr>
        <w:fldChar w:fldCharType="separate"/>
      </w:r>
      <w:r w:rsidR="0067273D" w:rsidRPr="0067273D">
        <w:rPr>
          <w:noProof/>
          <w:lang w:val="en-US"/>
        </w:rPr>
        <w:t>(31)</w:t>
      </w:r>
      <w:r w:rsidR="00127C46">
        <w:rPr>
          <w:lang w:val="en-US"/>
        </w:rPr>
        <w:fldChar w:fldCharType="end"/>
      </w:r>
      <w:r w:rsidRPr="007801DE">
        <w:rPr>
          <w:lang w:val="en-US"/>
        </w:rPr>
        <w:t>. We selected 451,447 participants identified as ‘white European’ through self-report and verified through principal components analysis based on genotypes. Briefly, principal components were generated in the 1000 Genomes Cohort using high-confidence SNPs to obtain their individual loadings. These loadings were then used to project all of the UK Biobank samples into the same principal component space and individuals were then clustered using principal components 1 to 4</w:t>
      </w:r>
      <w:r w:rsidR="00127C46">
        <w:rPr>
          <w:lang w:val="en-US"/>
        </w:rPr>
        <w:t xml:space="preserve"> (see </w:t>
      </w:r>
      <w:r w:rsidR="00127C46">
        <w:rPr>
          <w:lang w:val="en-US"/>
        </w:rPr>
        <w:fldChar w:fldCharType="begin" w:fldLock="1"/>
      </w:r>
      <w:r w:rsidR="0067273D">
        <w:rPr>
          <w:lang w:val="en-US"/>
        </w:rPr>
        <w:instrText>ADDIN CSL_CITATION {"citationItems":[{"id":"ITEM-1","itemData":{"DOI":"10.1371/journal.pmed.1002828","ISBN":"1111111111","ISSN":"1549-1676","PMID":"31211782","abstract":"BACKGROUND Systematic reviews of randomised controlled trials (RCTs) have suggested that maternal vitamin D (25[OH]D) and calcium supplementation increase birth weight. However, limitations of many trials were highlighted in the reviews. Our aim was to combine genetic and RCT data to estimate causal effects of these two maternal traits on offspring birth weight. METHODS AND FINDINGS We performed two-sample mendelian randomisation (MR) using genetic instrumental variables associated with 25(OH)D and calcium that had been identified in genome-wide association studies (GWAS; sample 1; N = 122,123 for 25[OH]D and N = 61,275 for calcium). Associations between these maternal genetic variants and offspring birth weight were calculated in the UK Biobank (UKB) (sample 2; N = 190,406). We used data on mother-child pairs from two United Kingdom birth cohorts (combined N = 5,223) in sensitivity analyses to check whether results were influenced by fetal genotype, which is correlated with the maternal genotype (r ≈ 0.5). Further sensitivity analyses to test the reliability of the results included MR-Egger, weighted-median estimator, 'leave-one-out', and multivariable MR analyses. We triangulated MR results with those from RCTs, in which we used randomisation to supplementation with vitamin D (24 RCTs, combined N = 5,276) and calcium (6 RCTs, combined N = 543) as an instrumental variable to determine the effects of 25(OH)D and calcium on birth weight. In the main MR analysis, there was no strong evidence of an effect of maternal 25(OH)D on birth weight (difference in mean birth weight -0.03 g [95% CI -2.48 to 2.42 g, p = 0.981] per 10% higher maternal 25[OH]D). The effect estimate was consistent across our MR sensitivity analyses. Instrumental variable analyses applied to RCTs suggested a weak positive causal effect (5.94 g [95% CI 2.15-9.73, p = 0.002] per 10% higher maternal 25[OH]D), but this result may be exaggerated because of risk of bias in the included RCTs. The main MR analysis for maternal calcium also suggested no strong evidence of an effect on birth weight (-20 g [95% CI -44 to 5 g, p = 0.116] per 1 SD higher maternal calcium level). Some sensitivity analyses suggested that the genetic instrument for calcium was associated with birth weight via exposures that are independent of calcium levels (horizontal pleiotropy). Application of instrumental variable analyses to RCTs suggested that calcium has a substantial effect on birth weight (178 g [95% CI 121-236…","author":[{"dropping-particle":"","family":"Thompson","given":"William D","non-dropping-particle":"","parse-names":false,"suffix":""},{"dropping-particle":"","family":"Tyrrell","given":"Jessica","non-dropping-particle":"","parse-names":false,"suffix":""},{"dropping-particle":"","family":"Borges","given":"Maria-Carolina","non-dropping-particle":"","parse-names":false,"suffix":""},{"dropping-particle":"","family":"Beaumont","given":"Robin N","non-dropping-particle":"","parse-names":false,"suffix":""},{"dropping-particle":"","family":"Knight","given":"Bridget A","non-dropping-particle":"","parse-names":false,"suffix":""},{"dropping-particle":"","family":"Wood","given":"Andrew R","non-dropping-particle":"","parse-names":false,"suffix":""},{"dropping-particle":"","family":"Ring","given":"Susan M","non-dropping-particle":"","parse-names":false,"suffix":""},{"dropping-particle":"","family":"Hattersley","given":"Andrew T","non-dropping-particle":"","parse-names":false,"suffix":""},{"dropping-particle":"","family":"Freathy","given":"Rachel M","non-dropping-particle":"","parse-names":false,"suffix":""},{"dropping-particle":"","family":"Lawlor","given":"Debbie A","non-dropping-particle":"","parse-names":false,"suffix":""}],"container-title":"PLoS medicine","id":"ITEM-1","issue":"6","issued":{"date-parts":[["2019","6"]]},"page":"e1002828","title":"Association of maternal circulating 25(OH)D and calcium with birth weight: A mendelian randomisation analysis.","type":"article-journal","volume":"16"},"uris":["http://www.mendeley.com/documents/?uuid=a0fc8fd3-c7cd-49ab-b729-1ed131d94ccc"]}],"mendeley":{"formattedCitation":"&lt;span style=\"baseline\"&gt;(32)&lt;/span&gt;","plainTextFormattedCitation":"(32)","previouslyFormattedCitation":"&lt;span style=\"baseline\"&gt;(32)&lt;/span&gt;"},"properties":{"noteIndex":0},"schema":"https://github.com/citation-style-language/schema/raw/master/csl-citation.json"}</w:instrText>
      </w:r>
      <w:r w:rsidR="00127C46">
        <w:rPr>
          <w:lang w:val="en-US"/>
        </w:rPr>
        <w:fldChar w:fldCharType="separate"/>
      </w:r>
      <w:r w:rsidR="0067273D" w:rsidRPr="0067273D">
        <w:rPr>
          <w:noProof/>
          <w:lang w:val="en-US"/>
        </w:rPr>
        <w:t>(32)</w:t>
      </w:r>
      <w:r w:rsidR="00127C46">
        <w:rPr>
          <w:lang w:val="en-US"/>
        </w:rPr>
        <w:fldChar w:fldCharType="end"/>
      </w:r>
      <w:r w:rsidR="00127C46">
        <w:rPr>
          <w:lang w:val="en-US"/>
        </w:rPr>
        <w:t xml:space="preserve"> for details)</w:t>
      </w:r>
      <w:r w:rsidRPr="007801DE">
        <w:rPr>
          <w:lang w:val="en-US"/>
        </w:rPr>
        <w:t>. Imputation of 39,235,157 genetic variants from the Haplotype Reference Consortium panel was performed using IMPUTE4 centrally by the UK Biobank team</w:t>
      </w:r>
      <w:r w:rsidR="00127C46">
        <w:rPr>
          <w:lang w:val="en-US"/>
        </w:rPr>
        <w:t xml:space="preserve"> </w:t>
      </w:r>
      <w:r w:rsidR="00127C46">
        <w:rPr>
          <w:lang w:val="en-US"/>
        </w:rPr>
        <w:fldChar w:fldCharType="begin" w:fldLock="1"/>
      </w:r>
      <w:r w:rsidR="0067273D">
        <w:rPr>
          <w:lang w:val="en-US"/>
        </w:rPr>
        <w:instrText>ADDIN CSL_CITATION {"citationItems":[{"id":"ITEM-1","itemData":{"DOI":"10.1038/s41586-018-0579-z","ISSN":"14764687","PMID":"30305743","abstract":"The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dropping-particle":"","family":"Cortes","given":"Adrian","non-dropping-particle":"","parse-names":false,"suffix":""},{"dropping-particle":"","family":"Welsh","given":"Samantha","non-dropping-particle":"","parse-names":false,"suffix":""},{"dropping-particle":"","family":"Young","given":"Alan","non-dropping-particle":"","parse-names":false,"suffix":""},{"dropping-particle":"","family":"Effingham","given":"Mark","non-dropping-particle":"","parse-names":false,"suffix":""},{"dropping-particle":"","family":"McVean","given":"Gil","non-dropping-particle":"","parse-names":false,"suffix":""},{"dropping-particle":"","family":"Leslie","given":"Stephen","non-dropping-particle":"","parse-names":false,"suffix":""},{"dropping-particle":"","family":"Allen","given":"Naomi","non-dropping-particle":"","parse-names":false,"suffix":""},{"dropping-particle":"","family":"Donnelly","given":"Peter","non-dropping-particle":"","parse-names":false,"suffix":""},{"dropping-particle":"","family":"Marchini","given":"Jonathan","non-dropping-particle":"","parse-names":false,"suffix":""}],"container-title":"Nature","id":"ITEM-1","issue":"7726","issued":{"date-parts":[["2018"]]},"page":"203-209","title":"The UK Biobank resource with deep phenotyping and genomic data","type":"article-journal","volume":"562"},"uris":["http://www.mendeley.com/documents/?uuid=17e49f6a-b795-457c-a138-ba1231fd3137"]}],"mendeley":{"formattedCitation":"&lt;span style=\"baseline\"&gt;(31)&lt;/span&gt;","plainTextFormattedCitation":"(31)","previouslyFormattedCitation":"&lt;span style=\"baseline\"&gt;(31)&lt;/span&gt;"},"properties":{"noteIndex":0},"schema":"https://github.com/citation-style-language/schema/raw/master/csl-citation.json"}</w:instrText>
      </w:r>
      <w:r w:rsidR="00127C46">
        <w:rPr>
          <w:lang w:val="en-US"/>
        </w:rPr>
        <w:fldChar w:fldCharType="separate"/>
      </w:r>
      <w:r w:rsidR="0067273D" w:rsidRPr="0067273D">
        <w:rPr>
          <w:noProof/>
          <w:lang w:val="en-US"/>
        </w:rPr>
        <w:t>(31)</w:t>
      </w:r>
      <w:r w:rsidR="00127C46">
        <w:rPr>
          <w:lang w:val="en-US"/>
        </w:rPr>
        <w:fldChar w:fldCharType="end"/>
      </w:r>
      <w:r w:rsidRPr="007801DE">
        <w:rPr>
          <w:lang w:val="en-US"/>
        </w:rPr>
        <w:t>. After filtering for variants with MAF ≥0.1%, missingness &lt;1.5%, imputation quality &gt;0.1 and with Hardy-Weinberg equilibrium (HWE) P&gt;1x10</w:t>
      </w:r>
      <w:r w:rsidRPr="007801DE">
        <w:rPr>
          <w:vertAlign w:val="superscript"/>
          <w:lang w:val="en-US"/>
        </w:rPr>
        <w:t>-6</w:t>
      </w:r>
      <w:r w:rsidRPr="007801DE">
        <w:rPr>
          <w:lang w:val="en-US"/>
        </w:rPr>
        <w:t xml:space="preserve"> within the </w:t>
      </w:r>
      <w:r w:rsidR="00127C46">
        <w:rPr>
          <w:lang w:val="en-US"/>
        </w:rPr>
        <w:t>European-descent</w:t>
      </w:r>
      <w:r w:rsidRPr="007801DE">
        <w:rPr>
          <w:lang w:val="en-US"/>
        </w:rPr>
        <w:t xml:space="preserve"> participants 11,516,125 imputed autosomal variants were eligible for the analyses.</w:t>
      </w:r>
      <w:r>
        <w:rPr>
          <w:lang w:val="en-US"/>
        </w:rPr>
        <w:t xml:space="preserve"> </w:t>
      </w:r>
      <w:r w:rsidRPr="007801DE">
        <w:rPr>
          <w:lang w:val="en-US"/>
        </w:rPr>
        <w:t>We used BOLT-LMM v2.</w:t>
      </w:r>
      <w:r>
        <w:rPr>
          <w:lang w:val="en-US"/>
        </w:rPr>
        <w:t>3</w:t>
      </w:r>
      <w:r w:rsidR="008E0A84">
        <w:rPr>
          <w:lang w:val="en-US"/>
        </w:rPr>
        <w:t>.2</w:t>
      </w:r>
      <w:r w:rsidRPr="007801DE">
        <w:rPr>
          <w:lang w:val="en-US"/>
        </w:rPr>
        <w:t xml:space="preserve"> to model the associations between imputed variants (dosages) and each phenotype </w:t>
      </w:r>
      <w:r w:rsidRPr="007801DE">
        <w:rPr>
          <w:lang w:val="en-US"/>
        </w:rPr>
        <w:fldChar w:fldCharType="begin" w:fldLock="1"/>
      </w:r>
      <w:r w:rsidR="008D5EE7">
        <w:rPr>
          <w:lang w:val="en-US"/>
        </w:rPr>
        <w:instrText>ADDIN CSL_CITATION {"citationItems":[{"id":"ITEM-1","itemData":{"DOI":"10.1038/ng.3190","ISBN":"1546-1718 (Electronic)\\r1061-4036 (Linking)","ISSN":"1546-1718","PMID":"25642633","abstract":"Linear mixed models are a powerful statistical tool for identifying genetic associations and avoiding confounding. However, existing methods are computationally intractable in large cohorts and may not optimize power. All existing methods require time cost O(MN(2)) (where N is the number of samples and M is the number of SNPs) and implicitly assume an infinitesimal genetic architecture in which effect sizes are normally distributed, which can limit power. Here we present a far more efficient mixed-model association method, BOLT-LMM, which requires only a small number of O(MN) time iterations and increases power by modeling more realistic, non-infinitesimal genetic architectures via a Bayesian mixture prior on marker effect sizes. We applied BOLT-LMM to 9 quantitative traits in 23,294 samples from the Women's Genome Health Study (WGHS) and observed significant increases in power, consistent with simulations. Theory and simulations show that the boost in power increases with cohort size, making BOLT-LMM appealing for genome-wide association studies in large cohorts.","author":[{"dropping-particle":"","family":"Loh","given":"Po-Ru","non-dropping-particle":"","parse-names":false,"suffix":""},{"dropping-particle":"","family":"Tucker","given":"George","non-dropping-particle":"","parse-names":false,"suffix":""},{"dropping-particle":"","family":"Bulik-Sullivan","given":"Brendan K","non-dropping-particle":"","parse-names":false,"suffix":""},{"dropping-particle":"","family":"Vilhjálmsson","given":"Bjarni J","non-dropping-particle":"","parse-names":false,"suffix":""},{"dropping-particle":"","family":"Finucane","given":"Hilary K","non-dropping-particle":"","parse-names":false,"suffix":""},{"dropping-particle":"","family":"Salem","given":"Rany M","non-dropping-particle":"","parse-names":false,"suffix":""},{"dropping-particle":"","family":"Chasman","given":"Daniel I","non-dropping-particle":"","parse-names":false,"suffix":""},{"dropping-particle":"","family":"Ridker","given":"Paul M","non-dropping-particle":"","parse-names":false,"suffix":""},{"dropping-particle":"","family":"Neale","given":"Benjamin M","non-dropping-particle":"","parse-names":false,"suffix":""},{"dropping-particle":"","family":"Berger","given":"Bonnie","non-dropping-particle":"","parse-names":false,"suffix":""},{"dropping-particle":"","family":"Patterson","given":"Nick","non-dropping-particle":"","parse-names":false,"suffix":""},{"dropping-particle":"","family":"Price","given":"Alkes L","non-dropping-particle":"","parse-names":false,"suffix":""}],"container-title":"Nature genetics","id":"ITEM-1","issue":"3","issued":{"date-parts":[["2015","3"]]},"note":"From Duplicate 1 (Efficient Bayesian mixed-model analysis increases association power in large cohorts. - Loh, Po-Ru; Tucker, George; Bulik-Sullivan, Brendan K; Vilhjálmsson, Bjarni J; Finucane, Hilary K; Salem, Rany M; Chasman, Daniel I; Ridker, Paul M; Neale, Benjamin M; Berger, Bonnie; Patterson, Nick; Price, Alkes L)\n\nBOLT-LMM (GWAS of imputed data using linear mixed model)\n\nFrom Duplicate 2 (Efficient Bayesian mixed-model analysis increases association power in large cohorts. - Loh, Po-Ru; Tucker, George; Bulik-Sullivan, Brendan K; Vilhjálmsson, Bjarni J; Finucane, Hilary K; Salem, Rany M; Chasman, Daniel I; Ridker, Paul M; Neale, Benjamin M; Berger, Bonnie; Patterson, Nick; Price, Alkes L)\n\nFrom Duplicate 2 (Efficient Bayesian mixed-model analysis increases association power in large cohorts. - Loh, Po-Ru; Tucker, George; Bulik-Sullivan, Brendan K; Vilhjálmsson, Bjarni J; Finucane, Hilary K; Salem, Rany M; Chasman, Daniel I; Ridker, Paul M; Neale, Benjamin M; Berger, Bonnie; Patterson, Nick; Price, Alkes L)\n\nBOLT-LMM (GWAS of imputed data using linear mixed model)","page":"284-90","publisher":"Nature Publishing Group","title":"Efficient Bayesian mixed-model analysis increases association power in large cohorts.","type":"article-journal","volume":"47"},"uris":["http://www.mendeley.com/documents/?uuid=2503ede2-4902-4222-9ce1-f798bf68d6b2"]}],"mendeley":{"formattedCitation":"&lt;span style=\"baseline\"&gt;(13)&lt;/span&gt;","plainTextFormattedCitation":"(13)","previouslyFormattedCitation":"&lt;span style=\"baseline\"&gt;(13)&lt;/span&gt;"},"properties":{"noteIndex":0},"schema":"https://github.com/citation-style-language/schema/raw/master/csl-citation.json"}</w:instrText>
      </w:r>
      <w:r w:rsidRPr="007801DE">
        <w:rPr>
          <w:lang w:val="en-US"/>
        </w:rPr>
        <w:fldChar w:fldCharType="separate"/>
      </w:r>
      <w:r w:rsidR="008D5EE7" w:rsidRPr="008D5EE7">
        <w:rPr>
          <w:noProof/>
          <w:lang w:val="en-US"/>
        </w:rPr>
        <w:t>(13)</w:t>
      </w:r>
      <w:r w:rsidRPr="007801DE">
        <w:rPr>
          <w:lang w:val="en-US"/>
        </w:rPr>
        <w:fldChar w:fldCharType="end"/>
      </w:r>
      <w:r w:rsidR="008E0A84">
        <w:rPr>
          <w:lang w:val="en-US"/>
        </w:rPr>
        <w:t xml:space="preserve"> using LD Score provided with the package for European populations</w:t>
      </w:r>
      <w:r w:rsidR="00127C46">
        <w:rPr>
          <w:lang w:val="en-US"/>
        </w:rPr>
        <w:t xml:space="preserve">. Although this means we have not used a logistic regression model, this approach has the advantage that the </w:t>
      </w:r>
      <w:r w:rsidRPr="007801DE">
        <w:rPr>
          <w:lang w:val="en-US"/>
        </w:rPr>
        <w:t>linear mixed effects model approach</w:t>
      </w:r>
      <w:r>
        <w:rPr>
          <w:lang w:val="en-US"/>
        </w:rPr>
        <w:t xml:space="preserve"> </w:t>
      </w:r>
      <w:r w:rsidR="00127C46">
        <w:rPr>
          <w:lang w:val="en-US"/>
        </w:rPr>
        <w:t xml:space="preserve">robustly </w:t>
      </w:r>
      <w:r>
        <w:rPr>
          <w:lang w:val="en-US"/>
        </w:rPr>
        <w:t>account</w:t>
      </w:r>
      <w:r w:rsidR="00127C46">
        <w:rPr>
          <w:lang w:val="en-US"/>
        </w:rPr>
        <w:t>s</w:t>
      </w:r>
      <w:r>
        <w:rPr>
          <w:lang w:val="en-US"/>
        </w:rPr>
        <w:t xml:space="preserve"> for relatedness and population structure.</w:t>
      </w:r>
      <w:r w:rsidR="00127C46">
        <w:rPr>
          <w:lang w:val="en-US"/>
        </w:rPr>
        <w:t xml:space="preserve"> </w:t>
      </w:r>
    </w:p>
    <w:p w14:paraId="00686D0C" w14:textId="77777777" w:rsidR="00D30B61" w:rsidRDefault="00D30B61" w:rsidP="007A77BB">
      <w:pPr>
        <w:spacing w:line="276" w:lineRule="auto"/>
        <w:rPr>
          <w:lang w:val="en-US"/>
        </w:rPr>
      </w:pPr>
    </w:p>
    <w:p w14:paraId="412C0CFF" w14:textId="16FEF6D7" w:rsidR="00D30B61" w:rsidRPr="007801DE" w:rsidRDefault="00D30B61" w:rsidP="00D30B61">
      <w:pPr>
        <w:pStyle w:val="Heading3"/>
        <w:rPr>
          <w:lang w:val="en-US"/>
        </w:rPr>
      </w:pPr>
      <w:bookmarkStart w:id="19" w:name="_Toc38549331"/>
      <w:r>
        <w:rPr>
          <w:lang w:val="en-US"/>
        </w:rPr>
        <w:t>Wisconsin Longitudinal Study (WLS)</w:t>
      </w:r>
      <w:bookmarkEnd w:id="19"/>
    </w:p>
    <w:p w14:paraId="38F9F495" w14:textId="4D9C6876" w:rsidR="00C52C4D" w:rsidRDefault="00C52C4D" w:rsidP="007A77BB">
      <w:pPr>
        <w:spacing w:line="276" w:lineRule="auto"/>
      </w:pPr>
      <w:r w:rsidRPr="00C52C4D">
        <w:t xml:space="preserve">The Wisconsin Longitudinal Study (WLS) is a one-third sample of all 1957 Wisconsin high school graduates and a randomly selected sibling </w:t>
      </w:r>
      <w:r w:rsidR="00180EF6">
        <w:fldChar w:fldCharType="begin" w:fldLock="1"/>
      </w:r>
      <w:r w:rsidR="0067273D">
        <w:instrText>ADDIN CSL_CITATION {"citationItems":[{"id":"ITEM-1","itemData":{"DOI":"10.1093/ije/dys194","ISSN":"0300-5771","author":[{"dropping-particle":"","family":"Herd","given":"P.","non-dropping-particle":"","parse-names":false,"suffix":""},{"dropping-particle":"","family":"Carr","given":"D.","non-dropping-particle":"","parse-names":false,"suffix":""},{"dropping-particle":"","family":"Roan","given":"C.","non-dropping-particle":"","parse-names":false,"suffix":""}],"container-title":"International Journal of Epidemiology","id":"ITEM-1","issue":"1","issued":{"date-parts":[["2014","2","1"]]},"page":"34-41","title":"Cohort Profile: Wisconsin longitudinal study (WLS)","type":"article-journal","volume":"43"},"uris":["http://www.mendeley.com/documents/?uuid=84bc287f-afe9-4a3c-b078-aedc37cdc159"]}],"mendeley":{"formattedCitation":"&lt;span style=\"baseline\"&gt;(33)&lt;/span&gt;","plainTextFormattedCitation":"(33)","previouslyFormattedCitation":"&lt;span style=\"baseline\"&gt;(33)&lt;/span&gt;"},"properties":{"noteIndex":0},"schema":"https://github.com/citation-style-language/schema/raw/master/csl-citation.json"}</w:instrText>
      </w:r>
      <w:r w:rsidR="00180EF6">
        <w:fldChar w:fldCharType="separate"/>
      </w:r>
      <w:r w:rsidR="0067273D" w:rsidRPr="0067273D">
        <w:rPr>
          <w:noProof/>
        </w:rPr>
        <w:t>(33)</w:t>
      </w:r>
      <w:r w:rsidR="00180EF6">
        <w:fldChar w:fldCharType="end"/>
      </w:r>
      <w:r w:rsidRPr="00C52C4D">
        <w:t xml:space="preserve">. These respondents were originally </w:t>
      </w:r>
      <w:proofErr w:type="spellStart"/>
      <w:r w:rsidRPr="00C52C4D">
        <w:t>empaneled</w:t>
      </w:r>
      <w:proofErr w:type="spellEnd"/>
      <w:r w:rsidRPr="00C52C4D">
        <w:t xml:space="preserve"> with an in-person questionnaire at age 18 (1957), which was followed with a mail survey of parents in 1964, telephone survey in 1975, mail and telephone surveys in 1993 and 2004 and in-person interviews in 2011, where data on grip strength was collected from participants. The WLS has a high response rate, exceeding 80 percent in most rounds of data collection. Between In 2006-11, the WLS collected saliva samples from </w:t>
      </w:r>
      <w:r w:rsidR="00180EF6">
        <w:t xml:space="preserve">respondents using </w:t>
      </w:r>
      <w:proofErr w:type="spellStart"/>
      <w:r w:rsidR="00180EF6">
        <w:t>Oragene</w:t>
      </w:r>
      <w:proofErr w:type="spellEnd"/>
      <w:r w:rsidR="00180EF6">
        <w:t xml:space="preserve"> kits </w:t>
      </w:r>
      <w:r w:rsidR="00180EF6">
        <w:fldChar w:fldCharType="begin" w:fldLock="1"/>
      </w:r>
      <w:r w:rsidR="0067273D">
        <w:instrText>ADDIN CSL_CITATION {"citationItems":[{"id":"ITEM-1","itemData":{"DOI":"10.1158/1055-9965.EPI-05-0706","ISSN":"1055-9965","author":[{"dropping-particle":"","family":"Rylander-Rudqvist","given":"T.","non-dropping-particle":"","parse-names":false,"suffix":""}],"container-title":"Cancer Epidemiology Biomarkers &amp; Prevention","id":"ITEM-1","issue":"9","issued":{"date-parts":[["2006","9","1"]]},"page":"1742-1745","title":"Quality and Quantity of Saliva DNA Obtained from the Self-administrated Oragene Method--A Pilot Study on the Cohort of Swedish Men","type":"article-journal","volume":"15"},"uris":["http://www.mendeley.com/documents/?uuid=27bf7fd8-4aae-43e1-b61a-c28c1dfbeb9b"]}],"mendeley":{"formattedCitation":"&lt;span style=\"baseline\"&gt;(34)&lt;/span&gt;","plainTextFormattedCitation":"(34)","previouslyFormattedCitation":"&lt;span style=\"baseline\"&gt;(34)&lt;/span&gt;"},"properties":{"noteIndex":0},"schema":"https://github.com/citation-style-language/schema/raw/master/csl-citation.json"}</w:instrText>
      </w:r>
      <w:r w:rsidR="00180EF6">
        <w:fldChar w:fldCharType="separate"/>
      </w:r>
      <w:r w:rsidR="0067273D" w:rsidRPr="0067273D">
        <w:rPr>
          <w:noProof/>
        </w:rPr>
        <w:t>(34)</w:t>
      </w:r>
      <w:r w:rsidR="00180EF6">
        <w:fldChar w:fldCharType="end"/>
      </w:r>
      <w:r w:rsidRPr="00C52C4D">
        <w:t xml:space="preserve">. After quality control, a total of 9,012 graduate and sibling respondents were genotyped at ~710,000 markers (before imputation) utilizing the Omni-Express </w:t>
      </w:r>
      <w:proofErr w:type="spellStart"/>
      <w:r w:rsidRPr="00C52C4D">
        <w:t>beadchip</w:t>
      </w:r>
      <w:proofErr w:type="spellEnd"/>
      <w:r w:rsidRPr="00C52C4D">
        <w:t xml:space="preserve">. Genotyping was complete at Johns Hopkins’ </w:t>
      </w:r>
      <w:proofErr w:type="spellStart"/>
      <w:r w:rsidRPr="00C52C4D">
        <w:t>Center</w:t>
      </w:r>
      <w:proofErr w:type="spellEnd"/>
      <w:r w:rsidRPr="00C52C4D">
        <w:t xml:space="preserve"> for Inherited Disease Research (CIDR) and data cleaning was performed in collaboration with the Genetic Analysis </w:t>
      </w:r>
      <w:proofErr w:type="spellStart"/>
      <w:r w:rsidRPr="00C52C4D">
        <w:t>Center</w:t>
      </w:r>
      <w:proofErr w:type="spellEnd"/>
      <w:r w:rsidRPr="00C52C4D">
        <w:t xml:space="preserve"> at the University of Washington. The detailed procedures employed to generate the genetic data are available on the WLS website (https://www.ssc.wisc.edu/wlsresearch/documentation/GWAS). </w:t>
      </w:r>
      <w:r>
        <w:t xml:space="preserve">Genotype imputation using the </w:t>
      </w:r>
      <w:r w:rsidRPr="00C52C4D">
        <w:t>Haplotype Reference Consortium (HRC) v1.1</w:t>
      </w:r>
      <w:r>
        <w:t xml:space="preserve"> panel was performed. </w:t>
      </w:r>
    </w:p>
    <w:p w14:paraId="3EAB15E7" w14:textId="3571B2F7" w:rsidR="00C52C4D" w:rsidRDefault="00C52C4D" w:rsidP="007A77BB">
      <w:pPr>
        <w:spacing w:line="276" w:lineRule="auto"/>
      </w:pPr>
      <w:r>
        <w:t xml:space="preserve">In the sample aged 60 or over at grip assessment (n=7,190) BOLT-LMM was used to model associations between the imputation variants and low grip strength phenotypes. Covariates used were </w:t>
      </w:r>
      <w:r w:rsidRPr="00C52C4D">
        <w:t xml:space="preserve">age at grip strength measurement, age at DNA collection, 10 principal components, </w:t>
      </w:r>
      <w:r>
        <w:t xml:space="preserve">and </w:t>
      </w:r>
      <w:r w:rsidRPr="00C52C4D">
        <w:t>sex</w:t>
      </w:r>
      <w:r>
        <w:t>.</w:t>
      </w:r>
    </w:p>
    <w:p w14:paraId="779DC410" w14:textId="4474135D" w:rsidR="007A77BB" w:rsidRDefault="00C52C4D" w:rsidP="007A77BB">
      <w:pPr>
        <w:spacing w:line="276" w:lineRule="auto"/>
      </w:pPr>
      <w:r w:rsidRPr="00C52C4D">
        <w:t xml:space="preserve">WLS Data, documentation and other material are accessible at http://www.ssc.wisc.edu/wlsresearch/.  </w:t>
      </w:r>
    </w:p>
    <w:p w14:paraId="4407B0C7" w14:textId="77777777" w:rsidR="00756D2E" w:rsidRDefault="00756D2E"/>
    <w:p w14:paraId="738D857E" w14:textId="5EE524AC" w:rsidR="00600ABF" w:rsidRDefault="00600ABF" w:rsidP="00600ABF">
      <w:pPr>
        <w:pStyle w:val="Heading2"/>
      </w:pPr>
      <w:bookmarkStart w:id="20" w:name="_Toc38549332"/>
      <w:r>
        <w:lastRenderedPageBreak/>
        <w:t>Acknowledgements and grant support</w:t>
      </w:r>
      <w:bookmarkEnd w:id="20"/>
    </w:p>
    <w:p w14:paraId="7B2F903A" w14:textId="6ABCED0A" w:rsidR="003157F1" w:rsidRDefault="003157F1" w:rsidP="00600ABF">
      <w:pPr>
        <w:rPr>
          <w:lang w:val="en-US"/>
        </w:rPr>
      </w:pPr>
      <w:r>
        <w:t xml:space="preserve">GJ, </w:t>
      </w:r>
      <w:r w:rsidRPr="00FF259E">
        <w:t xml:space="preserve">DM and LCP are supported by the University </w:t>
      </w:r>
      <w:proofErr w:type="gramStart"/>
      <w:r w:rsidRPr="00FF259E">
        <w:t>of</w:t>
      </w:r>
      <w:proofErr w:type="gramEnd"/>
      <w:r w:rsidRPr="00FF259E">
        <w:t xml:space="preserve"> Exeter Medical School and the University of Connecticu</w:t>
      </w:r>
      <w:r>
        <w:t>t</w:t>
      </w:r>
      <w:r w:rsidRPr="00FF259E">
        <w:t xml:space="preserve"> School of Medicine.</w:t>
      </w:r>
    </w:p>
    <w:p w14:paraId="43601E2D" w14:textId="77777777" w:rsidR="00600ABF" w:rsidRPr="00600ABF" w:rsidRDefault="00600ABF" w:rsidP="00600ABF">
      <w:pPr>
        <w:rPr>
          <w:lang w:val="en-US"/>
        </w:rPr>
      </w:pPr>
      <w:r w:rsidRPr="00600ABF">
        <w:rPr>
          <w:lang w:val="en-US"/>
        </w:rPr>
        <w:t>CLK was supported by an IPA agreement (#20170526) with LF.</w:t>
      </w:r>
    </w:p>
    <w:p w14:paraId="59728454" w14:textId="77777777" w:rsidR="00600ABF" w:rsidRPr="00600ABF" w:rsidRDefault="00600ABF" w:rsidP="00600ABF">
      <w:pPr>
        <w:rPr>
          <w:lang w:val="en-US"/>
        </w:rPr>
      </w:pPr>
      <w:r w:rsidRPr="00600ABF">
        <w:rPr>
          <w:lang w:val="en-US"/>
        </w:rPr>
        <w:t>Access to UK Biobank Resource was granted under Application Number 14631. We would like to thank UK Biobank participants and coordinators for this dataset.</w:t>
      </w:r>
    </w:p>
    <w:p w14:paraId="194B7E82" w14:textId="77777777" w:rsidR="00600ABF" w:rsidRPr="00600ABF" w:rsidRDefault="00600ABF" w:rsidP="00600ABF">
      <w:pPr>
        <w:rPr>
          <w:lang w:val="en-US"/>
        </w:rPr>
      </w:pPr>
      <w:r w:rsidRPr="00600ABF">
        <w:rPr>
          <w:lang w:val="en-US"/>
        </w:rPr>
        <w:t>The Atherosclerosis Risk in Communities study has been funded in whole or in part with Federal funds from the National Heart, Lung, and Blood Institute, National Institutes of Health, Department of Health and Human Services (contract numbers HHSN268201700001I, HHSN268201700002I, HHSN268201700003I, HHSN268201700004I and HHSN268201700005I), R01HL087641, R01HL059367 and R01HL086694; National Human Genome Research Institute contract U01HG004402; and National Institutes of Health contract HHSN268200625226C. The authors thank the staff and participants of the ARIC study for their important contributions. Infrastructure was partly supported by Grant Number UL1RR025005, a component of the National Institutes of Health and NIH Roadmap for Medical Research.</w:t>
      </w:r>
    </w:p>
    <w:p w14:paraId="0040FB9A" w14:textId="77777777" w:rsidR="00600ABF" w:rsidRDefault="00600ABF" w:rsidP="00600ABF">
      <w:pPr>
        <w:rPr>
          <w:lang w:val="en-US"/>
        </w:rPr>
      </w:pPr>
      <w:r w:rsidRPr="00600ABF">
        <w:rPr>
          <w:lang w:val="en-US"/>
        </w:rPr>
        <w:t xml:space="preserve">We are grateful to all the participants who have been part of the EPIC-Norfolk project and to the many members of the study teams at the University of Cambridge who have enabled this research. The study is funded by Medical Research Council </w:t>
      </w:r>
      <w:bookmarkStart w:id="21" w:name="_GoBack"/>
      <w:bookmarkEnd w:id="21"/>
      <w:r w:rsidRPr="00600ABF">
        <w:rPr>
          <w:lang w:val="en-US"/>
        </w:rPr>
        <w:t xml:space="preserve">(MR/N003284/1, MC-UU_12015/1, </w:t>
      </w:r>
      <w:proofErr w:type="gramStart"/>
      <w:r w:rsidRPr="00600ABF">
        <w:rPr>
          <w:lang w:val="en-US"/>
        </w:rPr>
        <w:t>MC</w:t>
      </w:r>
      <w:proofErr w:type="gramEnd"/>
      <w:r w:rsidRPr="00600ABF">
        <w:rPr>
          <w:lang w:val="en-US"/>
        </w:rPr>
        <w:t>_PC_13048) Cancer Research UK (C864/A14136).</w:t>
      </w:r>
    </w:p>
    <w:p w14:paraId="2B8BFF21" w14:textId="4200D432" w:rsidR="008B0CF9" w:rsidRPr="008B0CF9" w:rsidRDefault="008B0CF9" w:rsidP="00600ABF">
      <w:r w:rsidRPr="008B0CF9">
        <w:t xml:space="preserve">Long Life Family Study: This </w:t>
      </w:r>
      <w:r w:rsidRPr="003A6F54">
        <w:t>work was supported by the</w:t>
      </w:r>
      <w:r>
        <w:t xml:space="preserve"> United States’</w:t>
      </w:r>
      <w:r w:rsidRPr="003A6F54">
        <w:t xml:space="preserve"> National Institute</w:t>
      </w:r>
      <w:r>
        <w:t xml:space="preserve">s of Health, </w:t>
      </w:r>
      <w:r w:rsidRPr="003A6F54">
        <w:t>National Institute on Aging (</w:t>
      </w:r>
      <w:r w:rsidRPr="00A27BB4">
        <w:t>U19</w:t>
      </w:r>
      <w:r>
        <w:t>-</w:t>
      </w:r>
      <w:r w:rsidRPr="00A27BB4">
        <w:t>AG063893-01</w:t>
      </w:r>
      <w:r>
        <w:t xml:space="preserve">, </w:t>
      </w:r>
      <w:r w:rsidRPr="003A6F54">
        <w:t>U01-AG023712, U01-AG23</w:t>
      </w:r>
      <w:r>
        <w:t xml:space="preserve">744, U01-AG023746, U01-AG023749, and U01-AG023755). AJS was supported by a career development award from the </w:t>
      </w:r>
      <w:r w:rsidRPr="003A6F54">
        <w:t xml:space="preserve">National Institute on Aging </w:t>
      </w:r>
      <w:r>
        <w:t>(</w:t>
      </w:r>
      <w:r w:rsidRPr="0024634D">
        <w:t>K01</w:t>
      </w:r>
      <w:r>
        <w:t xml:space="preserve"> </w:t>
      </w:r>
      <w:r w:rsidRPr="0024634D">
        <w:t>AG057726</w:t>
      </w:r>
      <w:r>
        <w:t>)</w:t>
      </w:r>
      <w:r w:rsidRPr="00783149">
        <w:t>.</w:t>
      </w:r>
    </w:p>
    <w:p w14:paraId="5800E32A" w14:textId="77777777" w:rsidR="00600ABF" w:rsidRDefault="00600ABF" w:rsidP="00600ABF">
      <w:pPr>
        <w:rPr>
          <w:lang w:val="en-US"/>
        </w:rPr>
      </w:pPr>
      <w:r w:rsidRPr="00600ABF">
        <w:rPr>
          <w:lang w:val="en-US"/>
        </w:rPr>
        <w:t xml:space="preserve">The Rotterdam Study is supported by the Erasmus MC University Medical Center and Erasmus University Rotterdam; The Netherlands </w:t>
      </w:r>
      <w:proofErr w:type="spellStart"/>
      <w:r w:rsidRPr="00600ABF">
        <w:rPr>
          <w:lang w:val="en-US"/>
        </w:rPr>
        <w:t>Organisation</w:t>
      </w:r>
      <w:proofErr w:type="spellEnd"/>
      <w:r w:rsidRPr="00600ABF">
        <w:rPr>
          <w:lang w:val="en-US"/>
        </w:rPr>
        <w:t xml:space="preserve"> for Scientific Research (NWO); The Netherlands </w:t>
      </w:r>
      <w:proofErr w:type="spellStart"/>
      <w:r w:rsidRPr="00600ABF">
        <w:rPr>
          <w:lang w:val="en-US"/>
        </w:rPr>
        <w:t>Organisation</w:t>
      </w:r>
      <w:proofErr w:type="spellEnd"/>
      <w:r w:rsidRPr="00600ABF">
        <w:rPr>
          <w:lang w:val="en-US"/>
        </w:rPr>
        <w:t xml:space="preserve"> for Health Research and Development (</w:t>
      </w:r>
      <w:proofErr w:type="spellStart"/>
      <w:r w:rsidRPr="00600ABF">
        <w:rPr>
          <w:lang w:val="en-US"/>
        </w:rPr>
        <w:t>ZonMw</w:t>
      </w:r>
      <w:proofErr w:type="spellEnd"/>
      <w:r w:rsidRPr="00600ABF">
        <w:rPr>
          <w:lang w:val="en-US"/>
        </w:rPr>
        <w:t xml:space="preserve">); the Research Institute for Diseases in the Elderly (RIDE); The Netherlands Genomics Initiative (NGI); the Ministry of Education, Culture and Science; the Ministry of Health, Welfare and Sports; the European Commission (DG XII); and the Municipality of Rotterdam. The contribution of inhabitants, general practitioners and pharmacists of the </w:t>
      </w:r>
      <w:proofErr w:type="spellStart"/>
      <w:r w:rsidRPr="00600ABF">
        <w:rPr>
          <w:lang w:val="en-US"/>
        </w:rPr>
        <w:t>Ommoord</w:t>
      </w:r>
      <w:proofErr w:type="spellEnd"/>
      <w:r w:rsidRPr="00600ABF">
        <w:rPr>
          <w:lang w:val="en-US"/>
        </w:rPr>
        <w:t xml:space="preserve"> district to the Rotterdam Study is gratefully acknowledged.</w:t>
      </w:r>
    </w:p>
    <w:p w14:paraId="34B32437" w14:textId="2F5FA625" w:rsidR="00721601" w:rsidRPr="00600ABF" w:rsidRDefault="00721601" w:rsidP="00600ABF">
      <w:pPr>
        <w:rPr>
          <w:lang w:val="en-US"/>
        </w:rPr>
      </w:pPr>
      <w:r w:rsidRPr="00721601">
        <w:rPr>
          <w:lang w:val="en-US"/>
        </w:rPr>
        <w:t xml:space="preserve">SHIP is part of the Community Medicine Research net of the University of Greifswald, Germany, which is funded by the Federal Ministry of Education and Research (grants no. 01ZZ9603, 01ZZ0103, and 01ZZ0403), the Ministry of Cultural Affairs as well as the Social Ministry of the Federal State of Mecklenburg-West Pomerania, and the network ‘Greifswald Approach to Individualized Medicine (GANI_MED)’ funded by the Federal Ministry of Education and Research (grant 03IS2061A). Genome-wide data have been supported by the Federal Ministry of Education and Research (grant no. 03ZIK012) and a joint grant from Siemens </w:t>
      </w:r>
      <w:proofErr w:type="spellStart"/>
      <w:r w:rsidRPr="00721601">
        <w:rPr>
          <w:lang w:val="en-US"/>
        </w:rPr>
        <w:t>Healthineers</w:t>
      </w:r>
      <w:proofErr w:type="spellEnd"/>
      <w:r w:rsidRPr="00721601">
        <w:rPr>
          <w:lang w:val="en-US"/>
        </w:rPr>
        <w:t xml:space="preserve">, Erlangen, Germany and the Federal State of Mecklenburg- West Pomerania. The University of Greifswald is a member of the </w:t>
      </w:r>
      <w:proofErr w:type="spellStart"/>
      <w:r w:rsidRPr="00721601">
        <w:rPr>
          <w:lang w:val="en-US"/>
        </w:rPr>
        <w:t>Caché</w:t>
      </w:r>
      <w:proofErr w:type="spellEnd"/>
      <w:r w:rsidRPr="00721601">
        <w:rPr>
          <w:lang w:val="en-US"/>
        </w:rPr>
        <w:t xml:space="preserve"> Campus program of the </w:t>
      </w:r>
      <w:proofErr w:type="spellStart"/>
      <w:r w:rsidRPr="00721601">
        <w:rPr>
          <w:lang w:val="en-US"/>
        </w:rPr>
        <w:t>InterSystems</w:t>
      </w:r>
      <w:proofErr w:type="spellEnd"/>
      <w:r w:rsidRPr="00721601">
        <w:rPr>
          <w:lang w:val="en-US"/>
        </w:rPr>
        <w:t xml:space="preserve"> GmbH.</w:t>
      </w:r>
    </w:p>
    <w:p w14:paraId="6406407F" w14:textId="3517A025" w:rsidR="00600ABF" w:rsidRPr="00600ABF" w:rsidRDefault="00600ABF" w:rsidP="00600ABF">
      <w:pPr>
        <w:rPr>
          <w:lang w:val="en-US"/>
        </w:rPr>
      </w:pPr>
      <w:r w:rsidRPr="00600ABF">
        <w:rPr>
          <w:lang w:val="en-US"/>
        </w:rPr>
        <w:t xml:space="preserve">The Toledo Study for Healthy Aging (TSHA) was funded by grants from the Spanish Ministry of Economy, Industry and Competitiveness, co‐financed by the European Regional Development Funds (RD120001/0043), the FIS16/02125 from the Carlos III Institute of Health, the Community of Madrid </w:t>
      </w:r>
      <w:r w:rsidRPr="00600ABF">
        <w:rPr>
          <w:lang w:val="en-US"/>
        </w:rPr>
        <w:lastRenderedPageBreak/>
        <w:t xml:space="preserve">2018T1/BMD11226 and the Centro de </w:t>
      </w:r>
      <w:proofErr w:type="spellStart"/>
      <w:r w:rsidRPr="00600ABF">
        <w:rPr>
          <w:lang w:val="en-US"/>
        </w:rPr>
        <w:t>Investigación</w:t>
      </w:r>
      <w:proofErr w:type="spellEnd"/>
      <w:r w:rsidRPr="00600ABF">
        <w:rPr>
          <w:lang w:val="en-US"/>
        </w:rPr>
        <w:t xml:space="preserve"> </w:t>
      </w:r>
      <w:proofErr w:type="spellStart"/>
      <w:r w:rsidRPr="00600ABF">
        <w:rPr>
          <w:lang w:val="en-US"/>
        </w:rPr>
        <w:t>Biomédica</w:t>
      </w:r>
      <w:proofErr w:type="spellEnd"/>
      <w:r w:rsidRPr="00600ABF">
        <w:rPr>
          <w:lang w:val="en-US"/>
        </w:rPr>
        <w:t xml:space="preserve"> </w:t>
      </w:r>
      <w:proofErr w:type="spellStart"/>
      <w:r w:rsidRPr="00600ABF">
        <w:rPr>
          <w:lang w:val="en-US"/>
        </w:rPr>
        <w:t>en</w:t>
      </w:r>
      <w:proofErr w:type="spellEnd"/>
      <w:r w:rsidRPr="00600ABF">
        <w:rPr>
          <w:lang w:val="en-US"/>
        </w:rPr>
        <w:t xml:space="preserve"> Red </w:t>
      </w:r>
      <w:proofErr w:type="spellStart"/>
      <w:r w:rsidRPr="00600ABF">
        <w:rPr>
          <w:lang w:val="en-US"/>
        </w:rPr>
        <w:t>en</w:t>
      </w:r>
      <w:proofErr w:type="spellEnd"/>
      <w:r w:rsidRPr="00600ABF">
        <w:rPr>
          <w:lang w:val="en-US"/>
        </w:rPr>
        <w:t xml:space="preserve"> </w:t>
      </w:r>
      <w:proofErr w:type="spellStart"/>
      <w:r w:rsidRPr="00600ABF">
        <w:rPr>
          <w:lang w:val="en-US"/>
        </w:rPr>
        <w:t>Fragilidad</w:t>
      </w:r>
      <w:proofErr w:type="spellEnd"/>
      <w:r w:rsidRPr="00600ABF">
        <w:rPr>
          <w:lang w:val="en-US"/>
        </w:rPr>
        <w:t xml:space="preserve"> y </w:t>
      </w:r>
      <w:proofErr w:type="spellStart"/>
      <w:r w:rsidRPr="00600ABF">
        <w:rPr>
          <w:lang w:val="en-US"/>
        </w:rPr>
        <w:t>Envejecimiento</w:t>
      </w:r>
      <w:proofErr w:type="spellEnd"/>
      <w:r w:rsidRPr="00600ABF">
        <w:rPr>
          <w:lang w:val="en-US"/>
        </w:rPr>
        <w:t xml:space="preserve"> </w:t>
      </w:r>
      <w:proofErr w:type="spellStart"/>
      <w:r w:rsidRPr="00600ABF">
        <w:rPr>
          <w:lang w:val="en-US"/>
        </w:rPr>
        <w:t>Saludable</w:t>
      </w:r>
      <w:proofErr w:type="spellEnd"/>
      <w:r w:rsidRPr="00600ABF">
        <w:rPr>
          <w:lang w:val="en-US"/>
        </w:rPr>
        <w:t xml:space="preserve">—CIBERFES (CB16/10/00464). The genotyping was performed at the Spanish National Cancer Research Centre, in the Human Genotyping lab, a member of </w:t>
      </w:r>
      <w:proofErr w:type="spellStart"/>
      <w:r w:rsidRPr="00600ABF">
        <w:rPr>
          <w:lang w:val="en-US"/>
        </w:rPr>
        <w:t>CeGen</w:t>
      </w:r>
      <w:proofErr w:type="spellEnd"/>
      <w:r w:rsidRPr="00600ABF">
        <w:rPr>
          <w:lang w:val="en-US"/>
        </w:rPr>
        <w:t xml:space="preserve">, PRB3 and is supported by grant PT17/0019, of the PE </w:t>
      </w:r>
      <w:proofErr w:type="spellStart"/>
      <w:r w:rsidRPr="00600ABF">
        <w:rPr>
          <w:lang w:val="en-US"/>
        </w:rPr>
        <w:t>I+D+i</w:t>
      </w:r>
      <w:proofErr w:type="spellEnd"/>
      <w:r w:rsidRPr="00600ABF">
        <w:rPr>
          <w:lang w:val="en-US"/>
        </w:rPr>
        <w:t xml:space="preserve"> 2013-2016, funded by ISCIII and </w:t>
      </w:r>
      <w:proofErr w:type="spellStart"/>
      <w:r w:rsidRPr="00600ABF">
        <w:rPr>
          <w:lang w:val="en-US"/>
        </w:rPr>
        <w:t>ERDF.Since</w:t>
      </w:r>
      <w:proofErr w:type="spellEnd"/>
      <w:r w:rsidRPr="00600ABF">
        <w:rPr>
          <w:lang w:val="en-US"/>
        </w:rPr>
        <w:t xml:space="preserve"> 1991, The Wisconsin Longitudinal Study (WLS) (of the University of Wisconsin-Madison, has been supported principally by the National Institute on Aging (AG-9775, AG-21079, AG-033285, and AG-041868, R01 AG041868-01A1), with additional support from the Vilas Estate Trust, the National Science Foundation, the Spencer Foundation, and the Graduate School of the University of Wisconsin-Madison. Since 1992, data have been collected by the University </w:t>
      </w:r>
      <w:proofErr w:type="gramStart"/>
      <w:r w:rsidRPr="00600ABF">
        <w:rPr>
          <w:lang w:val="en-US"/>
        </w:rPr>
        <w:t>of</w:t>
      </w:r>
      <w:proofErr w:type="gramEnd"/>
      <w:r w:rsidRPr="00600ABF">
        <w:rPr>
          <w:lang w:val="en-US"/>
        </w:rPr>
        <w:t xml:space="preserve"> Wisconsin Survey Center. The opinions expressed herein are those of the authors. A public use file of data from the Wisconsin Longitudinal Study is available from the Wisconsin Longitudinal Study, University of Wisconsin-Madison, </w:t>
      </w:r>
      <w:proofErr w:type="gramStart"/>
      <w:r w:rsidRPr="00600ABF">
        <w:rPr>
          <w:lang w:val="en-US"/>
        </w:rPr>
        <w:t>1180</w:t>
      </w:r>
      <w:proofErr w:type="gramEnd"/>
      <w:r w:rsidRPr="00600ABF">
        <w:rPr>
          <w:lang w:val="en-US"/>
        </w:rPr>
        <w:t xml:space="preserve"> Observatory Drive, Madison, Wisconsin 53706 and at http://www.ssc.wisc.edu/WLSresearch/data/.</w:t>
      </w:r>
    </w:p>
    <w:p w14:paraId="66678428" w14:textId="77777777" w:rsidR="00600ABF" w:rsidRDefault="00600ABF"/>
    <w:p w14:paraId="7615A45F" w14:textId="0AB0BD8C" w:rsidR="00756D2E" w:rsidRDefault="00756D2E" w:rsidP="00756D2E">
      <w:pPr>
        <w:pStyle w:val="Heading2"/>
      </w:pPr>
      <w:bookmarkStart w:id="22" w:name="_Toc38549333"/>
      <w:r>
        <w:t>GWAS meta-analysis methods</w:t>
      </w:r>
      <w:bookmarkEnd w:id="22"/>
    </w:p>
    <w:p w14:paraId="267F0B40" w14:textId="386BEF84" w:rsidR="00756D2E" w:rsidRPr="008D5EE7" w:rsidRDefault="00756D2E" w:rsidP="00756D2E">
      <w:pPr>
        <w:rPr>
          <w:lang w:val="en-US"/>
        </w:rPr>
      </w:pPr>
      <w:r>
        <w:t xml:space="preserve">Each cohort used the optimum GWAS method available at the time. Most used logistic regression models </w:t>
      </w:r>
      <w:r w:rsidR="008D5EE7">
        <w:t>or equivalent to derive Odds Ratios</w:t>
      </w:r>
      <w:r>
        <w:t>. Some (</w:t>
      </w:r>
      <w:r w:rsidR="008D5EE7">
        <w:t xml:space="preserve">HRS, </w:t>
      </w:r>
      <w:r>
        <w:t>UK Biobank and WLS) were able to use BOLT-LMM to maximise discovery power by including all related participants (appropriate adjustment made in the Linear Mixed Model methods</w:t>
      </w:r>
      <w:r w:rsidR="008D5EE7">
        <w:t xml:space="preserve"> but larger sample sizes are required for the method to be robust</w:t>
      </w:r>
      <w:r>
        <w:t xml:space="preserve">). </w:t>
      </w:r>
      <w:r w:rsidR="008D5EE7">
        <w:t xml:space="preserve">While BOLT-LMM was developed for quantitative traits, it can be used for binary traits as long as they are sufficiently balanced (cases &gt;10% of sample) </w:t>
      </w:r>
      <w:r w:rsidR="008D5EE7">
        <w:fldChar w:fldCharType="begin" w:fldLock="1"/>
      </w:r>
      <w:r w:rsidR="0067273D">
        <w:instrText>ADDIN CSL_CITATION {"citationItems":[{"id":"ITEM-1","itemData":{"DOI":"10.1038/s41588-018-0144-6","ISSN":"15461718","author":[{"dropping-particle":"","family":"Loh","given":"Po Ru","non-dropping-particle":"","parse-names":false,"suffix":""},{"dropping-particle":"","family":"Kichaev","given":"Gleb","non-dropping-particle":"","parse-names":false,"suffix":""},{"dropping-particle":"","family":"Gazal","given":"Steven","non-dropping-particle":"","parse-names":false,"suffix":""},{"dropping-particle":"","family":"Schoech","given":"Armin P.","non-dropping-particle":"","parse-names":false,"suffix":""},{"dropping-particle":"","family":"Price","given":"Alkes L.","non-dropping-particle":"","parse-names":false,"suffix":""}],"container-title":"Nature Genetics","id":"ITEM-1","issue":"7","issued":{"date-parts":[["2018"]]},"page":"906-908","title":"Mixed-model association for biobank-scale datasets","type":"article-journal","volume":"50"},"uris":["http://www.mendeley.com/documents/?uuid=da32e9fa-e2a9-4353-a06b-acfdac663212"]}],"mendeley":{"formattedCitation":"&lt;span style=\"baseline\"&gt;(35)&lt;/span&gt;","plainTextFormattedCitation":"(35)","previouslyFormattedCitation":"&lt;span style=\"baseline\"&gt;(35)&lt;/span&gt;"},"properties":{"noteIndex":0},"schema":"https://github.com/citation-style-language/schema/raw/master/csl-citation.json"}</w:instrText>
      </w:r>
      <w:r w:rsidR="008D5EE7">
        <w:fldChar w:fldCharType="separate"/>
      </w:r>
      <w:r w:rsidR="0067273D" w:rsidRPr="0067273D">
        <w:rPr>
          <w:noProof/>
        </w:rPr>
        <w:t>(35)</w:t>
      </w:r>
      <w:r w:rsidR="008D5EE7">
        <w:fldChar w:fldCharType="end"/>
      </w:r>
      <w:r w:rsidR="008D5EE7">
        <w:t xml:space="preserve">. We therefore converted the regression coefficients from BOLT-LMM to Odds Ratios using a method published by Lloyd-Jones in 2018 </w:t>
      </w:r>
      <w:r w:rsidR="008D5EE7">
        <w:fldChar w:fldCharType="begin" w:fldLock="1"/>
      </w:r>
      <w:r w:rsidR="0067273D">
        <w:instrText>ADDIN CSL_CITATION {"citationItems":[{"id":"ITEM-1","itemData":{"DOI":"10.1534/genetics.117.300360","ISSN":"0016-6731","author":[{"dropping-particle":"","family":"Lloyd-Jones","given":"Luke R.","non-dropping-particle":"","parse-names":false,"suffix":""},{"dropping-particle":"","family":"Robinson","given":"Matthew R.","non-dropping-particle":"","parse-names":false,"suffix":""},{"dropping-particle":"","family":"Yang","given":"Jian","non-dropping-particle":"","parse-names":false,"suffix":""},{"dropping-particle":"","family":"Visscher","given":"Peter M.","non-dropping-particle":"","parse-names":false,"suffix":""}],"container-title":"Genetics","id":"ITEM-1","issue":"4","issued":{"date-parts":[["2018","4"]]},"page":"1397-1408","title":"Transformation of Summary Statistics from Linear Mixed Model Association on All-or-None Traits to Odds Ratio","type":"article-journal","volume":"208"},"uris":["http://www.mendeley.com/documents/?uuid=0e1255e7-7b1d-411e-a275-4cc85f65f221"]}],"mendeley":{"formattedCitation":"&lt;span style=\"baseline\"&gt;(36)&lt;/span&gt;","plainTextFormattedCitation":"(36)","previouslyFormattedCitation":"&lt;span style=\"baseline\"&gt;(36)&lt;/span&gt;"},"properties":{"noteIndex":0},"schema":"https://github.com/citation-style-language/schema/raw/master/csl-citation.json"}</w:instrText>
      </w:r>
      <w:r w:rsidR="008D5EE7">
        <w:fldChar w:fldCharType="separate"/>
      </w:r>
      <w:r w:rsidR="0067273D" w:rsidRPr="0067273D">
        <w:rPr>
          <w:noProof/>
        </w:rPr>
        <w:t>(36)</w:t>
      </w:r>
      <w:r w:rsidR="008D5EE7">
        <w:fldChar w:fldCharType="end"/>
      </w:r>
      <w:r w:rsidR="008D5EE7">
        <w:t xml:space="preserve"> prior to meta-analysis. This method uses the genetic effect (the beta), allele frequency, and sample p</w:t>
      </w:r>
      <w:r w:rsidR="00196787">
        <w:t>revalence to estimate the Odds R</w:t>
      </w:r>
      <w:r w:rsidR="008D5EE7">
        <w:t>atio from the Beta. We used the published R function to perform the transformation from the HRS, UK Biobank and WLS results (</w:t>
      </w:r>
      <w:hyperlink r:id="rId8" w:history="1">
        <w:r w:rsidR="008D5EE7" w:rsidRPr="00DB2C53">
          <w:rPr>
            <w:rStyle w:val="Hyperlink"/>
          </w:rPr>
          <w:t>https://github.com/lukelloydjones/ORShiny/blob/master/shiny_lmor_func.R</w:t>
        </w:r>
      </w:hyperlink>
      <w:r w:rsidR="008D5EE7">
        <w:t>).</w:t>
      </w:r>
      <w:r w:rsidR="008D5EE7">
        <w:rPr>
          <w:lang w:val="en-US"/>
        </w:rPr>
        <w:t xml:space="preserve"> </w:t>
      </w:r>
      <w:r w:rsidR="008D5EE7">
        <w:t>Finally, inverse variance-weighted m</w:t>
      </w:r>
      <w:r>
        <w:t>eta-</w:t>
      </w:r>
      <w:r w:rsidR="008D5EE7">
        <w:t xml:space="preserve">analysis with genomic control was performed by METAL </w:t>
      </w:r>
      <w:r w:rsidR="008D5EE7">
        <w:fldChar w:fldCharType="begin" w:fldLock="1"/>
      </w:r>
      <w:r w:rsidR="0067273D">
        <w:instrText>ADDIN CSL_CITATION {"citationItems":[{"id":"ITEM-1","itemData":{"DOI":"10.1093/bioinformatics/btq340","ISSN":"1367-4811","PMID":"20616382","abstract":"SUMMARY: METAL provides a computationally efficient tool for meta-analysis of genome-wide association scans, which is a commonly used approach for improving power complex traits gene mapping studies. METAL provides a rich scripting interface and implements efficient memory management to allow analyses of very large data sets and to support a variety of input file formats.\n\nAVAILABILITY AND IMPLEMENTATION: METAL, including source code, documentation, examples, and executables, is available at http://www.sph.umich.edu/csg/abecasis/metal/.","author":[{"dropping-particle":"","family":"Willer","given":"Cristen J","non-dropping-particle":"","parse-names":false,"suffix":""},{"dropping-particle":"","family":"Li","given":"Yun","non-dropping-particle":"","parse-names":false,"suffix":""},{"dropping-particle":"","family":"Abecasis","given":"Gonçalo R","non-dropping-particle":"","parse-names":false,"suffix":""}],"container-title":"Bioinformatics (Oxford, England)","id":"ITEM-1","issue":"17","issued":{"date-parts":[["2010","9"]]},"page":"2190-1","title":"METAL: fast and efficient meta-analysis of genomewide association scans.","type":"article-journal","volume":"26"},"uris":["http://www.mendeley.com/documents/?uuid=c10671fc-2f3b-4a78-9bc9-ae6ac2038fc2"]}],"mendeley":{"formattedCitation":"&lt;span style=\"baseline\"&gt;(37)&lt;/span&gt;","plainTextFormattedCitation":"(37)","previouslyFormattedCitation":"&lt;span style=\"baseline\"&gt;(37)&lt;/span&gt;"},"properties":{"noteIndex":0},"schema":"https://github.com/citation-style-language/schema/raw/master/csl-citation.json"}</w:instrText>
      </w:r>
      <w:r w:rsidR="008D5EE7">
        <w:fldChar w:fldCharType="separate"/>
      </w:r>
      <w:r w:rsidR="0067273D" w:rsidRPr="0067273D">
        <w:rPr>
          <w:noProof/>
        </w:rPr>
        <w:t>(37)</w:t>
      </w:r>
      <w:r w:rsidR="008D5EE7">
        <w:fldChar w:fldCharType="end"/>
      </w:r>
      <w:r w:rsidR="008D5EE7">
        <w:t xml:space="preserve"> on the log-Odds Ratios.</w:t>
      </w:r>
    </w:p>
    <w:p w14:paraId="61F3C2BD" w14:textId="77777777" w:rsidR="008948DB" w:rsidRDefault="008948DB"/>
    <w:p w14:paraId="3ADCF5A2" w14:textId="77777777" w:rsidR="0067273D" w:rsidRDefault="0067273D"/>
    <w:p w14:paraId="49C829A2" w14:textId="1EF20744" w:rsidR="0067273D" w:rsidRDefault="0067273D">
      <w:r>
        <w:br w:type="page"/>
      </w:r>
    </w:p>
    <w:p w14:paraId="6A9A02A2" w14:textId="77777777" w:rsidR="001453EF" w:rsidRPr="001453EF" w:rsidRDefault="001453EF" w:rsidP="00916D56">
      <w:pPr>
        <w:pStyle w:val="Heading1"/>
        <w:spacing w:line="276" w:lineRule="auto"/>
      </w:pPr>
      <w:bookmarkStart w:id="23" w:name="_Toc38549334"/>
      <w:r w:rsidRPr="001453EF">
        <w:lastRenderedPageBreak/>
        <w:t>Supplementary Results</w:t>
      </w:r>
      <w:bookmarkEnd w:id="23"/>
    </w:p>
    <w:p w14:paraId="64697CF1" w14:textId="77777777" w:rsidR="00192030" w:rsidRDefault="00192030" w:rsidP="00916D56">
      <w:pPr>
        <w:spacing w:line="276" w:lineRule="auto"/>
      </w:pPr>
    </w:p>
    <w:p w14:paraId="1168C1C5" w14:textId="5AD226BF" w:rsidR="00FA43A4" w:rsidRDefault="00FA43A4" w:rsidP="00FA43A4">
      <w:pPr>
        <w:pStyle w:val="Heading2"/>
      </w:pPr>
      <w:bookmarkStart w:id="24" w:name="_Toc38549335"/>
      <w:r>
        <w:t>LDSC analysis of GWAS inflation</w:t>
      </w:r>
      <w:bookmarkEnd w:id="24"/>
    </w:p>
    <w:p w14:paraId="7ADE598F" w14:textId="477F3451" w:rsidR="00FA43A4" w:rsidRDefault="00FA43A4" w:rsidP="00916D56">
      <w:pPr>
        <w:spacing w:line="276" w:lineRule="auto"/>
      </w:pPr>
      <w:r w:rsidRPr="000B6B87">
        <w:t>The Lambda GC (genomic control</w:t>
      </w:r>
      <w:r w:rsidRPr="00F3739D">
        <w:t xml:space="preserve">, </w:t>
      </w:r>
      <w:proofErr w:type="spellStart"/>
      <w:r w:rsidRPr="000B6B87">
        <w:t>λ</w:t>
      </w:r>
      <w:r w:rsidRPr="000B6B87">
        <w:rPr>
          <w:vertAlign w:val="subscript"/>
        </w:rPr>
        <w:t>GC</w:t>
      </w:r>
      <w:proofErr w:type="spellEnd"/>
      <w:r w:rsidRPr="000B6B87">
        <w:t>) value was high (1.</w:t>
      </w:r>
      <w:r w:rsidRPr="00F3739D">
        <w:t>13</w:t>
      </w:r>
      <w:r w:rsidRPr="000B6B87">
        <w:t xml:space="preserve">; see Supplementary Figure </w:t>
      </w:r>
      <w:r w:rsidR="0067273D">
        <w:t xml:space="preserve">1 </w:t>
      </w:r>
      <w:r w:rsidRPr="000B6B87">
        <w:t xml:space="preserve">for QQ plot), however the intercept from Linkage Disequilibrium Score Regression (LDSC) analysis was </w:t>
      </w:r>
      <w:r>
        <w:t>close to 1 (</w:t>
      </w:r>
      <w:r w:rsidRPr="00F3739D">
        <w:t>0.97</w:t>
      </w:r>
      <w:r>
        <w:t>,</w:t>
      </w:r>
      <w:r w:rsidRPr="000B6B87">
        <w:t xml:space="preserve"> SE 0.00</w:t>
      </w:r>
      <w:r w:rsidRPr="00F3739D">
        <w:t>7</w:t>
      </w:r>
      <w:r w:rsidRPr="000B6B87">
        <w:t xml:space="preserve">), indicating that the inflation in test statistics is </w:t>
      </w:r>
      <w:r>
        <w:t xml:space="preserve">primarily </w:t>
      </w:r>
      <w:r w:rsidRPr="000B6B87">
        <w:t xml:space="preserve">due to polygenicity (many variants with small effects on </w:t>
      </w:r>
      <w:r>
        <w:t>low grip strength</w:t>
      </w:r>
      <w:r w:rsidRPr="000B6B87">
        <w:t xml:space="preserve">), rather than bias due to population stratification </w:t>
      </w:r>
      <w:r w:rsidRPr="00186713">
        <w:fldChar w:fldCharType="begin" w:fldLock="1"/>
      </w:r>
      <w:r w:rsidR="0067273D">
        <w:instrText>ADDIN CSL_CITATION {"citationItems":[{"id":"ITEM-1","itemData":{"DOI":"10.1038/ng.3211","ISBN":"1546-1718 (Electronic)\\r1061-4036 (Linking)","ISSN":"1546-1718","PMID":"25642630","abstract":"Both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size.","author":[{"dropping-particle":"","family":"Bulik-Sullivan","given":"Brendan K","non-dropping-particle":"","parse-names":false,"suffix":""},{"dropping-particle":"","family":"Loh","given":"Po-Ru","non-dropping-particle":"","parse-names":false,"suffix":""},{"dropping-particle":"","family":"Finucane","given":"Hilary K","non-dropping-particle":"","parse-names":false,"suffix":""},{"dropping-particle":"","family":"Ripke","given":"Stephan","non-dropping-particle":"","parse-names":false,"suffix":""},{"dropping-particle":"","family":"Yang","given":"Jian","non-dropping-particle":"","parse-names":false,"suffix":""},{"dropping-particle":"","family":"Consortium","given":"Schizophrenia Working Group of the Psychiatric Genomics","non-dropping-particle":"","parse-names":false,"suffix":""},{"dropping-particle":"","family":"Patterson","given":"Nick","non-dropping-particle":"","parse-names":false,"suffix":""},{"dropping-particle":"","family":"Daly","given":"Mark J","non-dropping-particle":"","parse-names":false,"suffix":""},{"dropping-particle":"","family":"Price","given":"Alkes L","non-dropping-particle":"","parse-names":false,"suffix":""},{"dropping-particle":"","family":"Neale","given":"Benjamin M","non-dropping-particle":"","parse-names":false,"suffix":""}],"container-title":"Nat Genet","id":"ITEM-1","issue":"3","issued":{"date-parts":[["2015"]]},"page":"291-295","publisher":"Nature Publishing Group","title":"LD Score regression distinguishes confounding from polygenicity in genome-wide association studies","type":"article-journal","volume":"advance on"},"uris":["http://www.mendeley.com/documents/?uuid=6e7d8a37-b6f9-475c-9209-7ab51e2de354","http://www.mendeley.com/documents/?uuid=d3c90d85-79f0-4ad8-ac15-14a1b257eacd"]}],"mendeley":{"formattedCitation":"&lt;span style=\"baseline\"&gt;(38)&lt;/span&gt;","plainTextFormattedCitation":"(38)","previouslyFormattedCitation":"&lt;span style=\"baseline\"&gt;(38)&lt;/span&gt;"},"properties":{"noteIndex":0},"schema":"https://github.com/citation-style-language/schema/raw/master/csl-citation.json"}</w:instrText>
      </w:r>
      <w:r w:rsidRPr="00186713">
        <w:fldChar w:fldCharType="separate"/>
      </w:r>
      <w:r w:rsidR="0067273D" w:rsidRPr="0067273D">
        <w:rPr>
          <w:noProof/>
        </w:rPr>
        <w:t>(38)</w:t>
      </w:r>
      <w:r w:rsidRPr="00186713">
        <w:fldChar w:fldCharType="end"/>
      </w:r>
      <w:r w:rsidRPr="00186713">
        <w:t xml:space="preserve">. An intercept below 1 is not unusual for analyses adjusted with genomic control. </w:t>
      </w:r>
    </w:p>
    <w:p w14:paraId="3C09A0CC" w14:textId="77777777" w:rsidR="00873704" w:rsidRDefault="00873704" w:rsidP="00916D56">
      <w:pPr>
        <w:spacing w:line="276" w:lineRule="auto"/>
      </w:pPr>
    </w:p>
    <w:p w14:paraId="5C8D3EA1" w14:textId="77777777" w:rsidR="00D30B61" w:rsidRDefault="00D30B61" w:rsidP="00D30B61"/>
    <w:p w14:paraId="31A885CC" w14:textId="77777777" w:rsidR="00D30B61" w:rsidRDefault="00D30B61" w:rsidP="00D30B61"/>
    <w:p w14:paraId="74BA6EB5" w14:textId="43461E71" w:rsidR="00765171" w:rsidRDefault="00765171">
      <w:r>
        <w:br w:type="page"/>
      </w:r>
    </w:p>
    <w:p w14:paraId="6EA2BE70" w14:textId="4F9EAE18" w:rsidR="00334D40" w:rsidRDefault="00334D40" w:rsidP="00765171">
      <w:pPr>
        <w:pStyle w:val="Heading1"/>
      </w:pPr>
      <w:bookmarkStart w:id="25" w:name="_Toc38549336"/>
      <w:r>
        <w:lastRenderedPageBreak/>
        <w:t>S</w:t>
      </w:r>
      <w:r w:rsidR="00765171">
        <w:t>upplementary Figure 1:</w:t>
      </w:r>
      <w:r>
        <w:t xml:space="preserve"> </w:t>
      </w:r>
      <w:r w:rsidRPr="00334D40">
        <w:t xml:space="preserve">QQ plot </w:t>
      </w:r>
      <w:r w:rsidR="00765171">
        <w:t>of</w:t>
      </w:r>
      <w:r w:rsidRPr="00334D40">
        <w:t xml:space="preserve"> EWGSOP low grip </w:t>
      </w:r>
      <w:r w:rsidR="00765171">
        <w:t>GWAS results</w:t>
      </w:r>
      <w:bookmarkEnd w:id="25"/>
    </w:p>
    <w:p w14:paraId="0C80C250" w14:textId="77777777" w:rsidR="00765171" w:rsidRPr="00765171" w:rsidRDefault="00765171" w:rsidP="00765171"/>
    <w:p w14:paraId="14E5760F" w14:textId="77777777" w:rsidR="00334D40" w:rsidRDefault="00334D40" w:rsidP="00765171">
      <w:pPr>
        <w:spacing w:line="276" w:lineRule="auto"/>
        <w:jc w:val="center"/>
      </w:pPr>
      <w:r w:rsidRPr="00163863">
        <w:rPr>
          <w:noProof/>
          <w:lang w:eastAsia="en-GB"/>
        </w:rPr>
        <w:drawing>
          <wp:inline distT="0" distB="0" distL="0" distR="0" wp14:anchorId="04E58257" wp14:editId="0014C8DB">
            <wp:extent cx="4274185" cy="3878304"/>
            <wp:effectExtent l="0" t="0" r="0" b="8255"/>
            <wp:docPr id="2" name="Picture 2" descr="C:\Users\gj286\Downloads\QQplot_FUMA_jobs55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286\Downloads\QQplot_FUMA_jobs5559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46" b="2116"/>
                    <a:stretch/>
                  </pic:blipFill>
                  <pic:spPr bwMode="auto">
                    <a:xfrm>
                      <a:off x="0" y="0"/>
                      <a:ext cx="4276295" cy="3880218"/>
                    </a:xfrm>
                    <a:prstGeom prst="rect">
                      <a:avLst/>
                    </a:prstGeom>
                    <a:noFill/>
                    <a:ln>
                      <a:noFill/>
                    </a:ln>
                    <a:extLst>
                      <a:ext uri="{53640926-AAD7-44D8-BBD7-CCE9431645EC}">
                        <a14:shadowObscured xmlns:a14="http://schemas.microsoft.com/office/drawing/2010/main"/>
                      </a:ext>
                    </a:extLst>
                  </pic:spPr>
                </pic:pic>
              </a:graphicData>
            </a:graphic>
          </wp:inline>
        </w:drawing>
      </w:r>
    </w:p>
    <w:p w14:paraId="3574ADE1" w14:textId="77777777" w:rsidR="00334D40" w:rsidRDefault="00334D40" w:rsidP="00916D56">
      <w:pPr>
        <w:spacing w:line="276" w:lineRule="auto"/>
      </w:pPr>
    </w:p>
    <w:p w14:paraId="583F712B" w14:textId="582D954A" w:rsidR="00765171" w:rsidRDefault="00765171">
      <w:r>
        <w:br w:type="page"/>
      </w:r>
    </w:p>
    <w:p w14:paraId="321C328C" w14:textId="12AE1C7B" w:rsidR="00112F89" w:rsidRDefault="00112F89" w:rsidP="00112F89">
      <w:pPr>
        <w:pStyle w:val="Heading1"/>
      </w:pPr>
      <w:bookmarkStart w:id="26" w:name="_Toc38549337"/>
      <w:r>
        <w:lastRenderedPageBreak/>
        <w:t xml:space="preserve">Supplementary Figures 2A-O: </w:t>
      </w:r>
      <w:proofErr w:type="spellStart"/>
      <w:r>
        <w:t>LocusZoom</w:t>
      </w:r>
      <w:proofErr w:type="spellEnd"/>
      <w:r>
        <w:t xml:space="preserve"> plots for the 15</w:t>
      </w:r>
      <w:r w:rsidRPr="00916D56">
        <w:t xml:space="preserve"> </w:t>
      </w:r>
      <w:r>
        <w:t>EWGSOP low grip</w:t>
      </w:r>
      <w:r w:rsidRPr="00916D56">
        <w:t xml:space="preserve"> </w:t>
      </w:r>
      <w:r>
        <w:t>loci</w:t>
      </w:r>
      <w:bookmarkEnd w:id="26"/>
    </w:p>
    <w:p w14:paraId="3C188A01" w14:textId="6D9A5BDB" w:rsidR="00112F89" w:rsidRDefault="00B6218E">
      <w:r>
        <w:t xml:space="preserve">The </w:t>
      </w:r>
      <w:proofErr w:type="spellStart"/>
      <w:r>
        <w:t>LocusZoom</w:t>
      </w:r>
      <w:proofErr w:type="spellEnd"/>
      <w:r>
        <w:t xml:space="preserve"> online tool (http://locuszoom.org) was used to plot the regions around the 15 loci significantly (p&lt;5*10</w:t>
      </w:r>
      <w:r w:rsidRPr="00B6218E">
        <w:rPr>
          <w:vertAlign w:val="superscript"/>
        </w:rPr>
        <w:t>-8</w:t>
      </w:r>
      <w:r>
        <w:t>) associated with low grip strength in this GWAS meta-analysis. The results can be explored using the below link.</w:t>
      </w:r>
      <w:r>
        <w:br/>
      </w:r>
      <w:hyperlink r:id="rId10" w:history="1">
        <w:r w:rsidRPr="00D607E2">
          <w:rPr>
            <w:rStyle w:val="Hyperlink"/>
          </w:rPr>
          <w:t>https://my.locuszoom.org/gwas/532795/?token=ad786aade6e44e90935921594de5185b</w:t>
        </w:r>
      </w:hyperlink>
      <w:r>
        <w:t xml:space="preserve"> </w:t>
      </w:r>
    </w:p>
    <w:p w14:paraId="5BF31EAA" w14:textId="77777777" w:rsidR="00B6218E" w:rsidRDefault="00B6218E"/>
    <w:p w14:paraId="401B4EB9" w14:textId="77777777" w:rsidR="00B6218E" w:rsidRDefault="00B6218E" w:rsidP="00B6218E">
      <w:pPr>
        <w:pStyle w:val="Heading2"/>
      </w:pPr>
      <w:bookmarkStart w:id="27" w:name="_Toc38549338"/>
      <w:r>
        <w:t>Supplementary Figure 2A: rs34415150 (chr6:32560477)</w:t>
      </w:r>
      <w:bookmarkEnd w:id="27"/>
    </w:p>
    <w:p w14:paraId="1480FA7C" w14:textId="6E49D548" w:rsidR="00B6218E" w:rsidRDefault="00B6218E" w:rsidP="00B6218E">
      <w:r>
        <w:rPr>
          <w:noProof/>
          <w:lang w:eastAsia="en-GB"/>
        </w:rPr>
        <w:drawing>
          <wp:inline distT="0" distB="0" distL="0" distR="0" wp14:anchorId="4353303C" wp14:editId="2EBEF1AA">
            <wp:extent cx="5734050" cy="3629025"/>
            <wp:effectExtent l="0" t="0" r="0" b="9525"/>
            <wp:docPr id="3" name="Picture 3" descr="C:\Users\lp302\Dropbox\Biobank Ageing\Paper - 19 CHARGE dynapenia GWAS\images\LocusZoom\6_3236047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302\Dropbox\Biobank Ageing\Paper - 19 CHARGE dynapenia GWAS\images\LocusZoom\6_32360477.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1608648B" w14:textId="4B648842" w:rsidR="00B6218E" w:rsidRDefault="00B6218E">
      <w:r>
        <w:br w:type="page"/>
      </w:r>
    </w:p>
    <w:p w14:paraId="72A7E406" w14:textId="77777777" w:rsidR="00B6218E" w:rsidRDefault="00B6218E" w:rsidP="00B6218E">
      <w:pPr>
        <w:pStyle w:val="Heading2"/>
      </w:pPr>
      <w:bookmarkStart w:id="28" w:name="_Toc38549339"/>
      <w:r>
        <w:lastRenderedPageBreak/>
        <w:t>Supplementary Figure 2B: rs143384 (chr20:34025756)</w:t>
      </w:r>
      <w:bookmarkEnd w:id="28"/>
    </w:p>
    <w:p w14:paraId="218812C9" w14:textId="1AAE2030" w:rsidR="00B6218E" w:rsidRDefault="00B6218E" w:rsidP="00B6218E">
      <w:r>
        <w:rPr>
          <w:noProof/>
          <w:lang w:eastAsia="en-GB"/>
        </w:rPr>
        <w:drawing>
          <wp:inline distT="0" distB="0" distL="0" distR="0" wp14:anchorId="08AFD7B9" wp14:editId="617683E0">
            <wp:extent cx="5734050" cy="3629025"/>
            <wp:effectExtent l="0" t="0" r="0" b="9525"/>
            <wp:docPr id="4" name="Picture 4" descr="C:\Users\lp302\Dropbox\Biobank Ageing\Paper - 19 CHARGE dynapenia GWAS\images\LocusZoom\20_3362575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302\Dropbox\Biobank Ageing\Paper - 19 CHARGE dynapenia GWAS\images\LocusZoom\20_33625756.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32F949F0" w14:textId="77777777" w:rsidR="00B6218E" w:rsidRDefault="00B6218E" w:rsidP="00B6218E"/>
    <w:p w14:paraId="2DE3ABB3" w14:textId="77777777" w:rsidR="00B6218E" w:rsidRDefault="00B6218E" w:rsidP="00B6218E">
      <w:pPr>
        <w:pStyle w:val="Heading2"/>
      </w:pPr>
      <w:bookmarkStart w:id="29" w:name="_Toc38549340"/>
      <w:r>
        <w:t>Supplementary Figure 2C: rs62102286 (chr18:46592408)</w:t>
      </w:r>
      <w:bookmarkEnd w:id="29"/>
    </w:p>
    <w:p w14:paraId="251595ED" w14:textId="6DA50CAB" w:rsidR="00B6218E" w:rsidRDefault="00B6218E" w:rsidP="00B6218E">
      <w:r>
        <w:rPr>
          <w:noProof/>
          <w:lang w:eastAsia="en-GB"/>
        </w:rPr>
        <w:drawing>
          <wp:inline distT="0" distB="0" distL="0" distR="0" wp14:anchorId="723EF07F" wp14:editId="6B4C6AAB">
            <wp:extent cx="5734050" cy="3629025"/>
            <wp:effectExtent l="0" t="0" r="0" b="9525"/>
            <wp:docPr id="5" name="Picture 5" descr="C:\Users\lp302\Dropbox\Biobank Ageing\Paper - 19 CHARGE dynapenia GWAS\images\LocusZoom\18_4609240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302\Dropbox\Biobank Ageing\Paper - 19 CHARGE dynapenia GWAS\images\LocusZoom\18_46092408.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4691A422" w14:textId="77777777" w:rsidR="00B6218E" w:rsidRDefault="00B6218E" w:rsidP="00B6218E"/>
    <w:p w14:paraId="123EACB3" w14:textId="77777777" w:rsidR="00B6218E" w:rsidRDefault="00B6218E" w:rsidP="00B6218E">
      <w:pPr>
        <w:pStyle w:val="Heading2"/>
      </w:pPr>
      <w:bookmarkStart w:id="30" w:name="_Toc38549341"/>
      <w:r>
        <w:lastRenderedPageBreak/>
        <w:t>Supplementary Figure 2D: rs3118903 (chr13:51099577)</w:t>
      </w:r>
      <w:bookmarkEnd w:id="30"/>
    </w:p>
    <w:p w14:paraId="6FE3E159" w14:textId="0E940F9D" w:rsidR="00B6218E" w:rsidRDefault="00B6218E" w:rsidP="00B6218E">
      <w:r>
        <w:rPr>
          <w:noProof/>
          <w:lang w:eastAsia="en-GB"/>
        </w:rPr>
        <w:drawing>
          <wp:inline distT="0" distB="0" distL="0" distR="0" wp14:anchorId="4F3E90B7" wp14:editId="6BF419F0">
            <wp:extent cx="5734050" cy="3638550"/>
            <wp:effectExtent l="0" t="0" r="0" b="0"/>
            <wp:docPr id="6" name="Picture 6" descr="C:\Users\lp302\Dropbox\Biobank Ageing\Paper - 19 CHARGE dynapenia GWAS\images\LocusZoom\13_5089957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302\Dropbox\Biobank Ageing\Paper - 19 CHARGE dynapenia GWAS\images\LocusZoom\13_50899577.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E60C635" w14:textId="77777777" w:rsidR="00B6218E" w:rsidRDefault="00B6218E" w:rsidP="00B6218E"/>
    <w:p w14:paraId="09740B20" w14:textId="77777777" w:rsidR="00B6218E" w:rsidRDefault="00B6218E" w:rsidP="00B6218E">
      <w:pPr>
        <w:pStyle w:val="Heading2"/>
      </w:pPr>
      <w:bookmarkStart w:id="31" w:name="_Toc38549342"/>
      <w:r>
        <w:t>Supplementary Figure 2E: rs13107325 (chr4:103188709)</w:t>
      </w:r>
      <w:bookmarkEnd w:id="31"/>
    </w:p>
    <w:p w14:paraId="6127C496" w14:textId="12E85D02" w:rsidR="00B6218E" w:rsidRDefault="00B6218E" w:rsidP="00B6218E">
      <w:r>
        <w:rPr>
          <w:noProof/>
          <w:lang w:eastAsia="en-GB"/>
        </w:rPr>
        <w:drawing>
          <wp:inline distT="0" distB="0" distL="0" distR="0" wp14:anchorId="1BEBC94D" wp14:editId="342BE476">
            <wp:extent cx="5734050" cy="3638550"/>
            <wp:effectExtent l="0" t="0" r="0" b="0"/>
            <wp:docPr id="7" name="Picture 7" descr="C:\Users\lp302\Dropbox\Biobank Ageing\Paper - 19 CHARGE dynapenia GWAS\images\LocusZoom\4_1028007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302\Dropbox\Biobank Ageing\Paper - 19 CHARGE dynapenia GWAS\images\LocusZoom\4_102800729.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1CB8770B" w14:textId="77777777" w:rsidR="00B6218E" w:rsidRDefault="00B6218E" w:rsidP="00B6218E"/>
    <w:p w14:paraId="43DB71AA" w14:textId="77777777" w:rsidR="00B6218E" w:rsidRDefault="00B6218E" w:rsidP="00B6218E">
      <w:pPr>
        <w:pStyle w:val="Heading2"/>
      </w:pPr>
      <w:bookmarkStart w:id="32" w:name="_Toc38549343"/>
      <w:r>
        <w:lastRenderedPageBreak/>
        <w:t>Supplementary Figure 2F: rs11236213 (chr11:74394369)</w:t>
      </w:r>
      <w:bookmarkEnd w:id="32"/>
    </w:p>
    <w:p w14:paraId="7744DCE8" w14:textId="346B9AC9" w:rsidR="00B6218E" w:rsidRDefault="00B6218E" w:rsidP="00B6218E">
      <w:r>
        <w:rPr>
          <w:noProof/>
          <w:lang w:eastAsia="en-GB"/>
        </w:rPr>
        <w:drawing>
          <wp:inline distT="0" distB="0" distL="0" distR="0" wp14:anchorId="0A742A17" wp14:editId="13D38395">
            <wp:extent cx="5734050" cy="3629025"/>
            <wp:effectExtent l="0" t="0" r="0" b="9525"/>
            <wp:docPr id="8" name="Picture 8" descr="C:\Users\lp302\Dropbox\Biobank Ageing\Paper - 19 CHARGE dynapenia GWAS\images\LocusZoom\11_7409436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302\Dropbox\Biobank Ageing\Paper - 19 CHARGE dynapenia GWAS\images\LocusZoom\11_74094369.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2AA10325" w14:textId="77777777" w:rsidR="00B6218E" w:rsidRDefault="00B6218E" w:rsidP="00B6218E"/>
    <w:p w14:paraId="54A45296" w14:textId="77777777" w:rsidR="00B6218E" w:rsidRDefault="00B6218E" w:rsidP="00B6218E">
      <w:pPr>
        <w:pStyle w:val="Heading2"/>
      </w:pPr>
      <w:bookmarkStart w:id="33" w:name="_Toc38549344"/>
      <w:r>
        <w:t>Supplementary Figure 2G: rs34464763 (chr12:15032860)</w:t>
      </w:r>
      <w:bookmarkEnd w:id="33"/>
    </w:p>
    <w:p w14:paraId="1F1DD894" w14:textId="4A57D7BC" w:rsidR="00B6218E" w:rsidRDefault="00B6218E" w:rsidP="00B6218E">
      <w:r>
        <w:rPr>
          <w:noProof/>
          <w:lang w:eastAsia="en-GB"/>
        </w:rPr>
        <w:drawing>
          <wp:inline distT="0" distB="0" distL="0" distR="0" wp14:anchorId="29724A46" wp14:editId="5F869D92">
            <wp:extent cx="5734050" cy="3629025"/>
            <wp:effectExtent l="0" t="0" r="0" b="9525"/>
            <wp:docPr id="9" name="Picture 9" descr="C:\Users\lp302\Dropbox\Biobank Ageing\Paper - 19 CHARGE dynapenia GWAS\images\LocusZoom\12_148595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302\Dropbox\Biobank Ageing\Paper - 19 CHARGE dynapenia GWAS\images\LocusZoom\12_14859520.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5FE92EA5" w14:textId="77777777" w:rsidR="00B6218E" w:rsidRDefault="00B6218E" w:rsidP="00B6218E"/>
    <w:p w14:paraId="3F011770" w14:textId="77777777" w:rsidR="00B6218E" w:rsidRDefault="00B6218E" w:rsidP="00B6218E">
      <w:pPr>
        <w:pStyle w:val="Heading2"/>
      </w:pPr>
      <w:bookmarkStart w:id="34" w:name="_Toc38549345"/>
      <w:r>
        <w:lastRenderedPageBreak/>
        <w:t>Supplementary Figure 2H: rs143459567 (chr16:24600412)</w:t>
      </w:r>
      <w:bookmarkEnd w:id="34"/>
    </w:p>
    <w:p w14:paraId="26FC1E24" w14:textId="62A88DFE" w:rsidR="00B6218E" w:rsidRDefault="00B6218E" w:rsidP="00B6218E">
      <w:r>
        <w:rPr>
          <w:noProof/>
          <w:lang w:eastAsia="en-GB"/>
        </w:rPr>
        <w:drawing>
          <wp:inline distT="0" distB="0" distL="0" distR="0" wp14:anchorId="5A3ECA83" wp14:editId="3225793B">
            <wp:extent cx="5734050" cy="3638550"/>
            <wp:effectExtent l="0" t="0" r="0" b="0"/>
            <wp:docPr id="10" name="Picture 10" descr="C:\Users\lp302\Dropbox\Biobank Ageing\Paper - 19 CHARGE dynapenia GWAS\images\LocusZoom\16_2440834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302\Dropbox\Biobank Ageing\Paper - 19 CHARGE dynapenia GWAS\images\LocusZoom\16_24408345.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0288C750" w14:textId="77777777" w:rsidR="00B6218E" w:rsidRDefault="00B6218E" w:rsidP="00B6218E"/>
    <w:p w14:paraId="27ED0073" w14:textId="77777777" w:rsidR="00B6218E" w:rsidRDefault="00B6218E" w:rsidP="00B6218E">
      <w:pPr>
        <w:pStyle w:val="Heading2"/>
      </w:pPr>
      <w:bookmarkStart w:id="35" w:name="_Toc38549346"/>
      <w:r>
        <w:t>Supplementary Figure 2I: rs2899611 (chr15:58327347)</w:t>
      </w:r>
      <w:bookmarkEnd w:id="35"/>
    </w:p>
    <w:p w14:paraId="775C4700" w14:textId="3486FF2C" w:rsidR="00B6218E" w:rsidRDefault="00B6218E" w:rsidP="00B6218E">
      <w:r>
        <w:rPr>
          <w:noProof/>
          <w:lang w:eastAsia="en-GB"/>
        </w:rPr>
        <w:drawing>
          <wp:inline distT="0" distB="0" distL="0" distR="0" wp14:anchorId="24070804" wp14:editId="4C6AB3F8">
            <wp:extent cx="5734050" cy="3638550"/>
            <wp:effectExtent l="0" t="0" r="0" b="0"/>
            <wp:docPr id="11" name="Picture 11" descr="C:\Users\lp302\Dropbox\Biobank Ageing\Paper - 19 CHARGE dynapenia GWAS\images\LocusZoom\15_5812734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302\Dropbox\Biobank Ageing\Paper - 19 CHARGE dynapenia GWAS\images\LocusZoom\15_58127347.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8E2EF37" w14:textId="77777777" w:rsidR="00B6218E" w:rsidRDefault="00B6218E" w:rsidP="00B6218E"/>
    <w:p w14:paraId="4A3710AC" w14:textId="77777777" w:rsidR="00B6218E" w:rsidRDefault="00B6218E" w:rsidP="00B6218E">
      <w:pPr>
        <w:pStyle w:val="Heading2"/>
      </w:pPr>
      <w:bookmarkStart w:id="36" w:name="_Toc38549347"/>
      <w:r>
        <w:lastRenderedPageBreak/>
        <w:t>Supplementary Figure 2J: rs958685 (chr2:70703847)</w:t>
      </w:r>
      <w:bookmarkEnd w:id="36"/>
    </w:p>
    <w:p w14:paraId="39F7F8CD" w14:textId="41F4E7FD" w:rsidR="00B6218E" w:rsidRDefault="00B6218E" w:rsidP="00B6218E">
      <w:r>
        <w:rPr>
          <w:noProof/>
          <w:lang w:eastAsia="en-GB"/>
        </w:rPr>
        <w:drawing>
          <wp:inline distT="0" distB="0" distL="0" distR="0" wp14:anchorId="61266FD3" wp14:editId="577BC301">
            <wp:extent cx="5734050" cy="3629025"/>
            <wp:effectExtent l="0" t="0" r="0" b="9525"/>
            <wp:docPr id="12" name="Picture 12" descr="C:\Users\lp302\Dropbox\Biobank Ageing\Paper - 19 CHARGE dynapenia GWAS\images\LocusZoom\2_7050384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302\Dropbox\Biobank Ageing\Paper - 19 CHARGE dynapenia GWAS\images\LocusZoom\2_70503847.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6A80E942" w14:textId="77777777" w:rsidR="00B6218E" w:rsidRDefault="00B6218E" w:rsidP="00B6218E"/>
    <w:p w14:paraId="3D87689B" w14:textId="77777777" w:rsidR="00B6218E" w:rsidRDefault="00B6218E" w:rsidP="00B6218E">
      <w:pPr>
        <w:pStyle w:val="Heading2"/>
      </w:pPr>
      <w:bookmarkStart w:id="37" w:name="_Toc38549348"/>
      <w:r>
        <w:t>Supplementary Figure 2K: rs7624084 (chr3:141093285)</w:t>
      </w:r>
      <w:bookmarkEnd w:id="37"/>
    </w:p>
    <w:p w14:paraId="6B749A97" w14:textId="609EBF81" w:rsidR="00B6218E" w:rsidRDefault="00B6218E" w:rsidP="00B6218E">
      <w:r>
        <w:rPr>
          <w:noProof/>
          <w:lang w:eastAsia="en-GB"/>
        </w:rPr>
        <w:drawing>
          <wp:inline distT="0" distB="0" distL="0" distR="0" wp14:anchorId="7C2D34F2" wp14:editId="5E0AD51E">
            <wp:extent cx="5734050" cy="3648075"/>
            <wp:effectExtent l="0" t="0" r="0" b="9525"/>
            <wp:docPr id="13" name="Picture 13" descr="C:\Users\lp302\Dropbox\Biobank Ageing\Paper - 19 CHARGE dynapenia GWAS\images\LocusZoom\3_14089328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302\Dropbox\Biobank Ageing\Paper - 19 CHARGE dynapenia GWAS\images\LocusZoom\3_140893285.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648075"/>
                    </a:xfrm>
                    <a:prstGeom prst="rect">
                      <a:avLst/>
                    </a:prstGeom>
                    <a:noFill/>
                    <a:ln>
                      <a:noFill/>
                    </a:ln>
                  </pic:spPr>
                </pic:pic>
              </a:graphicData>
            </a:graphic>
          </wp:inline>
        </w:drawing>
      </w:r>
    </w:p>
    <w:p w14:paraId="0EC4DF26" w14:textId="77777777" w:rsidR="00B6218E" w:rsidRDefault="00B6218E" w:rsidP="00B6218E">
      <w:pPr>
        <w:pStyle w:val="Heading2"/>
      </w:pPr>
      <w:bookmarkStart w:id="38" w:name="_Toc38549349"/>
      <w:r>
        <w:lastRenderedPageBreak/>
        <w:t>Supplementary Figure 2L: rs79723785 (chr19:55818225)</w:t>
      </w:r>
      <w:bookmarkEnd w:id="38"/>
    </w:p>
    <w:p w14:paraId="4525AF60" w14:textId="1C82C802" w:rsidR="00B6218E" w:rsidRDefault="00B6218E" w:rsidP="00B6218E">
      <w:r>
        <w:rPr>
          <w:noProof/>
          <w:lang w:eastAsia="en-GB"/>
        </w:rPr>
        <w:drawing>
          <wp:inline distT="0" distB="0" distL="0" distR="0" wp14:anchorId="62ECD4C5" wp14:editId="34A79819">
            <wp:extent cx="5734050" cy="3657600"/>
            <wp:effectExtent l="0" t="0" r="0" b="0"/>
            <wp:docPr id="14" name="Picture 14" descr="C:\Users\lp302\Dropbox\Biobank Ageing\Paper - 19 CHARGE dynapenia GWAS\images\LocusZoom\19_5561822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302\Dropbox\Biobank Ageing\Paper - 19 CHARGE dynapenia GWAS\images\LocusZoom\19_55618225.sv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14:paraId="2A454D4B" w14:textId="77777777" w:rsidR="00B6218E" w:rsidRDefault="00B6218E" w:rsidP="00B6218E"/>
    <w:p w14:paraId="31B16A4E" w14:textId="77777777" w:rsidR="00B6218E" w:rsidRDefault="00B6218E" w:rsidP="00B6218E">
      <w:pPr>
        <w:pStyle w:val="Heading2"/>
      </w:pPr>
      <w:bookmarkStart w:id="39" w:name="_Toc38549350"/>
      <w:r>
        <w:t>Supplementary Figure 2M: rs10952289 (chr7:150524681)</w:t>
      </w:r>
      <w:bookmarkEnd w:id="39"/>
    </w:p>
    <w:p w14:paraId="603FAECB" w14:textId="3FF8B2C9" w:rsidR="00B6218E" w:rsidRDefault="00B6218E" w:rsidP="00B6218E">
      <w:r>
        <w:rPr>
          <w:noProof/>
          <w:lang w:eastAsia="en-GB"/>
        </w:rPr>
        <w:drawing>
          <wp:inline distT="0" distB="0" distL="0" distR="0" wp14:anchorId="18C395A0" wp14:editId="47EF3CB4">
            <wp:extent cx="5734050" cy="3609975"/>
            <wp:effectExtent l="0" t="0" r="0" b="9525"/>
            <wp:docPr id="15" name="Picture 15" descr="C:\Users\lp302\Dropbox\Biobank Ageing\Paper - 19 CHARGE dynapenia GWAS\images\LocusZoom\7_15042468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302\Dropbox\Biobank Ageing\Paper - 19 CHARGE dynapenia GWAS\images\LocusZoom\7_150424681.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14:paraId="06ECE13B" w14:textId="77777777" w:rsidR="00B6218E" w:rsidRDefault="00B6218E" w:rsidP="00B6218E"/>
    <w:p w14:paraId="7E480055" w14:textId="77777777" w:rsidR="00B6218E" w:rsidRDefault="00B6218E" w:rsidP="00B6218E">
      <w:pPr>
        <w:pStyle w:val="Heading2"/>
      </w:pPr>
      <w:bookmarkStart w:id="40" w:name="_Toc38549351"/>
      <w:r>
        <w:lastRenderedPageBreak/>
        <w:t>Supplementary Figure 2N: rs8061064 (chr16:53912364)</w:t>
      </w:r>
      <w:bookmarkEnd w:id="40"/>
    </w:p>
    <w:p w14:paraId="42EFAA5A" w14:textId="4233EAE0" w:rsidR="00B6218E" w:rsidRDefault="00B6218E" w:rsidP="00B6218E">
      <w:r>
        <w:rPr>
          <w:noProof/>
          <w:lang w:eastAsia="en-GB"/>
        </w:rPr>
        <w:drawing>
          <wp:inline distT="0" distB="0" distL="0" distR="0" wp14:anchorId="30D5C914" wp14:editId="4888C680">
            <wp:extent cx="5734050" cy="3609975"/>
            <wp:effectExtent l="0" t="0" r="0" b="9525"/>
            <wp:docPr id="16" name="Picture 16" descr="C:\Users\lp302\Dropbox\Biobank Ageing\Paper - 19 CHARGE dynapenia GWAS\images\LocusZoom\16_5371236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302\Dropbox\Biobank Ageing\Paper - 19 CHARGE dynapenia GWAS\images\LocusZoom\16_53712364.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14:paraId="5ED56582" w14:textId="77777777" w:rsidR="00B6218E" w:rsidRDefault="00B6218E" w:rsidP="00B6218E"/>
    <w:p w14:paraId="200D411F" w14:textId="2B41C074" w:rsidR="00B6218E" w:rsidRDefault="00B6218E" w:rsidP="00B6218E">
      <w:pPr>
        <w:pStyle w:val="Heading2"/>
      </w:pPr>
      <w:bookmarkStart w:id="41" w:name="_Toc38549352"/>
      <w:r>
        <w:t>Supplementary Figure 2O: rs12140813 (chr1:227776827)</w:t>
      </w:r>
      <w:bookmarkEnd w:id="41"/>
    </w:p>
    <w:p w14:paraId="23D8E364" w14:textId="1EF29963" w:rsidR="00112F89" w:rsidRDefault="00B6218E">
      <w:r>
        <w:rPr>
          <w:noProof/>
          <w:lang w:eastAsia="en-GB"/>
        </w:rPr>
        <w:drawing>
          <wp:inline distT="0" distB="0" distL="0" distR="0" wp14:anchorId="3D1CB545" wp14:editId="5DBFB794">
            <wp:extent cx="5734050" cy="3638550"/>
            <wp:effectExtent l="0" t="0" r="0" b="0"/>
            <wp:docPr id="17" name="Picture 17" descr="C:\Users\lp302\Dropbox\Biobank Ageing\Paper - 19 CHARGE dynapenia GWAS\images\LocusZoom\1_22757682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302\Dropbox\Biobank Ageing\Paper - 19 CHARGE dynapenia GWAS\images\LocusZoom\1_227576827.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52984539" w14:textId="77777777" w:rsidR="00112F89" w:rsidRDefault="00112F89"/>
    <w:p w14:paraId="752A4BB6" w14:textId="4CA683AA" w:rsidR="00F4348F" w:rsidRDefault="00F4348F" w:rsidP="00F4348F">
      <w:pPr>
        <w:pStyle w:val="Heading1"/>
      </w:pPr>
      <w:bookmarkStart w:id="42" w:name="_Toc38549353"/>
      <w:r>
        <w:lastRenderedPageBreak/>
        <w:t xml:space="preserve">Supplementary Figure </w:t>
      </w:r>
      <w:r w:rsidR="005E01C7">
        <w:t>3</w:t>
      </w:r>
      <w:r>
        <w:t>: Plot of Mendelian randomisation analysis of depression SNPs on low grip strength (EWGSOP) in females only</w:t>
      </w:r>
      <w:bookmarkEnd w:id="42"/>
    </w:p>
    <w:p w14:paraId="72A78026" w14:textId="35C7375A" w:rsidR="00F4348F" w:rsidRDefault="005E01C7" w:rsidP="00F4348F">
      <w:pPr>
        <w:spacing w:line="276" w:lineRule="auto"/>
        <w:jc w:val="center"/>
      </w:pPr>
      <w:r>
        <w:rPr>
          <w:noProof/>
          <w:lang w:eastAsia="en-GB"/>
        </w:rPr>
        <w:drawing>
          <wp:inline distT="0" distB="0" distL="0" distR="0" wp14:anchorId="36A33EE1" wp14:editId="0EFBB7AB">
            <wp:extent cx="5487650" cy="548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pression_2018_metaanalysis_against_dynapeniaewgsopallchunk6-1.png"/>
                    <pic:cNvPicPr/>
                  </pic:nvPicPr>
                  <pic:blipFill>
                    <a:blip r:embed="rId26">
                      <a:extLst>
                        <a:ext uri="{28A0092B-C50C-407E-A947-70E740481C1C}">
                          <a14:useLocalDpi xmlns:a14="http://schemas.microsoft.com/office/drawing/2010/main" val="0"/>
                        </a:ext>
                      </a:extLst>
                    </a:blip>
                    <a:stretch>
                      <a:fillRect/>
                    </a:stretch>
                  </pic:blipFill>
                  <pic:spPr>
                    <a:xfrm>
                      <a:off x="0" y="0"/>
                      <a:ext cx="5487650" cy="5487650"/>
                    </a:xfrm>
                    <a:prstGeom prst="rect">
                      <a:avLst/>
                    </a:prstGeom>
                  </pic:spPr>
                </pic:pic>
              </a:graphicData>
            </a:graphic>
          </wp:inline>
        </w:drawing>
      </w:r>
    </w:p>
    <w:p w14:paraId="1EEC1589" w14:textId="4FD2D5D7" w:rsidR="00F4348F" w:rsidRDefault="00F4348F" w:rsidP="00F4348F">
      <w:pPr>
        <w:spacing w:line="276" w:lineRule="auto"/>
      </w:pPr>
    </w:p>
    <w:p w14:paraId="3154005E" w14:textId="77777777" w:rsidR="00F4348F" w:rsidRDefault="00F4348F" w:rsidP="00916D56">
      <w:pPr>
        <w:spacing w:line="276" w:lineRule="auto"/>
      </w:pPr>
    </w:p>
    <w:p w14:paraId="69E15310" w14:textId="09609CB3" w:rsidR="001B50A6" w:rsidRDefault="001B50A6">
      <w:r>
        <w:br w:type="page"/>
      </w:r>
    </w:p>
    <w:p w14:paraId="5A683DBE" w14:textId="0F6E7CC3" w:rsidR="001453EF" w:rsidRDefault="001B50A6" w:rsidP="001B50A6">
      <w:pPr>
        <w:pStyle w:val="Heading1"/>
      </w:pPr>
      <w:bookmarkStart w:id="43" w:name="_Toc38549354"/>
      <w:r>
        <w:lastRenderedPageBreak/>
        <w:t>References</w:t>
      </w:r>
      <w:bookmarkEnd w:id="43"/>
    </w:p>
    <w:p w14:paraId="6C157D22" w14:textId="77777777" w:rsidR="001B50A6" w:rsidRDefault="001B50A6" w:rsidP="00A377AB"/>
    <w:p w14:paraId="3E7A5643" w14:textId="1AD692EE" w:rsidR="0067273D" w:rsidRPr="0067273D" w:rsidRDefault="001B50A6" w:rsidP="0067273D">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67273D" w:rsidRPr="0067273D">
        <w:rPr>
          <w:rFonts w:ascii="Calibri" w:hAnsi="Calibri" w:cs="Times New Roman"/>
          <w:noProof/>
          <w:szCs w:val="24"/>
        </w:rPr>
        <w:t xml:space="preserve">1. </w:t>
      </w:r>
      <w:r w:rsidR="0067273D" w:rsidRPr="0067273D">
        <w:rPr>
          <w:rFonts w:ascii="Calibri" w:hAnsi="Calibri" w:cs="Times New Roman"/>
          <w:noProof/>
          <w:szCs w:val="24"/>
        </w:rPr>
        <w:tab/>
        <w:t xml:space="preserve">The ARIC investigators. The Atherosclerosis Risk in Communities (ARIC) Study: design and objectives. The ARIC investigators. </w:t>
      </w:r>
      <w:r w:rsidR="0067273D" w:rsidRPr="0067273D">
        <w:rPr>
          <w:rFonts w:ascii="Calibri" w:hAnsi="Calibri" w:cs="Times New Roman"/>
          <w:i/>
          <w:iCs/>
          <w:noProof/>
          <w:szCs w:val="24"/>
        </w:rPr>
        <w:t>Am J Epidemiol</w:t>
      </w:r>
      <w:r w:rsidR="0067273D" w:rsidRPr="0067273D">
        <w:rPr>
          <w:rFonts w:ascii="Calibri" w:hAnsi="Calibri" w:cs="Times New Roman"/>
          <w:noProof/>
          <w:szCs w:val="24"/>
        </w:rPr>
        <w:t>. 1989;129(4):687-702.</w:t>
      </w:r>
    </w:p>
    <w:p w14:paraId="764C1C2E"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 </w:t>
      </w:r>
      <w:r w:rsidRPr="0067273D">
        <w:rPr>
          <w:rFonts w:ascii="Calibri" w:hAnsi="Calibri" w:cs="Times New Roman"/>
          <w:noProof/>
          <w:szCs w:val="24"/>
        </w:rPr>
        <w:tab/>
        <w:t xml:space="preserve">Chanda P, Huang H, Arking DE, Bader JS. Fast Association Tests for Genes with FAST. Veitia RA, ed. </w:t>
      </w:r>
      <w:r w:rsidRPr="0067273D">
        <w:rPr>
          <w:rFonts w:ascii="Calibri" w:hAnsi="Calibri" w:cs="Times New Roman"/>
          <w:i/>
          <w:iCs/>
          <w:noProof/>
          <w:szCs w:val="24"/>
        </w:rPr>
        <w:t>PLoS One</w:t>
      </w:r>
      <w:r w:rsidRPr="0067273D">
        <w:rPr>
          <w:rFonts w:ascii="Calibri" w:hAnsi="Calibri" w:cs="Times New Roman"/>
          <w:noProof/>
          <w:szCs w:val="24"/>
        </w:rPr>
        <w:t>. 2013;8(7):e68585. doi:10.1371/journal.pone.0068585.</w:t>
      </w:r>
    </w:p>
    <w:p w14:paraId="60E21ABA"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 </w:t>
      </w:r>
      <w:r w:rsidRPr="0067273D">
        <w:rPr>
          <w:rFonts w:ascii="Calibri" w:hAnsi="Calibri" w:cs="Times New Roman"/>
          <w:noProof/>
          <w:szCs w:val="24"/>
        </w:rPr>
        <w:tab/>
        <w:t xml:space="preserve">Bertram L, Böckenhoff A, Demuth I, et al. Cohort Profile: The Berlin Aging Study II (BASE-II)†. </w:t>
      </w:r>
      <w:r w:rsidRPr="0067273D">
        <w:rPr>
          <w:rFonts w:ascii="Calibri" w:hAnsi="Calibri" w:cs="Times New Roman"/>
          <w:i/>
          <w:iCs/>
          <w:noProof/>
          <w:szCs w:val="24"/>
        </w:rPr>
        <w:t>Int J Epidemiol</w:t>
      </w:r>
      <w:r w:rsidRPr="0067273D">
        <w:rPr>
          <w:rFonts w:ascii="Calibri" w:hAnsi="Calibri" w:cs="Times New Roman"/>
          <w:noProof/>
          <w:szCs w:val="24"/>
        </w:rPr>
        <w:t>. 2014;43(3):703-712. doi:10.1093/ije/dyt018.</w:t>
      </w:r>
    </w:p>
    <w:p w14:paraId="5D2841E3"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4. </w:t>
      </w:r>
      <w:r w:rsidRPr="0067273D">
        <w:rPr>
          <w:rFonts w:ascii="Calibri" w:hAnsi="Calibri" w:cs="Times New Roman"/>
          <w:noProof/>
          <w:szCs w:val="24"/>
        </w:rPr>
        <w:tab/>
        <w:t xml:space="preserve">J.P.  van W, R.A. D-R, N.M.  van S, et al. Rationale and design of the B-PROOF study, a randomized controlled trial on the effect of supplemental intake of vitamin B12 and folic acid on fracture incidence. </w:t>
      </w:r>
      <w:r w:rsidRPr="0067273D">
        <w:rPr>
          <w:rFonts w:ascii="Calibri" w:hAnsi="Calibri" w:cs="Times New Roman"/>
          <w:i/>
          <w:iCs/>
          <w:noProof/>
          <w:szCs w:val="24"/>
        </w:rPr>
        <w:t>BMC Geriatr</w:t>
      </w:r>
      <w:r w:rsidRPr="0067273D">
        <w:rPr>
          <w:rFonts w:ascii="Calibri" w:hAnsi="Calibri" w:cs="Times New Roman"/>
          <w:noProof/>
          <w:szCs w:val="24"/>
        </w:rPr>
        <w:t>. 2011;11:80.</w:t>
      </w:r>
    </w:p>
    <w:p w14:paraId="6C748604"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5. </w:t>
      </w:r>
      <w:r w:rsidRPr="0067273D">
        <w:rPr>
          <w:rFonts w:ascii="Calibri" w:hAnsi="Calibri" w:cs="Times New Roman"/>
          <w:noProof/>
          <w:szCs w:val="24"/>
        </w:rPr>
        <w:tab/>
        <w:t xml:space="preserve">Fried LP, Borhani NO, Enright P, et al. The cardiovascular health study: Design and rationale. </w:t>
      </w:r>
      <w:r w:rsidRPr="0067273D">
        <w:rPr>
          <w:rFonts w:ascii="Calibri" w:hAnsi="Calibri" w:cs="Times New Roman"/>
          <w:i/>
          <w:iCs/>
          <w:noProof/>
          <w:szCs w:val="24"/>
        </w:rPr>
        <w:t>Ann Epidemiol</w:t>
      </w:r>
      <w:r w:rsidRPr="0067273D">
        <w:rPr>
          <w:rFonts w:ascii="Calibri" w:hAnsi="Calibri" w:cs="Times New Roman"/>
          <w:noProof/>
          <w:szCs w:val="24"/>
        </w:rPr>
        <w:t>. 1991;1(3):263-276. doi:10.1016/1047-2797(91)90005-W.</w:t>
      </w:r>
    </w:p>
    <w:p w14:paraId="4D463E84"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6. </w:t>
      </w:r>
      <w:r w:rsidRPr="0067273D">
        <w:rPr>
          <w:rFonts w:ascii="Calibri" w:hAnsi="Calibri" w:cs="Times New Roman"/>
          <w:noProof/>
          <w:szCs w:val="24"/>
        </w:rPr>
        <w:tab/>
        <w:t>The EPIC (European Prospective Investigation into Cancer) Norfolk Cohort. https://dx.doi.org/10.22025/2019.10.105.00004.</w:t>
      </w:r>
    </w:p>
    <w:p w14:paraId="1AD9198F"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7. </w:t>
      </w:r>
      <w:r w:rsidRPr="0067273D">
        <w:rPr>
          <w:rFonts w:ascii="Calibri" w:hAnsi="Calibri" w:cs="Times New Roman"/>
          <w:noProof/>
          <w:szCs w:val="24"/>
        </w:rPr>
        <w:tab/>
        <w:t xml:space="preserve">DAWBER TR, KANNEL WB. The Framingham Study An Epidemiological Approach to Coronary Heart Disease. </w:t>
      </w:r>
      <w:r w:rsidRPr="0067273D">
        <w:rPr>
          <w:rFonts w:ascii="Calibri" w:hAnsi="Calibri" w:cs="Times New Roman"/>
          <w:i/>
          <w:iCs/>
          <w:noProof/>
          <w:szCs w:val="24"/>
        </w:rPr>
        <w:t>Circulation</w:t>
      </w:r>
      <w:r w:rsidRPr="0067273D">
        <w:rPr>
          <w:rFonts w:ascii="Calibri" w:hAnsi="Calibri" w:cs="Times New Roman"/>
          <w:noProof/>
          <w:szCs w:val="24"/>
        </w:rPr>
        <w:t>. 1966;34(4):553-555. doi:10.1161/01.CIR.34.4.553.</w:t>
      </w:r>
    </w:p>
    <w:p w14:paraId="15B640FE"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8. </w:t>
      </w:r>
      <w:r w:rsidRPr="0067273D">
        <w:rPr>
          <w:rFonts w:ascii="Calibri" w:hAnsi="Calibri" w:cs="Times New Roman"/>
          <w:noProof/>
          <w:szCs w:val="24"/>
        </w:rPr>
        <w:tab/>
        <w:t xml:space="preserve">Feinleib M, Kannel WB, Garrison RJ, McNamara PM, Castelli WP. The framingham offspring study. Design and preliminary data. </w:t>
      </w:r>
      <w:r w:rsidRPr="0067273D">
        <w:rPr>
          <w:rFonts w:ascii="Calibri" w:hAnsi="Calibri" w:cs="Times New Roman"/>
          <w:i/>
          <w:iCs/>
          <w:noProof/>
          <w:szCs w:val="24"/>
        </w:rPr>
        <w:t>Prev Med (Baltim)</w:t>
      </w:r>
      <w:r w:rsidRPr="0067273D">
        <w:rPr>
          <w:rFonts w:ascii="Calibri" w:hAnsi="Calibri" w:cs="Times New Roman"/>
          <w:noProof/>
          <w:szCs w:val="24"/>
        </w:rPr>
        <w:t>. 1975;4(4):518-525. doi:10.1016/0091-7435(75)90037-7.</w:t>
      </w:r>
    </w:p>
    <w:p w14:paraId="0BE8130A"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9. </w:t>
      </w:r>
      <w:r w:rsidRPr="0067273D">
        <w:rPr>
          <w:rFonts w:ascii="Calibri" w:hAnsi="Calibri" w:cs="Times New Roman"/>
          <w:noProof/>
          <w:szCs w:val="24"/>
        </w:rPr>
        <w:tab/>
        <w:t xml:space="preserve">Splansky GL, Corey D, Yang Q, et al. The Third Generation Cohort of the National Heart, Lung, and Blood Institute’s Framingham Heart Study: Design, Recruitment, and Initial Examination. </w:t>
      </w:r>
      <w:r w:rsidRPr="0067273D">
        <w:rPr>
          <w:rFonts w:ascii="Calibri" w:hAnsi="Calibri" w:cs="Times New Roman"/>
          <w:i/>
          <w:iCs/>
          <w:noProof/>
          <w:szCs w:val="24"/>
        </w:rPr>
        <w:t>Am J Epidemiol</w:t>
      </w:r>
      <w:r w:rsidRPr="0067273D">
        <w:rPr>
          <w:rFonts w:ascii="Calibri" w:hAnsi="Calibri" w:cs="Times New Roman"/>
          <w:noProof/>
          <w:szCs w:val="24"/>
        </w:rPr>
        <w:t>. 2007;165(11):1328-1335. doi:10.1093/aje/kwm021.</w:t>
      </w:r>
    </w:p>
    <w:p w14:paraId="612F140A"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10. </w:t>
      </w:r>
      <w:r w:rsidRPr="0067273D">
        <w:rPr>
          <w:rFonts w:ascii="Calibri" w:hAnsi="Calibri" w:cs="Times New Roman"/>
          <w:noProof/>
          <w:szCs w:val="24"/>
        </w:rPr>
        <w:tab/>
        <w:t xml:space="preserve">Fisher GG, Ryan LH. Overview of the health and retirement study and introduction to the special issue. </w:t>
      </w:r>
      <w:r w:rsidRPr="0067273D">
        <w:rPr>
          <w:rFonts w:ascii="Calibri" w:hAnsi="Calibri" w:cs="Times New Roman"/>
          <w:i/>
          <w:iCs/>
          <w:noProof/>
          <w:szCs w:val="24"/>
        </w:rPr>
        <w:t>Work Aging Retire</w:t>
      </w:r>
      <w:r w:rsidRPr="0067273D">
        <w:rPr>
          <w:rFonts w:ascii="Calibri" w:hAnsi="Calibri" w:cs="Times New Roman"/>
          <w:noProof/>
          <w:szCs w:val="24"/>
        </w:rPr>
        <w:t>. 2018;4(1):1-9. doi:10.1093/workar/wax032.</w:t>
      </w:r>
    </w:p>
    <w:p w14:paraId="6620A051"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11. </w:t>
      </w:r>
      <w:r w:rsidRPr="0067273D">
        <w:rPr>
          <w:rFonts w:ascii="Calibri" w:hAnsi="Calibri" w:cs="Times New Roman"/>
          <w:noProof/>
          <w:szCs w:val="24"/>
        </w:rPr>
        <w:tab/>
        <w:t xml:space="preserve">Juster FT, Suzman R. An Overview of the Health and Retirement Study. </w:t>
      </w:r>
      <w:r w:rsidRPr="0067273D">
        <w:rPr>
          <w:rFonts w:ascii="Calibri" w:hAnsi="Calibri" w:cs="Times New Roman"/>
          <w:i/>
          <w:iCs/>
          <w:noProof/>
          <w:szCs w:val="24"/>
        </w:rPr>
        <w:t>J Hum Resour</w:t>
      </w:r>
      <w:r w:rsidRPr="0067273D">
        <w:rPr>
          <w:rFonts w:ascii="Calibri" w:hAnsi="Calibri" w:cs="Times New Roman"/>
          <w:noProof/>
          <w:szCs w:val="24"/>
        </w:rPr>
        <w:t>. 1995;30:S7. doi:10.2307/146277.</w:t>
      </w:r>
    </w:p>
    <w:p w14:paraId="0CB337B8"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12. </w:t>
      </w:r>
      <w:r w:rsidRPr="0067273D">
        <w:rPr>
          <w:rFonts w:ascii="Calibri" w:hAnsi="Calibri" w:cs="Times New Roman"/>
          <w:noProof/>
          <w:szCs w:val="24"/>
        </w:rPr>
        <w:tab/>
        <w:t xml:space="preserve">Howie B, Fuchsberger C, Stephens M, Marchini J, Abecasis GR. Fast and accurate genotype imputation in genome-wide association studies through pre-phasing. </w:t>
      </w:r>
      <w:r w:rsidRPr="0067273D">
        <w:rPr>
          <w:rFonts w:ascii="Calibri" w:hAnsi="Calibri" w:cs="Times New Roman"/>
          <w:i/>
          <w:iCs/>
          <w:noProof/>
          <w:szCs w:val="24"/>
        </w:rPr>
        <w:t>Nat Genet</w:t>
      </w:r>
      <w:r w:rsidRPr="0067273D">
        <w:rPr>
          <w:rFonts w:ascii="Calibri" w:hAnsi="Calibri" w:cs="Times New Roman"/>
          <w:noProof/>
          <w:szCs w:val="24"/>
        </w:rPr>
        <w:t>. 2012;44(8):955-959. doi:10.1038/ng.2354.</w:t>
      </w:r>
    </w:p>
    <w:p w14:paraId="526D3DB9"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13. </w:t>
      </w:r>
      <w:r w:rsidRPr="0067273D">
        <w:rPr>
          <w:rFonts w:ascii="Calibri" w:hAnsi="Calibri" w:cs="Times New Roman"/>
          <w:noProof/>
          <w:szCs w:val="24"/>
        </w:rPr>
        <w:tab/>
        <w:t xml:space="preserve">Loh P-R, Tucker G, Bulik-Sullivan BK, et al. Efficient Bayesian mixed-model analysis increases association power in large cohorts. </w:t>
      </w:r>
      <w:r w:rsidRPr="0067273D">
        <w:rPr>
          <w:rFonts w:ascii="Calibri" w:hAnsi="Calibri" w:cs="Times New Roman"/>
          <w:i/>
          <w:iCs/>
          <w:noProof/>
          <w:szCs w:val="24"/>
        </w:rPr>
        <w:t>Nat Genet</w:t>
      </w:r>
      <w:r w:rsidRPr="0067273D">
        <w:rPr>
          <w:rFonts w:ascii="Calibri" w:hAnsi="Calibri" w:cs="Times New Roman"/>
          <w:noProof/>
          <w:szCs w:val="24"/>
        </w:rPr>
        <w:t>. 2015;47(3):284-290. doi:10.1038/ng.3190.</w:t>
      </w:r>
    </w:p>
    <w:p w14:paraId="43E5BEAB"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14. </w:t>
      </w:r>
      <w:r w:rsidRPr="0067273D">
        <w:rPr>
          <w:rFonts w:ascii="Calibri" w:hAnsi="Calibri" w:cs="Times New Roman"/>
          <w:noProof/>
          <w:szCs w:val="24"/>
        </w:rPr>
        <w:tab/>
        <w:t xml:space="preserve">Ferrucci L, Bandinelli S, Benvenuti E, et al. Subsystems contributing to the decline in ability to walk: bridging the gap between epidemiology and geriatric practice in the InCHIANTI study. </w:t>
      </w:r>
      <w:r w:rsidRPr="0067273D">
        <w:rPr>
          <w:rFonts w:ascii="Calibri" w:hAnsi="Calibri" w:cs="Times New Roman"/>
          <w:i/>
          <w:iCs/>
          <w:noProof/>
          <w:szCs w:val="24"/>
        </w:rPr>
        <w:t>J Am Geriatr Soc</w:t>
      </w:r>
      <w:r w:rsidRPr="0067273D">
        <w:rPr>
          <w:rFonts w:ascii="Calibri" w:hAnsi="Calibri" w:cs="Times New Roman"/>
          <w:noProof/>
          <w:szCs w:val="24"/>
        </w:rPr>
        <w:t>. 2000;48(12):1618-1625. doi:10.1111/j.1532-5415.2000.tb03873.x.</w:t>
      </w:r>
    </w:p>
    <w:p w14:paraId="5FD08581"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15. </w:t>
      </w:r>
      <w:r w:rsidRPr="0067273D">
        <w:rPr>
          <w:rFonts w:ascii="Calibri" w:hAnsi="Calibri" w:cs="Times New Roman"/>
          <w:noProof/>
          <w:szCs w:val="24"/>
        </w:rPr>
        <w:tab/>
        <w:t xml:space="preserve">Melzer D, Perry JRB, Hernandez D, et al. A genome-wide association study identifies protein quantitative trait loci (pQTLs). </w:t>
      </w:r>
      <w:r w:rsidRPr="0067273D">
        <w:rPr>
          <w:rFonts w:ascii="Calibri" w:hAnsi="Calibri" w:cs="Times New Roman"/>
          <w:i/>
          <w:iCs/>
          <w:noProof/>
          <w:szCs w:val="24"/>
        </w:rPr>
        <w:t>PLoS Genet</w:t>
      </w:r>
      <w:r w:rsidRPr="0067273D">
        <w:rPr>
          <w:rFonts w:ascii="Calibri" w:hAnsi="Calibri" w:cs="Times New Roman"/>
          <w:noProof/>
          <w:szCs w:val="24"/>
        </w:rPr>
        <w:t>. 2008;4(5):e1000072. doi:10.1371/journal.pgen.1000072.</w:t>
      </w:r>
    </w:p>
    <w:p w14:paraId="5D9E8878"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16. </w:t>
      </w:r>
      <w:r w:rsidRPr="0067273D">
        <w:rPr>
          <w:rFonts w:ascii="Calibri" w:hAnsi="Calibri" w:cs="Times New Roman"/>
          <w:noProof/>
          <w:szCs w:val="24"/>
        </w:rPr>
        <w:tab/>
        <w:t xml:space="preserve">Das S, Forer L, Schönherr S, et al. Next-generation genotype imputation service and methods. </w:t>
      </w:r>
      <w:r w:rsidRPr="0067273D">
        <w:rPr>
          <w:rFonts w:ascii="Calibri" w:hAnsi="Calibri" w:cs="Times New Roman"/>
          <w:i/>
          <w:iCs/>
          <w:noProof/>
          <w:szCs w:val="24"/>
        </w:rPr>
        <w:t>Nat Genet</w:t>
      </w:r>
      <w:r w:rsidRPr="0067273D">
        <w:rPr>
          <w:rFonts w:ascii="Calibri" w:hAnsi="Calibri" w:cs="Times New Roman"/>
          <w:noProof/>
          <w:szCs w:val="24"/>
        </w:rPr>
        <w:t>. 2016;48(10):1284-1287. doi:10.1038/ng.3656.</w:t>
      </w:r>
    </w:p>
    <w:p w14:paraId="25E63EEF"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lastRenderedPageBreak/>
        <w:t xml:space="preserve">17. </w:t>
      </w:r>
      <w:r w:rsidRPr="0067273D">
        <w:rPr>
          <w:rFonts w:ascii="Calibri" w:hAnsi="Calibri" w:cs="Times New Roman"/>
          <w:noProof/>
          <w:szCs w:val="24"/>
        </w:rPr>
        <w:tab/>
        <w:t xml:space="preserve">Hoogendijk EO, Deeg DJH, Poppelaars J, et al. The Longitudinal Aging Study Amsterdam: cohort update 2016 and major findings. </w:t>
      </w:r>
      <w:r w:rsidRPr="0067273D">
        <w:rPr>
          <w:rFonts w:ascii="Calibri" w:hAnsi="Calibri" w:cs="Times New Roman"/>
          <w:i/>
          <w:iCs/>
          <w:noProof/>
          <w:szCs w:val="24"/>
        </w:rPr>
        <w:t>Eur J Epidemiol</w:t>
      </w:r>
      <w:r w:rsidRPr="0067273D">
        <w:rPr>
          <w:rFonts w:ascii="Calibri" w:hAnsi="Calibri" w:cs="Times New Roman"/>
          <w:noProof/>
          <w:szCs w:val="24"/>
        </w:rPr>
        <w:t>. 2016;31(9):927-945. doi:10.1007/s10654-016-0192-0.</w:t>
      </w:r>
    </w:p>
    <w:p w14:paraId="0D091A6A"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18. </w:t>
      </w:r>
      <w:r w:rsidRPr="0067273D">
        <w:rPr>
          <w:rFonts w:ascii="Calibri" w:hAnsi="Calibri" w:cs="Times New Roman"/>
          <w:noProof/>
          <w:szCs w:val="24"/>
        </w:rPr>
        <w:tab/>
        <w:t xml:space="preserve">Huisman M, Poppelaars J, van der Horst M, et al. Cohort Profile: The Longitudinal Aging Study Amsterdam. </w:t>
      </w:r>
      <w:r w:rsidRPr="0067273D">
        <w:rPr>
          <w:rFonts w:ascii="Calibri" w:hAnsi="Calibri" w:cs="Times New Roman"/>
          <w:i/>
          <w:iCs/>
          <w:noProof/>
          <w:szCs w:val="24"/>
        </w:rPr>
        <w:t>Int J Epidemiol</w:t>
      </w:r>
      <w:r w:rsidRPr="0067273D">
        <w:rPr>
          <w:rFonts w:ascii="Calibri" w:hAnsi="Calibri" w:cs="Times New Roman"/>
          <w:noProof/>
          <w:szCs w:val="24"/>
        </w:rPr>
        <w:t>. 2011;40(4):868-876. doi:10.1093/ije/dyq219.</w:t>
      </w:r>
    </w:p>
    <w:p w14:paraId="314701D7"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19. </w:t>
      </w:r>
      <w:r w:rsidRPr="0067273D">
        <w:rPr>
          <w:rFonts w:ascii="Calibri" w:hAnsi="Calibri" w:cs="Times New Roman"/>
          <w:noProof/>
          <w:szCs w:val="24"/>
        </w:rPr>
        <w:tab/>
        <w:t xml:space="preserve">Lam M, Awasthi S, Watson HJ, et al. RICOPILI: Rapid Imputation for COnsortias PIpeLIne. Schwartz R, ed. </w:t>
      </w:r>
      <w:r w:rsidRPr="0067273D">
        <w:rPr>
          <w:rFonts w:ascii="Calibri" w:hAnsi="Calibri" w:cs="Times New Roman"/>
          <w:i/>
          <w:iCs/>
          <w:noProof/>
          <w:szCs w:val="24"/>
        </w:rPr>
        <w:t>Bioinformatics</w:t>
      </w:r>
      <w:r w:rsidRPr="0067273D">
        <w:rPr>
          <w:rFonts w:ascii="Calibri" w:hAnsi="Calibri" w:cs="Times New Roman"/>
          <w:noProof/>
          <w:szCs w:val="24"/>
        </w:rPr>
        <w:t>. August 2019. doi:10.1093/bioinformatics/btz633.</w:t>
      </w:r>
    </w:p>
    <w:p w14:paraId="0C1E6AD4"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20. </w:t>
      </w:r>
      <w:r w:rsidRPr="0067273D">
        <w:rPr>
          <w:rFonts w:ascii="Calibri" w:hAnsi="Calibri" w:cs="Times New Roman"/>
          <w:noProof/>
          <w:szCs w:val="24"/>
        </w:rPr>
        <w:tab/>
        <w:t xml:space="preserve">McCarthy S, Das S, Kretzschmar W, et al. A reference panel of 64,976 haplotypes for genotype imputation. </w:t>
      </w:r>
      <w:r w:rsidRPr="0067273D">
        <w:rPr>
          <w:rFonts w:ascii="Calibri" w:hAnsi="Calibri" w:cs="Times New Roman"/>
          <w:i/>
          <w:iCs/>
          <w:noProof/>
          <w:szCs w:val="24"/>
        </w:rPr>
        <w:t>Nat Genet</w:t>
      </w:r>
      <w:r w:rsidRPr="0067273D">
        <w:rPr>
          <w:rFonts w:ascii="Calibri" w:hAnsi="Calibri" w:cs="Times New Roman"/>
          <w:noProof/>
          <w:szCs w:val="24"/>
        </w:rPr>
        <w:t>. 2016;48(10):1279-1283. doi:10.1038/ng.3643.</w:t>
      </w:r>
    </w:p>
    <w:p w14:paraId="05F4F2B4"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21. </w:t>
      </w:r>
      <w:r w:rsidRPr="0067273D">
        <w:rPr>
          <w:rFonts w:ascii="Calibri" w:hAnsi="Calibri" w:cs="Times New Roman"/>
          <w:noProof/>
          <w:szCs w:val="24"/>
        </w:rPr>
        <w:tab/>
        <w:t xml:space="preserve">Das S, Forer L, Schönherr S, et al. Next-generation genotype imputation service and methods. </w:t>
      </w:r>
      <w:r w:rsidRPr="0067273D">
        <w:rPr>
          <w:rFonts w:ascii="Calibri" w:hAnsi="Calibri" w:cs="Times New Roman"/>
          <w:i/>
          <w:iCs/>
          <w:noProof/>
          <w:szCs w:val="24"/>
        </w:rPr>
        <w:t>Nat Genet</w:t>
      </w:r>
      <w:r w:rsidRPr="0067273D">
        <w:rPr>
          <w:rFonts w:ascii="Calibri" w:hAnsi="Calibri" w:cs="Times New Roman"/>
          <w:noProof/>
          <w:szCs w:val="24"/>
        </w:rPr>
        <w:t>. 2016;48(10):1284-1287. doi:10.1038/ng.3656.</w:t>
      </w:r>
    </w:p>
    <w:p w14:paraId="210F92E6"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22. </w:t>
      </w:r>
      <w:r w:rsidRPr="0067273D">
        <w:rPr>
          <w:rFonts w:ascii="Calibri" w:hAnsi="Calibri" w:cs="Times New Roman"/>
          <w:noProof/>
          <w:szCs w:val="24"/>
        </w:rPr>
        <w:tab/>
        <w:t xml:space="preserve">Sebastiani P, Hadley EC, Province M, et al. A family longevity selection score: ranking sibships by their longevity, size, and availability for study. </w:t>
      </w:r>
      <w:r w:rsidRPr="0067273D">
        <w:rPr>
          <w:rFonts w:ascii="Calibri" w:hAnsi="Calibri" w:cs="Times New Roman"/>
          <w:i/>
          <w:iCs/>
          <w:noProof/>
          <w:szCs w:val="24"/>
        </w:rPr>
        <w:t>Am J Epidemiol</w:t>
      </w:r>
      <w:r w:rsidRPr="0067273D">
        <w:rPr>
          <w:rFonts w:ascii="Calibri" w:hAnsi="Calibri" w:cs="Times New Roman"/>
          <w:noProof/>
          <w:szCs w:val="24"/>
        </w:rPr>
        <w:t>. 2009;170(12):1555-1562. doi:10.1093/aje/kwp309.</w:t>
      </w:r>
    </w:p>
    <w:p w14:paraId="6D833B2C"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23. </w:t>
      </w:r>
      <w:r w:rsidRPr="0067273D">
        <w:rPr>
          <w:rFonts w:ascii="Calibri" w:hAnsi="Calibri" w:cs="Times New Roman"/>
          <w:noProof/>
          <w:szCs w:val="24"/>
        </w:rPr>
        <w:tab/>
        <w:t xml:space="preserve">Abecasis GR, Cherny SS, Cookson WO, Cardon LR. GRR: graphical representation of relationship errors. </w:t>
      </w:r>
      <w:r w:rsidRPr="0067273D">
        <w:rPr>
          <w:rFonts w:ascii="Calibri" w:hAnsi="Calibri" w:cs="Times New Roman"/>
          <w:i/>
          <w:iCs/>
          <w:noProof/>
          <w:szCs w:val="24"/>
        </w:rPr>
        <w:t>Bioinformatics</w:t>
      </w:r>
      <w:r w:rsidRPr="0067273D">
        <w:rPr>
          <w:rFonts w:ascii="Calibri" w:hAnsi="Calibri" w:cs="Times New Roman"/>
          <w:noProof/>
          <w:szCs w:val="24"/>
        </w:rPr>
        <w:t>. 2001;17(8):742-743. doi:10.1093/bioinformatics/17.8.742.</w:t>
      </w:r>
    </w:p>
    <w:p w14:paraId="5E81FAF9"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24. </w:t>
      </w:r>
      <w:r w:rsidRPr="0067273D">
        <w:rPr>
          <w:rFonts w:ascii="Calibri" w:hAnsi="Calibri" w:cs="Times New Roman"/>
          <w:noProof/>
          <w:szCs w:val="24"/>
        </w:rPr>
        <w:tab/>
        <w:t xml:space="preserve">Price AL, Patterson NJ, Plenge RM, Weinblatt ME, Shadick NA, Reich D. Principal components analysis corrects for stratification in genome-wide association studies. </w:t>
      </w:r>
      <w:r w:rsidRPr="0067273D">
        <w:rPr>
          <w:rFonts w:ascii="Calibri" w:hAnsi="Calibri" w:cs="Times New Roman"/>
          <w:i/>
          <w:iCs/>
          <w:noProof/>
          <w:szCs w:val="24"/>
        </w:rPr>
        <w:t>Nat Genet</w:t>
      </w:r>
      <w:r w:rsidRPr="0067273D">
        <w:rPr>
          <w:rFonts w:ascii="Calibri" w:hAnsi="Calibri" w:cs="Times New Roman"/>
          <w:noProof/>
          <w:szCs w:val="24"/>
        </w:rPr>
        <w:t>. 2006;38(8):904-909. doi:10.1038/ng1847.</w:t>
      </w:r>
    </w:p>
    <w:p w14:paraId="3B860331"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25. </w:t>
      </w:r>
      <w:r w:rsidRPr="0067273D">
        <w:rPr>
          <w:rFonts w:ascii="Calibri" w:hAnsi="Calibri" w:cs="Times New Roman"/>
          <w:noProof/>
          <w:szCs w:val="24"/>
        </w:rPr>
        <w:tab/>
        <w:t xml:space="preserve">Heath SC. Markov chain Monte Carlo segregation and linkage analysis for oligogenic models. </w:t>
      </w:r>
      <w:r w:rsidRPr="0067273D">
        <w:rPr>
          <w:rFonts w:ascii="Calibri" w:hAnsi="Calibri" w:cs="Times New Roman"/>
          <w:i/>
          <w:iCs/>
          <w:noProof/>
          <w:szCs w:val="24"/>
        </w:rPr>
        <w:t>Am J Hum Genet</w:t>
      </w:r>
      <w:r w:rsidRPr="0067273D">
        <w:rPr>
          <w:rFonts w:ascii="Calibri" w:hAnsi="Calibri" w:cs="Times New Roman"/>
          <w:noProof/>
          <w:szCs w:val="24"/>
        </w:rPr>
        <w:t>. 1997;61(3):748-760. doi:10.1086/515506.</w:t>
      </w:r>
    </w:p>
    <w:p w14:paraId="1F353563"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26. </w:t>
      </w:r>
      <w:r w:rsidRPr="0067273D">
        <w:rPr>
          <w:rFonts w:ascii="Calibri" w:hAnsi="Calibri" w:cs="Times New Roman"/>
          <w:noProof/>
          <w:szCs w:val="24"/>
        </w:rPr>
        <w:tab/>
        <w:t xml:space="preserve">Mellström D, Johnell O, Ljunggren O, et al. Free testosterone is an independent predictor of BMD and prevalent fractures in elderly men: MrOS Sweden. </w:t>
      </w:r>
      <w:r w:rsidRPr="0067273D">
        <w:rPr>
          <w:rFonts w:ascii="Calibri" w:hAnsi="Calibri" w:cs="Times New Roman"/>
          <w:i/>
          <w:iCs/>
          <w:noProof/>
          <w:szCs w:val="24"/>
        </w:rPr>
        <w:t>J Bone Miner Res</w:t>
      </w:r>
      <w:r w:rsidRPr="0067273D">
        <w:rPr>
          <w:rFonts w:ascii="Calibri" w:hAnsi="Calibri" w:cs="Times New Roman"/>
          <w:noProof/>
          <w:szCs w:val="24"/>
        </w:rPr>
        <w:t>. 2006;21(4):529-535. doi:10.1359/jbmr.060110.</w:t>
      </w:r>
    </w:p>
    <w:p w14:paraId="574DCE7C"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27. </w:t>
      </w:r>
      <w:r w:rsidRPr="0067273D">
        <w:rPr>
          <w:rFonts w:ascii="Calibri" w:hAnsi="Calibri" w:cs="Times New Roman"/>
          <w:noProof/>
          <w:szCs w:val="24"/>
        </w:rPr>
        <w:tab/>
        <w:t xml:space="preserve">A. Bennett D, A. Schneider J, Arvanitakis Z, S. Wilson R. Overview and Findings from the Religious Orders Study. </w:t>
      </w:r>
      <w:r w:rsidRPr="0067273D">
        <w:rPr>
          <w:rFonts w:ascii="Calibri" w:hAnsi="Calibri" w:cs="Times New Roman"/>
          <w:i/>
          <w:iCs/>
          <w:noProof/>
          <w:szCs w:val="24"/>
        </w:rPr>
        <w:t>Curr Alzheimer Res</w:t>
      </w:r>
      <w:r w:rsidRPr="0067273D">
        <w:rPr>
          <w:rFonts w:ascii="Calibri" w:hAnsi="Calibri" w:cs="Times New Roman"/>
          <w:noProof/>
          <w:szCs w:val="24"/>
        </w:rPr>
        <w:t>. 2012;9(6):628-645. doi:10.2174/156720512801322573.</w:t>
      </w:r>
    </w:p>
    <w:p w14:paraId="5EF75BBD"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28. </w:t>
      </w:r>
      <w:r w:rsidRPr="0067273D">
        <w:rPr>
          <w:rFonts w:ascii="Calibri" w:hAnsi="Calibri" w:cs="Times New Roman"/>
          <w:noProof/>
          <w:szCs w:val="24"/>
        </w:rPr>
        <w:tab/>
        <w:t xml:space="preserve">Ikram MA, Brusselle GGO, Murad SD, et al. The Rotterdam Study: 2018 update on objectives, design and main results. </w:t>
      </w:r>
      <w:r w:rsidRPr="0067273D">
        <w:rPr>
          <w:rFonts w:ascii="Calibri" w:hAnsi="Calibri" w:cs="Times New Roman"/>
          <w:i/>
          <w:iCs/>
          <w:noProof/>
          <w:szCs w:val="24"/>
        </w:rPr>
        <w:t>Eur J Epidemiol</w:t>
      </w:r>
      <w:r w:rsidRPr="0067273D">
        <w:rPr>
          <w:rFonts w:ascii="Calibri" w:hAnsi="Calibri" w:cs="Times New Roman"/>
          <w:noProof/>
          <w:szCs w:val="24"/>
        </w:rPr>
        <w:t>. 2017;32(9):807-850. doi:10.1007/s10654-017-0321-4.</w:t>
      </w:r>
    </w:p>
    <w:p w14:paraId="528742B1"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29. </w:t>
      </w:r>
      <w:r w:rsidRPr="0067273D">
        <w:rPr>
          <w:rFonts w:ascii="Calibri" w:hAnsi="Calibri" w:cs="Times New Roman"/>
          <w:noProof/>
          <w:szCs w:val="24"/>
        </w:rPr>
        <w:tab/>
        <w:t xml:space="preserve">Volzke H, Alte D, Schmidt CO, et al. Cohort Profile: The Study of Health in Pomerania. </w:t>
      </w:r>
      <w:r w:rsidRPr="0067273D">
        <w:rPr>
          <w:rFonts w:ascii="Calibri" w:hAnsi="Calibri" w:cs="Times New Roman"/>
          <w:i/>
          <w:iCs/>
          <w:noProof/>
          <w:szCs w:val="24"/>
        </w:rPr>
        <w:t>Int J Epidemiol</w:t>
      </w:r>
      <w:r w:rsidRPr="0067273D">
        <w:rPr>
          <w:rFonts w:ascii="Calibri" w:hAnsi="Calibri" w:cs="Times New Roman"/>
          <w:noProof/>
          <w:szCs w:val="24"/>
        </w:rPr>
        <w:t>. 2011;40(2):294-307. doi:10.1093/ije/dyp394.</w:t>
      </w:r>
    </w:p>
    <w:p w14:paraId="2A1662C2"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30. </w:t>
      </w:r>
      <w:r w:rsidRPr="0067273D">
        <w:rPr>
          <w:rFonts w:ascii="Calibri" w:hAnsi="Calibri" w:cs="Times New Roman"/>
          <w:noProof/>
          <w:szCs w:val="24"/>
        </w:rPr>
        <w:tab/>
        <w:t>UK Biobank. UK Biobank genotype collections and QC on 150k participants, April 2014.</w:t>
      </w:r>
    </w:p>
    <w:p w14:paraId="37D779E1"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31. </w:t>
      </w:r>
      <w:r w:rsidRPr="0067273D">
        <w:rPr>
          <w:rFonts w:ascii="Calibri" w:hAnsi="Calibri" w:cs="Times New Roman"/>
          <w:noProof/>
          <w:szCs w:val="24"/>
        </w:rPr>
        <w:tab/>
        <w:t xml:space="preserve">Bycroft C, Freeman C, Petkova D, et al. The UK Biobank resource with deep phenotyping and genomic data. </w:t>
      </w:r>
      <w:r w:rsidRPr="0067273D">
        <w:rPr>
          <w:rFonts w:ascii="Calibri" w:hAnsi="Calibri" w:cs="Times New Roman"/>
          <w:i/>
          <w:iCs/>
          <w:noProof/>
          <w:szCs w:val="24"/>
        </w:rPr>
        <w:t>Nature</w:t>
      </w:r>
      <w:r w:rsidRPr="0067273D">
        <w:rPr>
          <w:rFonts w:ascii="Calibri" w:hAnsi="Calibri" w:cs="Times New Roman"/>
          <w:noProof/>
          <w:szCs w:val="24"/>
        </w:rPr>
        <w:t>. 2018;562(7726):203-209. doi:10.1038/s41586-018-0579-z.</w:t>
      </w:r>
    </w:p>
    <w:p w14:paraId="606B7890"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32. </w:t>
      </w:r>
      <w:r w:rsidRPr="0067273D">
        <w:rPr>
          <w:rFonts w:ascii="Calibri" w:hAnsi="Calibri" w:cs="Times New Roman"/>
          <w:noProof/>
          <w:szCs w:val="24"/>
        </w:rPr>
        <w:tab/>
        <w:t xml:space="preserve">Thompson WD, Tyrrell J, Borges M-C, et al. Association of maternal circulating 25(OH)D and calcium with birth weight: A mendelian randomisation analysis. </w:t>
      </w:r>
      <w:r w:rsidRPr="0067273D">
        <w:rPr>
          <w:rFonts w:ascii="Calibri" w:hAnsi="Calibri" w:cs="Times New Roman"/>
          <w:i/>
          <w:iCs/>
          <w:noProof/>
          <w:szCs w:val="24"/>
        </w:rPr>
        <w:t>PLoS Med</w:t>
      </w:r>
      <w:r w:rsidRPr="0067273D">
        <w:rPr>
          <w:rFonts w:ascii="Calibri" w:hAnsi="Calibri" w:cs="Times New Roman"/>
          <w:noProof/>
          <w:szCs w:val="24"/>
        </w:rPr>
        <w:t>. 2019;16(6):e1002828. doi:10.1371/journal.pmed.1002828.</w:t>
      </w:r>
    </w:p>
    <w:p w14:paraId="15FD25A0"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33. </w:t>
      </w:r>
      <w:r w:rsidRPr="0067273D">
        <w:rPr>
          <w:rFonts w:ascii="Calibri" w:hAnsi="Calibri" w:cs="Times New Roman"/>
          <w:noProof/>
          <w:szCs w:val="24"/>
        </w:rPr>
        <w:tab/>
        <w:t xml:space="preserve">Herd P, Carr D, Roan C. Cohort Profile: Wisconsin longitudinal study (WLS). </w:t>
      </w:r>
      <w:r w:rsidRPr="0067273D">
        <w:rPr>
          <w:rFonts w:ascii="Calibri" w:hAnsi="Calibri" w:cs="Times New Roman"/>
          <w:i/>
          <w:iCs/>
          <w:noProof/>
          <w:szCs w:val="24"/>
        </w:rPr>
        <w:t>Int J Epidemiol</w:t>
      </w:r>
      <w:r w:rsidRPr="0067273D">
        <w:rPr>
          <w:rFonts w:ascii="Calibri" w:hAnsi="Calibri" w:cs="Times New Roman"/>
          <w:noProof/>
          <w:szCs w:val="24"/>
        </w:rPr>
        <w:t>. 2014;43(1):34-41. doi:10.1093/ije/dys194.</w:t>
      </w:r>
    </w:p>
    <w:p w14:paraId="2B992186"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lastRenderedPageBreak/>
        <w:t xml:space="preserve">34. </w:t>
      </w:r>
      <w:r w:rsidRPr="0067273D">
        <w:rPr>
          <w:rFonts w:ascii="Calibri" w:hAnsi="Calibri" w:cs="Times New Roman"/>
          <w:noProof/>
          <w:szCs w:val="24"/>
        </w:rPr>
        <w:tab/>
        <w:t xml:space="preserve">Rylander-Rudqvist T. Quality and Quantity of Saliva DNA Obtained from the Self-administrated Oragene Method--A Pilot Study on the Cohort of Swedish Men. </w:t>
      </w:r>
      <w:r w:rsidRPr="0067273D">
        <w:rPr>
          <w:rFonts w:ascii="Calibri" w:hAnsi="Calibri" w:cs="Times New Roman"/>
          <w:i/>
          <w:iCs/>
          <w:noProof/>
          <w:szCs w:val="24"/>
        </w:rPr>
        <w:t>Cancer Epidemiol Biomarkers Prev</w:t>
      </w:r>
      <w:r w:rsidRPr="0067273D">
        <w:rPr>
          <w:rFonts w:ascii="Calibri" w:hAnsi="Calibri" w:cs="Times New Roman"/>
          <w:noProof/>
          <w:szCs w:val="24"/>
        </w:rPr>
        <w:t>. 2006;15(9):1742-1745. doi:10.1158/1055-9965.EPI-05-0706.</w:t>
      </w:r>
    </w:p>
    <w:p w14:paraId="2CA7E693"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35. </w:t>
      </w:r>
      <w:r w:rsidRPr="0067273D">
        <w:rPr>
          <w:rFonts w:ascii="Calibri" w:hAnsi="Calibri" w:cs="Times New Roman"/>
          <w:noProof/>
          <w:szCs w:val="24"/>
        </w:rPr>
        <w:tab/>
        <w:t xml:space="preserve">Loh PR, Kichaev G, Gazal S, Schoech AP, Price AL. Mixed-model association for biobank-scale datasets. </w:t>
      </w:r>
      <w:r w:rsidRPr="0067273D">
        <w:rPr>
          <w:rFonts w:ascii="Calibri" w:hAnsi="Calibri" w:cs="Times New Roman"/>
          <w:i/>
          <w:iCs/>
          <w:noProof/>
          <w:szCs w:val="24"/>
        </w:rPr>
        <w:t>Nat Genet</w:t>
      </w:r>
      <w:r w:rsidRPr="0067273D">
        <w:rPr>
          <w:rFonts w:ascii="Calibri" w:hAnsi="Calibri" w:cs="Times New Roman"/>
          <w:noProof/>
          <w:szCs w:val="24"/>
        </w:rPr>
        <w:t>. 2018;50(7):906-908. doi:10.1038/s41588-018-0144-6.</w:t>
      </w:r>
    </w:p>
    <w:p w14:paraId="40456786"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36. </w:t>
      </w:r>
      <w:r w:rsidRPr="0067273D">
        <w:rPr>
          <w:rFonts w:ascii="Calibri" w:hAnsi="Calibri" w:cs="Times New Roman"/>
          <w:noProof/>
          <w:szCs w:val="24"/>
        </w:rPr>
        <w:tab/>
        <w:t xml:space="preserve">Lloyd-Jones LR, Robinson MR, Yang J, Visscher PM. Transformation of Summary Statistics from Linear Mixed Model Association on All-or-None Traits to Odds Ratio. </w:t>
      </w:r>
      <w:r w:rsidRPr="0067273D">
        <w:rPr>
          <w:rFonts w:ascii="Calibri" w:hAnsi="Calibri" w:cs="Times New Roman"/>
          <w:i/>
          <w:iCs/>
          <w:noProof/>
          <w:szCs w:val="24"/>
        </w:rPr>
        <w:t>Genetics</w:t>
      </w:r>
      <w:r w:rsidRPr="0067273D">
        <w:rPr>
          <w:rFonts w:ascii="Calibri" w:hAnsi="Calibri" w:cs="Times New Roman"/>
          <w:noProof/>
          <w:szCs w:val="24"/>
        </w:rPr>
        <w:t>. 2018;208(4):1397-1408. doi:10.1534/genetics.117.300360.</w:t>
      </w:r>
    </w:p>
    <w:p w14:paraId="41A15C84" w14:textId="77777777" w:rsidR="0067273D" w:rsidRPr="0067273D" w:rsidRDefault="0067273D" w:rsidP="0067273D">
      <w:pPr>
        <w:widowControl w:val="0"/>
        <w:autoSpaceDE w:val="0"/>
        <w:autoSpaceDN w:val="0"/>
        <w:adjustRightInd w:val="0"/>
        <w:spacing w:line="240" w:lineRule="auto"/>
        <w:ind w:left="640" w:hanging="640"/>
        <w:rPr>
          <w:rFonts w:ascii="Calibri" w:hAnsi="Calibri" w:cs="Times New Roman"/>
          <w:noProof/>
          <w:szCs w:val="24"/>
        </w:rPr>
      </w:pPr>
      <w:r w:rsidRPr="0067273D">
        <w:rPr>
          <w:rFonts w:ascii="Calibri" w:hAnsi="Calibri" w:cs="Times New Roman"/>
          <w:noProof/>
          <w:szCs w:val="24"/>
        </w:rPr>
        <w:t xml:space="preserve">37. </w:t>
      </w:r>
      <w:r w:rsidRPr="0067273D">
        <w:rPr>
          <w:rFonts w:ascii="Calibri" w:hAnsi="Calibri" w:cs="Times New Roman"/>
          <w:noProof/>
          <w:szCs w:val="24"/>
        </w:rPr>
        <w:tab/>
        <w:t xml:space="preserve">Willer CJ, Li Y, Abecasis GR. METAL: fast and efficient meta-analysis of genomewide association scans. </w:t>
      </w:r>
      <w:r w:rsidRPr="0067273D">
        <w:rPr>
          <w:rFonts w:ascii="Calibri" w:hAnsi="Calibri" w:cs="Times New Roman"/>
          <w:i/>
          <w:iCs/>
          <w:noProof/>
          <w:szCs w:val="24"/>
        </w:rPr>
        <w:t>Bioinformatics</w:t>
      </w:r>
      <w:r w:rsidRPr="0067273D">
        <w:rPr>
          <w:rFonts w:ascii="Calibri" w:hAnsi="Calibri" w:cs="Times New Roman"/>
          <w:noProof/>
          <w:szCs w:val="24"/>
        </w:rPr>
        <w:t>. 2010;26(17):2190-2191. doi:10.1093/bioinformatics/btq340.</w:t>
      </w:r>
    </w:p>
    <w:p w14:paraId="66670FD0" w14:textId="77777777" w:rsidR="0067273D" w:rsidRPr="0067273D" w:rsidRDefault="0067273D" w:rsidP="0067273D">
      <w:pPr>
        <w:widowControl w:val="0"/>
        <w:autoSpaceDE w:val="0"/>
        <w:autoSpaceDN w:val="0"/>
        <w:adjustRightInd w:val="0"/>
        <w:spacing w:line="240" w:lineRule="auto"/>
        <w:ind w:left="640" w:hanging="640"/>
        <w:rPr>
          <w:rFonts w:ascii="Calibri" w:hAnsi="Calibri"/>
          <w:noProof/>
        </w:rPr>
      </w:pPr>
      <w:r w:rsidRPr="0067273D">
        <w:rPr>
          <w:rFonts w:ascii="Calibri" w:hAnsi="Calibri" w:cs="Times New Roman"/>
          <w:noProof/>
          <w:szCs w:val="24"/>
        </w:rPr>
        <w:t xml:space="preserve">38. </w:t>
      </w:r>
      <w:r w:rsidRPr="0067273D">
        <w:rPr>
          <w:rFonts w:ascii="Calibri" w:hAnsi="Calibri" w:cs="Times New Roman"/>
          <w:noProof/>
          <w:szCs w:val="24"/>
        </w:rPr>
        <w:tab/>
        <w:t xml:space="preserve">Bulik-Sullivan BK, Loh P-R, Finucane HK, et al. LD Score regression distinguishes confounding from polygenicity in genome-wide association studies. </w:t>
      </w:r>
      <w:r w:rsidRPr="0067273D">
        <w:rPr>
          <w:rFonts w:ascii="Calibri" w:hAnsi="Calibri" w:cs="Times New Roman"/>
          <w:i/>
          <w:iCs/>
          <w:noProof/>
          <w:szCs w:val="24"/>
        </w:rPr>
        <w:t>Nat Genet</w:t>
      </w:r>
      <w:r w:rsidRPr="0067273D">
        <w:rPr>
          <w:rFonts w:ascii="Calibri" w:hAnsi="Calibri" w:cs="Times New Roman"/>
          <w:noProof/>
          <w:szCs w:val="24"/>
        </w:rPr>
        <w:t>. 2015;advance on(3):291-295. doi:10.1038/ng.3211.</w:t>
      </w:r>
    </w:p>
    <w:p w14:paraId="1CB4FE9D" w14:textId="5F34C864" w:rsidR="001B50A6" w:rsidRDefault="001B50A6" w:rsidP="00A377AB">
      <w:r>
        <w:fldChar w:fldCharType="end"/>
      </w:r>
    </w:p>
    <w:sectPr w:rsidR="001B50A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FB069" w14:textId="77777777" w:rsidR="002B2753" w:rsidRDefault="002B2753" w:rsidP="001453EF">
      <w:pPr>
        <w:spacing w:after="0" w:line="240" w:lineRule="auto"/>
      </w:pPr>
      <w:r>
        <w:separator/>
      </w:r>
    </w:p>
  </w:endnote>
  <w:endnote w:type="continuationSeparator" w:id="0">
    <w:p w14:paraId="250A5401" w14:textId="77777777" w:rsidR="002B2753" w:rsidRDefault="002B2753" w:rsidP="0014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681784"/>
      <w:docPartObj>
        <w:docPartGallery w:val="Page Numbers (Bottom of Page)"/>
        <w:docPartUnique/>
      </w:docPartObj>
    </w:sdtPr>
    <w:sdtEndPr>
      <w:rPr>
        <w:noProof/>
      </w:rPr>
    </w:sdtEndPr>
    <w:sdtContent>
      <w:p w14:paraId="7B26F34C" w14:textId="77777777" w:rsidR="004D67C6" w:rsidRDefault="004D67C6">
        <w:pPr>
          <w:pStyle w:val="Footer"/>
          <w:jc w:val="right"/>
        </w:pPr>
        <w:r>
          <w:fldChar w:fldCharType="begin"/>
        </w:r>
        <w:r>
          <w:instrText xml:space="preserve"> PAGE   \* MERGEFORMAT </w:instrText>
        </w:r>
        <w:r>
          <w:fldChar w:fldCharType="separate"/>
        </w:r>
        <w:r w:rsidR="008B0CF9">
          <w:rPr>
            <w:noProof/>
          </w:rPr>
          <w:t>24</w:t>
        </w:r>
        <w:r>
          <w:rPr>
            <w:noProof/>
          </w:rPr>
          <w:fldChar w:fldCharType="end"/>
        </w:r>
      </w:p>
    </w:sdtContent>
  </w:sdt>
  <w:p w14:paraId="20509E60" w14:textId="77777777" w:rsidR="004D67C6" w:rsidRDefault="004D6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4B189" w14:textId="77777777" w:rsidR="002B2753" w:rsidRDefault="002B2753" w:rsidP="001453EF">
      <w:pPr>
        <w:spacing w:after="0" w:line="240" w:lineRule="auto"/>
      </w:pPr>
      <w:r>
        <w:separator/>
      </w:r>
    </w:p>
  </w:footnote>
  <w:footnote w:type="continuationSeparator" w:id="0">
    <w:p w14:paraId="284D20D8" w14:textId="77777777" w:rsidR="002B2753" w:rsidRDefault="002B2753" w:rsidP="00145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F3DC9"/>
    <w:multiLevelType w:val="hybridMultilevel"/>
    <w:tmpl w:val="1682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3EF"/>
    <w:rsid w:val="000217DD"/>
    <w:rsid w:val="000265E6"/>
    <w:rsid w:val="00062CF2"/>
    <w:rsid w:val="0006356C"/>
    <w:rsid w:val="00085ACD"/>
    <w:rsid w:val="00103ED8"/>
    <w:rsid w:val="00103FCB"/>
    <w:rsid w:val="00112F89"/>
    <w:rsid w:val="001138D7"/>
    <w:rsid w:val="00127C46"/>
    <w:rsid w:val="00140112"/>
    <w:rsid w:val="001453EF"/>
    <w:rsid w:val="001574EB"/>
    <w:rsid w:val="00163863"/>
    <w:rsid w:val="00164295"/>
    <w:rsid w:val="0017542F"/>
    <w:rsid w:val="00180EF6"/>
    <w:rsid w:val="00192030"/>
    <w:rsid w:val="00196787"/>
    <w:rsid w:val="001B50A6"/>
    <w:rsid w:val="001C2CE1"/>
    <w:rsid w:val="00237554"/>
    <w:rsid w:val="002B2753"/>
    <w:rsid w:val="00304179"/>
    <w:rsid w:val="003157F1"/>
    <w:rsid w:val="00334D40"/>
    <w:rsid w:val="00342123"/>
    <w:rsid w:val="003471DB"/>
    <w:rsid w:val="00361D07"/>
    <w:rsid w:val="00383CB2"/>
    <w:rsid w:val="00397EC1"/>
    <w:rsid w:val="003A28D0"/>
    <w:rsid w:val="003D50EE"/>
    <w:rsid w:val="003F1410"/>
    <w:rsid w:val="00407371"/>
    <w:rsid w:val="004304A3"/>
    <w:rsid w:val="00447438"/>
    <w:rsid w:val="00457817"/>
    <w:rsid w:val="00477601"/>
    <w:rsid w:val="00480D03"/>
    <w:rsid w:val="004D67C6"/>
    <w:rsid w:val="004E55B0"/>
    <w:rsid w:val="00511A98"/>
    <w:rsid w:val="00532D5C"/>
    <w:rsid w:val="00533E97"/>
    <w:rsid w:val="00560A1C"/>
    <w:rsid w:val="0059540C"/>
    <w:rsid w:val="005A63F3"/>
    <w:rsid w:val="005C0585"/>
    <w:rsid w:val="005E01C7"/>
    <w:rsid w:val="00600ABF"/>
    <w:rsid w:val="00613D81"/>
    <w:rsid w:val="00627168"/>
    <w:rsid w:val="0067273D"/>
    <w:rsid w:val="00681D0F"/>
    <w:rsid w:val="006A3C25"/>
    <w:rsid w:val="006C40D1"/>
    <w:rsid w:val="006D6358"/>
    <w:rsid w:val="006E2712"/>
    <w:rsid w:val="006E62FB"/>
    <w:rsid w:val="006F0B0F"/>
    <w:rsid w:val="007073A6"/>
    <w:rsid w:val="00721601"/>
    <w:rsid w:val="00756D2E"/>
    <w:rsid w:val="00765171"/>
    <w:rsid w:val="00774A91"/>
    <w:rsid w:val="0077680F"/>
    <w:rsid w:val="00796D8C"/>
    <w:rsid w:val="007A357C"/>
    <w:rsid w:val="007A77BB"/>
    <w:rsid w:val="008336AE"/>
    <w:rsid w:val="0085344C"/>
    <w:rsid w:val="00873704"/>
    <w:rsid w:val="0088586E"/>
    <w:rsid w:val="008948DB"/>
    <w:rsid w:val="008B0CF9"/>
    <w:rsid w:val="008D5EE7"/>
    <w:rsid w:val="008E0A84"/>
    <w:rsid w:val="008F33A1"/>
    <w:rsid w:val="008F6F22"/>
    <w:rsid w:val="00915454"/>
    <w:rsid w:val="00916D56"/>
    <w:rsid w:val="0094591A"/>
    <w:rsid w:val="00946AF4"/>
    <w:rsid w:val="009C3DAB"/>
    <w:rsid w:val="00A038E4"/>
    <w:rsid w:val="00A04434"/>
    <w:rsid w:val="00A377AB"/>
    <w:rsid w:val="00A52FD2"/>
    <w:rsid w:val="00AF13E9"/>
    <w:rsid w:val="00B21D26"/>
    <w:rsid w:val="00B45F17"/>
    <w:rsid w:val="00B51F79"/>
    <w:rsid w:val="00B6218E"/>
    <w:rsid w:val="00B66370"/>
    <w:rsid w:val="00B92659"/>
    <w:rsid w:val="00BC07EE"/>
    <w:rsid w:val="00BE1003"/>
    <w:rsid w:val="00C14EB1"/>
    <w:rsid w:val="00C52C4D"/>
    <w:rsid w:val="00CB19C4"/>
    <w:rsid w:val="00CC5268"/>
    <w:rsid w:val="00CD4212"/>
    <w:rsid w:val="00D27B87"/>
    <w:rsid w:val="00D30B61"/>
    <w:rsid w:val="00D344F0"/>
    <w:rsid w:val="00D606ED"/>
    <w:rsid w:val="00D91AD7"/>
    <w:rsid w:val="00DA1549"/>
    <w:rsid w:val="00DD63E7"/>
    <w:rsid w:val="00DE76D4"/>
    <w:rsid w:val="00DF248F"/>
    <w:rsid w:val="00E65C53"/>
    <w:rsid w:val="00E76077"/>
    <w:rsid w:val="00E769AD"/>
    <w:rsid w:val="00E85749"/>
    <w:rsid w:val="00EC24C0"/>
    <w:rsid w:val="00ED5FC5"/>
    <w:rsid w:val="00F4348F"/>
    <w:rsid w:val="00F55ABB"/>
    <w:rsid w:val="00FA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584C3"/>
  <w15:chartTrackingRefBased/>
  <w15:docId w15:val="{0CF993EB-B829-45AB-9289-74CC40DA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7BB"/>
  </w:style>
  <w:style w:type="paragraph" w:styleId="Heading1">
    <w:name w:val="heading 1"/>
    <w:basedOn w:val="Normal"/>
    <w:next w:val="Normal"/>
    <w:link w:val="Heading1Char"/>
    <w:uiPriority w:val="9"/>
    <w:qFormat/>
    <w:rsid w:val="001453EF"/>
    <w:pPr>
      <w:outlineLvl w:val="0"/>
    </w:pPr>
    <w:rPr>
      <w:b/>
      <w:sz w:val="24"/>
    </w:rPr>
  </w:style>
  <w:style w:type="paragraph" w:styleId="Heading2">
    <w:name w:val="heading 2"/>
    <w:basedOn w:val="Normal"/>
    <w:next w:val="Normal"/>
    <w:link w:val="Heading2Char"/>
    <w:uiPriority w:val="9"/>
    <w:unhideWhenUsed/>
    <w:qFormat/>
    <w:rsid w:val="001453EF"/>
    <w:pPr>
      <w:spacing w:line="480" w:lineRule="auto"/>
      <w:outlineLvl w:val="1"/>
    </w:pPr>
    <w:rPr>
      <w:b/>
      <w:lang w:val="en-US"/>
    </w:rPr>
  </w:style>
  <w:style w:type="paragraph" w:styleId="Heading3">
    <w:name w:val="heading 3"/>
    <w:basedOn w:val="Normal"/>
    <w:next w:val="Normal"/>
    <w:link w:val="Heading3Char"/>
    <w:uiPriority w:val="9"/>
    <w:unhideWhenUsed/>
    <w:qFormat/>
    <w:rsid w:val="001453EF"/>
    <w:pP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3EF"/>
    <w:rPr>
      <w:color w:val="0563C1" w:themeColor="hyperlink"/>
      <w:u w:val="single"/>
    </w:rPr>
  </w:style>
  <w:style w:type="character" w:styleId="CommentReference">
    <w:name w:val="annotation reference"/>
    <w:basedOn w:val="DefaultParagraphFont"/>
    <w:uiPriority w:val="99"/>
    <w:semiHidden/>
    <w:unhideWhenUsed/>
    <w:rsid w:val="001453EF"/>
    <w:rPr>
      <w:sz w:val="16"/>
      <w:szCs w:val="16"/>
    </w:rPr>
  </w:style>
  <w:style w:type="paragraph" w:styleId="CommentText">
    <w:name w:val="annotation text"/>
    <w:basedOn w:val="Normal"/>
    <w:link w:val="CommentTextChar"/>
    <w:uiPriority w:val="99"/>
    <w:unhideWhenUsed/>
    <w:rsid w:val="001453EF"/>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1453EF"/>
    <w:rPr>
      <w:rFonts w:eastAsiaTheme="minorEastAsia"/>
      <w:sz w:val="20"/>
      <w:szCs w:val="20"/>
    </w:rPr>
  </w:style>
  <w:style w:type="paragraph" w:styleId="BalloonText">
    <w:name w:val="Balloon Text"/>
    <w:basedOn w:val="Normal"/>
    <w:link w:val="BalloonTextChar"/>
    <w:uiPriority w:val="99"/>
    <w:semiHidden/>
    <w:unhideWhenUsed/>
    <w:rsid w:val="00145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3EF"/>
    <w:rPr>
      <w:rFonts w:ascii="Segoe UI" w:hAnsi="Segoe UI" w:cs="Segoe UI"/>
      <w:sz w:val="18"/>
      <w:szCs w:val="18"/>
    </w:rPr>
  </w:style>
  <w:style w:type="character" w:customStyle="1" w:styleId="Heading2Char">
    <w:name w:val="Heading 2 Char"/>
    <w:basedOn w:val="DefaultParagraphFont"/>
    <w:link w:val="Heading2"/>
    <w:uiPriority w:val="9"/>
    <w:rsid w:val="001453EF"/>
    <w:rPr>
      <w:b/>
      <w:lang w:val="en-US"/>
    </w:rPr>
  </w:style>
  <w:style w:type="character" w:customStyle="1" w:styleId="Heading1Char">
    <w:name w:val="Heading 1 Char"/>
    <w:basedOn w:val="DefaultParagraphFont"/>
    <w:link w:val="Heading1"/>
    <w:uiPriority w:val="9"/>
    <w:rsid w:val="001453EF"/>
    <w:rPr>
      <w:b/>
      <w:sz w:val="24"/>
    </w:rPr>
  </w:style>
  <w:style w:type="paragraph" w:styleId="TOCHeading">
    <w:name w:val="TOC Heading"/>
    <w:basedOn w:val="Heading1"/>
    <w:next w:val="Normal"/>
    <w:uiPriority w:val="39"/>
    <w:unhideWhenUsed/>
    <w:qFormat/>
    <w:rsid w:val="001453EF"/>
    <w:pPr>
      <w:outlineLvl w:val="9"/>
    </w:pPr>
    <w:rPr>
      <w:lang w:val="en-US"/>
    </w:rPr>
  </w:style>
  <w:style w:type="paragraph" w:styleId="TOC2">
    <w:name w:val="toc 2"/>
    <w:basedOn w:val="Normal"/>
    <w:next w:val="Normal"/>
    <w:autoRedefine/>
    <w:uiPriority w:val="39"/>
    <w:unhideWhenUsed/>
    <w:rsid w:val="001453EF"/>
    <w:pPr>
      <w:spacing w:after="100"/>
      <w:ind w:left="220"/>
    </w:pPr>
  </w:style>
  <w:style w:type="paragraph" w:styleId="TOC1">
    <w:name w:val="toc 1"/>
    <w:basedOn w:val="Normal"/>
    <w:next w:val="Normal"/>
    <w:autoRedefine/>
    <w:uiPriority w:val="39"/>
    <w:unhideWhenUsed/>
    <w:rsid w:val="001453EF"/>
    <w:pPr>
      <w:spacing w:after="100"/>
    </w:pPr>
  </w:style>
  <w:style w:type="paragraph" w:styleId="Header">
    <w:name w:val="header"/>
    <w:basedOn w:val="Normal"/>
    <w:link w:val="HeaderChar"/>
    <w:uiPriority w:val="99"/>
    <w:unhideWhenUsed/>
    <w:rsid w:val="00145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3EF"/>
  </w:style>
  <w:style w:type="paragraph" w:styleId="Footer">
    <w:name w:val="footer"/>
    <w:basedOn w:val="Normal"/>
    <w:link w:val="FooterChar"/>
    <w:uiPriority w:val="99"/>
    <w:unhideWhenUsed/>
    <w:rsid w:val="00145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3EF"/>
  </w:style>
  <w:style w:type="character" w:customStyle="1" w:styleId="Heading3Char">
    <w:name w:val="Heading 3 Char"/>
    <w:basedOn w:val="DefaultParagraphFont"/>
    <w:link w:val="Heading3"/>
    <w:uiPriority w:val="9"/>
    <w:rsid w:val="001453EF"/>
    <w:rPr>
      <w:b/>
      <w:i/>
    </w:rPr>
  </w:style>
  <w:style w:type="paragraph" w:styleId="TOC3">
    <w:name w:val="toc 3"/>
    <w:basedOn w:val="Normal"/>
    <w:next w:val="Normal"/>
    <w:autoRedefine/>
    <w:uiPriority w:val="39"/>
    <w:unhideWhenUsed/>
    <w:rsid w:val="001453EF"/>
    <w:pPr>
      <w:spacing w:after="100"/>
      <w:ind w:left="440"/>
    </w:pPr>
  </w:style>
  <w:style w:type="table" w:styleId="TableGrid">
    <w:name w:val="Table Grid"/>
    <w:basedOn w:val="TableNormal"/>
    <w:uiPriority w:val="39"/>
    <w:rsid w:val="00CB1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B19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66370"/>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66370"/>
    <w:rPr>
      <w:rFonts w:eastAsiaTheme="minorEastAsia"/>
      <w:b/>
      <w:bCs/>
      <w:sz w:val="20"/>
      <w:szCs w:val="20"/>
    </w:rPr>
  </w:style>
  <w:style w:type="paragraph" w:customStyle="1" w:styleId="EndNoteBibliography">
    <w:name w:val="EndNote Bibliography"/>
    <w:basedOn w:val="Normal"/>
    <w:link w:val="EndNoteBibliographyChar"/>
    <w:rsid w:val="00A377AB"/>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377AB"/>
    <w:rPr>
      <w:rFonts w:ascii="Calibri" w:hAnsi="Calibri"/>
      <w:noProof/>
      <w:lang w:val="en-US"/>
    </w:rPr>
  </w:style>
  <w:style w:type="character" w:customStyle="1" w:styleId="identifier">
    <w:name w:val="identifier"/>
    <w:basedOn w:val="DefaultParagraphFont"/>
    <w:rsid w:val="00A377AB"/>
  </w:style>
  <w:style w:type="paragraph" w:styleId="ListParagraph">
    <w:name w:val="List Paragraph"/>
    <w:basedOn w:val="Normal"/>
    <w:uiPriority w:val="34"/>
    <w:qFormat/>
    <w:rsid w:val="001B50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414052">
      <w:bodyDiv w:val="1"/>
      <w:marLeft w:val="0"/>
      <w:marRight w:val="0"/>
      <w:marTop w:val="0"/>
      <w:marBottom w:val="0"/>
      <w:divBdr>
        <w:top w:val="none" w:sz="0" w:space="0" w:color="auto"/>
        <w:left w:val="none" w:sz="0" w:space="0" w:color="auto"/>
        <w:bottom w:val="none" w:sz="0" w:space="0" w:color="auto"/>
        <w:right w:val="none" w:sz="0" w:space="0" w:color="auto"/>
      </w:divBdr>
    </w:div>
    <w:div w:id="1255439992">
      <w:bodyDiv w:val="1"/>
      <w:marLeft w:val="0"/>
      <w:marRight w:val="0"/>
      <w:marTop w:val="0"/>
      <w:marBottom w:val="0"/>
      <w:divBdr>
        <w:top w:val="none" w:sz="0" w:space="0" w:color="auto"/>
        <w:left w:val="none" w:sz="0" w:space="0" w:color="auto"/>
        <w:bottom w:val="none" w:sz="0" w:space="0" w:color="auto"/>
        <w:right w:val="none" w:sz="0" w:space="0" w:color="auto"/>
      </w:divBdr>
    </w:div>
    <w:div w:id="20429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ukelloydjones/ORShiny/blob/master/shiny_lmor_func.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y.locuszoom.org/gwas/532795/?token=ad786aade6e44e90935921594de5185b"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994E4-1CC7-42BD-9ABA-B16B2D8A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29</Pages>
  <Words>30665</Words>
  <Characters>174794</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Garan</dc:creator>
  <cp:keywords/>
  <dc:description/>
  <cp:lastModifiedBy>Pilling, Luke</cp:lastModifiedBy>
  <cp:revision>39</cp:revision>
  <dcterms:created xsi:type="dcterms:W3CDTF">2019-07-30T15:18:00Z</dcterms:created>
  <dcterms:modified xsi:type="dcterms:W3CDTF">2020-05-11T08:55:00Z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http://www.zotero.org/styles/aging-cell</vt:lpwstr>
  </property>
  <property fmtid="{D5CDD505-2E9C-101B-9397-08002B2CF9AE}" pid="3" name="Mendeley Recent Style Name 0_1">
    <vt:lpwstr>Aging Cell</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http://csl.mendeley.com/styles/207883671/American-Medical-Association-modified-2</vt:lpwstr>
  </property>
  <property fmtid="{D5CDD505-2E9C-101B-9397-08002B2CF9AE}" pid="7" name="Mendeley Recent Style Name 2_1">
    <vt:lpwstr>American Medical Association - JD []</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http://csl.mendeley.com/styles/6736543/ieee-2</vt:lpwstr>
  </property>
  <property fmtid="{D5CDD505-2E9C-101B-9397-08002B2CF9AE}" pid="15" name="Mendeley Recent Style Name 6_1">
    <vt:lpwstr>IEEE - Luke Pilling</vt:lpwstr>
  </property>
  <property fmtid="{D5CDD505-2E9C-101B-9397-08002B2CF9AE}" pid="16" name="Mendeley Recent Style Id 7_1">
    <vt:lpwstr>http://www.zotero.org/styles/the-journals-of-gerontology-series-a</vt:lpwstr>
  </property>
  <property fmtid="{D5CDD505-2E9C-101B-9397-08002B2CF9AE}" pid="17" name="Mendeley Recent Style Name 7_1">
    <vt:lpwstr>The Journals of Gerontology, Series A: Biological Sciences and Medical Sciences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Citation Style_1">
    <vt:lpwstr>http://www.zotero.org/styles/the-journals-of-gerontology-series-a</vt:lpwstr>
  </property>
  <property fmtid="{D5CDD505-2E9C-101B-9397-08002B2CF9AE}" pid="24" name="Mendeley Unique User Id_1">
    <vt:lpwstr>f686637d-9d85-3b0f-8bc6-b815d9ea9859</vt:lpwstr>
  </property>
</Properties>
</file>