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2"/>
        <w:rPr>
          <w:b w:val="0"/>
        </w:rPr>
      </w:pPr>
      <w:r>
        <w:t>Supplementary Material</w:t>
      </w:r>
    </w:p>
    <w:p>
      <w:pPr>
        <w:pStyle w:val="2"/>
      </w:pPr>
      <w:r>
        <w:t>Supplementary Data</w:t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>Supplementary_File_1. Epidemiological data.</w:t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>Supplementary_File_2. HLA</w:t>
      </w:r>
      <w:r>
        <w:rPr>
          <w:rFonts w:hint="default" w:cs="Times New Roman"/>
          <w:i w:val="0"/>
          <w:color w:val="000000"/>
          <w:sz w:val="24"/>
          <w:szCs w:val="24"/>
          <w:u w:val="none"/>
          <w:vertAlign w:val="baseline"/>
        </w:rPr>
        <w:t>-I A and B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</w:t>
      </w:r>
      <w:r>
        <w:rPr>
          <w:rFonts w:hint="default" w:cs="Times New Roman"/>
          <w:i w:val="0"/>
          <w:color w:val="000000"/>
          <w:sz w:val="24"/>
          <w:szCs w:val="24"/>
          <w:u w:val="none"/>
          <w:vertAlign w:val="baseline"/>
        </w:rPr>
        <w:t>a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>llelic frequency distribution</w:t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>Supplementary_File_3. Population coverage data generated from the IEDB</w:t>
      </w:r>
    </w:p>
    <w:p>
      <w:pPr>
        <w:pStyle w:val="2"/>
      </w:pPr>
      <w:r>
        <w:t>Supplementary Figures and Tables</w:t>
      </w:r>
    </w:p>
    <w:p>
      <w:pPr>
        <w:pStyle w:val="4"/>
      </w:pPr>
      <w:r>
        <w:t>Supplementary Figures</w:t>
      </w:r>
      <w:bookmarkStart w:id="0" w:name="_GoBack"/>
      <w:bookmarkEnd w:id="0"/>
    </w:p>
    <w:p>
      <w:pPr>
        <w:keepNext/>
        <w:rPr>
          <w:rFonts w:cs="Times New Roman"/>
          <w:szCs w:val="24"/>
        </w:rPr>
      </w:pPr>
    </w:p>
    <w:p>
      <w:pPr>
        <w:keepNext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drawing>
          <wp:inline distT="0" distB="0" distL="114300" distR="114300">
            <wp:extent cx="5787390" cy="4900295"/>
            <wp:effectExtent l="0" t="0" r="3810" b="14605"/>
            <wp:docPr id="2" name="Picture 2" descr="Figure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FigureS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873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</w:pPr>
      <w:r>
        <w:rPr>
          <w:rFonts w:cs="Times New Roman"/>
          <w:b/>
          <w:szCs w:val="24"/>
        </w:rPr>
        <w:t xml:space="preserve">Supplementary </w:t>
      </w:r>
      <w:r>
        <w:rPr>
          <w:rFonts w:cs="Times New Roman"/>
          <w:b/>
          <w:szCs w:val="24"/>
        </w:rPr>
        <w:t xml:space="preserve">Figure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1.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HLA-I A and B allelic frequency coverage.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(A)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The allelic frequency coverage for each population (n=38) included in the study. Horizontal lines indicate the threshold (0.75).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(B)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Number of HLA-I A and B alleles to reach the allele frequency coverage threshold of 0.75 per studied population.</w:t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</w:pP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drawing>
          <wp:inline distT="0" distB="0" distL="114300" distR="114300">
            <wp:extent cx="6205855" cy="5254625"/>
            <wp:effectExtent l="0" t="0" r="4445" b="3175"/>
            <wp:docPr id="3" name="Picture 3" descr="Figur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FigureS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05855" cy="525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cs="Times New Roman"/>
          <w:b/>
          <w:szCs w:val="24"/>
        </w:rPr>
        <w:t>Supplementary Figure</w:t>
      </w:r>
      <w:r>
        <w:rPr>
          <w:rFonts w:cs="Times New Roman"/>
          <w:b/>
          <w:szCs w:val="24"/>
        </w:rPr>
        <w:t xml:space="preserve">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2.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Epidemiological data associated with SARS-CoV-2 for the populations analyzed in this study. The bar graphs are showing the number of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(A)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Total Cases,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(B)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Total Cases per million inhabitants,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(C)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Total Deaths,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(D)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Total Deaths per million inhabitants,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(E)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Serious Critical cases and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(F)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Total Recovered Patients. Countries were sorted in ascending order.</w:t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6205855" cy="4466590"/>
            <wp:effectExtent l="0" t="0" r="4445" b="10160"/>
            <wp:docPr id="4" name="Picture 4" descr="Figure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FigureS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05855" cy="446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cs="Times New Roman"/>
          <w:b/>
          <w:szCs w:val="24"/>
        </w:rPr>
        <w:t>Supplementary Figure</w:t>
      </w:r>
      <w:r>
        <w:rPr>
          <w:rFonts w:cs="Times New Roman"/>
          <w:b/>
          <w:szCs w:val="24"/>
        </w:rPr>
        <w:t xml:space="preserve">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3.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Comparison between experimental binding affinities from Immune Epitope Database (IEDB) and </w:t>
      </w:r>
      <w:r>
        <w:rPr>
          <w:rFonts w:hint="default" w:ascii="Times New Roman" w:hAnsi="Times New Roman" w:cs="Times New Roman"/>
          <w:i/>
          <w:color w:val="000000"/>
          <w:sz w:val="24"/>
          <w:szCs w:val="24"/>
          <w:u w:val="none"/>
          <w:vertAlign w:val="baseline"/>
        </w:rPr>
        <w:t>in silico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predictions.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(A)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Binding affinities (nM) predicted by netMHCpan for 8-11 mer peptides from SARS-CoV-2 and the 111 HLA-I alleles used in this analysis.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(B)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Experimental binding affinities (nM) for viral peptides and different HLA-I alleles according to the experimental read-out. Only linear virus-derived epitopes in HLA-I A and B with positive assays described were included.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(C)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Binding affinities predicted as in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(A)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for peptides that are capable (Pos) or not (Neg) to elicit immune response according to T cell assays.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(D-E)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Same data as in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(A)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and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(B)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respectively, segregated by HLA class I gene. In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(D)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only SB and WB data were used. Pos, Positive; Pos-H, Positive-High; Pos-I, Positive-Intermediate; Pos-L, Positive-Low; Neg, Negative; SB, Strong Binder (%Rank &lt;0.5); WB, Weak Binder (0.5≤ %Rank &lt;2); NB, Non Binder (%Rank ≥2); ****p-value &lt; 0.0001; n.s., not significant.</w:t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5486400" cy="4023360"/>
            <wp:effectExtent l="0" t="0" r="0" b="15240"/>
            <wp:docPr id="5" name="Picture 5" descr="Figure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FigureS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SimSun" w:cs="Times New Roman"/>
          <w:i w:val="0"/>
          <w:color w:val="000000"/>
          <w:kern w:val="0"/>
          <w:sz w:val="24"/>
          <w:szCs w:val="24"/>
          <w:u w:val="none"/>
          <w:vertAlign w:val="baseline"/>
          <w:lang w:val="en-US" w:eastAsia="zh-CN" w:bidi="ar"/>
        </w:rPr>
      </w:pPr>
      <w:r>
        <w:rPr>
          <w:rFonts w:cs="Times New Roman"/>
          <w:b/>
          <w:sz w:val="24"/>
          <w:szCs w:val="24"/>
        </w:rPr>
        <w:t>Supplementary Figure</w:t>
      </w:r>
      <w:r>
        <w:rPr>
          <w:rFonts w:cs="Times New Roman"/>
          <w:b/>
          <w:sz w:val="24"/>
          <w:szCs w:val="24"/>
        </w:rPr>
        <w:t xml:space="preserve"> </w:t>
      </w:r>
      <w:r>
        <w:rPr>
          <w:rFonts w:hint="default" w:ascii="Times New Roman" w:hAnsi="Times New Roman" w:eastAsia="SimSun" w:cs="Times New Roman"/>
          <w:b/>
          <w:i w:val="0"/>
          <w:color w:val="000000"/>
          <w:kern w:val="0"/>
          <w:sz w:val="24"/>
          <w:szCs w:val="24"/>
          <w:u w:val="none"/>
          <w:vertAlign w:val="baseline"/>
          <w:lang w:val="en-US" w:eastAsia="zh-CN" w:bidi="ar"/>
        </w:rPr>
        <w:t xml:space="preserve">4. </w:t>
      </w:r>
      <w:r>
        <w:rPr>
          <w:rFonts w:hint="default" w:ascii="Times New Roman" w:hAnsi="Times New Roman" w:eastAsia="SimSun" w:cs="Times New Roman"/>
          <w:i w:val="0"/>
          <w:color w:val="000000"/>
          <w:kern w:val="0"/>
          <w:sz w:val="24"/>
          <w:szCs w:val="24"/>
          <w:u w:val="none"/>
          <w:vertAlign w:val="baseline"/>
          <w:lang w:val="en-US" w:eastAsia="zh-CN" w:bidi="ar"/>
        </w:rPr>
        <w:t>Pearson's correlation between the number of Strong Binder peptides (Y axis) and the number of HLA-I alleles for each population (X axis). Each dot represents the number of HLA-I alleles selected for each population to achieve a minimum of 0.75 of the population's cumulative allele frequency.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SimSun" w:cs="Times New Roman"/>
          <w:i w:val="0"/>
          <w:color w:val="000000"/>
          <w:kern w:val="0"/>
          <w:sz w:val="24"/>
          <w:szCs w:val="24"/>
          <w:u w:val="none"/>
          <w:vertAlign w:val="baseline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SimSun" w:cs="Times New Roman"/>
          <w:i w:val="0"/>
          <w:color w:val="000000"/>
          <w:kern w:val="0"/>
          <w:sz w:val="24"/>
          <w:szCs w:val="24"/>
          <w:u w:val="none"/>
          <w:vertAlign w:val="baseline"/>
          <w:lang w:eastAsia="zh-CN" w:bidi="ar"/>
        </w:rPr>
      </w:pPr>
      <w:r>
        <w:rPr>
          <w:rFonts w:hint="default" w:ascii="Times New Roman" w:hAnsi="Times New Roman" w:eastAsia="SimSun" w:cs="Times New Roman"/>
          <w:i w:val="0"/>
          <w:color w:val="000000"/>
          <w:kern w:val="0"/>
          <w:sz w:val="24"/>
          <w:szCs w:val="24"/>
          <w:u w:val="none"/>
          <w:vertAlign w:val="baseline"/>
          <w:lang w:eastAsia="zh-CN" w:bidi="ar"/>
        </w:rPr>
        <w:drawing>
          <wp:inline distT="0" distB="0" distL="114300" distR="114300">
            <wp:extent cx="6205855" cy="6568440"/>
            <wp:effectExtent l="0" t="0" r="4445" b="3810"/>
            <wp:docPr id="6" name="Picture 6" descr="Figure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FigureS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05855" cy="656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cs="Times New Roman"/>
          <w:b/>
          <w:sz w:val="24"/>
          <w:szCs w:val="24"/>
        </w:rPr>
        <w:t>Supplementary Figure</w:t>
      </w:r>
      <w:r>
        <w:rPr>
          <w:rFonts w:cs="Times New Roman"/>
          <w:b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5.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Number of Strong Binder peptides predicted to bind to HLA-A alleles. Each panel represents the pool of peptides derived from one of the viral proteins.</w:t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6205855" cy="4466590"/>
            <wp:effectExtent l="0" t="0" r="4445" b="10160"/>
            <wp:docPr id="8" name="Picture 8" descr="Figure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FigureS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05855" cy="446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cs="Times New Roman"/>
          <w:b/>
          <w:sz w:val="24"/>
          <w:szCs w:val="24"/>
        </w:rPr>
        <w:t>Supplementary Figure</w:t>
      </w:r>
      <w:r>
        <w:rPr>
          <w:rFonts w:cs="Times New Roman"/>
          <w:b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6.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Number of Strong Binder peptides predicted to bind to HLA-B alleles. Each panel represents the pool of peptides derived from one of the viral proteins.</w:t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6205855" cy="3888740"/>
            <wp:effectExtent l="0" t="0" r="4445" b="16510"/>
            <wp:docPr id="9" name="Picture 9" descr="Figure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FigureS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05855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cs="Times New Roman"/>
          <w:b/>
          <w:sz w:val="24"/>
          <w:szCs w:val="24"/>
        </w:rPr>
        <w:t>Supplementary Figure</w:t>
      </w:r>
      <w:r>
        <w:rPr>
          <w:rFonts w:cs="Times New Roman"/>
          <w:b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7.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Area Under the Curve (AUC) calculated for each population coverage curve shown in Figure 3.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(A)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AUC of the population coverage for the entire SARS-CoV-2 genome and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 xml:space="preserve">(B-F) 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>for selected proteins. The colors represent different proteins. E, Envelope; M, Membrane; N, Nucleocapsid; S, Spike protein.</w:t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6205855" cy="5254625"/>
            <wp:effectExtent l="0" t="0" r="4445" b="3175"/>
            <wp:docPr id="10" name="Picture 10" descr="Figure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FigureS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05855" cy="525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cs="Times New Roman"/>
          <w:b/>
          <w:sz w:val="24"/>
          <w:szCs w:val="24"/>
        </w:rPr>
        <w:t>Supplementary Figure</w:t>
      </w:r>
      <w:r>
        <w:rPr>
          <w:rFonts w:cs="Times New Roman"/>
          <w:b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8.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Pearson correlations between AUC calculated from the entire SARS-CoV-2 genome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(A)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Envelope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(B)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Membrane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(C)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Nucleocapsid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(D)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ORF1ab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(E)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or Spike protein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(F)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and Total number of cases. </w:t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6205855" cy="5254625"/>
            <wp:effectExtent l="0" t="0" r="4445" b="3175"/>
            <wp:docPr id="11" name="Picture 11" descr="Figure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FigureS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05855" cy="525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</w:pPr>
      <w:r>
        <w:rPr>
          <w:rFonts w:cs="Times New Roman"/>
          <w:b/>
          <w:sz w:val="24"/>
          <w:szCs w:val="24"/>
        </w:rPr>
        <w:t>Supplementary Figure</w:t>
      </w:r>
      <w:r>
        <w:rPr>
          <w:rFonts w:cs="Times New Roman"/>
          <w:b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9.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Pearson correlations between AUC calculated from the entire SARS-CoV-2 genome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(A)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Envelope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(B)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Membrane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(C)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Nucleocapsid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(D)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ORF1ab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(E)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or Spike protein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(F)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and Total number of deaths.</w:t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</w:pP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drawing>
          <wp:inline distT="0" distB="0" distL="114300" distR="114300">
            <wp:extent cx="6205855" cy="5254625"/>
            <wp:effectExtent l="0" t="0" r="4445" b="3175"/>
            <wp:docPr id="12" name="Picture 12" descr="Figure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FigureS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05855" cy="525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</w:pPr>
      <w:r>
        <w:rPr>
          <w:rFonts w:cs="Times New Roman"/>
          <w:b/>
          <w:sz w:val="24"/>
          <w:szCs w:val="24"/>
        </w:rPr>
        <w:t>Supplementary Figure</w:t>
      </w:r>
      <w:r>
        <w:rPr>
          <w:rFonts w:cs="Times New Roman"/>
          <w:b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10.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Pearson correlations between AUC calculated from the entire SARS-CoV-2 genome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(A)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Envelope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(B)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Membrane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(C)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Nucleocapsid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(D)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ORF1ab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(E)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or Spike protein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(F)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and Total number of recovered patients.</w:t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</w:pP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drawing>
          <wp:inline distT="0" distB="0" distL="114300" distR="114300">
            <wp:extent cx="6205855" cy="5254625"/>
            <wp:effectExtent l="0" t="0" r="4445" b="3175"/>
            <wp:docPr id="13" name="Picture 13" descr="FigureS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FigureS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05855" cy="525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cs="Times New Roman"/>
          <w:b/>
          <w:sz w:val="24"/>
          <w:szCs w:val="24"/>
        </w:rPr>
        <w:t>Supplementary Figure</w:t>
      </w:r>
      <w:r>
        <w:rPr>
          <w:rFonts w:cs="Times New Roman"/>
          <w:b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11.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Pearson correlations between AUC calculated from the entire SARS-CoV-2 genome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(A)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Envelope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(B)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Membrane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(C)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Nucleocapsid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(D)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, ORF1ab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(E)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or Spike protein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(F)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and Total number of cases per million inhabitants.</w:t>
      </w:r>
    </w:p>
    <w:p>
      <w:pPr>
        <w:keepNext w:val="0"/>
        <w:keepLines w:val="0"/>
        <w:widowControl/>
        <w:suppressLineNumbers w:val="0"/>
        <w:jc w:val="left"/>
        <w:rPr>
          <w:b/>
          <w:bCs/>
        </w:rPr>
      </w:pPr>
      <w:r>
        <w:rPr>
          <w:b/>
          <w:bCs/>
        </w:rPr>
        <w:drawing>
          <wp:inline distT="0" distB="0" distL="114300" distR="114300">
            <wp:extent cx="6148705" cy="8329295"/>
            <wp:effectExtent l="0" t="0" r="4445" b="14605"/>
            <wp:docPr id="15" name="Picture 15" descr="FigureS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FigureS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48705" cy="832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cs="Times New Roman"/>
          <w:b/>
          <w:sz w:val="24"/>
          <w:szCs w:val="24"/>
        </w:rPr>
        <w:t>Supplementary Figure</w:t>
      </w:r>
      <w:r>
        <w:rPr>
          <w:rFonts w:cs="Times New Roman"/>
          <w:b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12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. Ratio between frequencies of SB peptides from protein S and N that bind to HLA-A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(A)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or HLA-B </w:t>
      </w: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(B)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>. The number of SB peptides were normalized dividing to the respective length in aa of each protein prior to the ratio calculation.</w:t>
      </w:r>
    </w:p>
    <w:p>
      <w:pPr>
        <w:keepNext w:val="0"/>
        <w:keepLines w:val="0"/>
        <w:widowControl/>
        <w:suppressLineNumbers w:val="0"/>
        <w:jc w:val="left"/>
      </w:pPr>
    </w:p>
    <w:p>
      <w:pPr>
        <w:pStyle w:val="4"/>
      </w:pPr>
      <w:r>
        <w:t xml:space="preserve">Supplementary </w:t>
      </w:r>
      <w:r>
        <w:t>Tables</w:t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Table S1.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Number of unique 8-11 mer Strong Binder peptides for all HLA-A and B alleles</w:t>
      </w:r>
    </w:p>
    <w:tbl>
      <w:tblPr>
        <w:tblW w:w="7219" w:type="dxa"/>
        <w:tblInd w:w="38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655"/>
        <w:gridCol w:w="1961"/>
        <w:gridCol w:w="1808"/>
        <w:gridCol w:w="179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6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b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ORF / Protein</w:t>
            </w:r>
          </w:p>
        </w:tc>
        <w:tc>
          <w:tcPr>
            <w:tcW w:w="19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b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ORF Length (aa)</w:t>
            </w:r>
          </w:p>
        </w:tc>
        <w:tc>
          <w:tcPr>
            <w:tcW w:w="180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b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HLA-A binders</w:t>
            </w:r>
          </w:p>
        </w:tc>
        <w:tc>
          <w:tcPr>
            <w:tcW w:w="17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b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HLA-B binders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6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ORF1ab</w:t>
            </w:r>
          </w:p>
        </w:tc>
        <w:tc>
          <w:tcPr>
            <w:tcW w:w="19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7,097</w:t>
            </w:r>
          </w:p>
        </w:tc>
        <w:tc>
          <w:tcPr>
            <w:tcW w:w="180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7,117</w:t>
            </w:r>
          </w:p>
        </w:tc>
        <w:tc>
          <w:tcPr>
            <w:tcW w:w="17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13,681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6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ORF3a</w:t>
            </w:r>
          </w:p>
        </w:tc>
        <w:tc>
          <w:tcPr>
            <w:tcW w:w="19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276</w:t>
            </w:r>
          </w:p>
        </w:tc>
        <w:tc>
          <w:tcPr>
            <w:tcW w:w="180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358</w:t>
            </w:r>
          </w:p>
        </w:tc>
        <w:tc>
          <w:tcPr>
            <w:tcW w:w="17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613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6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ORF6</w:t>
            </w:r>
          </w:p>
        </w:tc>
        <w:tc>
          <w:tcPr>
            <w:tcW w:w="19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62</w:t>
            </w:r>
          </w:p>
        </w:tc>
        <w:tc>
          <w:tcPr>
            <w:tcW w:w="180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41</w:t>
            </w:r>
          </w:p>
        </w:tc>
        <w:tc>
          <w:tcPr>
            <w:tcW w:w="17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96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6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ORF7a</w:t>
            </w:r>
          </w:p>
        </w:tc>
        <w:tc>
          <w:tcPr>
            <w:tcW w:w="19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122</w:t>
            </w:r>
          </w:p>
        </w:tc>
        <w:tc>
          <w:tcPr>
            <w:tcW w:w="180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125</w:t>
            </w:r>
          </w:p>
        </w:tc>
        <w:tc>
          <w:tcPr>
            <w:tcW w:w="17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259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6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ORF8</w:t>
            </w:r>
          </w:p>
        </w:tc>
        <w:tc>
          <w:tcPr>
            <w:tcW w:w="19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122</w:t>
            </w:r>
          </w:p>
        </w:tc>
        <w:tc>
          <w:tcPr>
            <w:tcW w:w="180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82</w:t>
            </w:r>
          </w:p>
        </w:tc>
        <w:tc>
          <w:tcPr>
            <w:tcW w:w="17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118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6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ORF10</w:t>
            </w:r>
          </w:p>
        </w:tc>
        <w:tc>
          <w:tcPr>
            <w:tcW w:w="19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39</w:t>
            </w:r>
          </w:p>
        </w:tc>
        <w:tc>
          <w:tcPr>
            <w:tcW w:w="180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75</w:t>
            </w:r>
          </w:p>
        </w:tc>
        <w:tc>
          <w:tcPr>
            <w:tcW w:w="17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193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6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S</w:t>
            </w:r>
          </w:p>
        </w:tc>
        <w:tc>
          <w:tcPr>
            <w:tcW w:w="19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1,274</w:t>
            </w:r>
          </w:p>
        </w:tc>
        <w:tc>
          <w:tcPr>
            <w:tcW w:w="180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985</w:t>
            </w:r>
          </w:p>
        </w:tc>
        <w:tc>
          <w:tcPr>
            <w:tcW w:w="17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2,202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6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E</w:t>
            </w:r>
          </w:p>
        </w:tc>
        <w:tc>
          <w:tcPr>
            <w:tcW w:w="19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76</w:t>
            </w:r>
          </w:p>
        </w:tc>
        <w:tc>
          <w:tcPr>
            <w:tcW w:w="180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99</w:t>
            </w:r>
          </w:p>
        </w:tc>
        <w:tc>
          <w:tcPr>
            <w:tcW w:w="17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70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6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M</w:t>
            </w:r>
          </w:p>
        </w:tc>
        <w:tc>
          <w:tcPr>
            <w:tcW w:w="19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223</w:t>
            </w:r>
          </w:p>
        </w:tc>
        <w:tc>
          <w:tcPr>
            <w:tcW w:w="180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376</w:t>
            </w:r>
          </w:p>
        </w:tc>
        <w:tc>
          <w:tcPr>
            <w:tcW w:w="17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511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6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N</w:t>
            </w:r>
          </w:p>
        </w:tc>
        <w:tc>
          <w:tcPr>
            <w:tcW w:w="19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420</w:t>
            </w:r>
          </w:p>
        </w:tc>
        <w:tc>
          <w:tcPr>
            <w:tcW w:w="180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183</w:t>
            </w:r>
          </w:p>
        </w:tc>
        <w:tc>
          <w:tcPr>
            <w:tcW w:w="17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  <w:jc w:val="both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4"/>
                <w:szCs w:val="24"/>
                <w:u w:val="none"/>
                <w:bdr w:val="none" w:color="auto" w:sz="0" w:space="0"/>
                <w:vertAlign w:val="baseline"/>
              </w:rPr>
              <w:t>431</w:t>
            </w:r>
          </w:p>
        </w:tc>
      </w:tr>
    </w:tbl>
    <w:p>
      <w:pPr>
        <w:spacing w:before="240"/>
      </w:pPr>
    </w:p>
    <w:p>
      <w:pP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</w:pP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br w:type="page"/>
      </w:r>
    </w:p>
    <w:p>
      <w:pPr>
        <w:pStyle w:val="17"/>
        <w:keepNext w:val="0"/>
        <w:keepLines w:val="0"/>
        <w:widowControl/>
        <w:suppressLineNumbers w:val="0"/>
        <w:bidi w:val="0"/>
        <w:spacing w:before="240" w:beforeAutospacing="0" w:after="240" w:afterAutospacing="0" w:line="15" w:lineRule="atLeast"/>
        <w:jc w:val="both"/>
      </w:pPr>
      <w:r>
        <w:rPr>
          <w:rFonts w:hint="default" w:ascii="Times New Roman" w:hAnsi="Times New Roman" w:cs="Times New Roman"/>
          <w:b/>
          <w:i w:val="0"/>
          <w:color w:val="000000"/>
          <w:sz w:val="24"/>
          <w:szCs w:val="24"/>
          <w:u w:val="none"/>
          <w:vertAlign w:val="baseline"/>
        </w:rPr>
        <w:t>Table S2.</w:t>
      </w:r>
      <w:r>
        <w:rPr>
          <w:rFonts w:hint="default" w:ascii="Times New Roman" w:hAnsi="Times New Roman" w:cs="Times New Roman"/>
          <w:i w:val="0"/>
          <w:color w:val="000000"/>
          <w:sz w:val="24"/>
          <w:szCs w:val="24"/>
          <w:u w:val="none"/>
          <w:vertAlign w:val="baseline"/>
        </w:rPr>
        <w:t xml:space="preserve"> Populational coverage calculated at IEDB considering the entire SARS-CoV-2 genome and the selected HLA-I alleles for each population.</w:t>
      </w:r>
    </w:p>
    <w:tbl>
      <w:tblPr>
        <w:tblW w:w="9415" w:type="dxa"/>
        <w:tblInd w:w="56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387"/>
        <w:gridCol w:w="1863"/>
        <w:gridCol w:w="3004"/>
        <w:gridCol w:w="316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b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Population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b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Projected population coverage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b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Average number of epitope / HLA combination recognized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b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Minimum number of epitope / HLA combination to cover 90%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ARM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99.73%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784.4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488.62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AUT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99.81%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749.99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459.55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BRA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766.87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468.83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BUL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99.71%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743.49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455.88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CHN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99.72%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775.93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484.06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COL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99.67%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752.26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457.89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CRO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99.74%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749.42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456.93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CZE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729.56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455.06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DEU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99.67%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732.99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450.09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ESP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99.68%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743.41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455.47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FRA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99.73%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733.18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454.8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GBR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99.68%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710.23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433.89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GHA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99.69%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729.79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462.04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GRE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99.75%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776.01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499.14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HOL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99.64%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710.07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433.51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INA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792.22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493.9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IRL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99.72%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713.19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444.79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ISR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99.67%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777.94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480.04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ITA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99.64%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758.61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472.21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JPN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99.73%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731.17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454.7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KOR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99.75%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731.67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451.64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MAL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99.75%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810.22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511.4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MAR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99.71%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754.12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462.75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MEX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99.62%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731.37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453.43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NZL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99.83%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737.53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459.88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OMA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99.71%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785.75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491.33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POL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99.65%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743.03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454.38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POR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99.74%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758.81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466.32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ROM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99.74%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770.64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485.84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RSA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767.5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477.66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RUS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99.73%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742.05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451.1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SEN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99.71%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758.3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470.48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SGP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99.64%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744.04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454.89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SWE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99.8%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713.67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435.94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THA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99.64%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783.36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485.25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TUN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99.72%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764.08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472.88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UAE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99.72%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752.75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473.2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USA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99.73%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736.27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455.05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Average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99.71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751.21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465.13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</w:tblPrEx>
        <w:trPr>
          <w:trHeight w:val="0" w:hRule="atLeast"/>
        </w:trPr>
        <w:tc>
          <w:tcPr>
            <w:tcW w:w="138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Standard deviation</w:t>
            </w:r>
          </w:p>
        </w:tc>
        <w:tc>
          <w:tcPr>
            <w:tcW w:w="18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0.05</w:t>
            </w:r>
          </w:p>
        </w:tc>
        <w:tc>
          <w:tcPr>
            <w:tcW w:w="300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23.72</w:t>
            </w:r>
          </w:p>
        </w:tc>
        <w:tc>
          <w:tcPr>
            <w:tcW w:w="316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pStyle w:val="17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5" w:lineRule="atLeast"/>
            </w:pPr>
            <w:r>
              <w:rPr>
                <w:rFonts w:hint="default" w:ascii="Times New Roman" w:hAnsi="Times New Roman" w:cs="Times New Roman"/>
                <w:i w:val="0"/>
                <w:color w:val="000000"/>
                <w:sz w:val="20"/>
                <w:szCs w:val="20"/>
                <w:u w:val="none"/>
                <w:bdr w:val="none" w:color="auto" w:sz="0" w:space="0"/>
                <w:vertAlign w:val="baseline"/>
              </w:rPr>
              <w:t>17.88</w:t>
            </w:r>
          </w:p>
        </w:tc>
      </w:tr>
    </w:tbl>
    <w:p>
      <w:pPr>
        <w:spacing w:before="240"/>
      </w:pPr>
    </w:p>
    <w:sectPr>
      <w:headerReference r:id="rId4" w:type="first"/>
      <w:footerReference r:id="rId5" w:type="default"/>
      <w:headerReference r:id="rId3" w:type="even"/>
      <w:footerReference r:id="rId6" w:type="even"/>
      <w:pgSz w:w="12240" w:h="15840"/>
      <w:pgMar w:top="1138" w:right="1181" w:bottom="1138" w:left="1282" w:header="720" w:footer="72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altName w:val="WenQuanYi Micro 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Abyssinica SIL"/>
    <w:panose1 w:val="05000000000000000000"/>
    <w:charset w:val="00"/>
    <w:family w:val="auto"/>
    <w:pitch w:val="default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default"/>
    <w:sig w:usb0="00007A87" w:usb1="80000000" w:usb2="00000008" w:usb3="00000000" w:csb0="400001FF" w:csb1="FFFF0000"/>
  </w:font>
  <w:font w:name="黑体">
    <w:altName w:val="WenQuanYi Micro Hei"/>
    <w:panose1 w:val="02010600030101010101"/>
    <w:charset w:val="00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00007A87" w:usb1="80000000" w:usb2="00000008" w:usb3="00000000" w:csb0="400001FF" w:csb1="FFFF0000"/>
  </w:font>
  <w:font w:name="Calibri">
    <w:altName w:val="Arial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imSun">
    <w:altName w:val="WenQuanYi Micro 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alibri">
    <w:altName w:val="Arial"/>
    <w:panose1 w:val="020F0502020204030204"/>
    <w:charset w:val="86"/>
    <w:family w:val="swiss"/>
    <w:pitch w:val="default"/>
    <w:sig w:usb0="00000000" w:usb1="00000000" w:usb2="00000001" w:usb3="00000000" w:csb0="0000019F" w:csb1="00000000"/>
  </w:font>
  <w:font w:name="SimSun">
    <w:altName w:val="WenQuanYi Micro Hei"/>
    <w:panose1 w:val="02010600030101010101"/>
    <w:charset w:val="86"/>
    <w:family w:val="auto"/>
    <w:pitch w:val="default"/>
    <w:sig w:usb0="00000000" w:usb1="00000000" w:usb2="00000010" w:usb3="00000000" w:csb0="00040001" w:csb1="00000000"/>
  </w:font>
  <w:font w:name="Symbol">
    <w:altName w:val="Webdings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altName w:val="Caladea"/>
    <w:panose1 w:val="02040503050406030204"/>
    <w:charset w:val="00"/>
    <w:family w:val="roman"/>
    <w:pitch w:val="default"/>
    <w:sig w:usb0="00000000" w:usb1="00000000" w:usb2="02000000" w:usb3="00000000" w:csb0="0000019F" w:csb1="00000000"/>
  </w:font>
  <w:font w:name="Tahoma">
    <w:altName w:val="Verdana"/>
    <w:panose1 w:val="020B0604030504040204"/>
    <w:charset w:val="00"/>
    <w:family w:val="swiss"/>
    <w:pitch w:val="default"/>
    <w:sig w:usb0="00000000" w:usb1="00000000" w:usb2="00000029" w:usb3="00000000" w:csb0="000101FF" w:csb1="00000000"/>
  </w:font>
  <w:font w:name="WenQuanYi Micro Hei">
    <w:panose1 w:val="020B0606030804020204"/>
    <w:charset w:val="86"/>
    <w:family w:val="auto"/>
    <w:pitch w:val="default"/>
    <w:sig w:usb0="E10002EF" w:usb1="6BDFFCFB" w:usb2="00800036" w:usb3="00000000" w:csb0="603E019F" w:csb1="DFD70000"/>
  </w:font>
  <w:font w:name="DejaVa Sans">
    <w:altName w:val="Amiri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miri">
    <w:panose1 w:val="00000500000000000000"/>
    <w:charset w:val="00"/>
    <w:family w:val="auto"/>
    <w:pitch w:val="default"/>
    <w:sig w:usb0="A000206F" w:usb1="82002042" w:usb2="00000008" w:usb3="00000000" w:csb0="000000D3" w:csb1="00080000"/>
  </w:font>
  <w:font w:name="Verdana">
    <w:panose1 w:val="020B0604030504040204"/>
    <w:charset w:val="00"/>
    <w:family w:val="auto"/>
    <w:pitch w:val="default"/>
    <w:sig w:usb0="00000287" w:usb1="00000000" w:usb2="00000000" w:usb3="00000000" w:csb0="2000019F" w:csb1="00000000"/>
  </w:font>
  <w:font w:name="Caladea">
    <w:panose1 w:val="02040503050406030204"/>
    <w:charset w:val="00"/>
    <w:family w:val="auto"/>
    <w:pitch w:val="default"/>
    <w:sig w:usb0="00000007" w:usb1="00000000" w:usb2="00000000" w:usb3="00000000" w:csb0="20000093" w:csb1="00000000"/>
  </w:font>
  <w:font w:name="Webdings">
    <w:panose1 w:val="05030102010509060703"/>
    <w:charset w:val="00"/>
    <w:family w:val="auto"/>
    <w:pitch w:val="default"/>
    <w:sig w:usb0="00000000" w:usb1="00000000" w:usb2="00000000" w:usb3="00000000" w:csb0="80000000" w:csb1="00000000"/>
  </w:font>
  <w:font w:name="Abyssinica SIL">
    <w:panose1 w:val="02000603020000020004"/>
    <w:charset w:val="00"/>
    <w:family w:val="auto"/>
    <w:pitch w:val="default"/>
    <w:sig w:usb0="800000EF" w:usb1="5000A04B" w:usb2="00000828" w:usb3="00000000" w:csb0="2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b/>
        <w:sz w:val="20"/>
        <w:szCs w:val="24"/>
      </w:rPr>
    </w:pPr>
    <w:r>
      <w:rPr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jc w:val="right"/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>3</w:t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0pt;margin-top:0pt;height:31.15pt;width:118.8pt;mso-position-horizontal-relative:page;mso-position-vertical-relative:page;z-index:251646976;mso-width-relative:page;mso-height-relative:page;" filled="f" stroked="f" coordsize="21600,21600" o:gfxdata="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FgAAAGRycy9QSwECFAAUAAAACACHTuJA&#10;TFdEItIAAAAEAQAADwAAAAAAAAABACAAAAA4AAAAZHJzL2Rvd25yZXYueG1sUEsBAhQAFAAAAAgA&#10;h07iQFy56YYVAgAAJwQAAA4AAAAAAAAAAQAgAAAAN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>
                    <w:pPr>
                      <w:jc w:val="right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3</w: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C00000"/>
        <w:szCs w:val="24"/>
      </w:rPr>
    </w:pPr>
    <w:r>
      <w:rPr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jc w:val="right"/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>2</w:t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434.15pt;margin-top:724.2pt;height:31.15pt;width:118.8pt;mso-position-horizontal-relative:page;mso-position-vertical-relative:page;z-index:251659264;mso-width-relative:page;mso-height-relative:page;" filled="f" stroked="f" coordsize="21600,21600" o:gfxdata="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FgAAAGRycy9QSwECFAAUAAAACACHTuJA&#10;TFdEItIAAAAEAQAADwAAAAAAAAABACAAAAA4AAAAZHJzL2Rvd25yZXYueG1sUEsBAhQAFAAAAAgA&#10;h07iQJJ3p+cVAgAAJQQAAA4AAAAAAAAAAQAgAAAAN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>
                    <w:pPr>
                      <w:jc w:val="right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2</w: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rFonts w:cs="Times New Roman"/>
      </w:rPr>
    </w:pPr>
    <w:r>
      <w:rPr>
        <w:rFonts w:cs="Times New Roman"/>
      </w:rPr>
      <w:ptab w:relativeTo="margin" w:alignment="center" w:leader="none"/>
    </w:r>
    <w:r>
      <w:rPr>
        <w:rFonts w:cs="Times New Roman"/>
      </w:rPr>
      <w:ptab w:relativeTo="margin" w:alignment="right" w:leader="none"/>
    </w:r>
    <w:r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rPr>
        <w:b/>
        <w:color w:val="A6A6A6" w:themeColor="background1" w:themeShade="A6"/>
        <w:lang w:val="en-GB" w:eastAsia="en-GB"/>
      </w:rPr>
      <w:drawing>
        <wp:inline distT="0" distB="0" distL="0" distR="0">
          <wp:extent cx="1382395" cy="496570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C0601A"/>
    <w:multiLevelType w:val="multilevel"/>
    <w:tmpl w:val="1EC0601A"/>
    <w:lvl w:ilvl="0" w:tentative="0">
      <w:start w:val="1"/>
      <w:numFmt w:val="decimal"/>
      <w:pStyle w:val="2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 w:tentative="0">
      <w:start w:val="1"/>
      <w:numFmt w:val="decimal"/>
      <w:pStyle w:val="4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 w:tentative="0">
      <w:start w:val="1"/>
      <w:numFmt w:val="decimal"/>
      <w:pStyle w:val="5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 w:tentative="0">
      <w:start w:val="1"/>
      <w:numFmt w:val="decimal"/>
      <w:pStyle w:val="6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 w:tentative="0">
      <w:start w:val="1"/>
      <w:numFmt w:val="decimal"/>
      <w:pStyle w:val="7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 w:tentative="0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 w:tentative="0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 w:tentative="0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>
    <w:nsid w:val="225305B5"/>
    <w:multiLevelType w:val="multilevel"/>
    <w:tmpl w:val="225305B5"/>
    <w:lvl w:ilvl="0" w:tentative="0">
      <w:start w:val="1"/>
      <w:numFmt w:val="bullet"/>
      <w:pStyle w:val="3"/>
      <w:lvlText w:val=""/>
      <w:lvlJc w:val="left"/>
      <w:pPr>
        <w:ind w:left="144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0"/>
  <w:bordersDoNotSurroundFooter w:val="0"/>
  <w:attachedTemplate r:id="rId1"/>
  <w:documentProtection w:enforcement="0"/>
  <w:defaultTabStop w:val="720"/>
  <w:evenAndOddHeaders w:val="1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D2F2D"/>
    <w:rsid w:val="00401590"/>
    <w:rsid w:val="00447801"/>
    <w:rsid w:val="00452E9C"/>
    <w:rsid w:val="004735C8"/>
    <w:rsid w:val="004947A6"/>
    <w:rsid w:val="004961FF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17DD6"/>
    <w:rsid w:val="0083759F"/>
    <w:rsid w:val="00885156"/>
    <w:rsid w:val="009151AA"/>
    <w:rsid w:val="0093429D"/>
    <w:rsid w:val="00943573"/>
    <w:rsid w:val="00964134"/>
    <w:rsid w:val="00970F7D"/>
    <w:rsid w:val="00994A3D"/>
    <w:rsid w:val="009C2B12"/>
    <w:rsid w:val="00A174D9"/>
    <w:rsid w:val="00AA4D24"/>
    <w:rsid w:val="00AB6715"/>
    <w:rsid w:val="00B1671E"/>
    <w:rsid w:val="00B25EB8"/>
    <w:rsid w:val="00B37F4D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  <w:rsid w:val="57DE2093"/>
    <w:rsid w:val="7DEF1C94"/>
    <w:rsid w:val="7FDDF22B"/>
    <w:rsid w:val="EBD71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SimSun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2" w:semiHidden="0" w:name="heading 1"/>
    <w:lsdException w:qFormat="1" w:unhideWhenUsed="0" w:uiPriority="2" w:semiHidden="0" w:name="heading 2"/>
    <w:lsdException w:qFormat="1" w:unhideWhenUsed="0" w:uiPriority="2" w:semiHidden="0" w:name="heading 3"/>
    <w:lsdException w:qFormat="1" w:unhideWhenUsed="0" w:uiPriority="2" w:semiHidden="0" w:name="heading 4"/>
    <w:lsdException w:qFormat="1" w:unhideWhenUsed="0" w:uiPriority="2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99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iPriority="99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" w:semiHidden="0" w:name="List Paragraph"/>
    <w:lsdException w:qFormat="1" w:unhideWhenUsed="0" w:uiPriority="29" w:semiHidden="0" w:name="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before="120" w:after="240" w:line="240" w:lineRule="auto"/>
    </w:pPr>
    <w:rPr>
      <w:rFonts w:ascii="Times New Roman" w:hAnsi="Times New Roman" w:eastAsiaTheme="minorHAnsi" w:cstheme="minorBidi"/>
      <w:sz w:val="24"/>
      <w:szCs w:val="22"/>
      <w:lang w:val="en-US" w:eastAsia="en-US" w:bidi="ar-SA"/>
    </w:rPr>
  </w:style>
  <w:style w:type="paragraph" w:styleId="2">
    <w:name w:val="heading 1"/>
    <w:basedOn w:val="3"/>
    <w:next w:val="1"/>
    <w:link w:val="31"/>
    <w:qFormat/>
    <w:uiPriority w:val="2"/>
    <w:pPr>
      <w:numPr>
        <w:ilvl w:val="0"/>
        <w:numId w:val="1"/>
      </w:numPr>
      <w:spacing w:before="240"/>
      <w:contextualSpacing w:val="0"/>
      <w:outlineLvl w:val="0"/>
    </w:pPr>
    <w:rPr>
      <w:b/>
    </w:rPr>
  </w:style>
  <w:style w:type="paragraph" w:styleId="4">
    <w:name w:val="heading 2"/>
    <w:basedOn w:val="2"/>
    <w:next w:val="1"/>
    <w:link w:val="32"/>
    <w:qFormat/>
    <w:uiPriority w:val="2"/>
    <w:pPr>
      <w:numPr>
        <w:ilvl w:val="1"/>
      </w:numPr>
      <w:spacing w:after="200"/>
      <w:outlineLvl w:val="1"/>
    </w:pPr>
  </w:style>
  <w:style w:type="paragraph" w:styleId="5">
    <w:name w:val="heading 3"/>
    <w:basedOn w:val="1"/>
    <w:next w:val="1"/>
    <w:link w:val="45"/>
    <w:qFormat/>
    <w:uiPriority w:val="2"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6">
    <w:name w:val="heading 4"/>
    <w:basedOn w:val="5"/>
    <w:next w:val="1"/>
    <w:link w:val="46"/>
    <w:qFormat/>
    <w:uiPriority w:val="2"/>
    <w:pPr>
      <w:numPr>
        <w:ilvl w:val="3"/>
      </w:numPr>
      <w:outlineLvl w:val="3"/>
    </w:pPr>
    <w:rPr>
      <w:iCs/>
    </w:rPr>
  </w:style>
  <w:style w:type="paragraph" w:styleId="7">
    <w:name w:val="heading 5"/>
    <w:basedOn w:val="6"/>
    <w:next w:val="1"/>
    <w:link w:val="47"/>
    <w:qFormat/>
    <w:uiPriority w:val="2"/>
    <w:pPr>
      <w:numPr>
        <w:ilvl w:val="4"/>
      </w:numPr>
      <w:outlineLvl w:val="4"/>
    </w:pPr>
  </w:style>
  <w:style w:type="character" w:default="1" w:styleId="20">
    <w:name w:val="Default Paragraph Font"/>
    <w:semiHidden/>
    <w:unhideWhenUsed/>
    <w:uiPriority w:val="1"/>
  </w:style>
  <w:style w:type="table" w:default="1" w:styleId="29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List Paragraph"/>
    <w:basedOn w:val="1"/>
    <w:qFormat/>
    <w:uiPriority w:val="3"/>
    <w:pPr>
      <w:numPr>
        <w:ilvl w:val="0"/>
        <w:numId w:val="2"/>
      </w:numPr>
      <w:contextualSpacing/>
    </w:pPr>
    <w:rPr>
      <w:rFonts w:eastAsia="Cambria" w:cs="Times New Roman"/>
      <w:szCs w:val="24"/>
    </w:rPr>
  </w:style>
  <w:style w:type="paragraph" w:styleId="8">
    <w:name w:val="Balloon Text"/>
    <w:basedOn w:val="1"/>
    <w:link w:val="35"/>
    <w:semiHidden/>
    <w:unhideWhenUsed/>
    <w:uiPriority w:val="99"/>
    <w:pPr>
      <w:spacing w:after="0"/>
    </w:pPr>
    <w:rPr>
      <w:rFonts w:ascii="Tahoma" w:hAnsi="Tahoma" w:cs="Tahoma"/>
      <w:sz w:val="16"/>
      <w:szCs w:val="16"/>
    </w:rPr>
  </w:style>
  <w:style w:type="paragraph" w:styleId="9">
    <w:name w:val="caption"/>
    <w:basedOn w:val="1"/>
    <w:next w:val="10"/>
    <w:unhideWhenUsed/>
    <w:qFormat/>
    <w:uiPriority w:val="35"/>
    <w:pPr>
      <w:keepNext/>
    </w:pPr>
    <w:rPr>
      <w:rFonts w:cs="Times New Roman"/>
      <w:b/>
      <w:bCs/>
      <w:szCs w:val="24"/>
    </w:rPr>
  </w:style>
  <w:style w:type="paragraph" w:styleId="10">
    <w:name w:val="No Spacing"/>
    <w:unhideWhenUsed/>
    <w:qFormat/>
    <w:uiPriority w:val="99"/>
    <w:pPr>
      <w:spacing w:after="0" w:line="240" w:lineRule="auto"/>
    </w:pPr>
    <w:rPr>
      <w:rFonts w:ascii="Times New Roman" w:hAnsi="Times New Roman" w:eastAsiaTheme="minorHAnsi" w:cstheme="minorBidi"/>
      <w:sz w:val="24"/>
      <w:szCs w:val="22"/>
      <w:lang w:val="en-US" w:eastAsia="en-US" w:bidi="ar-SA"/>
    </w:rPr>
  </w:style>
  <w:style w:type="paragraph" w:styleId="11">
    <w:name w:val="annotation text"/>
    <w:basedOn w:val="1"/>
    <w:link w:val="37"/>
    <w:semiHidden/>
    <w:unhideWhenUsed/>
    <w:uiPriority w:val="99"/>
    <w:rPr>
      <w:sz w:val="20"/>
      <w:szCs w:val="20"/>
    </w:rPr>
  </w:style>
  <w:style w:type="paragraph" w:styleId="12">
    <w:name w:val="annotation subject"/>
    <w:basedOn w:val="11"/>
    <w:next w:val="11"/>
    <w:link w:val="38"/>
    <w:semiHidden/>
    <w:unhideWhenUsed/>
    <w:uiPriority w:val="99"/>
    <w:rPr>
      <w:b/>
      <w:bCs/>
    </w:rPr>
  </w:style>
  <w:style w:type="paragraph" w:styleId="13">
    <w:name w:val="endnote text"/>
    <w:basedOn w:val="1"/>
    <w:link w:val="39"/>
    <w:semiHidden/>
    <w:unhideWhenUsed/>
    <w:uiPriority w:val="99"/>
    <w:pPr>
      <w:spacing w:after="0"/>
    </w:pPr>
    <w:rPr>
      <w:sz w:val="20"/>
      <w:szCs w:val="20"/>
    </w:rPr>
  </w:style>
  <w:style w:type="paragraph" w:styleId="14">
    <w:name w:val="footer"/>
    <w:basedOn w:val="1"/>
    <w:link w:val="40"/>
    <w:unhideWhenUsed/>
    <w:uiPriority w:val="99"/>
    <w:pPr>
      <w:tabs>
        <w:tab w:val="center" w:pos="4844"/>
        <w:tab w:val="right" w:pos="9689"/>
      </w:tabs>
      <w:spacing w:after="0"/>
    </w:pPr>
  </w:style>
  <w:style w:type="paragraph" w:styleId="15">
    <w:name w:val="footnote text"/>
    <w:basedOn w:val="1"/>
    <w:link w:val="41"/>
    <w:semiHidden/>
    <w:unhideWhenUsed/>
    <w:uiPriority w:val="99"/>
    <w:pPr>
      <w:spacing w:after="0"/>
    </w:pPr>
    <w:rPr>
      <w:sz w:val="20"/>
      <w:szCs w:val="20"/>
    </w:rPr>
  </w:style>
  <w:style w:type="paragraph" w:styleId="16">
    <w:name w:val="header"/>
    <w:basedOn w:val="1"/>
    <w:link w:val="42"/>
    <w:unhideWhenUsed/>
    <w:uiPriority w:val="99"/>
    <w:pPr>
      <w:tabs>
        <w:tab w:val="center" w:pos="4844"/>
        <w:tab w:val="right" w:pos="9689"/>
      </w:tabs>
    </w:pPr>
    <w:rPr>
      <w:b/>
    </w:rPr>
  </w:style>
  <w:style w:type="paragraph" w:styleId="17">
    <w:name w:val="Normal (Web)"/>
    <w:basedOn w:val="1"/>
    <w:unhideWhenUsed/>
    <w:uiPriority w:val="99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18">
    <w:name w:val="Subtitle"/>
    <w:basedOn w:val="1"/>
    <w:next w:val="1"/>
    <w:link w:val="33"/>
    <w:unhideWhenUsed/>
    <w:qFormat/>
    <w:uiPriority w:val="99"/>
    <w:pPr>
      <w:spacing w:before="240"/>
    </w:pPr>
    <w:rPr>
      <w:rFonts w:cs="Times New Roman"/>
      <w:b/>
      <w:szCs w:val="24"/>
    </w:rPr>
  </w:style>
  <w:style w:type="paragraph" w:styleId="19">
    <w:name w:val="Title"/>
    <w:basedOn w:val="1"/>
    <w:next w:val="1"/>
    <w:link w:val="51"/>
    <w:qFormat/>
    <w:uiPriority w:val="0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styleId="21">
    <w:name w:val="annotation reference"/>
    <w:basedOn w:val="20"/>
    <w:semiHidden/>
    <w:unhideWhenUsed/>
    <w:uiPriority w:val="99"/>
    <w:rPr>
      <w:sz w:val="16"/>
      <w:szCs w:val="16"/>
    </w:rPr>
  </w:style>
  <w:style w:type="character" w:styleId="22">
    <w:name w:val="Emphasis"/>
    <w:basedOn w:val="20"/>
    <w:qFormat/>
    <w:uiPriority w:val="20"/>
    <w:rPr>
      <w:rFonts w:ascii="Times New Roman" w:hAnsi="Times New Roman"/>
      <w:i/>
      <w:iCs/>
    </w:rPr>
  </w:style>
  <w:style w:type="character" w:styleId="23">
    <w:name w:val="endnote reference"/>
    <w:basedOn w:val="20"/>
    <w:semiHidden/>
    <w:unhideWhenUsed/>
    <w:uiPriority w:val="99"/>
    <w:rPr>
      <w:vertAlign w:val="superscript"/>
    </w:rPr>
  </w:style>
  <w:style w:type="character" w:styleId="24">
    <w:name w:val="FollowedHyperlink"/>
    <w:basedOn w:val="20"/>
    <w:semiHidden/>
    <w:unhideWhenUsed/>
    <w:uiPriority w:val="99"/>
    <w:rPr>
      <w:color w:val="800080" w:themeColor="followedHyperlink"/>
      <w:u w:val="single"/>
      <w14:textFill>
        <w14:solidFill>
          <w14:schemeClr w14:val="folHlink"/>
        </w14:solidFill>
      </w14:textFill>
    </w:rPr>
  </w:style>
  <w:style w:type="character" w:styleId="25">
    <w:name w:val="footnote reference"/>
    <w:basedOn w:val="20"/>
    <w:semiHidden/>
    <w:unhideWhenUsed/>
    <w:uiPriority w:val="99"/>
    <w:rPr>
      <w:vertAlign w:val="superscript"/>
    </w:rPr>
  </w:style>
  <w:style w:type="character" w:styleId="26">
    <w:name w:val="Hyperlink"/>
    <w:basedOn w:val="20"/>
    <w:unhideWhenUsed/>
    <w:uiPriority w:val="99"/>
    <w:rPr>
      <w:color w:val="0000FF"/>
      <w:u w:val="single"/>
    </w:rPr>
  </w:style>
  <w:style w:type="character" w:styleId="27">
    <w:name w:val="line number"/>
    <w:basedOn w:val="20"/>
    <w:semiHidden/>
    <w:unhideWhenUsed/>
    <w:uiPriority w:val="99"/>
  </w:style>
  <w:style w:type="character" w:styleId="28">
    <w:name w:val="Strong"/>
    <w:basedOn w:val="20"/>
    <w:qFormat/>
    <w:uiPriority w:val="22"/>
    <w:rPr>
      <w:rFonts w:ascii="Times New Roman" w:hAnsi="Times New Roman"/>
      <w:b/>
      <w:bCs/>
    </w:rPr>
  </w:style>
  <w:style w:type="table" w:styleId="30">
    <w:name w:val="Table Grid"/>
    <w:basedOn w:val="29"/>
    <w:uiPriority w:val="59"/>
    <w:pPr>
      <w:spacing w:after="0" w:line="240" w:lineRule="auto"/>
    </w:pPr>
    <w:rPr>
      <w:rFonts w:asciiTheme="majorHAnsi" w:hAnsiTheme="majorHAnsi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customStyle="1" w:styleId="31">
    <w:name w:val="Heading 1 Char"/>
    <w:basedOn w:val="20"/>
    <w:link w:val="2"/>
    <w:uiPriority w:val="2"/>
    <w:rPr>
      <w:rFonts w:ascii="Times New Roman" w:hAnsi="Times New Roman" w:eastAsia="Cambria" w:cs="Times New Roman"/>
      <w:b/>
      <w:sz w:val="24"/>
      <w:szCs w:val="24"/>
    </w:rPr>
  </w:style>
  <w:style w:type="character" w:customStyle="1" w:styleId="32">
    <w:name w:val="Heading 2 Char"/>
    <w:basedOn w:val="20"/>
    <w:link w:val="4"/>
    <w:uiPriority w:val="2"/>
    <w:rPr>
      <w:rFonts w:ascii="Times New Roman" w:hAnsi="Times New Roman" w:eastAsia="Cambria" w:cs="Times New Roman"/>
      <w:b/>
      <w:sz w:val="24"/>
      <w:szCs w:val="24"/>
    </w:rPr>
  </w:style>
  <w:style w:type="character" w:customStyle="1" w:styleId="33">
    <w:name w:val="Subtitle Char"/>
    <w:basedOn w:val="20"/>
    <w:link w:val="18"/>
    <w:uiPriority w:val="99"/>
    <w:rPr>
      <w:rFonts w:ascii="Times New Roman" w:hAnsi="Times New Roman" w:cs="Times New Roman"/>
      <w:b/>
      <w:sz w:val="24"/>
      <w:szCs w:val="24"/>
    </w:rPr>
  </w:style>
  <w:style w:type="paragraph" w:customStyle="1" w:styleId="34">
    <w:name w:val="Author List"/>
    <w:basedOn w:val="18"/>
    <w:next w:val="1"/>
    <w:qFormat/>
    <w:uiPriority w:val="1"/>
  </w:style>
  <w:style w:type="character" w:customStyle="1" w:styleId="35">
    <w:name w:val="Balloon Text Char"/>
    <w:basedOn w:val="20"/>
    <w:link w:val="8"/>
    <w:semiHidden/>
    <w:uiPriority w:val="99"/>
    <w:rPr>
      <w:rFonts w:ascii="Tahoma" w:hAnsi="Tahoma" w:cs="Tahoma"/>
      <w:sz w:val="16"/>
      <w:szCs w:val="16"/>
    </w:rPr>
  </w:style>
  <w:style w:type="character" w:customStyle="1" w:styleId="36">
    <w:name w:val="Book Title"/>
    <w:basedOn w:val="20"/>
    <w:qFormat/>
    <w:uiPriority w:val="33"/>
    <w:rPr>
      <w:rFonts w:ascii="Times New Roman" w:hAnsi="Times New Roman"/>
      <w:b/>
      <w:bCs/>
      <w:i/>
      <w:iCs/>
      <w:spacing w:val="5"/>
    </w:rPr>
  </w:style>
  <w:style w:type="character" w:customStyle="1" w:styleId="37">
    <w:name w:val="Comment Text Char"/>
    <w:basedOn w:val="20"/>
    <w:link w:val="11"/>
    <w:semiHidden/>
    <w:uiPriority w:val="99"/>
    <w:rPr>
      <w:rFonts w:ascii="Times New Roman" w:hAnsi="Times New Roman"/>
      <w:sz w:val="20"/>
      <w:szCs w:val="20"/>
    </w:rPr>
  </w:style>
  <w:style w:type="character" w:customStyle="1" w:styleId="38">
    <w:name w:val="Comment Subject Char"/>
    <w:basedOn w:val="37"/>
    <w:link w:val="12"/>
    <w:semiHidden/>
    <w:uiPriority w:val="99"/>
    <w:rPr>
      <w:rFonts w:ascii="Times New Roman" w:hAnsi="Times New Roman"/>
      <w:b/>
      <w:bCs/>
      <w:sz w:val="20"/>
      <w:szCs w:val="20"/>
    </w:rPr>
  </w:style>
  <w:style w:type="character" w:customStyle="1" w:styleId="39">
    <w:name w:val="Endnote Text Char"/>
    <w:basedOn w:val="20"/>
    <w:link w:val="13"/>
    <w:semiHidden/>
    <w:uiPriority w:val="99"/>
    <w:rPr>
      <w:rFonts w:ascii="Times New Roman" w:hAnsi="Times New Roman"/>
      <w:sz w:val="20"/>
      <w:szCs w:val="20"/>
    </w:rPr>
  </w:style>
  <w:style w:type="character" w:customStyle="1" w:styleId="40">
    <w:name w:val="Footer Char"/>
    <w:basedOn w:val="20"/>
    <w:link w:val="14"/>
    <w:uiPriority w:val="99"/>
    <w:rPr>
      <w:rFonts w:ascii="Times New Roman" w:hAnsi="Times New Roman"/>
      <w:sz w:val="24"/>
    </w:rPr>
  </w:style>
  <w:style w:type="character" w:customStyle="1" w:styleId="41">
    <w:name w:val="Footnote Text Char"/>
    <w:basedOn w:val="20"/>
    <w:link w:val="15"/>
    <w:semiHidden/>
    <w:uiPriority w:val="99"/>
    <w:rPr>
      <w:rFonts w:ascii="Times New Roman" w:hAnsi="Times New Roman"/>
      <w:sz w:val="20"/>
      <w:szCs w:val="20"/>
    </w:rPr>
  </w:style>
  <w:style w:type="character" w:customStyle="1" w:styleId="42">
    <w:name w:val="Header Char"/>
    <w:basedOn w:val="20"/>
    <w:link w:val="16"/>
    <w:uiPriority w:val="99"/>
    <w:rPr>
      <w:rFonts w:ascii="Times New Roman" w:hAnsi="Times New Roman"/>
      <w:b/>
      <w:sz w:val="24"/>
    </w:rPr>
  </w:style>
  <w:style w:type="character" w:customStyle="1" w:styleId="43">
    <w:name w:val="Intense Emphasis"/>
    <w:basedOn w:val="20"/>
    <w:unhideWhenUsed/>
    <w:uiPriority w:val="21"/>
    <w:rPr>
      <w:rFonts w:ascii="Times New Roman" w:hAnsi="Times New Roman"/>
      <w:i/>
      <w:iCs/>
      <w:color w:val="auto"/>
    </w:rPr>
  </w:style>
  <w:style w:type="character" w:customStyle="1" w:styleId="44">
    <w:name w:val="Intense Reference"/>
    <w:basedOn w:val="20"/>
    <w:qFormat/>
    <w:uiPriority w:val="32"/>
    <w:rPr>
      <w:b/>
      <w:bCs/>
      <w:smallCaps/>
      <w:color w:val="auto"/>
      <w:spacing w:val="5"/>
    </w:rPr>
  </w:style>
  <w:style w:type="character" w:customStyle="1" w:styleId="45">
    <w:name w:val="Heading 3 Char"/>
    <w:basedOn w:val="20"/>
    <w:link w:val="5"/>
    <w:uiPriority w:val="2"/>
    <w:rPr>
      <w:rFonts w:ascii="Times New Roman" w:hAnsi="Times New Roman" w:eastAsiaTheme="majorEastAsia" w:cstheme="majorBidi"/>
      <w:b/>
      <w:sz w:val="24"/>
      <w:szCs w:val="24"/>
    </w:rPr>
  </w:style>
  <w:style w:type="character" w:customStyle="1" w:styleId="46">
    <w:name w:val="Heading 4 Char"/>
    <w:basedOn w:val="20"/>
    <w:link w:val="6"/>
    <w:uiPriority w:val="2"/>
    <w:rPr>
      <w:rFonts w:ascii="Times New Roman" w:hAnsi="Times New Roman" w:eastAsiaTheme="majorEastAsia" w:cstheme="majorBidi"/>
      <w:b/>
      <w:iCs/>
      <w:sz w:val="24"/>
      <w:szCs w:val="24"/>
    </w:rPr>
  </w:style>
  <w:style w:type="character" w:customStyle="1" w:styleId="47">
    <w:name w:val="Heading 5 Char"/>
    <w:basedOn w:val="20"/>
    <w:link w:val="7"/>
    <w:uiPriority w:val="2"/>
    <w:rPr>
      <w:rFonts w:ascii="Times New Roman" w:hAnsi="Times New Roman" w:eastAsiaTheme="majorEastAsia" w:cstheme="majorBidi"/>
      <w:b/>
      <w:iCs/>
      <w:sz w:val="24"/>
      <w:szCs w:val="24"/>
    </w:rPr>
  </w:style>
  <w:style w:type="paragraph" w:styleId="48">
    <w:name w:val="Quote"/>
    <w:basedOn w:val="1"/>
    <w:next w:val="1"/>
    <w:link w:val="49"/>
    <w:qFormat/>
    <w:uiPriority w:val="29"/>
    <w:pPr>
      <w:spacing w:before="200" w:after="160"/>
      <w:ind w:left="864" w:right="864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49">
    <w:name w:val="Quote Char"/>
    <w:basedOn w:val="20"/>
    <w:link w:val="48"/>
    <w:uiPriority w:val="29"/>
    <w:rPr>
      <w:rFonts w:ascii="Times New Roman" w:hAnsi="Times New Roman"/>
      <w:i/>
      <w:iCs/>
      <w:color w:val="404040" w:themeColor="text1" w:themeTint="BF"/>
      <w:sz w:val="24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0">
    <w:name w:val="Subtle Emphasis"/>
    <w:basedOn w:val="20"/>
    <w:qFormat/>
    <w:uiPriority w:val="19"/>
    <w:rPr>
      <w:rFonts w:ascii="Times New Roman" w:hAnsi="Times New Roman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1">
    <w:name w:val="Title Char"/>
    <w:basedOn w:val="20"/>
    <w:link w:val="19"/>
    <w:uiPriority w:val="0"/>
    <w:rPr>
      <w:rFonts w:ascii="Times New Roman" w:hAnsi="Times New Roman" w:cs="Times New Roman"/>
      <w:b/>
      <w:sz w:val="32"/>
      <w:szCs w:val="32"/>
    </w:rPr>
  </w:style>
  <w:style w:type="paragraph" w:customStyle="1" w:styleId="52">
    <w:name w:val="Supplementary Material"/>
    <w:basedOn w:val="19"/>
    <w:next w:val="19"/>
    <w:qFormat/>
    <w:uiPriority w:val="0"/>
    <w:pPr>
      <w:spacing w:after="120"/>
    </w:pPr>
    <w:rPr>
      <w:i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f"/><Relationship Id="rId8" Type="http://schemas.openxmlformats.org/officeDocument/2006/relationships/image" Target="media/image1.tiff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2.tiff"/><Relationship Id="rId18" Type="http://schemas.openxmlformats.org/officeDocument/2006/relationships/image" Target="media/image11.tiff"/><Relationship Id="rId17" Type="http://schemas.openxmlformats.org/officeDocument/2006/relationships/image" Target="media/image10.tiff"/><Relationship Id="rId16" Type="http://schemas.openxmlformats.org/officeDocument/2006/relationships/image" Target="media/image9.tiff"/><Relationship Id="rId15" Type="http://schemas.openxmlformats.org/officeDocument/2006/relationships/image" Target="media/image8.tiff"/><Relationship Id="rId14" Type="http://schemas.openxmlformats.org/officeDocument/2006/relationships/image" Target="media/image7.tiff"/><Relationship Id="rId13" Type="http://schemas.openxmlformats.org/officeDocument/2006/relationships/image" Target="media/image6.tiff"/><Relationship Id="rId12" Type="http://schemas.openxmlformats.org/officeDocument/2006/relationships/image" Target="media/image5.tiff"/><Relationship Id="rId11" Type="http://schemas.openxmlformats.org/officeDocument/2006/relationships/image" Target="media/image4.tiff"/><Relationship Id="rId10" Type="http://schemas.openxmlformats.org/officeDocument/2006/relationships/image" Target="media/image3.tiff"/><Relationship Id="rId1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home/marcopretti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Pages>1</Pages>
  <Words>247</Words>
  <Characters>1410</Characters>
  <Lines>11</Lines>
  <Paragraphs>3</Paragraphs>
  <TotalTime>3</TotalTime>
  <ScaleCrop>false</ScaleCrop>
  <LinksUpToDate>false</LinksUpToDate>
  <CharactersWithSpaces>1654</CharactersWithSpaces>
  <Application>WPS Office_10.1.0.6757_F1E327BC-269C-435d-A152-05C5408002CA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2018-11-23T10:58:00Z</dcterms:created>
  <dc:creator>Frontiers Media SA</dc:creator>
  <cp:lastModifiedBy>marcopretti</cp:lastModifiedBy>
  <cp:lastPrinted>2013-10-03T14:51:00Z</cp:lastPrinted>
  <dcterms:modified xsi:type="dcterms:W3CDTF">2020-05-26T04:50:15Z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1033-10.1.0.6757</vt:lpwstr>
  </property>
</Properties>
</file>