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0E6A5" w14:textId="2C93FF34" w:rsidR="00BC78B8" w:rsidRPr="002400A3" w:rsidRDefault="00BC78B8" w:rsidP="00BC78B8">
      <w:pPr>
        <w:pStyle w:val="Heading2"/>
        <w:jc w:val="center"/>
        <w:rPr>
          <w:rFonts w:ascii="Times New Roman" w:hAnsi="Times New Roman" w:cs="Times New Roman"/>
          <w:sz w:val="28"/>
          <w:szCs w:val="28"/>
        </w:rPr>
      </w:pPr>
      <w:r w:rsidRPr="002400A3">
        <w:rPr>
          <w:rFonts w:ascii="Times New Roman" w:hAnsi="Times New Roman" w:cs="Times New Roman"/>
          <w:sz w:val="28"/>
          <w:szCs w:val="28"/>
        </w:rPr>
        <w:t>Supplementary information for</w:t>
      </w:r>
    </w:p>
    <w:p w14:paraId="44B23B4B" w14:textId="77777777" w:rsidR="00BC78B8" w:rsidRPr="002400A3" w:rsidRDefault="00BC78B8" w:rsidP="00BC78B8">
      <w:pPr>
        <w:pStyle w:val="BodyText"/>
        <w:rPr>
          <w:rFonts w:ascii="Times New Roman" w:hAnsi="Times New Roman" w:cs="Times New Roman"/>
          <w:sz w:val="28"/>
          <w:szCs w:val="28"/>
          <w:lang w:eastAsia="zh-CN" w:bidi="hi-IN"/>
        </w:rPr>
      </w:pPr>
    </w:p>
    <w:bookmarkStart w:id="0" w:name="_Hlk17120560" w:displacedByCustomXml="next"/>
    <w:sdt>
      <w:sdtPr>
        <w:rPr>
          <w:rFonts w:ascii="Times New Roman" w:hAnsi="Times New Roman" w:cs="Times New Roman"/>
          <w:sz w:val="28"/>
          <w:szCs w:val="28"/>
        </w:rPr>
        <w:tag w:val="goog_rdk_0"/>
        <w:id w:val="-737705027"/>
      </w:sdtPr>
      <w:sdtEndPr>
        <w:rPr>
          <w:b/>
        </w:rPr>
      </w:sdtEndPr>
      <w:sdtContent>
        <w:p w14:paraId="0263564E" w14:textId="77777777" w:rsidR="009606AC" w:rsidRPr="002400A3" w:rsidRDefault="009606AC" w:rsidP="009606AC">
          <w:pPr>
            <w:spacing w:line="480" w:lineRule="auto"/>
            <w:jc w:val="center"/>
            <w:rPr>
              <w:rFonts w:ascii="Times New Roman" w:hAnsi="Times New Roman" w:cs="Times New Roman"/>
              <w:b/>
              <w:sz w:val="28"/>
              <w:szCs w:val="28"/>
            </w:rPr>
          </w:pPr>
          <w:r w:rsidRPr="002400A3">
            <w:rPr>
              <w:rFonts w:ascii="Times New Roman" w:hAnsi="Times New Roman" w:cs="Times New Roman"/>
              <w:b/>
              <w:sz w:val="28"/>
              <w:szCs w:val="28"/>
            </w:rPr>
            <w:t>Multi-omics-based pan-cancer prognosis prediction using an ensemble of deep-learning and machine-learning models</w:t>
          </w:r>
          <w:r w:rsidRPr="002400A3">
            <w:rPr>
              <w:rFonts w:ascii="Times New Roman" w:hAnsi="Times New Roman" w:cs="Times New Roman"/>
              <w:sz w:val="28"/>
              <w:szCs w:val="28"/>
            </w:rPr>
            <w:t xml:space="preserve"> </w:t>
          </w:r>
        </w:p>
      </w:sdtContent>
    </w:sdt>
    <w:bookmarkEnd w:id="0" w:displacedByCustomXml="next"/>
    <w:sdt>
      <w:sdtPr>
        <w:rPr>
          <w:rFonts w:ascii="Times New Roman" w:hAnsi="Times New Roman" w:cs="Times New Roman"/>
        </w:rPr>
        <w:tag w:val="goog_rdk_1"/>
        <w:id w:val="1124735252"/>
      </w:sdtPr>
      <w:sdtEndPr/>
      <w:sdtContent>
        <w:p w14:paraId="37F2A6AF" w14:textId="77777777" w:rsidR="009606AC" w:rsidRPr="002400A3" w:rsidRDefault="00476C41" w:rsidP="009606AC">
          <w:pPr>
            <w:spacing w:line="480" w:lineRule="auto"/>
            <w:rPr>
              <w:rFonts w:ascii="Times New Roman" w:hAnsi="Times New Roman" w:cs="Times New Roman"/>
              <w:b/>
            </w:rPr>
          </w:pPr>
        </w:p>
      </w:sdtContent>
    </w:sdt>
    <w:sdt>
      <w:sdtPr>
        <w:rPr>
          <w:rFonts w:ascii="Times New Roman" w:hAnsi="Times New Roman" w:cs="Times New Roman"/>
        </w:rPr>
        <w:tag w:val="goog_rdk_2"/>
        <w:id w:val="1702436991"/>
      </w:sdtPr>
      <w:sdtEndPr/>
      <w:sdtContent>
        <w:p w14:paraId="72F151D4" w14:textId="249DEB64" w:rsidR="009606AC" w:rsidRPr="002400A3" w:rsidRDefault="009606AC" w:rsidP="009606AC">
          <w:pPr>
            <w:spacing w:line="480" w:lineRule="auto"/>
            <w:rPr>
              <w:rFonts w:ascii="Times New Roman" w:hAnsi="Times New Roman" w:cs="Times New Roman"/>
              <w:vertAlign w:val="superscript"/>
            </w:rPr>
          </w:pPr>
          <w:r w:rsidRPr="002400A3">
            <w:rPr>
              <w:rFonts w:ascii="Times New Roman" w:hAnsi="Times New Roman" w:cs="Times New Roman"/>
            </w:rPr>
            <w:t>Olivier Poirion</w:t>
          </w:r>
          <w:r w:rsidRPr="002400A3">
            <w:rPr>
              <w:rFonts w:ascii="Times New Roman" w:hAnsi="Times New Roman" w:cs="Times New Roman"/>
              <w:vertAlign w:val="superscript"/>
            </w:rPr>
            <w:t>1</w:t>
          </w:r>
          <w:r w:rsidRPr="002400A3">
            <w:rPr>
              <w:rFonts w:ascii="Times New Roman" w:hAnsi="Times New Roman" w:cs="Times New Roman"/>
            </w:rPr>
            <w:t xml:space="preserve">, </w:t>
          </w:r>
          <w:proofErr w:type="spellStart"/>
          <w:r w:rsidRPr="002400A3">
            <w:rPr>
              <w:rFonts w:ascii="Times New Roman" w:hAnsi="Times New Roman" w:cs="Times New Roman"/>
            </w:rPr>
            <w:t>Kumardeep</w:t>
          </w:r>
          <w:proofErr w:type="spellEnd"/>
          <w:r w:rsidRPr="002400A3">
            <w:rPr>
              <w:rFonts w:ascii="Times New Roman" w:hAnsi="Times New Roman" w:cs="Times New Roman"/>
            </w:rPr>
            <w:t xml:space="preserve"> Chaudhary</w:t>
          </w:r>
          <w:r w:rsidR="00EA5173">
            <w:rPr>
              <w:rFonts w:ascii="Times New Roman" w:hAnsi="Times New Roman" w:cs="Times New Roman"/>
              <w:vertAlign w:val="superscript"/>
            </w:rPr>
            <w:t>2</w:t>
          </w:r>
          <w:r w:rsidRPr="002400A3">
            <w:rPr>
              <w:rFonts w:ascii="Times New Roman" w:hAnsi="Times New Roman" w:cs="Times New Roman"/>
            </w:rPr>
            <w:t xml:space="preserve">, </w:t>
          </w:r>
          <w:proofErr w:type="spellStart"/>
          <w:r w:rsidRPr="002400A3">
            <w:rPr>
              <w:rFonts w:ascii="Times New Roman" w:hAnsi="Times New Roman" w:cs="Times New Roman"/>
            </w:rPr>
            <w:t>Sijia</w:t>
          </w:r>
          <w:proofErr w:type="spellEnd"/>
          <w:r w:rsidRPr="002400A3">
            <w:rPr>
              <w:rFonts w:ascii="Times New Roman" w:hAnsi="Times New Roman" w:cs="Times New Roman"/>
            </w:rPr>
            <w:t xml:space="preserve"> Huang</w:t>
          </w:r>
          <w:r w:rsidR="00EA5173">
            <w:rPr>
              <w:rFonts w:ascii="Times New Roman" w:hAnsi="Times New Roman" w:cs="Times New Roman"/>
              <w:vertAlign w:val="superscript"/>
            </w:rPr>
            <w:t>3</w:t>
          </w:r>
          <w:r w:rsidRPr="002400A3">
            <w:rPr>
              <w:rFonts w:ascii="Times New Roman" w:hAnsi="Times New Roman" w:cs="Times New Roman"/>
            </w:rPr>
            <w:t>, Lana X. Garmire</w:t>
          </w:r>
          <w:r w:rsidR="00EA5173">
            <w:rPr>
              <w:rFonts w:ascii="Times New Roman" w:hAnsi="Times New Roman" w:cs="Times New Roman"/>
              <w:vertAlign w:val="superscript"/>
            </w:rPr>
            <w:t>4</w:t>
          </w:r>
          <w:r w:rsidRPr="002400A3">
            <w:rPr>
              <w:rFonts w:ascii="Times New Roman" w:hAnsi="Times New Roman" w:cs="Times New Roman"/>
              <w:vertAlign w:val="superscript"/>
            </w:rPr>
            <w:t>*</w:t>
          </w:r>
        </w:p>
      </w:sdtContent>
    </w:sdt>
    <w:sdt>
      <w:sdtPr>
        <w:tag w:val="goog_rdk_4"/>
        <w:id w:val="-1248113017"/>
      </w:sdtPr>
      <w:sdtContent>
        <w:p w14:paraId="03DB509C" w14:textId="77777777" w:rsidR="00EA5173" w:rsidRDefault="00EA5173" w:rsidP="00EA5173">
          <w:pPr>
            <w:spacing w:line="480" w:lineRule="auto"/>
          </w:pPr>
          <w:r w:rsidRPr="00240D4B">
            <w:rPr>
              <w:b/>
              <w:vertAlign w:val="superscript"/>
            </w:rPr>
            <w:t>1</w:t>
          </w:r>
          <w:r w:rsidRPr="00240D4B">
            <w:rPr>
              <w:b/>
            </w:rPr>
            <w:t xml:space="preserve"> </w:t>
          </w:r>
          <w:r w:rsidRPr="00240D4B">
            <w:t xml:space="preserve">University of </w:t>
          </w:r>
          <w:r>
            <w:t>California San Diego</w:t>
          </w:r>
          <w:r w:rsidRPr="00240D4B">
            <w:t>, C</w:t>
          </w:r>
          <w:r>
            <w:t>enter for Epigenomics</w:t>
          </w:r>
          <w:r w:rsidRPr="00240D4B">
            <w:t xml:space="preserve">, </w:t>
          </w:r>
          <w:r w:rsidRPr="008D2212">
            <w:t>9500 Gilman Dr, La Jolla, CA 92093</w:t>
          </w:r>
          <w:r>
            <w:t>, USA</w:t>
          </w:r>
        </w:p>
        <w:p w14:paraId="0FB01F35" w14:textId="4FBA4242" w:rsidR="00EA5173" w:rsidRPr="008D2212" w:rsidRDefault="00EA5173" w:rsidP="00EA5173">
          <w:pPr>
            <w:spacing w:line="480" w:lineRule="auto"/>
            <w:rPr>
              <w:color w:val="000000"/>
            </w:rPr>
          </w:pPr>
          <w:r w:rsidRPr="00240D4B">
            <w:rPr>
              <w:b/>
              <w:color w:val="000000"/>
              <w:vertAlign w:val="superscript"/>
            </w:rPr>
            <w:t>2</w:t>
          </w:r>
          <w:r w:rsidRPr="008D2212">
            <w:t xml:space="preserve"> </w:t>
          </w:r>
          <w:r>
            <w:t>I</w:t>
          </w:r>
          <w:r w:rsidRPr="008D2212">
            <w:rPr>
              <w:color w:val="000000"/>
            </w:rPr>
            <w:t>cahn School of Medicine at Mount Sinai</w:t>
          </w:r>
          <w:r w:rsidRPr="00240D4B">
            <w:rPr>
              <w:color w:val="000000"/>
            </w:rPr>
            <w:t>,</w:t>
          </w:r>
          <w:r w:rsidR="00476C41">
            <w:rPr>
              <w:color w:val="000000"/>
            </w:rPr>
            <w:t xml:space="preserve"> Department of </w:t>
          </w:r>
          <w:bookmarkStart w:id="1" w:name="_GoBack"/>
          <w:bookmarkEnd w:id="1"/>
          <w:r w:rsidR="00476C41" w:rsidRPr="00476C41">
            <w:rPr>
              <w:color w:val="000000"/>
            </w:rPr>
            <w:t>Genetics and Genomic Sciences</w:t>
          </w:r>
          <w:r w:rsidR="00476C41">
            <w:rPr>
              <w:color w:val="000000"/>
            </w:rPr>
            <w:t>,</w:t>
          </w:r>
          <w:r w:rsidRPr="00240D4B">
            <w:rPr>
              <w:color w:val="000000"/>
            </w:rPr>
            <w:t xml:space="preserve"> </w:t>
          </w:r>
          <w:r w:rsidRPr="008D2212">
            <w:rPr>
              <w:color w:val="000000"/>
            </w:rPr>
            <w:t>1 Gustave L. Levy Pl, New York, NY 10029</w:t>
          </w:r>
          <w:r>
            <w:rPr>
              <w:color w:val="000000"/>
            </w:rPr>
            <w:t>, USA</w:t>
          </w:r>
        </w:p>
        <w:p w14:paraId="72A9E002" w14:textId="77777777" w:rsidR="00EA5173" w:rsidRDefault="00EA5173" w:rsidP="00EA5173">
          <w:pPr>
            <w:spacing w:line="480" w:lineRule="auto"/>
          </w:pPr>
          <w:r>
            <w:rPr>
              <w:b/>
              <w:vertAlign w:val="superscript"/>
            </w:rPr>
            <w:t xml:space="preserve">3 </w:t>
          </w:r>
          <w:r>
            <w:t>University of Pennsylvania, Department of Biostatistics, Epidemiology and Informatics</w:t>
          </w:r>
        </w:p>
        <w:p w14:paraId="7A03AFEC" w14:textId="77777777" w:rsidR="00EA5173" w:rsidRPr="00240D4B" w:rsidRDefault="00EA5173" w:rsidP="00EA5173">
          <w:pPr>
            <w:spacing w:line="480" w:lineRule="auto"/>
          </w:pPr>
          <w:r>
            <w:t>Philadelphia, PA, 19104, USA</w:t>
          </w:r>
        </w:p>
      </w:sdtContent>
    </w:sdt>
    <w:sdt>
      <w:sdtPr>
        <w:tag w:val="goog_rdk_5"/>
        <w:id w:val="-581607725"/>
      </w:sdtPr>
      <w:sdtContent>
        <w:sdt>
          <w:sdtPr>
            <w:tag w:val="goog_rdk_5"/>
            <w:id w:val="-224061609"/>
          </w:sdtPr>
          <w:sdtContent>
            <w:p w14:paraId="7A80F308" w14:textId="3D7CB1D1" w:rsidR="00EA5173" w:rsidRPr="00240D4B" w:rsidRDefault="00EA5173" w:rsidP="00EA5173">
              <w:pPr>
                <w:spacing w:line="480" w:lineRule="auto"/>
              </w:pPr>
              <w:r>
                <w:rPr>
                  <w:b/>
                  <w:color w:val="000000"/>
                  <w:vertAlign w:val="superscript"/>
                </w:rPr>
                <w:t>4</w:t>
              </w:r>
              <w:r w:rsidRPr="00240D4B">
                <w:rPr>
                  <w:color w:val="000000"/>
                </w:rPr>
                <w:t xml:space="preserve"> University of Michigan, Department of Computational Medicine and Bioinformatics, Ann Arbor, MI 48105, USA</w:t>
              </w:r>
            </w:p>
          </w:sdtContent>
        </w:sdt>
        <w:p w14:paraId="4D813628" w14:textId="3FF87550" w:rsidR="009606AC" w:rsidRPr="002400A3" w:rsidRDefault="00EA5173" w:rsidP="00EA5173">
          <w:pPr>
            <w:spacing w:line="480" w:lineRule="auto"/>
            <w:rPr>
              <w:rFonts w:ascii="Times New Roman" w:hAnsi="Times New Roman" w:cs="Times New Roman"/>
            </w:rPr>
          </w:pPr>
        </w:p>
      </w:sdtContent>
    </w:sdt>
    <w:sdt>
      <w:sdtPr>
        <w:rPr>
          <w:rFonts w:ascii="Times New Roman" w:hAnsi="Times New Roman" w:cs="Times New Roman"/>
        </w:rPr>
        <w:tag w:val="goog_rdk_6"/>
        <w:id w:val="236825939"/>
      </w:sdtPr>
      <w:sdtEndPr/>
      <w:sdtContent>
        <w:p w14:paraId="71077EFC" w14:textId="77777777" w:rsidR="009606AC" w:rsidRPr="002400A3" w:rsidRDefault="009606AC" w:rsidP="009606AC">
          <w:pPr>
            <w:spacing w:line="480" w:lineRule="auto"/>
            <w:rPr>
              <w:rFonts w:ascii="Times New Roman" w:hAnsi="Times New Roman" w:cs="Times New Roman"/>
            </w:rPr>
          </w:pPr>
          <w:r w:rsidRPr="002400A3">
            <w:rPr>
              <w:rFonts w:ascii="Times New Roman" w:hAnsi="Times New Roman" w:cs="Times New Roman"/>
            </w:rPr>
            <w:t>* Corresponding author.</w:t>
          </w:r>
        </w:p>
      </w:sdtContent>
    </w:sdt>
    <w:sdt>
      <w:sdtPr>
        <w:rPr>
          <w:rFonts w:ascii="Times New Roman" w:hAnsi="Times New Roman" w:cs="Times New Roman"/>
        </w:rPr>
        <w:tag w:val="goog_rdk_7"/>
        <w:id w:val="-1643876800"/>
        <w:showingPlcHdr/>
      </w:sdtPr>
      <w:sdtEndPr/>
      <w:sdtContent>
        <w:p w14:paraId="479F7D50" w14:textId="77777777" w:rsidR="009606AC" w:rsidRPr="002400A3" w:rsidRDefault="009606AC" w:rsidP="009606AC">
          <w:pPr>
            <w:spacing w:line="480" w:lineRule="auto"/>
            <w:rPr>
              <w:rFonts w:ascii="Times New Roman" w:hAnsi="Times New Roman" w:cs="Times New Roman"/>
            </w:rPr>
          </w:pPr>
          <w:r w:rsidRPr="002400A3">
            <w:rPr>
              <w:rFonts w:ascii="Times New Roman" w:hAnsi="Times New Roman" w:cs="Times New Roman"/>
            </w:rPr>
            <w:t xml:space="preserve">     </w:t>
          </w:r>
        </w:p>
      </w:sdtContent>
    </w:sdt>
    <w:sdt>
      <w:sdtPr>
        <w:rPr>
          <w:rFonts w:ascii="Times New Roman" w:hAnsi="Times New Roman" w:cs="Times New Roman"/>
        </w:rPr>
        <w:tag w:val="goog_rdk_8"/>
        <w:id w:val="-398526614"/>
      </w:sdtPr>
      <w:sdtEndPr/>
      <w:sdtContent>
        <w:p w14:paraId="4C9731F7" w14:textId="77777777" w:rsidR="009606AC" w:rsidRPr="002400A3" w:rsidRDefault="009606AC" w:rsidP="009606AC">
          <w:pPr>
            <w:spacing w:line="480" w:lineRule="auto"/>
            <w:rPr>
              <w:rFonts w:ascii="Times New Roman" w:hAnsi="Times New Roman" w:cs="Times New Roman"/>
            </w:rPr>
          </w:pPr>
          <w:r w:rsidRPr="002400A3">
            <w:rPr>
              <w:rFonts w:ascii="Times New Roman" w:hAnsi="Times New Roman" w:cs="Times New Roman"/>
            </w:rPr>
            <w:t xml:space="preserve">Emails: </w:t>
          </w:r>
        </w:p>
      </w:sdtContent>
    </w:sdt>
    <w:sdt>
      <w:sdtPr>
        <w:rPr>
          <w:rFonts w:ascii="Times New Roman" w:hAnsi="Times New Roman" w:cs="Times New Roman"/>
        </w:rPr>
        <w:tag w:val="goog_rdk_9"/>
        <w:id w:val="427080487"/>
      </w:sdtPr>
      <w:sdtEndPr/>
      <w:sdtContent>
        <w:sdt>
          <w:sdtPr>
            <w:tag w:val="goog_rdk_9"/>
            <w:id w:val="1154418802"/>
          </w:sdtPr>
          <w:sdtContent>
            <w:p w14:paraId="5F64AAA5" w14:textId="2D89F4FA" w:rsidR="009606AC" w:rsidRPr="002F5431" w:rsidRDefault="00EA5173" w:rsidP="009606AC">
              <w:pPr>
                <w:spacing w:line="480" w:lineRule="auto"/>
              </w:pPr>
              <w:r w:rsidRPr="00240D4B">
                <w:t xml:space="preserve">LXG: </w:t>
              </w:r>
              <w:r w:rsidRPr="008D2212">
                <w:rPr>
                  <w:u w:val="single"/>
                </w:rPr>
                <w:t>lgarmire@med.umich.edu</w:t>
              </w:r>
            </w:p>
          </w:sdtContent>
        </w:sdt>
      </w:sdtContent>
    </w:sdt>
    <w:p w14:paraId="6CBD9621" w14:textId="00D0A101" w:rsidR="005D7BB2" w:rsidRPr="002400A3" w:rsidRDefault="005D7BB2">
      <w:pPr>
        <w:rPr>
          <w:rFonts w:ascii="Times New Roman" w:hAnsi="Times New Roman" w:cs="Times New Roman"/>
        </w:rPr>
      </w:pPr>
    </w:p>
    <w:sdt>
      <w:sdtPr>
        <w:rPr>
          <w:rFonts w:cs="Times New Roman"/>
          <w:sz w:val="22"/>
          <w:szCs w:val="22"/>
        </w:rPr>
        <w:tag w:val="goog_rdk_21"/>
        <w:id w:val="-403913429"/>
      </w:sdtPr>
      <w:sdtEndPr/>
      <w:sdtContent>
        <w:p w14:paraId="66BF46FB" w14:textId="77777777" w:rsidR="009606AC" w:rsidRPr="002400A3" w:rsidRDefault="009606AC" w:rsidP="00BC78B8">
          <w:pPr>
            <w:pStyle w:val="Heading3"/>
            <w:rPr>
              <w:rFonts w:cs="Times New Roman"/>
              <w:sz w:val="22"/>
              <w:szCs w:val="22"/>
            </w:rPr>
          </w:pPr>
        </w:p>
        <w:p w14:paraId="218B3786" w14:textId="6DEAE0CF" w:rsidR="00BC78B8" w:rsidRPr="002400A3" w:rsidRDefault="00BC78B8" w:rsidP="00BC78B8">
          <w:pPr>
            <w:pStyle w:val="Heading3"/>
            <w:rPr>
              <w:rFonts w:cs="Times New Roman"/>
              <w:sz w:val="22"/>
              <w:szCs w:val="22"/>
            </w:rPr>
          </w:pPr>
          <w:r w:rsidRPr="002400A3">
            <w:rPr>
              <w:rFonts w:cs="Times New Roman"/>
              <w:sz w:val="22"/>
              <w:szCs w:val="22"/>
            </w:rPr>
            <w:t>Prognostic power of the different omics</w:t>
          </w:r>
        </w:p>
      </w:sdtContent>
    </w:sdt>
    <w:sdt>
      <w:sdtPr>
        <w:rPr>
          <w:rFonts w:ascii="Times New Roman" w:hAnsi="Times New Roman" w:cs="Times New Roman"/>
        </w:rPr>
        <w:tag w:val="goog_rdk_22"/>
        <w:id w:val="1791468658"/>
      </w:sdtPr>
      <w:sdtEndPr/>
      <w:sdtContent>
        <w:p w14:paraId="74DDD044" w14:textId="20431BF5" w:rsidR="00BC78B8" w:rsidRPr="002400A3" w:rsidRDefault="00BC78B8" w:rsidP="00BC78B8">
          <w:pPr>
            <w:spacing w:line="480" w:lineRule="auto"/>
            <w:jc w:val="both"/>
            <w:rPr>
              <w:rFonts w:ascii="Times New Roman" w:hAnsi="Times New Roman" w:cs="Times New Roman"/>
            </w:rPr>
          </w:pPr>
          <w:r w:rsidRPr="002400A3">
            <w:rPr>
              <w:rFonts w:ascii="Times New Roman" w:hAnsi="Times New Roman" w:cs="Times New Roman"/>
            </w:rPr>
            <w:t xml:space="preserve">To rank the relative prognostic importance among RNA-Seq, miRNA, and Methylation data, we next </w:t>
          </w:r>
          <w:r w:rsidR="009606AC" w:rsidRPr="002400A3">
            <w:rPr>
              <w:rFonts w:ascii="Times New Roman" w:hAnsi="Times New Roman" w:cs="Times New Roman"/>
            </w:rPr>
            <w:t>identify</w:t>
          </w:r>
          <w:r w:rsidRPr="002400A3">
            <w:rPr>
              <w:rFonts w:ascii="Times New Roman" w:hAnsi="Times New Roman" w:cs="Times New Roman"/>
            </w:rPr>
            <w:t xml:space="preserve"> the hidden-layer features significantly linked to survival in </w:t>
          </w:r>
          <w:proofErr w:type="spellStart"/>
          <w:r w:rsidRPr="002400A3">
            <w:rPr>
              <w:rFonts w:ascii="Times New Roman" w:hAnsi="Times New Roman" w:cs="Times New Roman"/>
            </w:rPr>
            <w:t>DeepProg</w:t>
          </w:r>
          <w:proofErr w:type="spellEnd"/>
          <w:r w:rsidRPr="002400A3">
            <w:rPr>
              <w:rFonts w:ascii="Times New Roman" w:hAnsi="Times New Roman" w:cs="Times New Roman"/>
            </w:rPr>
            <w:t xml:space="preserve">. Since the </w:t>
          </w:r>
          <w:r w:rsidR="00D54750" w:rsidRPr="002400A3">
            <w:rPr>
              <w:rFonts w:ascii="Times New Roman" w:hAnsi="Times New Roman" w:cs="Times New Roman"/>
            </w:rPr>
            <w:t>autoencoder transformed</w:t>
          </w:r>
          <w:r w:rsidRPr="002400A3">
            <w:rPr>
              <w:rFonts w:ascii="Times New Roman" w:hAnsi="Times New Roman" w:cs="Times New Roman"/>
            </w:rPr>
            <w:t xml:space="preserve"> an individual </w:t>
          </w:r>
          <w:proofErr w:type="spellStart"/>
          <w:r w:rsidRPr="002400A3">
            <w:rPr>
              <w:rFonts w:ascii="Times New Roman" w:hAnsi="Times New Roman" w:cs="Times New Roman"/>
            </w:rPr>
            <w:t>omic</w:t>
          </w:r>
          <w:proofErr w:type="spellEnd"/>
          <w:r w:rsidRPr="002400A3">
            <w:rPr>
              <w:rFonts w:ascii="Times New Roman" w:hAnsi="Times New Roman" w:cs="Times New Roman"/>
            </w:rPr>
            <w:t xml:space="preserve"> matrix into a reduced latent space of 100 new features (</w:t>
          </w:r>
          <w:r w:rsidRPr="002400A3">
            <w:rPr>
              <w:rFonts w:ascii="Times New Roman" w:hAnsi="Times New Roman" w:cs="Times New Roman"/>
              <w:b/>
            </w:rPr>
            <w:t>Figure 1</w:t>
          </w:r>
          <w:r w:rsidRPr="002400A3">
            <w:rPr>
              <w:rFonts w:ascii="Times New Roman" w:hAnsi="Times New Roman" w:cs="Times New Roman"/>
            </w:rPr>
            <w:t xml:space="preserve">), we report the average number of significant survival features arising from these 100 latent features, for each </w:t>
          </w:r>
          <w:proofErr w:type="spellStart"/>
          <w:r w:rsidRPr="002400A3">
            <w:rPr>
              <w:rFonts w:ascii="Times New Roman" w:hAnsi="Times New Roman" w:cs="Times New Roman"/>
            </w:rPr>
            <w:t>omic</w:t>
          </w:r>
          <w:proofErr w:type="spellEnd"/>
          <w:r w:rsidRPr="002400A3">
            <w:rPr>
              <w:rFonts w:ascii="Times New Roman" w:hAnsi="Times New Roman" w:cs="Times New Roman"/>
            </w:rPr>
            <w:t xml:space="preserve"> data type and each cancer (</w:t>
          </w:r>
          <w:r w:rsidR="00391490" w:rsidRPr="002400A3">
            <w:rPr>
              <w:rFonts w:ascii="Times New Roman" w:hAnsi="Times New Roman" w:cs="Times New Roman"/>
              <w:b/>
              <w:bCs/>
            </w:rPr>
            <w:t>Supplementary Figure 1</w:t>
          </w:r>
          <w:r w:rsidRPr="002400A3">
            <w:rPr>
              <w:rFonts w:ascii="Times New Roman" w:hAnsi="Times New Roman" w:cs="Times New Roman"/>
            </w:rPr>
            <w:t>)</w:t>
          </w:r>
          <w:r w:rsidR="00391490" w:rsidRPr="002400A3">
            <w:rPr>
              <w:rFonts w:ascii="Times New Roman" w:hAnsi="Times New Roman" w:cs="Times New Roman"/>
            </w:rPr>
            <w:t>.</w:t>
          </w:r>
          <w:r w:rsidRPr="002400A3">
            <w:rPr>
              <w:rFonts w:ascii="Times New Roman" w:hAnsi="Times New Roman" w:cs="Times New Roman"/>
            </w:rPr>
            <w:t xml:space="preserve"> Overall, RNA-Seq has the most important</w:t>
          </w:r>
          <w:r w:rsidR="009606AC" w:rsidRPr="002400A3">
            <w:rPr>
              <w:rFonts w:ascii="Times New Roman" w:hAnsi="Times New Roman" w:cs="Times New Roman"/>
            </w:rPr>
            <w:t xml:space="preserve"> </w:t>
          </w:r>
          <w:r w:rsidRPr="002400A3">
            <w:rPr>
              <w:rFonts w:ascii="Times New Roman" w:hAnsi="Times New Roman" w:cs="Times New Roman"/>
            </w:rPr>
            <w:t>contribution towards survival prediction (</w:t>
          </w:r>
          <w:r w:rsidR="009606AC" w:rsidRPr="002400A3">
            <w:rPr>
              <w:rFonts w:ascii="Times New Roman" w:hAnsi="Times New Roman" w:cs="Times New Roman"/>
            </w:rPr>
            <w:t xml:space="preserve">average </w:t>
          </w:r>
          <w:r w:rsidRPr="002400A3">
            <w:rPr>
              <w:rFonts w:ascii="Times New Roman" w:hAnsi="Times New Roman" w:cs="Times New Roman"/>
            </w:rPr>
            <w:t>12.6 /100 significant features), followed closely by miRNA (</w:t>
          </w:r>
          <w:r w:rsidR="009606AC" w:rsidRPr="002400A3">
            <w:rPr>
              <w:rFonts w:ascii="Times New Roman" w:hAnsi="Times New Roman" w:cs="Times New Roman"/>
            </w:rPr>
            <w:t xml:space="preserve">average </w:t>
          </w:r>
          <w:r w:rsidRPr="002400A3">
            <w:rPr>
              <w:rFonts w:ascii="Times New Roman" w:hAnsi="Times New Roman" w:cs="Times New Roman"/>
            </w:rPr>
            <w:t>10.8 / 100 features) and then DNA methylation (</w:t>
          </w:r>
          <w:r w:rsidR="009606AC" w:rsidRPr="002400A3">
            <w:rPr>
              <w:rFonts w:ascii="Times New Roman" w:hAnsi="Times New Roman" w:cs="Times New Roman"/>
            </w:rPr>
            <w:t xml:space="preserve">average </w:t>
          </w:r>
          <w:r w:rsidRPr="002400A3">
            <w:rPr>
              <w:rFonts w:ascii="Times New Roman" w:hAnsi="Times New Roman" w:cs="Times New Roman"/>
            </w:rPr>
            <w:t xml:space="preserve">8.3 /100 features). Moreover, RNA-Seq is the most important feature type in 14 out of 32 cancers, compared to miRNA (10 cancers) and Methylation (9 cancers). There is also a wide range of variation for feature importance of each </w:t>
          </w:r>
          <w:proofErr w:type="spellStart"/>
          <w:r w:rsidRPr="002400A3">
            <w:rPr>
              <w:rFonts w:ascii="Times New Roman" w:hAnsi="Times New Roman" w:cs="Times New Roman"/>
            </w:rPr>
            <w:t>omic</w:t>
          </w:r>
          <w:proofErr w:type="spellEnd"/>
          <w:r w:rsidRPr="002400A3">
            <w:rPr>
              <w:rFonts w:ascii="Times New Roman" w:hAnsi="Times New Roman" w:cs="Times New Roman"/>
            </w:rPr>
            <w:t xml:space="preserve"> data type among cancers. For example, for KICH, the three omics have close to equal level of survival correlations (~5 significant </w:t>
          </w:r>
          <w:r w:rsidR="009606AC" w:rsidRPr="002400A3">
            <w:rPr>
              <w:rFonts w:ascii="Times New Roman" w:hAnsi="Times New Roman" w:cs="Times New Roman"/>
            </w:rPr>
            <w:t>hidden-layer</w:t>
          </w:r>
          <w:r w:rsidRPr="002400A3">
            <w:rPr>
              <w:rFonts w:ascii="Times New Roman" w:hAnsi="Times New Roman" w:cs="Times New Roman"/>
            </w:rPr>
            <w:t xml:space="preserve"> features for each </w:t>
          </w:r>
          <w:proofErr w:type="spellStart"/>
          <w:r w:rsidRPr="002400A3">
            <w:rPr>
              <w:rFonts w:ascii="Times New Roman" w:hAnsi="Times New Roman" w:cs="Times New Roman"/>
            </w:rPr>
            <w:t>omic</w:t>
          </w:r>
          <w:proofErr w:type="spellEnd"/>
          <w:r w:rsidRPr="002400A3">
            <w:rPr>
              <w:rFonts w:ascii="Times New Roman" w:hAnsi="Times New Roman" w:cs="Times New Roman"/>
            </w:rPr>
            <w:t xml:space="preserve">), whereas HCC has much different numbers of significant features, with a value of 28 for RNA, 10 for miRNA and 5 for DNA methylations.  </w:t>
          </w:r>
        </w:p>
      </w:sdtContent>
    </w:sdt>
    <w:bookmarkStart w:id="2" w:name="_heading=h.2et92p0" w:colFirst="0" w:colLast="0" w:displacedByCustomXml="prev"/>
    <w:bookmarkEnd w:id="2" w:displacedByCustomXml="prev"/>
    <w:sdt>
      <w:sdtPr>
        <w:rPr>
          <w:rFonts w:cs="Times New Roman"/>
          <w:b w:val="0"/>
          <w:i/>
          <w:iCs/>
          <w:color w:val="auto"/>
          <w:sz w:val="22"/>
          <w:szCs w:val="22"/>
        </w:rPr>
        <w:tag w:val="goog_rdk_33"/>
        <w:id w:val="-4597661"/>
      </w:sdtPr>
      <w:sdtEndPr/>
      <w:sdtContent>
        <w:p w14:paraId="29902C5D" w14:textId="77777777" w:rsidR="009606AC" w:rsidRPr="002400A3" w:rsidRDefault="009606AC" w:rsidP="004604D4">
          <w:pPr>
            <w:pStyle w:val="Heading3"/>
            <w:jc w:val="both"/>
            <w:rPr>
              <w:rFonts w:cs="Times New Roman"/>
              <w:b w:val="0"/>
              <w:i/>
              <w:iCs/>
              <w:color w:val="auto"/>
              <w:sz w:val="22"/>
              <w:szCs w:val="22"/>
            </w:rPr>
          </w:pPr>
        </w:p>
        <w:p w14:paraId="631C68A4" w14:textId="0A3AC9F1" w:rsidR="00BC78B8" w:rsidRPr="002400A3" w:rsidRDefault="00BC78B8" w:rsidP="004604D4">
          <w:pPr>
            <w:pStyle w:val="Heading3"/>
            <w:jc w:val="both"/>
            <w:rPr>
              <w:rFonts w:cs="Times New Roman"/>
              <w:i/>
              <w:sz w:val="22"/>
              <w:szCs w:val="22"/>
            </w:rPr>
          </w:pPr>
          <w:r w:rsidRPr="002400A3">
            <w:rPr>
              <w:rFonts w:cs="Times New Roman"/>
              <w:sz w:val="22"/>
              <w:szCs w:val="22"/>
            </w:rPr>
            <w:t>DNA methylation features</w:t>
          </w:r>
        </w:p>
      </w:sdtContent>
    </w:sdt>
    <w:sdt>
      <w:sdtPr>
        <w:rPr>
          <w:sz w:val="22"/>
          <w:szCs w:val="22"/>
        </w:rPr>
        <w:tag w:val="goog_rdk_34"/>
        <w:id w:val="-1028261835"/>
      </w:sdtPr>
      <w:sdtEndPr/>
      <w:sdtContent>
        <w:p w14:paraId="6D59FD98" w14:textId="4361F43B" w:rsidR="00BC78B8" w:rsidRPr="002400A3" w:rsidRDefault="00BC78B8" w:rsidP="00B23E4D">
          <w:pPr>
            <w:pStyle w:val="NormalWeb"/>
            <w:spacing w:before="0" w:beforeAutospacing="0" w:after="160" w:afterAutospacing="0" w:line="480" w:lineRule="auto"/>
            <w:jc w:val="both"/>
            <w:rPr>
              <w:color w:val="000000"/>
              <w:sz w:val="22"/>
              <w:szCs w:val="22"/>
            </w:rPr>
          </w:pPr>
          <w:r w:rsidRPr="002400A3">
            <w:rPr>
              <w:sz w:val="22"/>
              <w:szCs w:val="22"/>
            </w:rPr>
            <w:t>Strikingly, we f</w:t>
          </w:r>
          <w:r w:rsidR="009606AC" w:rsidRPr="002400A3">
            <w:rPr>
              <w:sz w:val="22"/>
              <w:szCs w:val="22"/>
            </w:rPr>
            <w:t>ind</w:t>
          </w:r>
          <w:r w:rsidRPr="002400A3">
            <w:rPr>
              <w:sz w:val="22"/>
              <w:szCs w:val="22"/>
            </w:rPr>
            <w:t xml:space="preserve"> 15 genes from the Protocadherin Gamma Subfamily (PCDHG) hyper-methylated among the top 100 genes </w:t>
          </w:r>
          <w:r w:rsidRPr="002400A3">
            <w:rPr>
              <w:b/>
              <w:sz w:val="22"/>
              <w:szCs w:val="22"/>
            </w:rPr>
            <w:t>(Suppl</w:t>
          </w:r>
          <w:r w:rsidR="00CE250E" w:rsidRPr="002400A3">
            <w:rPr>
              <w:b/>
              <w:sz w:val="22"/>
              <w:szCs w:val="22"/>
            </w:rPr>
            <w:t>ementary</w:t>
          </w:r>
          <w:r w:rsidRPr="002400A3">
            <w:rPr>
              <w:b/>
              <w:sz w:val="22"/>
              <w:szCs w:val="22"/>
            </w:rPr>
            <w:t xml:space="preserve"> Table </w:t>
          </w:r>
          <w:r w:rsidR="00CE250E" w:rsidRPr="002400A3">
            <w:rPr>
              <w:b/>
              <w:sz w:val="22"/>
              <w:szCs w:val="22"/>
            </w:rPr>
            <w:t>5</w:t>
          </w:r>
          <w:r w:rsidRPr="002400A3">
            <w:rPr>
              <w:b/>
              <w:sz w:val="22"/>
              <w:szCs w:val="22"/>
            </w:rPr>
            <w:t>)</w:t>
          </w:r>
          <w:r w:rsidRPr="002400A3">
            <w:rPr>
              <w:sz w:val="22"/>
              <w:szCs w:val="22"/>
            </w:rPr>
            <w:t>. This superfamily of cell-adhesion molecules has their genes organized in clusters and hyper-methylation combined with under-expression of protocadherin clusters were described in multiple cancers</w:t>
          </w:r>
          <w:r w:rsidR="00F60F55" w:rsidRPr="002400A3">
            <w:rPr>
              <w:sz w:val="22"/>
              <w:szCs w:val="22"/>
            </w:rPr>
            <w:t xml:space="preserve"> </w:t>
          </w:r>
          <w:r w:rsidR="00891AD8" w:rsidRPr="002400A3">
            <w:rPr>
              <w:sz w:val="22"/>
              <w:szCs w:val="22"/>
            </w:rPr>
            <w:fldChar w:fldCharType="begin" w:fldLock="1"/>
          </w:r>
          <w:r w:rsidR="004D2E2E" w:rsidRPr="002400A3">
            <w:rPr>
              <w:sz w:val="22"/>
              <w:szCs w:val="22"/>
            </w:rPr>
            <w:instrText>ADDIN CSL_CITATION {"citationItems":[{"id":"ITEM-1","itemData":{"DOI":"10.1002/cam4.335","ISSN":"2045-7634","PMID":"25418975","abstract":"Epigenetic remodeling of cell adhesion genes is a common phenomenon in cancer invasion. This study aims to investigate global methylation of cell adhesion genes in cervical carcinogenesis and to apply them in early detection of cancer from cervical scraping. Genome-wide methylation array was performed on an investigation cohort, including 16 cervical intraepithelial neoplasia 3 (CIN3) and 20 cervical cancers (CA) versus 12 each of normal, inflammation and CIN1 as controls. Twelve members of clustered proto-cadherin (PCDH) genes were collectively methylated and silenced, which were validated in cancer cells of the cervix, endometrium, liver, head and neck, breast, and lung. In an independent cohort including 107 controls, 66 CIN1, 85 CIN2/3, and 38 CA, methylated PCDHA4 and PCDHA13 were detected in 2.8%, 24.2%, 52.9%, and 84.2% (P &lt; 10(-25) ), and 2.8%, 24.2%, 50.6%, and 94.7% (P &lt; 10(-29) ), respectively. In diagnosis of CIN2 or more severe lesion of the cervix, a combination test of methylated PCDHA4 or PCDHA13 from cervical scraping had a sensitivity, specificity, positive predictive value, and negative predictive value of 74.8%, 80.3%, 73%, and 81.8%, respectively. Testing of this combination from cervical scraping is equally sensitive but more specific than human papillomavirus (HPV) test in diagnosis of CIN2 or more severe lesions. The study disclosed a collective methylation of PCDH genes in cancer of cervix and other sites. At least two of them can be promising diagnostic markers for cervical cancer noninferior to HPV.","author":[{"dropping-particle":"","family":"Wang","given":"Kai-Hung","non-dropping-particle":"","parse-names":false,"suffix":""},{"dropping-particle":"","family":"Lin","given":"Cuei-Jyuan","non-dropping-particle":"","parse-names":false,"suffix":""},{"dropping-particle":"","family":"Liu","given":"Chou-Jen","non-dropping-particle":"","parse-names":false,"suffix":""},{"dropping-particle":"","family":"Liu","given":"Dai-Wei","non-dropping-particle":"","parse-names":false,"suffix":""},{"dropping-particle":"","family":"Huang","given":"Rui-Lan","non-dropping-particle":"","parse-names":false,"suffix":""},{"dropping-particle":"","family":"Ding","given":"Dah-Ching","non-dropping-particle":"","parse-names":false,"suffix":""},{"dropping-particle":"","family":"Weng","given":"Ching-Feng","non-dropping-particle":"","parse-names":false,"suffix":""},{"dropping-particle":"","family":"Chu","given":"Tang-Yuan","non-dropping-particle":"","parse-names":false,"suffix":""}],"container-title":"Cancer medicine","id":"ITEM-1","issue":"1","issued":{"date-parts":[["2015","1"]]},"page":"43-55","publisher":"Wiley-Blackwell","title":"Global methylation silencing of clustered proto-cadherin genes in cervical cancer: serving as diagnostic markers comparable to HPV.","type":"article-journal","volume":"4"},"uris":["http://www.mendeley.com/documents/?uuid=f6a97577-6184-318a-8003-70a67986357a"]}],"mendeley":{"formattedCitation":"&lt;sup&gt;1&lt;/sup&gt;","plainTextFormattedCitation":"1","previouslyFormattedCitation":"&lt;sup&gt;1&lt;/sup&gt;"},"properties":{"noteIndex":0},"schema":"https://github.com/citation-style-language/schema/raw/master/csl-citation.json"}</w:instrText>
          </w:r>
          <w:r w:rsidR="00891AD8" w:rsidRPr="002400A3">
            <w:rPr>
              <w:sz w:val="22"/>
              <w:szCs w:val="22"/>
            </w:rPr>
            <w:fldChar w:fldCharType="separate"/>
          </w:r>
          <w:r w:rsidR="0058710A" w:rsidRPr="002400A3">
            <w:rPr>
              <w:noProof/>
              <w:sz w:val="22"/>
              <w:szCs w:val="22"/>
              <w:vertAlign w:val="superscript"/>
            </w:rPr>
            <w:t>1</w:t>
          </w:r>
          <w:r w:rsidR="00891AD8" w:rsidRPr="002400A3">
            <w:rPr>
              <w:sz w:val="22"/>
              <w:szCs w:val="22"/>
            </w:rPr>
            <w:fldChar w:fldCharType="end"/>
          </w:r>
          <w:r w:rsidR="00891AD8" w:rsidRPr="002400A3">
            <w:rPr>
              <w:sz w:val="22"/>
              <w:szCs w:val="22"/>
            </w:rPr>
            <w:t xml:space="preserve">. </w:t>
          </w:r>
          <w:r w:rsidR="009606AC" w:rsidRPr="002400A3">
            <w:rPr>
              <w:sz w:val="22"/>
              <w:szCs w:val="22"/>
            </w:rPr>
            <w:t>Additionally, xix</w:t>
          </w:r>
          <w:r w:rsidRPr="002400A3">
            <w:rPr>
              <w:sz w:val="22"/>
              <w:szCs w:val="22"/>
            </w:rPr>
            <w:t xml:space="preserve"> genes (HOXD13, HOXC5, HOXC4, HOXD10, HOXB4, and HOXA6) from the homeobox (HOX) family</w:t>
          </w:r>
          <w:r w:rsidR="009606AC" w:rsidRPr="002400A3">
            <w:rPr>
              <w:sz w:val="22"/>
              <w:szCs w:val="22"/>
            </w:rPr>
            <w:t xml:space="preserve"> are</w:t>
          </w:r>
          <w:r w:rsidRPr="002400A3">
            <w:rPr>
              <w:sz w:val="22"/>
              <w:szCs w:val="22"/>
            </w:rPr>
            <w:t xml:space="preserve"> hyper-methylated</w:t>
          </w:r>
          <w:r w:rsidR="009606AC" w:rsidRPr="002400A3">
            <w:rPr>
              <w:sz w:val="22"/>
              <w:szCs w:val="22"/>
            </w:rPr>
            <w:t xml:space="preserve"> in the top 100 genes</w:t>
          </w:r>
          <w:r w:rsidRPr="002400A3">
            <w:rPr>
              <w:sz w:val="22"/>
              <w:szCs w:val="22"/>
            </w:rPr>
            <w:t>. HOX genes are transcription factors that are involved in normal cell proliferation and development and are also known to be involved with cancer progression</w:t>
          </w:r>
          <w:r w:rsidR="00891AD8" w:rsidRPr="002400A3">
            <w:rPr>
              <w:sz w:val="22"/>
              <w:szCs w:val="22"/>
            </w:rPr>
            <w:t xml:space="preserve"> </w:t>
          </w:r>
          <w:r w:rsidR="00891AD8" w:rsidRPr="002400A3">
            <w:rPr>
              <w:sz w:val="22"/>
              <w:szCs w:val="22"/>
            </w:rPr>
            <w:fldChar w:fldCharType="begin" w:fldLock="1"/>
          </w:r>
          <w:r w:rsidR="004D2E2E" w:rsidRPr="002400A3">
            <w:rPr>
              <w:sz w:val="22"/>
              <w:szCs w:val="22"/>
            </w:rPr>
            <w:instrText>ADDIN CSL_CITATION {"citationItems":[{"id":"ITEM-1","itemData":{"DOI":"10.1007/s00109-014-1181-y","ISSN":"0946-2716","PMID":"24996520","abstract":"In this review, we summarize published findings on the involvement of HOX genes in oncogenesis. HOX genes are developmental genes--they code for proteins that function as critical master regulatory transcription factors during embryogenesis. Many reports have shown that the protein products of HOX genes also play key roles in the development of cancers. Based on our review of the literature, we found that the expression of HOX genes is not only up- or downregulated in most solid tumors but also that the expression of specific HOX genes in cancers tends to differ based on tissue type and tumor site. It was also observed that HOXC family gene expression is upregulated in most solid tumor types, including colon, lung, and prostate cancer. The two HOX genes that were reported to be most commonly altered in solid tumors were HOXA9 and HOXB13. HOXA were often reported to have altered expression in breast and ovarian cancers, HOXB genes in colon cancers, HOXC genes in prostate and lung cancers, and HOXD genes in colon and breast cancers. It was found that HOX genes are also regulated at the nuclear-cytoplasmic transport level in carcinomas. Tumors arising from tissue having similar embryonic origin (endodermal), including colon, prostate, and lung, showed relatively similar HOXA and HOXB family gene expression patterns compared to breast tumors arising from mammary tissue, which originates from the ectoderm. The differential expression of HOX genes in various solid tumors thus provides an opportunity to advance our understanding of cancer development and to develop new therapeutic agents.","author":[{"dropping-particle":"","family":"Bhatlekar","given":"Seema","non-dropping-particle":"","parse-names":false,"suffix":""},{"dropping-particle":"","family":"Fields","given":"Jeremy Z.","non-dropping-particle":"","parse-names":false,"suffix":""},{"dropping-particle":"","family":"Boman","given":"Bruce M.","non-dropping-particle":"","parse-names":false,"suffix":""}],"container-title":"Journal of Molecular Medicine","id":"ITEM-1","issue":"8","issued":{"date-parts":[["2014","8","5"]]},"page":"811-823","title":"HOX genes and their role in the development of human cancers","type":"article-journal","volume":"92"},"uris":["http://www.mendeley.com/documents/?uuid=4ccf6f04-905b-30c3-809b-459265412f78"]}],"mendeley":{"formattedCitation":"&lt;sup&gt;2&lt;/sup&gt;","plainTextFormattedCitation":"2","previouslyFormattedCitation":"&lt;sup&gt;2&lt;/sup&gt;"},"properties":{"noteIndex":0},"schema":"https://github.com/citation-style-language/schema/raw/master/csl-citation.json"}</w:instrText>
          </w:r>
          <w:r w:rsidR="00891AD8" w:rsidRPr="002400A3">
            <w:rPr>
              <w:sz w:val="22"/>
              <w:szCs w:val="22"/>
            </w:rPr>
            <w:fldChar w:fldCharType="separate"/>
          </w:r>
          <w:r w:rsidR="0058710A" w:rsidRPr="002400A3">
            <w:rPr>
              <w:noProof/>
              <w:sz w:val="22"/>
              <w:szCs w:val="22"/>
              <w:vertAlign w:val="superscript"/>
            </w:rPr>
            <w:t>2</w:t>
          </w:r>
          <w:r w:rsidR="00891AD8" w:rsidRPr="002400A3">
            <w:rPr>
              <w:sz w:val="22"/>
              <w:szCs w:val="22"/>
            </w:rPr>
            <w:fldChar w:fldCharType="end"/>
          </w:r>
          <w:r w:rsidR="00891AD8" w:rsidRPr="002400A3">
            <w:rPr>
              <w:sz w:val="22"/>
              <w:szCs w:val="22"/>
            </w:rPr>
            <w:t xml:space="preserve">. </w:t>
          </w:r>
          <w:r w:rsidRPr="002400A3">
            <w:rPr>
              <w:sz w:val="22"/>
              <w:szCs w:val="22"/>
            </w:rPr>
            <w:t>For example, hyper-methylation of HOXD13</w:t>
          </w:r>
          <w:r w:rsidR="00891AD8" w:rsidRPr="002400A3">
            <w:rPr>
              <w:sz w:val="22"/>
              <w:szCs w:val="22"/>
            </w:rPr>
            <w:t xml:space="preserve"> </w:t>
          </w:r>
          <w:r w:rsidR="00891AD8" w:rsidRPr="002400A3">
            <w:rPr>
              <w:sz w:val="22"/>
              <w:szCs w:val="22"/>
            </w:rPr>
            <w:fldChar w:fldCharType="begin" w:fldLock="1"/>
          </w:r>
          <w:r w:rsidR="004D2E2E" w:rsidRPr="002400A3">
            <w:rPr>
              <w:sz w:val="22"/>
              <w:szCs w:val="22"/>
            </w:rPr>
            <w:instrText>ADDIN CSL_CITATION {"citationItems":[{"id":"ITEM-1","itemData":{"ISSN":"1936-2625","PMID":"26617782","abstract":"Homeobox protein Hox-D13 is encoded by HOXD13 gene which is frequently methylated in cancer and has been recognized as a tumor suppressor in pancreatic cancer. In this study, we examined HOXD13 mRNA expression in 40 pairs of breast cancers and corresponding normal breast tissues. Bisulfite sequencing of HOXD13 promoter was performed in 6 pairs of breast tumors and corresponding normal breast tissues to examine the potential HOXD13 CpG methylated sites. HOXD13 DNA methylation frequency analysis was performed using MethyLight in 196 pairs of breast cancers and corresponding normal breast samples. DNA methylation status and clinico-pathological features were investigated. Kaplan-Meier survival analysis and Cox proportional hazards models were utilized to assess the effect of methylation status on overall survival. We found that 60% (24/40) of breast cancers showed low HOXD13 mRNA expression when compared with corresponding normal breast tissue. The predicted CpG island was located in the -1325 bp to +675 bp region. Next, the -332 bp site in HOXD13 gene promoter was further examined and in 57.7% (113/196) samples methylation was detected at this site. HOXD13 methylation was correlated with larger tumor size (P = 0.004), but not with other clinico-pathological parameters. In addition, patients with methylated -HOXD13 promoter had worse overall survival (OS) (P = 0.005). Based on our results we conclude that HOXD13 methylation is a common event in primary breast cancer and is associated with poor survival of breast cancer patients. HOXD13 methylation could therefore potentially be used as a prognostic factor for breast cancer.","author":[{"dropping-particle":"","family":"Zhong","given":"Zhenbin","non-dropping-particle":"","parse-names":false,"suffix":""},{"dropping-particle":"","family":"Shan","given":"Ming","non-dropping-particle":"","parse-names":false,"suffix":""},{"dropping-particle":"","family":"Wang","given":"Ji","non-dropping-particle":"","parse-names":false,"suffix":""},{"dropping-particle":"","family":"Liu","given":"Tong","non-dropping-particle":"","parse-names":false,"suffix":""},{"dropping-particle":"","family":"Xia","given":"Bingshu","non-dropping-particle":"","parse-names":false,"suffix":""},{"dropping-particle":"","family":"Niu","given":"Ming","non-dropping-particle":"","parse-names":false,"suffix":""},{"dropping-particle":"","family":"Ren","given":"Yanlv","non-dropping-particle":"","parse-names":false,"suffix":""},{"dropping-particle":"","family":"Pang","given":"Da","non-dropping-particle":"","parse-names":false,"suffix":""}],"container-title":"International journal of clinical and experimental pathology","id":"ITEM-1","issue":"9","issued":{"date-parts":[["2015"]]},"page":"10716-24","publisher":"e-Century Publishing Corporation","title":"HOXD13 methylation status is a prognostic indicator in breast cancer.","type":"article-journal","volume":"8"},"uris":["http://www.mendeley.com/documents/?uuid=0fe59492-36e4-3428-bd48-b35f531ac1eb"]}],"mendeley":{"formattedCitation":"&lt;sup&gt;3&lt;/sup&gt;","plainTextFormattedCitation":"3","previouslyFormattedCitation":"&lt;sup&gt;3&lt;/sup&gt;"},"properties":{"noteIndex":0},"schema":"https://github.com/citation-style-language/schema/raw/master/csl-citation.json"}</w:instrText>
          </w:r>
          <w:r w:rsidR="00891AD8" w:rsidRPr="002400A3">
            <w:rPr>
              <w:sz w:val="22"/>
              <w:szCs w:val="22"/>
            </w:rPr>
            <w:fldChar w:fldCharType="separate"/>
          </w:r>
          <w:r w:rsidR="0058710A" w:rsidRPr="002400A3">
            <w:rPr>
              <w:noProof/>
              <w:sz w:val="22"/>
              <w:szCs w:val="22"/>
              <w:vertAlign w:val="superscript"/>
            </w:rPr>
            <w:t>3</w:t>
          </w:r>
          <w:r w:rsidR="00891AD8" w:rsidRPr="002400A3">
            <w:rPr>
              <w:sz w:val="22"/>
              <w:szCs w:val="22"/>
            </w:rPr>
            <w:fldChar w:fldCharType="end"/>
          </w:r>
          <w:r w:rsidRPr="002400A3">
            <w:rPr>
              <w:sz w:val="22"/>
              <w:szCs w:val="22"/>
            </w:rPr>
            <w:t>, HOXC5, and HOXC4</w:t>
          </w:r>
          <w:r w:rsidR="00891AD8" w:rsidRPr="002400A3">
            <w:rPr>
              <w:sz w:val="22"/>
              <w:szCs w:val="22"/>
            </w:rPr>
            <w:t xml:space="preserve"> </w:t>
          </w:r>
          <w:r w:rsidR="00891AD8" w:rsidRPr="002400A3">
            <w:rPr>
              <w:sz w:val="22"/>
              <w:szCs w:val="22"/>
            </w:rPr>
            <w:fldChar w:fldCharType="begin" w:fldLock="1"/>
          </w:r>
          <w:r w:rsidR="004D2E2E" w:rsidRPr="002400A3">
            <w:rPr>
              <w:sz w:val="22"/>
              <w:szCs w:val="22"/>
            </w:rPr>
            <w:instrText>ADDIN CSL_CITATION {"citationItems":[{"id":"ITEM-1","itemData":{"DOI":"10.1093/hmg/ddt420","ISSN":"1460-2083","PMID":"24014427","abstract":"Melanoma brain metastasis (MBM) represents a frequent complication of cutaneous melanoma. Despite aggressive multi-modality therapy, patients with MBM often have a survival rate of &lt;1 year. Alteration in DNA methylation is a major hallmark of tumor progression and metastasis; however, it remains largely unexplored in MBM. In this study, we generated a comprehensive DNA methylation landscape through the use of genome-wide copy number, DNA methylation and gene expression data integrative analysis of melanoma progression to MBM. A progressive genome-wide demethylation in low CpG density and an increase in methylation level of CpG islands according to melanoma progression were observed. MBM-specific partially methylated domains (PMDs) affecting key brain developmental processes were identified. Differentially methylated CpG sites between MBM and lymph node metastasis (LNM) from patients with good prognosis were identified. Among the most significantly affected genes were the HOX family members. DNA methylation of HOXD9 gene promoter affected transcript and protein expression and was significantly higher in MBM than that in early stages. A MBM-specific PMD was identified in this region. Low methylation level of this region was associated with active HOXD9 expression, open chromatin and histone modifications associated with active transcription. Demethylating agent induced HOXD9 expression in melanoma cell lines. The clinical relevance of this finding was verified in an independent large cohort of melanomas (n = 145). Patients with HOXD9 hypermethylation in LNM had poorer disease-free and overall survival. This epigenome-wide study identified novel methylated genes with functional and clinical implications for MBM patients.","author":[{"dropping-particle":"","family":"Marzese","given":"Diego M","non-dropping-particle":"","parse-names":false,"suffix":""},{"dropping-particle":"","family":"Scolyer","given":"Richard A","non-dropping-particle":"","parse-names":false,"suffix":""},{"dropping-particle":"","family":"Huynh","given":"Jamie L","non-dropping-particle":"","parse-names":false,"suffix":""},{"dropping-particle":"","family":"Huang","given":"Sharon K","non-dropping-particle":"","parse-names":false,"suffix":""},{"dropping-particle":"","family":"Hirose","given":"Hajime","non-dropping-particle":"","parse-names":false,"suffix":""},{"dropping-particle":"","family":"Chong","given":"Kelly K","non-dropping-particle":"","parse-names":false,"suffix":""},{"dropping-particle":"","family":"Kiyohara","given":"Eiji","non-dropping-particle":"","parse-names":false,"suffix":""},{"dropping-particle":"","family":"Wang","given":"Jinhua","non-dropping-particle":"","parse-names":false,"suffix":""},{"dropping-particle":"","family":"Kawas","given":"Neal P","non-dropping-particle":"","parse-names":false,"suffix":""},{"dropping-particle":"","family":"Donovan","given":"Nicholas C","non-dropping-particle":"","parse-names":false,"suffix":""},{"dropping-particle":"","family":"Hata","given":"Keisuke","non-dropping-particle":"","parse-names":false,"suffix":""},{"dropping-particle":"","family":"Wilmott","given":"James S","non-dropping-particle":"","parse-names":false,"suffix":""},{"dropping-particle":"","family":"Murali","given":"Rajmohan","non-dropping-particle":"","parse-names":false,"suffix":""},{"dropping-particle":"","family":"Buckland","given":"Michael E","non-dropping-particle":"","parse-names":false,"suffix":""},{"dropping-particle":"","family":"Shivalingam","given":"Brindha","non-dropping-particle":"","parse-names":false,"suffix":""},{"dropping-particle":"","family":"Thompson","given":"John F","non-dropping-particle":"","parse-names":false,"suffix":""},{"dropping-particle":"","family":"Morton","given":"Donald L","non-dropping-particle":"","parse-names":false,"suffix":""},{"dropping-particle":"","family":"Kelly","given":"Daniel F","non-dropping-particle":"","parse-names":false,"suffix":""},{"dropping-particle":"","family":"Hoon","given":"Dave S B","non-dropping-particle":"","parse-names":false,"suffix":""}],"container-title":"Human molecular genetics","id":"ITEM-1","issue":"1","issued":{"date-parts":[["2014","1","1"]]},"page":"226-38","publisher":"Oxford University Press","title":"Epigenome-wide DNA methylation landscape of melanoma progression to brain metastasis reveals aberrations on homeobox D cluster associated with prognosis.","type":"article-journal","volume":"23"},"uris":["http://www.mendeley.com/documents/?uuid=62eebcb2-0422-3521-a56a-664140c66a01"]}],"mendeley":{"formattedCitation":"&lt;sup&gt;4&lt;/sup&gt;","plainTextFormattedCitation":"4","previouslyFormattedCitation":"&lt;sup&gt;4&lt;/sup&gt;"},"properties":{"noteIndex":0},"schema":"https://github.com/citation-style-language/schema/raw/master/csl-citation.json"}</w:instrText>
          </w:r>
          <w:r w:rsidR="00891AD8" w:rsidRPr="002400A3">
            <w:rPr>
              <w:sz w:val="22"/>
              <w:szCs w:val="22"/>
            </w:rPr>
            <w:fldChar w:fldCharType="separate"/>
          </w:r>
          <w:r w:rsidR="0058710A" w:rsidRPr="002400A3">
            <w:rPr>
              <w:noProof/>
              <w:sz w:val="22"/>
              <w:szCs w:val="22"/>
              <w:vertAlign w:val="superscript"/>
            </w:rPr>
            <w:t>4</w:t>
          </w:r>
          <w:r w:rsidR="00891AD8" w:rsidRPr="002400A3">
            <w:rPr>
              <w:sz w:val="22"/>
              <w:szCs w:val="22"/>
            </w:rPr>
            <w:fldChar w:fldCharType="end"/>
          </w:r>
          <w:r w:rsidRPr="002400A3">
            <w:rPr>
              <w:sz w:val="22"/>
              <w:szCs w:val="22"/>
            </w:rPr>
            <w:t>, were associated with poor prognosis and metastasis progression</w:t>
          </w:r>
          <w:r w:rsidRPr="002400A3">
            <w:rPr>
              <w:b/>
              <w:sz w:val="22"/>
              <w:szCs w:val="22"/>
            </w:rPr>
            <w:t xml:space="preserve">. </w:t>
          </w:r>
          <w:r w:rsidR="002400A3" w:rsidRPr="002400A3">
            <w:rPr>
              <w:sz w:val="22"/>
              <w:szCs w:val="22"/>
            </w:rPr>
            <w:t>Interestingly</w:t>
          </w:r>
          <w:r w:rsidR="00B23E4D" w:rsidRPr="002400A3">
            <w:rPr>
              <w:sz w:val="22"/>
              <w:szCs w:val="22"/>
            </w:rPr>
            <w:t>, G</w:t>
          </w:r>
          <w:r w:rsidRPr="002400A3">
            <w:rPr>
              <w:sz w:val="22"/>
              <w:szCs w:val="22"/>
            </w:rPr>
            <w:t>PD1 is ranked overall 2nd in our analysis</w:t>
          </w:r>
          <w:r w:rsidR="00B23E4D" w:rsidRPr="002400A3">
            <w:rPr>
              <w:sz w:val="22"/>
              <w:szCs w:val="22"/>
            </w:rPr>
            <w:t>,</w:t>
          </w:r>
          <w:r w:rsidRPr="002400A3">
            <w:rPr>
              <w:sz w:val="22"/>
              <w:szCs w:val="22"/>
            </w:rPr>
            <w:t xml:space="preserve"> hyper-methylated in 13 cancers (aggressive subtype) and </w:t>
          </w:r>
          <w:r w:rsidR="00B23E4D" w:rsidRPr="002400A3">
            <w:rPr>
              <w:sz w:val="22"/>
              <w:szCs w:val="22"/>
            </w:rPr>
            <w:t xml:space="preserve">is </w:t>
          </w:r>
          <w:r w:rsidRPr="002400A3">
            <w:rPr>
              <w:sz w:val="22"/>
              <w:szCs w:val="22"/>
            </w:rPr>
            <w:t xml:space="preserve">associated </w:t>
          </w:r>
          <w:r w:rsidRPr="002400A3">
            <w:rPr>
              <w:sz w:val="22"/>
              <w:szCs w:val="22"/>
            </w:rPr>
            <w:lastRenderedPageBreak/>
            <w:t>with survival in 4 cancers.</w:t>
          </w:r>
          <w:r w:rsidR="00D02E72" w:rsidRPr="002400A3">
            <w:rPr>
              <w:sz w:val="22"/>
              <w:szCs w:val="22"/>
            </w:rPr>
            <w:t xml:space="preserve"> </w:t>
          </w:r>
          <w:r w:rsidR="00E17D8C" w:rsidRPr="002400A3">
            <w:rPr>
              <w:sz w:val="22"/>
              <w:szCs w:val="22"/>
            </w:rPr>
            <w:t xml:space="preserve"> </w:t>
          </w:r>
          <w:r w:rsidR="009606AC" w:rsidRPr="002400A3">
            <w:rPr>
              <w:color w:val="000000"/>
              <w:sz w:val="22"/>
              <w:szCs w:val="22"/>
            </w:rPr>
            <w:t xml:space="preserve">The strong </w:t>
          </w:r>
          <w:r w:rsidR="00B23E4D" w:rsidRPr="002400A3">
            <w:rPr>
              <w:color w:val="000000"/>
              <w:sz w:val="22"/>
              <w:szCs w:val="22"/>
            </w:rPr>
            <w:t>association</w:t>
          </w:r>
          <w:r w:rsidR="009606AC" w:rsidRPr="002400A3">
            <w:rPr>
              <w:color w:val="000000"/>
              <w:sz w:val="22"/>
              <w:szCs w:val="22"/>
            </w:rPr>
            <w:t xml:space="preserve"> of GPD1 with tumor progression is new, in that previous literature on this aspect is lacking.</w:t>
          </w:r>
          <w:r w:rsidR="00B23E4D" w:rsidRPr="002400A3">
            <w:rPr>
              <w:color w:val="000000"/>
              <w:sz w:val="22"/>
              <w:szCs w:val="22"/>
            </w:rPr>
            <w:t xml:space="preserve"> T</w:t>
          </w:r>
          <w:r w:rsidR="00E17D8C" w:rsidRPr="002400A3">
            <w:rPr>
              <w:sz w:val="22"/>
              <w:szCs w:val="22"/>
            </w:rPr>
            <w:t xml:space="preserve">he top </w:t>
          </w:r>
          <w:r w:rsidR="00B23E4D" w:rsidRPr="002400A3">
            <w:rPr>
              <w:sz w:val="22"/>
              <w:szCs w:val="22"/>
            </w:rPr>
            <w:t>2 mostly</w:t>
          </w:r>
          <w:r w:rsidR="00E17D8C" w:rsidRPr="002400A3">
            <w:rPr>
              <w:sz w:val="22"/>
              <w:szCs w:val="22"/>
            </w:rPr>
            <w:t xml:space="preserve"> hypomethylated genes </w:t>
          </w:r>
          <w:r w:rsidR="00B23E4D" w:rsidRPr="002400A3">
            <w:rPr>
              <w:sz w:val="22"/>
              <w:szCs w:val="22"/>
            </w:rPr>
            <w:t>are</w:t>
          </w:r>
          <w:r w:rsidR="00E17D8C" w:rsidRPr="002400A3">
            <w:rPr>
              <w:sz w:val="22"/>
              <w:szCs w:val="22"/>
            </w:rPr>
            <w:t xml:space="preserve"> YOD1 (1</w:t>
          </w:r>
          <w:r w:rsidR="00E17D8C" w:rsidRPr="002400A3">
            <w:rPr>
              <w:sz w:val="22"/>
              <w:szCs w:val="22"/>
              <w:vertAlign w:val="superscript"/>
            </w:rPr>
            <w:t>st</w:t>
          </w:r>
          <w:r w:rsidR="00E17D8C" w:rsidRPr="002400A3">
            <w:rPr>
              <w:sz w:val="22"/>
              <w:szCs w:val="22"/>
            </w:rPr>
            <w:t>),</w:t>
          </w:r>
          <w:r w:rsidR="0085793E" w:rsidRPr="002400A3">
            <w:rPr>
              <w:sz w:val="22"/>
              <w:szCs w:val="22"/>
            </w:rPr>
            <w:t xml:space="preserve"> and</w:t>
          </w:r>
          <w:r w:rsidR="00E17D8C" w:rsidRPr="002400A3">
            <w:rPr>
              <w:sz w:val="22"/>
              <w:szCs w:val="22"/>
            </w:rPr>
            <w:t xml:space="preserve"> CYFIP1 (2</w:t>
          </w:r>
          <w:r w:rsidR="00E17D8C" w:rsidRPr="002400A3">
            <w:rPr>
              <w:sz w:val="22"/>
              <w:szCs w:val="22"/>
              <w:vertAlign w:val="superscript"/>
            </w:rPr>
            <w:t>nd</w:t>
          </w:r>
          <w:r w:rsidR="00E17D8C" w:rsidRPr="002400A3">
            <w:rPr>
              <w:sz w:val="22"/>
              <w:szCs w:val="22"/>
            </w:rPr>
            <w:t>)</w:t>
          </w:r>
          <w:r w:rsidR="0085793E" w:rsidRPr="002400A3">
            <w:rPr>
              <w:sz w:val="22"/>
              <w:szCs w:val="22"/>
            </w:rPr>
            <w:t>.</w:t>
          </w:r>
          <w:r w:rsidR="00E17D8C" w:rsidRPr="002400A3">
            <w:rPr>
              <w:sz w:val="22"/>
              <w:szCs w:val="22"/>
            </w:rPr>
            <w:t xml:space="preserve"> </w:t>
          </w:r>
          <w:r w:rsidR="008E5A1D" w:rsidRPr="002400A3">
            <w:rPr>
              <w:sz w:val="22"/>
              <w:szCs w:val="22"/>
            </w:rPr>
            <w:t xml:space="preserve">YOD1 is a </w:t>
          </w:r>
          <w:proofErr w:type="spellStart"/>
          <w:r w:rsidR="00B23E4D" w:rsidRPr="002400A3">
            <w:rPr>
              <w:color w:val="333333"/>
              <w:sz w:val="22"/>
              <w:szCs w:val="22"/>
              <w:shd w:val="clear" w:color="auto" w:fill="FFFFFF"/>
            </w:rPr>
            <w:t>deubiquitinase</w:t>
          </w:r>
          <w:proofErr w:type="spellEnd"/>
          <w:r w:rsidR="008E5A1D" w:rsidRPr="002400A3">
            <w:rPr>
              <w:sz w:val="22"/>
              <w:szCs w:val="22"/>
            </w:rPr>
            <w:t xml:space="preserve"> that acts as a regulator of the Hippo pathway</w:t>
          </w:r>
          <w:r w:rsidR="00B23E4D" w:rsidRPr="002400A3">
            <w:rPr>
              <w:sz w:val="22"/>
              <w:szCs w:val="22"/>
            </w:rPr>
            <w:t xml:space="preserve"> and</w:t>
          </w:r>
          <w:r w:rsidR="008E5A1D" w:rsidRPr="002400A3">
            <w:rPr>
              <w:sz w:val="22"/>
              <w:szCs w:val="22"/>
            </w:rPr>
            <w:t xml:space="preserve"> a potential therapeutic target to treat liver cancer</w:t>
          </w:r>
          <w:r w:rsidR="004D2E2E" w:rsidRPr="002400A3">
            <w:rPr>
              <w:sz w:val="22"/>
              <w:szCs w:val="22"/>
            </w:rPr>
            <w:fldChar w:fldCharType="begin" w:fldLock="1"/>
          </w:r>
          <w:r w:rsidR="004D2E2E" w:rsidRPr="002400A3">
            <w:rPr>
              <w:sz w:val="22"/>
              <w:szCs w:val="22"/>
            </w:rPr>
            <w:instrText>ADDIN CSL_CITATION {"citationItems":[{"id":"ITEM-1","itemData":{"author":[{"dropping-particle":"","family":"Kim","given":"Youngeun","non-dropping-particle":"","parse-names":false,"suffix":""},{"dropping-particle":"","family":"Jho","given":"Eek-hoon","non-dropping-particle":"","parse-names":false,"suffix":""}],"container-title":"BMB reports","id":"ITEM-1","issue":"6","issued":{"date-parts":[["2017"]]},"page":"281","publisher":"Korean Society for Biochemistry and Molecular Biology","title":"Deubiquitinase YOD1: the potent activator of YAP in hepatomegaly and liver cancer","type":"article-journal","volume":"50"},"uris":["http://www.mendeley.com/documents/?uuid=16f6ff7a-3262-4d7e-88b6-46015db20a58"]}],"mendeley":{"formattedCitation":"&lt;sup&gt;5&lt;/sup&gt;","plainTextFormattedCitation":"5","previouslyFormattedCitation":"&lt;sup&gt;5&lt;/sup&gt;"},"properties":{"noteIndex":0},"schema":"https://github.com/citation-style-language/schema/raw/master/csl-citation.json"}</w:instrText>
          </w:r>
          <w:r w:rsidR="004D2E2E" w:rsidRPr="002400A3">
            <w:rPr>
              <w:sz w:val="22"/>
              <w:szCs w:val="22"/>
            </w:rPr>
            <w:fldChar w:fldCharType="separate"/>
          </w:r>
          <w:r w:rsidR="004D2E2E" w:rsidRPr="002400A3">
            <w:rPr>
              <w:noProof/>
              <w:sz w:val="22"/>
              <w:szCs w:val="22"/>
              <w:vertAlign w:val="superscript"/>
            </w:rPr>
            <w:t>5</w:t>
          </w:r>
          <w:r w:rsidR="004D2E2E" w:rsidRPr="002400A3">
            <w:rPr>
              <w:sz w:val="22"/>
              <w:szCs w:val="22"/>
            </w:rPr>
            <w:fldChar w:fldCharType="end"/>
          </w:r>
          <w:r w:rsidR="008E5A1D" w:rsidRPr="002400A3">
            <w:rPr>
              <w:sz w:val="22"/>
              <w:szCs w:val="22"/>
            </w:rPr>
            <w:t xml:space="preserve">. Following the literature, YOD1 is significantly associated with survival in the </w:t>
          </w:r>
          <w:r w:rsidR="00516487" w:rsidRPr="002400A3">
            <w:rPr>
              <w:sz w:val="22"/>
              <w:szCs w:val="22"/>
            </w:rPr>
            <w:t xml:space="preserve">TCGA </w:t>
          </w:r>
          <w:r w:rsidR="008E5A1D" w:rsidRPr="002400A3">
            <w:rPr>
              <w:sz w:val="22"/>
              <w:szCs w:val="22"/>
            </w:rPr>
            <w:t>HCC dataset (</w:t>
          </w:r>
          <w:r w:rsidR="002400A3" w:rsidRPr="002400A3">
            <w:rPr>
              <w:sz w:val="22"/>
              <w:szCs w:val="22"/>
            </w:rPr>
            <w:t xml:space="preserve">log-rank </w:t>
          </w:r>
          <w:r w:rsidR="008E5A1D" w:rsidRPr="002400A3">
            <w:rPr>
              <w:sz w:val="22"/>
              <w:szCs w:val="22"/>
            </w:rPr>
            <w:t xml:space="preserve">p-value =0.005). CYFIP1 is was </w:t>
          </w:r>
          <w:r w:rsidR="002400A3" w:rsidRPr="002400A3">
            <w:rPr>
              <w:sz w:val="22"/>
              <w:szCs w:val="22"/>
            </w:rPr>
            <w:t>shown</w:t>
          </w:r>
          <w:r w:rsidR="0085793E" w:rsidRPr="002400A3">
            <w:rPr>
              <w:sz w:val="22"/>
              <w:szCs w:val="22"/>
            </w:rPr>
            <w:t xml:space="preserve"> essential for</w:t>
          </w:r>
          <w:r w:rsidR="008E5A1D" w:rsidRPr="002400A3">
            <w:rPr>
              <w:sz w:val="22"/>
              <w:szCs w:val="22"/>
            </w:rPr>
            <w:t xml:space="preserve"> breast cancer metastasis</w:t>
          </w:r>
          <w:r w:rsidR="004D2E2E" w:rsidRPr="002400A3">
            <w:rPr>
              <w:sz w:val="22"/>
              <w:szCs w:val="22"/>
            </w:rPr>
            <w:fldChar w:fldCharType="begin" w:fldLock="1"/>
          </w:r>
          <w:r w:rsidR="00632DD4" w:rsidRPr="002400A3">
            <w:rPr>
              <w:sz w:val="22"/>
              <w:szCs w:val="22"/>
            </w:rPr>
            <w:instrText>ADDIN CSL_CITATION {"citationItems":[{"id":"ITEM-1","itemData":{"author":[{"dropping-particle":"","family":"Teng","given":"Yong","non-dropping-particle":"","parse-names":false,"suffix":""},{"dropping-particle":"","family":"Qin","given":"Haiyan","non-dropping-particle":"","parse-names":false,"suffix":""},{"dropping-particle":"","family":"Bahassan","given":"Abdulaziz","non-dropping-particle":"","parse-names":false,"suffix":""},{"dropping-particle":"","family":"Bendzunas","given":"N George","non-dropping-particle":"","parse-names":false,"suffix":""},{"dropping-particle":"","family":"Kennedy","given":"Eileen J","non-dropping-particle":"","parse-names":false,"suffix":""},{"dropping-particle":"","family":"Cowell","given":"John K","non-dropping-particle":"","parse-names":false,"suffix":""}],"container-title":"Cancer research","id":"ITEM-1","issue":"17","issued":{"date-parts":[["2016"]]},"page":"5133-5142","publisher":"AACR","title":"The WASF3--NCKAP1--CYFIP1 complex is essential for breast cancer metastasis","type":"article-journal","volume":"76"},"uris":["http://www.mendeley.com/documents/?uuid=f930e463-a00d-4132-91ed-94430c9b80c2"]}],"mendeley":{"formattedCitation":"&lt;sup&gt;6&lt;/sup&gt;","plainTextFormattedCitation":"6","previouslyFormattedCitation":"&lt;sup&gt;6&lt;/sup&gt;"},"properties":{"noteIndex":0},"schema":"https://github.com/citation-style-language/schema/raw/master/csl-citation.json"}</w:instrText>
          </w:r>
          <w:r w:rsidR="004D2E2E" w:rsidRPr="002400A3">
            <w:rPr>
              <w:sz w:val="22"/>
              <w:szCs w:val="22"/>
            </w:rPr>
            <w:fldChar w:fldCharType="separate"/>
          </w:r>
          <w:r w:rsidR="004D2E2E" w:rsidRPr="002400A3">
            <w:rPr>
              <w:noProof/>
              <w:sz w:val="22"/>
              <w:szCs w:val="22"/>
              <w:vertAlign w:val="superscript"/>
            </w:rPr>
            <w:t>6</w:t>
          </w:r>
          <w:r w:rsidR="004D2E2E" w:rsidRPr="002400A3">
            <w:rPr>
              <w:sz w:val="22"/>
              <w:szCs w:val="22"/>
            </w:rPr>
            <w:fldChar w:fldCharType="end"/>
          </w:r>
          <w:r w:rsidR="004D2E2E" w:rsidRPr="002400A3">
            <w:rPr>
              <w:sz w:val="22"/>
              <w:szCs w:val="22"/>
            </w:rPr>
            <w:t>,</w:t>
          </w:r>
          <w:r w:rsidR="0085793E" w:rsidRPr="002400A3">
            <w:rPr>
              <w:sz w:val="22"/>
              <w:szCs w:val="22"/>
            </w:rPr>
            <w:t xml:space="preserve"> and is also significantly </w:t>
          </w:r>
          <w:r w:rsidR="002400A3" w:rsidRPr="002400A3">
            <w:rPr>
              <w:sz w:val="22"/>
              <w:szCs w:val="22"/>
            </w:rPr>
            <w:t>associated</w:t>
          </w:r>
          <w:r w:rsidR="0085793E" w:rsidRPr="002400A3">
            <w:rPr>
              <w:sz w:val="22"/>
              <w:szCs w:val="22"/>
            </w:rPr>
            <w:t xml:space="preserve"> with survival in the</w:t>
          </w:r>
          <w:r w:rsidR="002400A3" w:rsidRPr="002400A3">
            <w:rPr>
              <w:sz w:val="22"/>
              <w:szCs w:val="22"/>
            </w:rPr>
            <w:t xml:space="preserve"> TCGA</w:t>
          </w:r>
          <w:r w:rsidR="0085793E" w:rsidRPr="002400A3">
            <w:rPr>
              <w:sz w:val="22"/>
              <w:szCs w:val="22"/>
            </w:rPr>
            <w:t xml:space="preserve"> BRCA dataset (</w:t>
          </w:r>
          <w:r w:rsidR="002400A3" w:rsidRPr="002400A3">
            <w:rPr>
              <w:sz w:val="22"/>
              <w:szCs w:val="22"/>
            </w:rPr>
            <w:t xml:space="preserve">long-rank </w:t>
          </w:r>
          <w:r w:rsidR="0085793E" w:rsidRPr="002400A3">
            <w:rPr>
              <w:sz w:val="22"/>
              <w:szCs w:val="22"/>
            </w:rPr>
            <w:t xml:space="preserve">p-value=0.04). </w:t>
          </w:r>
        </w:p>
      </w:sdtContent>
    </w:sdt>
    <w:bookmarkStart w:id="3" w:name="_heading=h.17dp8vu" w:colFirst="0" w:colLast="0" w:displacedByCustomXml="next"/>
    <w:bookmarkEnd w:id="3" w:displacedByCustomXml="next"/>
    <w:sdt>
      <w:sdtPr>
        <w:rPr>
          <w:rFonts w:cs="Times New Roman"/>
        </w:rPr>
        <w:tag w:val="goog_rdk_35"/>
        <w:id w:val="1931626955"/>
      </w:sdtPr>
      <w:sdtEndPr/>
      <w:sdtContent>
        <w:p w14:paraId="30629E84" w14:textId="06A421EF" w:rsidR="00BC78B8" w:rsidRPr="002400A3" w:rsidRDefault="00BC78B8" w:rsidP="004604D4">
          <w:pPr>
            <w:pStyle w:val="Heading4"/>
            <w:spacing w:line="480" w:lineRule="auto"/>
            <w:jc w:val="both"/>
            <w:rPr>
              <w:rFonts w:cs="Times New Roman"/>
            </w:rPr>
          </w:pPr>
          <w:r w:rsidRPr="002400A3">
            <w:rPr>
              <w:rFonts w:cs="Times New Roman"/>
            </w:rPr>
            <w:t>miRNA expression signature</w:t>
          </w:r>
        </w:p>
      </w:sdtContent>
    </w:sdt>
    <w:sdt>
      <w:sdtPr>
        <w:rPr>
          <w:rFonts w:ascii="Times New Roman" w:hAnsi="Times New Roman" w:cs="Times New Roman"/>
        </w:rPr>
        <w:tag w:val="goog_rdk_36"/>
        <w:id w:val="1330172355"/>
      </w:sdtPr>
      <w:sdtEndPr/>
      <w:sdtContent>
        <w:p w14:paraId="5267EFD0" w14:textId="21AFED88" w:rsidR="00BC78B8" w:rsidRPr="002400A3" w:rsidRDefault="002400A3" w:rsidP="004604D4">
          <w:pPr>
            <w:spacing w:line="480" w:lineRule="auto"/>
            <w:jc w:val="both"/>
            <w:rPr>
              <w:rFonts w:ascii="Times New Roman" w:hAnsi="Times New Roman" w:cs="Times New Roman"/>
            </w:rPr>
          </w:pPr>
          <w:proofErr w:type="spellStart"/>
          <w:r w:rsidRPr="002400A3">
            <w:rPr>
              <w:rFonts w:ascii="Times New Roman" w:hAnsi="Times New Roman" w:cs="Times New Roman"/>
            </w:rPr>
            <w:t>DeepProg</w:t>
          </w:r>
          <w:proofErr w:type="spellEnd"/>
          <w:r w:rsidRPr="002400A3">
            <w:rPr>
              <w:rFonts w:ascii="Times New Roman" w:hAnsi="Times New Roman" w:cs="Times New Roman"/>
            </w:rPr>
            <w:t xml:space="preserve"> pan-cancer analysis</w:t>
          </w:r>
          <w:r w:rsidR="00BC78B8" w:rsidRPr="002400A3">
            <w:rPr>
              <w:rFonts w:ascii="Times New Roman" w:hAnsi="Times New Roman" w:cs="Times New Roman"/>
            </w:rPr>
            <w:t xml:space="preserve"> detect</w:t>
          </w:r>
          <w:r w:rsidRPr="002400A3">
            <w:rPr>
              <w:rFonts w:ascii="Times New Roman" w:hAnsi="Times New Roman" w:cs="Times New Roman"/>
            </w:rPr>
            <w:t>s</w:t>
          </w:r>
          <w:r w:rsidR="00BC78B8" w:rsidRPr="002400A3">
            <w:rPr>
              <w:rFonts w:ascii="Times New Roman" w:hAnsi="Times New Roman" w:cs="Times New Roman"/>
            </w:rPr>
            <w:t xml:space="preserve"> miR-130b</w:t>
          </w:r>
          <w:r w:rsidR="00D02E72" w:rsidRPr="002400A3">
            <w:rPr>
              <w:rFonts w:ascii="Times New Roman" w:hAnsi="Times New Roman" w:cs="Times New Roman"/>
            </w:rPr>
            <w:t xml:space="preserve"> (1</w:t>
          </w:r>
          <w:r w:rsidR="00D02E72" w:rsidRPr="002400A3">
            <w:rPr>
              <w:rFonts w:ascii="Times New Roman" w:hAnsi="Times New Roman" w:cs="Times New Roman"/>
              <w:vertAlign w:val="superscript"/>
            </w:rPr>
            <w:t>st</w:t>
          </w:r>
          <w:r w:rsidR="00D02E72" w:rsidRPr="002400A3">
            <w:rPr>
              <w:rFonts w:ascii="Times New Roman" w:hAnsi="Times New Roman" w:cs="Times New Roman"/>
            </w:rPr>
            <w:t>)</w:t>
          </w:r>
          <w:r w:rsidR="00BC78B8" w:rsidRPr="002400A3">
            <w:rPr>
              <w:rFonts w:ascii="Times New Roman" w:hAnsi="Times New Roman" w:cs="Times New Roman"/>
            </w:rPr>
            <w:t xml:space="preserve">, miR-199-a1 </w:t>
          </w:r>
          <w:r w:rsidR="00D02E72" w:rsidRPr="002400A3">
            <w:rPr>
              <w:rFonts w:ascii="Times New Roman" w:hAnsi="Times New Roman" w:cs="Times New Roman"/>
            </w:rPr>
            <w:t>(2</w:t>
          </w:r>
          <w:r w:rsidR="00D02E72" w:rsidRPr="002400A3">
            <w:rPr>
              <w:rFonts w:ascii="Times New Roman" w:hAnsi="Times New Roman" w:cs="Times New Roman"/>
              <w:vertAlign w:val="superscript"/>
            </w:rPr>
            <w:t>nd</w:t>
          </w:r>
          <w:r w:rsidR="00D02E72" w:rsidRPr="002400A3">
            <w:rPr>
              <w:rFonts w:ascii="Times New Roman" w:hAnsi="Times New Roman" w:cs="Times New Roman"/>
            </w:rPr>
            <w:t xml:space="preserve">) </w:t>
          </w:r>
          <w:r w:rsidR="00BC78B8" w:rsidRPr="002400A3">
            <w:rPr>
              <w:rFonts w:ascii="Times New Roman" w:hAnsi="Times New Roman" w:cs="Times New Roman"/>
            </w:rPr>
            <w:t xml:space="preserve">and miR-199-a2 </w:t>
          </w:r>
          <w:r w:rsidR="00D02E72" w:rsidRPr="002400A3">
            <w:rPr>
              <w:rFonts w:ascii="Times New Roman" w:hAnsi="Times New Roman" w:cs="Times New Roman"/>
            </w:rPr>
            <w:t>(3</w:t>
          </w:r>
          <w:r w:rsidR="00D02E72" w:rsidRPr="002400A3">
            <w:rPr>
              <w:rFonts w:ascii="Times New Roman" w:hAnsi="Times New Roman" w:cs="Times New Roman"/>
              <w:vertAlign w:val="superscript"/>
            </w:rPr>
            <w:t>rd</w:t>
          </w:r>
          <w:r w:rsidR="00D02E72" w:rsidRPr="002400A3">
            <w:rPr>
              <w:rFonts w:ascii="Times New Roman" w:hAnsi="Times New Roman" w:cs="Times New Roman"/>
            </w:rPr>
            <w:t xml:space="preserve">) </w:t>
          </w:r>
          <w:r w:rsidRPr="002400A3">
            <w:rPr>
              <w:rFonts w:ascii="Times New Roman" w:hAnsi="Times New Roman" w:cs="Times New Roman"/>
            </w:rPr>
            <w:t>as the most over</w:t>
          </w:r>
          <w:r w:rsidR="00BC78B8" w:rsidRPr="002400A3">
            <w:rPr>
              <w:rFonts w:ascii="Times New Roman" w:hAnsi="Times New Roman" w:cs="Times New Roman"/>
            </w:rPr>
            <w:t>-expressed miRNA signature</w:t>
          </w:r>
          <w:r w:rsidRPr="002400A3">
            <w:rPr>
              <w:rFonts w:ascii="Times New Roman" w:hAnsi="Times New Roman" w:cs="Times New Roman"/>
            </w:rPr>
            <w:t>s</w:t>
          </w:r>
          <w:r w:rsidR="00BC78B8" w:rsidRPr="002400A3">
            <w:rPr>
              <w:rFonts w:ascii="Times New Roman" w:hAnsi="Times New Roman" w:cs="Times New Roman"/>
            </w:rPr>
            <w:t xml:space="preserve">, and miR-29c and miR101-1 </w:t>
          </w:r>
          <w:r w:rsidRPr="002400A3">
            <w:rPr>
              <w:rFonts w:ascii="Times New Roman" w:hAnsi="Times New Roman" w:cs="Times New Roman"/>
            </w:rPr>
            <w:t>as the</w:t>
          </w:r>
          <w:r w:rsidR="00BC78B8" w:rsidRPr="002400A3">
            <w:rPr>
              <w:rFonts w:ascii="Times New Roman" w:hAnsi="Times New Roman" w:cs="Times New Roman"/>
            </w:rPr>
            <w:t xml:space="preserve"> </w:t>
          </w:r>
          <w:r w:rsidRPr="002400A3">
            <w:rPr>
              <w:rFonts w:ascii="Times New Roman" w:hAnsi="Times New Roman" w:cs="Times New Roman"/>
            </w:rPr>
            <w:t>most</w:t>
          </w:r>
          <w:r w:rsidR="00BC78B8" w:rsidRPr="002400A3">
            <w:rPr>
              <w:rFonts w:ascii="Times New Roman" w:hAnsi="Times New Roman" w:cs="Times New Roman"/>
            </w:rPr>
            <w:t xml:space="preserve"> under-expressed miRNA signature (</w:t>
          </w:r>
          <w:r w:rsidR="00BC78B8" w:rsidRPr="002400A3">
            <w:rPr>
              <w:rFonts w:ascii="Times New Roman" w:hAnsi="Times New Roman" w:cs="Times New Roman"/>
              <w:b/>
            </w:rPr>
            <w:t>Suppl</w:t>
          </w:r>
          <w:r w:rsidR="006233D2" w:rsidRPr="002400A3">
            <w:rPr>
              <w:rFonts w:ascii="Times New Roman" w:hAnsi="Times New Roman" w:cs="Times New Roman"/>
              <w:b/>
            </w:rPr>
            <w:t>ementary</w:t>
          </w:r>
          <w:r w:rsidR="00BC78B8" w:rsidRPr="002400A3">
            <w:rPr>
              <w:rFonts w:ascii="Times New Roman" w:hAnsi="Times New Roman" w:cs="Times New Roman"/>
              <w:b/>
            </w:rPr>
            <w:t xml:space="preserve"> Table </w:t>
          </w:r>
          <w:r w:rsidR="006233D2" w:rsidRPr="002400A3">
            <w:rPr>
              <w:rFonts w:ascii="Times New Roman" w:hAnsi="Times New Roman" w:cs="Times New Roman"/>
              <w:b/>
            </w:rPr>
            <w:t>5</w:t>
          </w:r>
          <w:r w:rsidR="00BC78B8" w:rsidRPr="002400A3">
            <w:rPr>
              <w:rFonts w:ascii="Times New Roman" w:hAnsi="Times New Roman" w:cs="Times New Roman"/>
            </w:rPr>
            <w:t>). miR-130b over-expression was previously associated with HCC and Ewing sarcoma and metastasis proliferation</w:t>
          </w:r>
          <w:r w:rsidR="0019556F" w:rsidRPr="002400A3">
            <w:rPr>
              <w:rFonts w:ascii="Times New Roman" w:hAnsi="Times New Roman" w:cs="Times New Roman"/>
            </w:rPr>
            <w:t xml:space="preserve"> </w:t>
          </w:r>
          <w:r w:rsidR="0019556F" w:rsidRPr="002400A3">
            <w:rPr>
              <w:rFonts w:ascii="Times New Roman" w:hAnsi="Times New Roman" w:cs="Times New Roman"/>
            </w:rPr>
            <w:fldChar w:fldCharType="begin" w:fldLock="1"/>
          </w:r>
          <w:r w:rsidR="00632DD4" w:rsidRPr="002400A3">
            <w:rPr>
              <w:rFonts w:ascii="Times New Roman" w:hAnsi="Times New Roman" w:cs="Times New Roman"/>
            </w:rPr>
            <w:instrText>ADDIN CSL_CITATION {"citationItems":[{"id":"ITEM-1","itemData":{"DOI":"10.1007/s13277-016-4919-z","ISSN":"1010-4283","PMID":"26861561","abstract":"Hepatocellular carcinoma (HCC) is a major cause of cancer-related deaths owing to its high rate of postoperative recurrence and metastasis. New research is continuously identifying novel metastasis-associated oncogenes and tumor suppressor genes. miRNAs are noncoding RNAs that regulate protein synthesis post-translationally. miR-130b is one of several miRNAs involved in tumor metastasis. However, the role of miR-130b in HCC remains controversial. Here, we demonstrate that miR-130b is highly expressed in HCC and that it correlates with tumor number, vascular invasion, and TNM stage-important predictors of postoperative recurrence and metastases. Moreover, high levels of miR-130b predicted poor overall and disease-free survival of HCC patients, and in vitro and in vivo research revealed that knockdown or overexpression of miR-130b inhibited and promoted proliferation and metastasis of HCC cells, respectively. We identified PTEN as a direct functional target of miR-130b using miRNA databases and a dual luciferase report assay. Next, using a gain and loss assay and epithelial-mesenchymal transition (EMT) relative assays, we show that miR-130b may promote proliferation and EMT-induced metastasis via PTEN/p-AKT/HIF-1α signaling. Collectively, our data suggests that miR-130b may have prognostic value in HCC. Additionally, the miR-130b/PTEN/p-AKT/HIF-1α axis identified in this study provides novel insight into the mechanisms of HCC metastasis, which may facilitate the development of new therapeutics against HCC.","author":[{"dropping-particle":"","family":"Chang","given":"Rui-Min","non-dropping-particle":"","parse-names":false,"suffix":""},{"dropping-particle":"","family":"Xu","given":"Jiang-Feng","non-dropping-particle":"","parse-names":false,"suffix":""},{"dropping-particle":"","family":"Fang","given":"Feng","non-dropping-particle":"","parse-names":false,"suffix":""},{"dropping-particle":"","family":"Yang","given":"Hao","non-dropping-particle":"","parse-names":false,"suffix":""},{"dropping-particle":"","family":"Yang","given":"Lian-Yue","non-dropping-particle":"","parse-names":false,"suffix":""}],"container-title":"Tumor Biology","id":"ITEM-1","issue":"8","issued":{"date-parts":[["2016","8","10"]]},"page":"10609-10619","title":"MicroRNA-130b promotes proliferation and EMT-induced metastasis via PTEN/p-AKT/HIF-1α signaling","type":"article-journal","volume":"37"},"uris":["http://www.mendeley.com/documents/?uuid=7c0c0b51-732f-392f-92d8-572f6d86b459"]},{"id":"ITEM-2","itemData":{"DOI":"10.1002/ijc.30909","ISSN":"00207136","PMID":"28748534","abstract":"Ewing Sarcoma (ES) is a highly aggressive bone tumor with peak incidence in the adolescent population. It has a high propensity to metastasize, which is associated with dismal survival rates of approximately 25%. To further understand mechanisms of metastasis we investigated microRNA regulatory networks in ES. Our studies focused on miR-130b due to our analysis that enhanced expression of this microRNA has clinical relevance in multiple sarcomas, including ES. Our studies provide insights into a novel positive feedback network involving the direct regulation of miR-130b and activation of downstream signaling events contributing toward sarcoma metastasis. Specifically, we demonstrated miR-130b induces proliferation, invasion, and migration in vitro and increased metastatic potential in vivo. Using microarray analysis of ES cells with differential miR-130b expression we identified alterations in downstream signaling cascades including activation of the CDC42 pathway. We identified ARHGAP1, which is a negative regulator of CDC42, as a novel, direct target of miR-130b. In turn, downstream activation of PAK1 activated the JNK and AP-1 cascades and downstream transcriptional targets including IL-8, MMP1 and CCND1. Furthermore, chromatin immunoprecipitation of endogenous AP-1 in ES cells demonstrated direct binding to an upstream consensus binding site within the miR-130b promoter. Finally, small molecule inhibition of PAK1 blocked miR-130b activation of JNK and downstream AP-1 target genes, including primary miR-130b transcripts, and miR-130b oncogenic properties, thus identifying PAK1 as a novel therapeutic target for ES. Taken together, our findings identify and characterize a novel, targetable miR-130b regulatory network that promotes ES metastasis.","author":[{"dropping-particle":"","family":"Satterfield","given":"Laura","non-dropping-particle":"","parse-names":false,"suffix":""},{"dropping-particle":"","family":"Shuck","given":"Ryan","non-dropping-particle":"","parse-names":false,"suffix":""},{"dropping-particle":"","family":"Kurenbekova","given":"Lyazat","non-dropping-particle":"","parse-names":false,"suffix":""},{"dropping-particle":"","family":"Allen-Rhoades","given":"Wendy","non-dropping-particle":"","parse-names":false,"suffix":""},{"dropping-particle":"","family":"Edwards","given":"Dean","non-dropping-particle":"","parse-names":false,"suffix":""},{"dropping-particle":"","family":"Huang","given":"Shixia","non-dropping-particle":"","parse-names":false,"suffix":""},{"dropping-particle":"","family":"Rajapakshe","given":"Kimal","non-dropping-particle":"","parse-names":false,"suffix":""},{"dropping-particle":"","family":"Coarfa","given":"Cristian","non-dropping-particle":"","parse-names":false,"suffix":""},{"dropping-particle":"","family":"Donehower","given":"Lawrence A.","non-dropping-particle":"","parse-names":false,"suffix":""},{"dropping-particle":"","family":"Yustein","given":"Jason T.","non-dropping-particle":"","parse-names":false,"suffix":""}],"container-title":"International Journal of Cancer","id":"ITEM-2","issue":"10","issued":{"date-parts":[["2017","11","15"]]},"page":"2062-2075","title":"miR-130b directly targets ARHGAP1 to drive activation of a metastatic CDC42-PAK1-AP1 positive feedback loop in Ewing sarcoma","type":"article-journal","volume":"141"},"uris":["http://www.mendeley.com/documents/?uuid=d50d5823-45a9-3257-9e02-76ac33970182"]}],"mendeley":{"formattedCitation":"&lt;sup&gt;7,8&lt;/sup&gt;","plainTextFormattedCitation":"7,8","previouslyFormattedCitation":"&lt;sup&gt;7,8&lt;/sup&gt;"},"properties":{"noteIndex":0},"schema":"https://github.com/citation-style-language/schema/raw/master/csl-citation.json"}</w:instrText>
          </w:r>
          <w:r w:rsidR="0019556F" w:rsidRPr="002400A3">
            <w:rPr>
              <w:rFonts w:ascii="Times New Roman" w:hAnsi="Times New Roman" w:cs="Times New Roman"/>
            </w:rPr>
            <w:fldChar w:fldCharType="separate"/>
          </w:r>
          <w:r w:rsidR="004D2E2E" w:rsidRPr="002400A3">
            <w:rPr>
              <w:rFonts w:ascii="Times New Roman" w:hAnsi="Times New Roman" w:cs="Times New Roman"/>
              <w:noProof/>
              <w:vertAlign w:val="superscript"/>
            </w:rPr>
            <w:t>7,8</w:t>
          </w:r>
          <w:r w:rsidR="0019556F" w:rsidRPr="002400A3">
            <w:rPr>
              <w:rFonts w:ascii="Times New Roman" w:hAnsi="Times New Roman" w:cs="Times New Roman"/>
            </w:rPr>
            <w:fldChar w:fldCharType="end"/>
          </w:r>
          <w:r w:rsidR="00BC78B8" w:rsidRPr="002400A3">
            <w:rPr>
              <w:rFonts w:ascii="Times New Roman" w:hAnsi="Times New Roman" w:cs="Times New Roman"/>
            </w:rPr>
            <w:t>. Both miR-199-a1 and miR-199-a2 up-regulation were associated with glio</w:t>
          </w:r>
          <w:r w:rsidR="00D02E72" w:rsidRPr="002400A3">
            <w:rPr>
              <w:rFonts w:ascii="Times New Roman" w:hAnsi="Times New Roman" w:cs="Times New Roman"/>
            </w:rPr>
            <w:t>blasto</w:t>
          </w:r>
          <w:r w:rsidR="00BC78B8" w:rsidRPr="002400A3">
            <w:rPr>
              <w:rFonts w:ascii="Times New Roman" w:hAnsi="Times New Roman" w:cs="Times New Roman"/>
            </w:rPr>
            <w:t>ma</w:t>
          </w:r>
          <w:r w:rsidR="0019556F" w:rsidRPr="002400A3">
            <w:rPr>
              <w:rFonts w:ascii="Times New Roman" w:hAnsi="Times New Roman" w:cs="Times New Roman"/>
            </w:rPr>
            <w:t xml:space="preserve"> </w:t>
          </w:r>
          <w:r w:rsidR="0019556F" w:rsidRPr="002400A3">
            <w:rPr>
              <w:rFonts w:ascii="Times New Roman" w:hAnsi="Times New Roman" w:cs="Times New Roman"/>
            </w:rPr>
            <w:fldChar w:fldCharType="begin" w:fldLock="1"/>
          </w:r>
          <w:r w:rsidR="00632DD4" w:rsidRPr="002400A3">
            <w:rPr>
              <w:rFonts w:ascii="Times New Roman" w:hAnsi="Times New Roman" w:cs="Times New Roman"/>
            </w:rPr>
            <w:instrText>ADDIN CSL_CITATION {"citationItems":[{"id":"ITEM-1","itemData":{"DOI":"10.1371/journal.pone.0083980","ISSN":"1932-6203","abstract":"MicroRNA-199a (miRNA-199a) has been shown to have comprehensive functions and behave differently in different systems and diseases. It is encoded by two loci in the human genome, miR-199a-1 in chromosome 19 and miR-199a-2 in chromosome 1. Both loci give rise to the same miRNAs (miR-199a-5p and miR-199a-3p). The cause of the diverse action of the miRNA in different systems is not clear. However, it is likely due to different regulation of the two genomic loci and variable targets of the miRNA in different cells and tissues. Here we studied promoter methylation of miR-199a in testicular germ cell tumors (TGCTs) and glioblastomas (gliomas) and discovered that hypermethylation in TGCTs of both miR-199a-1 and -2 resulted in its reduced expression, while hypomethylation of miR-199a-2 but not -1 in gliomas may be related to its elevated expression. We also identified a common regulator, REST, which preferentially bound to the methylated promoters of both miR-199a-1 and miR-199a-2. The action of miR-199a is dependent on its downstream targets. We identified MAFB as a putative target of miRNA-199a-5p in TGCTs and confirmed that the tumor suppression activity of the microRNA is mediated by its target MAFB. By studying the mechanisms that control the expressions of miR-199a and its various downstream targets, we hope to use miR-199a as a model to understand the complexity of miRNA biology.","author":[{"dropping-particle":"","family":"Gu","given":"Shen","non-dropping-particle":"","parse-names":false,"suffix":""},{"dropping-particle":"","family":"Cheung","given":"Hoi Hung","non-dropping-particle":"","parse-names":false,"suffix":""},{"dropping-particle":"","family":"Lee","given":"Tin Lap","non-dropping-particle":"","parse-names":false,"suffix":""},{"dropping-particle":"","family":"Lu","given":"Gang","non-dropping-particle":"","parse-names":false,"suffix":""},{"dropping-particle":"","family":"Poon","given":"Wai Sang","non-dropping-particle":"","parse-names":false,"suffix":""},{"dropping-particle":"","family":"Chan","given":"Wai Yee","non-dropping-particle":"","parse-names":false,"suffix":""}],"container-title":"PLoS ONE","editor":[{"dropping-particle":"","family":"Wang","given":"Huating","non-dropping-particle":"","parse-names":false,"suffix":""}],"id":"ITEM-1","issue":"12","issued":{"date-parts":[["2013","12","31"]]},"page":"e83980","publisher":"Public Library of Science","title":"Molecular Mechanisms of Regulation and Action of microRNA-199a in Testicular Germ Cell Tumor and Glioblastomas","type":"article-journal","volume":"8"},"uris":["http://www.mendeley.com/documents/?uuid=759baeb4-ed6b-31a9-9955-d0b748511f56"]}],"mendeley":{"formattedCitation":"&lt;sup&gt;9&lt;/sup&gt;","plainTextFormattedCitation":"9","previouslyFormattedCitation":"&lt;sup&gt;10&lt;/sup&gt;"},"properties":{"noteIndex":0},"schema":"https://github.com/citation-style-language/schema/raw/master/csl-citation.json"}</w:instrText>
          </w:r>
          <w:r w:rsidR="0019556F" w:rsidRPr="002400A3">
            <w:rPr>
              <w:rFonts w:ascii="Times New Roman" w:hAnsi="Times New Roman" w:cs="Times New Roman"/>
            </w:rPr>
            <w:fldChar w:fldCharType="separate"/>
          </w:r>
          <w:r w:rsidR="00632DD4" w:rsidRPr="002400A3">
            <w:rPr>
              <w:rFonts w:ascii="Times New Roman" w:hAnsi="Times New Roman" w:cs="Times New Roman"/>
              <w:noProof/>
              <w:vertAlign w:val="superscript"/>
            </w:rPr>
            <w:t>9</w:t>
          </w:r>
          <w:r w:rsidR="0019556F" w:rsidRPr="002400A3">
            <w:rPr>
              <w:rFonts w:ascii="Times New Roman" w:hAnsi="Times New Roman" w:cs="Times New Roman"/>
            </w:rPr>
            <w:fldChar w:fldCharType="end"/>
          </w:r>
          <w:r w:rsidR="00BC78B8" w:rsidRPr="002400A3">
            <w:rPr>
              <w:rFonts w:ascii="Times New Roman" w:hAnsi="Times New Roman" w:cs="Times New Roman"/>
            </w:rPr>
            <w:t xml:space="preserve">. </w:t>
          </w:r>
          <w:r w:rsidRPr="002400A3">
            <w:rPr>
              <w:rFonts w:ascii="Times New Roman" w:hAnsi="Times New Roman" w:cs="Times New Roman"/>
              <w:color w:val="000000"/>
            </w:rPr>
            <w:t xml:space="preserve">On the other hand, </w:t>
          </w:r>
          <w:r w:rsidR="00BC78B8" w:rsidRPr="002400A3">
            <w:rPr>
              <w:rFonts w:ascii="Times New Roman" w:hAnsi="Times New Roman" w:cs="Times New Roman"/>
            </w:rPr>
            <w:t>miR-29c was shown to suppress metastasis invasion in nasopharyngeal carcinoma</w:t>
          </w:r>
          <w:r w:rsidR="0019556F" w:rsidRPr="002400A3">
            <w:rPr>
              <w:rFonts w:ascii="Times New Roman" w:hAnsi="Times New Roman" w:cs="Times New Roman"/>
            </w:rPr>
            <w:t xml:space="preserve"> </w:t>
          </w:r>
          <w:r w:rsidR="0019556F" w:rsidRPr="002400A3">
            <w:rPr>
              <w:rFonts w:ascii="Times New Roman" w:hAnsi="Times New Roman" w:cs="Times New Roman"/>
            </w:rPr>
            <w:fldChar w:fldCharType="begin" w:fldLock="1"/>
          </w:r>
          <w:r w:rsidR="00632DD4" w:rsidRPr="002400A3">
            <w:rPr>
              <w:rFonts w:ascii="Times New Roman" w:hAnsi="Times New Roman" w:cs="Times New Roman"/>
            </w:rPr>
            <w:instrText>ADDIN CSL_CITATION {"citationItems":[{"id":"ITEM-1","itemData":{"DOI":"10.1016/j.canlet.2012.10.032","ISSN":"03043835","PMID":"23142282","abstract":"Based on microarray analysis, we previously reported that miR-29c is significantly downregulated in nasopharyngeal carcinoma (NPC). However, little is known about the effect and molecular mechanisms of action of miR-29c deregulation during the development and progression of NPC. Quantitative RT-PCR demonstrated that miR-29c was significantly downregulated in NPC cell lines and clinical specimens. Wound healing, Transwell migration and lung metastasis assays demonstrated that ectopic expression of miR-29c inhibited NPC cell migration and invasion in vitro and suppressed the formation of lung metastases in vivo. T cell lymphoma invasion and metastasis 1 (TIAM1) was confirmed as a miR-29c target gene using luciferase reporter assays, quantitative RT-PCR and Western blotting. Ectopic expression of TIAM1 significantly promoted the migration and invasion of SUNE-1 cell line stably overexpressing miR-29c. The prognostic value of TIAM1 was analyzed in 217 NPC patients using immunohistochemistry. Strikingly, patients with high TIAM1 expression had poorer overall, disease-free and distant metastasis-free survival than patients with low TIAM1 expression. Furthermore, multivariate Cox regression analysis revealed that TIAM1 could serve as an independent prognostic factor in NPC. The newly identified miR-29c/TIAM1 pathway further elucidates the molecular mechanisms regulating invasion and metastasis in NPC, and may provide novel prognostic and treatment strategies for NPC patients.","author":[{"dropping-particle":"","family":"Liu","given":"Na","non-dropping-particle":"","parse-names":false,"suffix":""},{"dropping-particle":"","family":"Tang","given":"Ling-Long","non-dropping-particle":"","parse-names":false,"suffix":""},{"dropping-particle":"","family":"Sun","given":"Ying","non-dropping-particle":"","parse-names":false,"suffix":""},{"dropping-particle":"","family":"Cui","given":"Rui-Xue","non-dropping-particle":"","parse-names":false,"suffix":""},{"dropping-particle":"","family":"Wang","given":"Hui-Yun","non-dropping-particle":"","parse-names":false,"suffix":""},{"dropping-particle":"","family":"Huang","given":"Bi-Jun","non-dropping-particle":"","parse-names":false,"suffix":""},{"dropping-particle":"","family":"He","given":"Qing-Mei","non-dropping-particle":"","parse-names":false,"suffix":""},{"dropping-particle":"","family":"Jiang","given":"Wei","non-dropping-particle":"","parse-names":false,"suffix":""},{"dropping-particle":"","family":"Ma","given":"Jun","non-dropping-particle":"","parse-names":false,"suffix":""}],"container-title":"Cancer Letters","id":"ITEM-1","issue":"2","issued":{"date-parts":[["2013","2","28"]]},"page":"181-188","title":"MiR-29c suppresses invasion and metastasis by targeting TIAM1 in nasopharyngeal carcinoma","type":"article-journal","volume":"329"},"uris":["http://www.mendeley.com/documents/?uuid=1b79ad02-7752-36aa-93c4-5c60771f0191"]}],"mendeley":{"formattedCitation":"&lt;sup&gt;10&lt;/sup&gt;","plainTextFormattedCitation":"10","previouslyFormattedCitation":"&lt;sup&gt;11&lt;/sup&gt;"},"properties":{"noteIndex":0},"schema":"https://github.com/citation-style-language/schema/raw/master/csl-citation.json"}</w:instrText>
          </w:r>
          <w:r w:rsidR="0019556F" w:rsidRPr="002400A3">
            <w:rPr>
              <w:rFonts w:ascii="Times New Roman" w:hAnsi="Times New Roman" w:cs="Times New Roman"/>
            </w:rPr>
            <w:fldChar w:fldCharType="separate"/>
          </w:r>
          <w:r w:rsidR="00632DD4" w:rsidRPr="002400A3">
            <w:rPr>
              <w:rFonts w:ascii="Times New Roman" w:hAnsi="Times New Roman" w:cs="Times New Roman"/>
              <w:noProof/>
              <w:vertAlign w:val="superscript"/>
            </w:rPr>
            <w:t>10</w:t>
          </w:r>
          <w:r w:rsidR="0019556F" w:rsidRPr="002400A3">
            <w:rPr>
              <w:rFonts w:ascii="Times New Roman" w:hAnsi="Times New Roman" w:cs="Times New Roman"/>
            </w:rPr>
            <w:fldChar w:fldCharType="end"/>
          </w:r>
          <w:r w:rsidR="00BC78B8" w:rsidRPr="002400A3">
            <w:rPr>
              <w:rFonts w:ascii="Times New Roman" w:hAnsi="Times New Roman" w:cs="Times New Roman"/>
            </w:rPr>
            <w:t xml:space="preserve"> and HCC</w:t>
          </w:r>
          <w:r w:rsidR="0019556F" w:rsidRPr="002400A3">
            <w:rPr>
              <w:rFonts w:ascii="Times New Roman" w:hAnsi="Times New Roman" w:cs="Times New Roman"/>
            </w:rPr>
            <w:t xml:space="preserve"> </w:t>
          </w:r>
          <w:r w:rsidR="0019556F" w:rsidRPr="002400A3">
            <w:rPr>
              <w:rFonts w:ascii="Times New Roman" w:hAnsi="Times New Roman" w:cs="Times New Roman"/>
            </w:rPr>
            <w:fldChar w:fldCharType="begin" w:fldLock="1"/>
          </w:r>
          <w:r w:rsidR="00632DD4" w:rsidRPr="002400A3">
            <w:rPr>
              <w:rFonts w:ascii="Times New Roman" w:hAnsi="Times New Roman" w:cs="Times New Roman"/>
            </w:rPr>
            <w:instrText>ADDIN CSL_CITATION {"citationItems":[{"id":"ITEM-1","itemData":{"DOI":"10.2147/OTT.S92758","ISSN":"1178-6930","PMID":"26766915","abstract":"MiR-29c is frequently dysregulated in many cancers; however, the roles of miR-29c in pancreatic cancer (PC) and underlying mechanisms remain poorly understood. In this study, we investigated the role of miR-29c in PC. Using quantitative real-time polymerase chain reaction, we demonstrated that miR-29c was frequently downregulated in clinical PC tissues and cell lines. Overexpression of miR-29c significantly inhibited the proliferation, migration, and invasion of PC cells in vitro, which demonstrated that miR-29c acts as a tumor suppressor in PC cells. Further analysis revealed that ITGB1 is one of the functional target genes of miR-29c, and knockdown of ITGB1 inhibited the proliferation, migration, and invasion of PC cells, which was similar to the effects of overexpression of miR-29c. Taken together, our results highlight the significance of miR-29c-ITGB1 interaction in the development and progression of PC.","author":[{"dropping-particle":"","family":"Lu","given":"Yebin","non-dropping-particle":"","parse-names":false,"suffix":""},{"dropping-particle":"","family":"Hu","given":"Juanjuan","non-dropping-particle":"","parse-names":false,"suffix":""},{"dropping-particle":"","family":"Sun","given":"Weijia","non-dropping-particle":"","parse-names":false,"suffix":""},{"dropping-particle":"","family":"Li","given":"Shengyu","non-dropping-particle":"","parse-names":false,"suffix":""},{"dropping-particle":"","family":"Deng","given":"Shuangya","non-dropping-particle":"","parse-names":false,"suffix":""},{"dropping-particle":"","family":"Li","given":"Ming","non-dropping-particle":"","parse-names":false,"suffix":""}],"container-title":"OncoTargets and therapy","id":"ITEM-1","issued":{"date-parts":[["2016"]]},"page":"99-109","publisher":"Dove Press","title":"MiR-29c inhibits cell growth, invasion, and migration of pancreatic cancer by targeting ITGB1.","type":"article-journal","volume":"9"},"uris":["http://www.mendeley.com/documents/?uuid=79034cbc-026b-304d-9e18-85f8cd2bd86c"]}],"mendeley":{"formattedCitation":"&lt;sup&gt;11&lt;/sup&gt;","plainTextFormattedCitation":"11","previouslyFormattedCitation":"&lt;sup&gt;12&lt;/sup&gt;"},"properties":{"noteIndex":0},"schema":"https://github.com/citation-style-language/schema/raw/master/csl-citation.json"}</w:instrText>
          </w:r>
          <w:r w:rsidR="0019556F" w:rsidRPr="002400A3">
            <w:rPr>
              <w:rFonts w:ascii="Times New Roman" w:hAnsi="Times New Roman" w:cs="Times New Roman"/>
            </w:rPr>
            <w:fldChar w:fldCharType="separate"/>
          </w:r>
          <w:r w:rsidR="00632DD4" w:rsidRPr="002400A3">
            <w:rPr>
              <w:rFonts w:ascii="Times New Roman" w:hAnsi="Times New Roman" w:cs="Times New Roman"/>
              <w:noProof/>
              <w:vertAlign w:val="superscript"/>
            </w:rPr>
            <w:t>11</w:t>
          </w:r>
          <w:r w:rsidR="0019556F" w:rsidRPr="002400A3">
            <w:rPr>
              <w:rFonts w:ascii="Times New Roman" w:hAnsi="Times New Roman" w:cs="Times New Roman"/>
            </w:rPr>
            <w:fldChar w:fldCharType="end"/>
          </w:r>
          <w:r w:rsidRPr="002400A3">
            <w:rPr>
              <w:rFonts w:ascii="Times New Roman" w:hAnsi="Times New Roman" w:cs="Times New Roman"/>
            </w:rPr>
            <w:t>, and</w:t>
          </w:r>
          <w:r w:rsidR="00BC78B8" w:rsidRPr="002400A3">
            <w:rPr>
              <w:rFonts w:ascii="Times New Roman" w:hAnsi="Times New Roman" w:cs="Times New Roman"/>
            </w:rPr>
            <w:t xml:space="preserve"> miR-101-1 was characterized as a tumor suppressor and metastasis repressor in various cancers</w:t>
          </w:r>
          <w:r w:rsidR="0019556F" w:rsidRPr="002400A3">
            <w:rPr>
              <w:rFonts w:ascii="Times New Roman" w:hAnsi="Times New Roman" w:cs="Times New Roman"/>
            </w:rPr>
            <w:t xml:space="preserve"> </w:t>
          </w:r>
          <w:r w:rsidR="0019556F" w:rsidRPr="002400A3">
            <w:rPr>
              <w:rFonts w:ascii="Times New Roman" w:hAnsi="Times New Roman" w:cs="Times New Roman"/>
            </w:rPr>
            <w:fldChar w:fldCharType="begin" w:fldLock="1"/>
          </w:r>
          <w:r w:rsidR="00632DD4" w:rsidRPr="002400A3">
            <w:rPr>
              <w:rFonts w:ascii="Times New Roman" w:hAnsi="Times New Roman" w:cs="Times New Roman"/>
            </w:rPr>
            <w:instrText>ADDIN CSL_CITATION {"citationItems":[{"id":"ITEM-1","itemData":{"DOI":"10.3892/etm.2011.284","ISSN":"1792-0981","author":[{"dropping-particle":"","family":"CHO","given":"HYUN MIN","non-dropping-particle":"","parse-names":false,"suffix":""},{"dropping-particle":"","family":"JEON","given":"HYO SUNG","non-dropping-particle":"","parse-names":false,"suffix":""},{"dropping-particle":"","family":"LEE","given":"SOO YOUNG","non-dropping-particle":"","parse-names":false,"suffix":""},{"dropping-particle":"","family":"JEONG","given":"KANG JIN","non-dropping-particle":"","parse-names":false,"suffix":""},{"dropping-particle":"","family":"PARK","given":"SOON-YOUNG","non-dropping-particle":"","parse-names":false,"suffix":""},{"dropping-particle":"","family":"LEE","given":"HOI YOUNG","non-dropping-particle":"","parse-names":false,"suffix":""},{"dropping-particle":"","family":"LEE","given":"JUNG UEE","non-dropping-particle":"","parse-names":false,"suffix":""},{"dropping-particle":"","family":"KIM","given":"JI HYE","non-dropping-particle":"","parse-names":false,"suffix":""},{"dropping-particle":"","family":"KWON","given":"SUN JUNG","non-dropping-particle":"","parse-names":false,"suffix":""},{"dropping-particle":"","family":"CHOI","given":"EUGENE","non-dropping-particle":"","parse-names":false,"suffix":""},{"dropping-particle":"","family":"NA","given":"MOON JUN","non-dropping-particle":"","parse-names":false,"suffix":""},{"dropping-particle":"","family":"KANG","given":"JAEKU","non-dropping-particle":"","parse-names":false,"suffix":""},{"dropping-particle":"","family":"SON","given":"JI WOONG","non-dropping-particle":"","parse-names":false,"suffix":""}],"container-title":"Experimental and Therapeutic Medicine","id":"ITEM-1","issue":"5","issued":{"date-parts":[["2011"]]},"page":"963-967","title":"microRNA-101 inhibits lung cancer invasion through the regulation of enhancer of zeste homolog 2","type":"article-journal","volume":"2"},"uris":["http://www.mendeley.com/documents/?uuid=4a1de96f-c95c-3eda-af1c-d163d714446e"]},{"id":"ITEM-2","itemData":{"DOI":"10.1038/cddis.2016.486","ISSN":"2041-4889","abstract":"MicroRNA-101 inhibits invasion and angiogenesis through targeting ITGA3 and its systemic delivery inhibits lung metastasis in nasopharyngeal carcinoma","author":[{"dropping-particle":"","family":"Tang","given":"Xin-Ran","non-dropping-particle":"","parse-names":false,"suffix":""},{"dropping-particle":"","family":"Wen","given":"Xin","non-dropping-particle":"","parse-names":false,"suffix":""},{"dropping-particle":"","family":"He","given":"Qing-Mei","non-dropping-particle":"","parse-names":false,"suffix":""},{"dropping-particle":"","family":"Li","given":"Ying-Qin","non-dropping-particle":"","parse-names":false,"suffix":""},{"dropping-particle":"","family":"Ren","given":"Xian-Yue","non-dropping-particle":"","parse-names":false,"suffix":""},{"dropping-particle":"","family":"Yang","given":"Xiao-Jing","non-dropping-particle":"","parse-names":false,"suffix":""},{"dropping-particle":"","family":"Zhang","given":"Jian","non-dropping-particle":"","parse-names":false,"suffix":""},{"dropping-particle":"","family":"Wang","given":"Ya-Qin","non-dropping-particle":"","parse-names":false,"suffix":""},{"dropping-particle":"","family":"Ma","given":"Jun","non-dropping-particle":"","parse-names":false,"suffix":""},{"dropping-particle":"","family":"Liu","given":"Na","non-dropping-particle":"","parse-names":false,"suffix":""}],"container-title":"Cell Death &amp; Disease","id":"ITEM-2","issue":"1","issued":{"date-parts":[["2017","1","19"]]},"page":"e2566-e2566","publisher":"Nature Publishing Group","title":"MicroRNA-101 inhibits invasion and angiogenesis through targeting ITGA3 and its systemic delivery inhibits lung metastasis in nasopharyngeal carcinoma","type":"article-journal","volume":"8"},"uris":["http://www.mendeley.com/documents/?uuid=337981af-dd22-3cc6-b3d5-bc137f2f1723"]}],"mendeley":{"formattedCitation":"&lt;sup&gt;12,13&lt;/sup&gt;","plainTextFormattedCitation":"12,13","previouslyFormattedCitation":"&lt;sup&gt;13,14&lt;/sup&gt;"},"properties":{"noteIndex":0},"schema":"https://github.com/citation-style-language/schema/raw/master/csl-citation.json"}</w:instrText>
          </w:r>
          <w:r w:rsidR="0019556F" w:rsidRPr="002400A3">
            <w:rPr>
              <w:rFonts w:ascii="Times New Roman" w:hAnsi="Times New Roman" w:cs="Times New Roman"/>
            </w:rPr>
            <w:fldChar w:fldCharType="separate"/>
          </w:r>
          <w:r w:rsidR="00632DD4" w:rsidRPr="002400A3">
            <w:rPr>
              <w:rFonts w:ascii="Times New Roman" w:hAnsi="Times New Roman" w:cs="Times New Roman"/>
              <w:noProof/>
              <w:vertAlign w:val="superscript"/>
            </w:rPr>
            <w:t>12,13</w:t>
          </w:r>
          <w:r w:rsidR="0019556F" w:rsidRPr="002400A3">
            <w:rPr>
              <w:rFonts w:ascii="Times New Roman" w:hAnsi="Times New Roman" w:cs="Times New Roman"/>
            </w:rPr>
            <w:fldChar w:fldCharType="end"/>
          </w:r>
          <w:r w:rsidR="0019556F" w:rsidRPr="002400A3">
            <w:rPr>
              <w:rFonts w:ascii="Times New Roman" w:hAnsi="Times New Roman" w:cs="Times New Roman"/>
            </w:rPr>
            <w:t>.</w:t>
          </w:r>
        </w:p>
      </w:sdtContent>
    </w:sdt>
    <w:p w14:paraId="05616989" w14:textId="4CBC784A" w:rsidR="004B4BF7" w:rsidRPr="002400A3" w:rsidRDefault="004B4BF7">
      <w:pPr>
        <w:rPr>
          <w:rFonts w:ascii="Times New Roman" w:hAnsi="Times New Roman" w:cs="Times New Roman"/>
        </w:rPr>
      </w:pPr>
    </w:p>
    <w:p w14:paraId="755F9C80" w14:textId="7003D0BC" w:rsidR="0058710A" w:rsidRPr="002400A3" w:rsidRDefault="0058710A">
      <w:pPr>
        <w:rPr>
          <w:rFonts w:ascii="Times New Roman" w:hAnsi="Times New Roman" w:cs="Times New Roman"/>
        </w:rPr>
      </w:pPr>
    </w:p>
    <w:p w14:paraId="5D6BAE69" w14:textId="26822B3F" w:rsidR="0058710A" w:rsidRPr="002400A3" w:rsidRDefault="0058710A" w:rsidP="0058710A">
      <w:pPr>
        <w:pStyle w:val="Heading3"/>
        <w:rPr>
          <w:rFonts w:cs="Times New Roman"/>
          <w:sz w:val="22"/>
          <w:szCs w:val="22"/>
        </w:rPr>
      </w:pPr>
      <w:r w:rsidRPr="002400A3">
        <w:rPr>
          <w:rFonts w:cs="Times New Roman"/>
          <w:sz w:val="22"/>
          <w:szCs w:val="22"/>
        </w:rPr>
        <w:t>References</w:t>
      </w:r>
    </w:p>
    <w:p w14:paraId="517AE06B" w14:textId="21928029" w:rsidR="00632DD4" w:rsidRPr="002400A3" w:rsidRDefault="0058710A"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rPr>
        <w:fldChar w:fldCharType="begin" w:fldLock="1"/>
      </w:r>
      <w:r w:rsidRPr="002400A3">
        <w:rPr>
          <w:rFonts w:ascii="Times New Roman" w:hAnsi="Times New Roman" w:cs="Times New Roman"/>
        </w:rPr>
        <w:instrText xml:space="preserve">ADDIN Mendeley Bibliography CSL_BIBLIOGRAPHY </w:instrText>
      </w:r>
      <w:r w:rsidRPr="002400A3">
        <w:rPr>
          <w:rFonts w:ascii="Times New Roman" w:hAnsi="Times New Roman" w:cs="Times New Roman"/>
        </w:rPr>
        <w:fldChar w:fldCharType="separate"/>
      </w:r>
      <w:r w:rsidR="00632DD4" w:rsidRPr="002400A3">
        <w:rPr>
          <w:rFonts w:ascii="Times New Roman" w:hAnsi="Times New Roman" w:cs="Times New Roman"/>
          <w:noProof/>
        </w:rPr>
        <w:t>1.</w:t>
      </w:r>
      <w:r w:rsidR="00632DD4" w:rsidRPr="002400A3">
        <w:rPr>
          <w:rFonts w:ascii="Times New Roman" w:hAnsi="Times New Roman" w:cs="Times New Roman"/>
          <w:noProof/>
        </w:rPr>
        <w:tab/>
        <w:t xml:space="preserve">Wang, K.-H. </w:t>
      </w:r>
      <w:r w:rsidR="00632DD4" w:rsidRPr="002400A3">
        <w:rPr>
          <w:rFonts w:ascii="Times New Roman" w:hAnsi="Times New Roman" w:cs="Times New Roman"/>
          <w:i/>
          <w:iCs/>
          <w:noProof/>
        </w:rPr>
        <w:t>et al.</w:t>
      </w:r>
      <w:r w:rsidR="00632DD4" w:rsidRPr="002400A3">
        <w:rPr>
          <w:rFonts w:ascii="Times New Roman" w:hAnsi="Times New Roman" w:cs="Times New Roman"/>
          <w:noProof/>
        </w:rPr>
        <w:t xml:space="preserve"> Global methylation silencing of clustered proto-cadherin genes in cervical cancer: serving as diagnostic markers comparable to HPV. </w:t>
      </w:r>
      <w:r w:rsidR="00632DD4" w:rsidRPr="002400A3">
        <w:rPr>
          <w:rFonts w:ascii="Times New Roman" w:hAnsi="Times New Roman" w:cs="Times New Roman"/>
          <w:i/>
          <w:iCs/>
          <w:noProof/>
        </w:rPr>
        <w:t>Cancer Med.</w:t>
      </w:r>
      <w:r w:rsidR="00632DD4" w:rsidRPr="002400A3">
        <w:rPr>
          <w:rFonts w:ascii="Times New Roman" w:hAnsi="Times New Roman" w:cs="Times New Roman"/>
          <w:noProof/>
        </w:rPr>
        <w:t xml:space="preserve"> </w:t>
      </w:r>
      <w:r w:rsidR="00632DD4" w:rsidRPr="002400A3">
        <w:rPr>
          <w:rFonts w:ascii="Times New Roman" w:hAnsi="Times New Roman" w:cs="Times New Roman"/>
          <w:b/>
          <w:bCs/>
          <w:noProof/>
        </w:rPr>
        <w:t>4</w:t>
      </w:r>
      <w:r w:rsidR="00632DD4" w:rsidRPr="002400A3">
        <w:rPr>
          <w:rFonts w:ascii="Times New Roman" w:hAnsi="Times New Roman" w:cs="Times New Roman"/>
          <w:noProof/>
        </w:rPr>
        <w:t>, 43–55 (2015).</w:t>
      </w:r>
    </w:p>
    <w:p w14:paraId="72003A04"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2.</w:t>
      </w:r>
      <w:r w:rsidRPr="002400A3">
        <w:rPr>
          <w:rFonts w:ascii="Times New Roman" w:hAnsi="Times New Roman" w:cs="Times New Roman"/>
          <w:noProof/>
        </w:rPr>
        <w:tab/>
        <w:t xml:space="preserve">Bhatlekar, S., Fields, J. Z. &amp; Boman, B. M. HOX genes and their role in the development of human cancers. </w:t>
      </w:r>
      <w:r w:rsidRPr="002400A3">
        <w:rPr>
          <w:rFonts w:ascii="Times New Roman" w:hAnsi="Times New Roman" w:cs="Times New Roman"/>
          <w:i/>
          <w:iCs/>
          <w:noProof/>
        </w:rPr>
        <w:t>J. Mol. Med.</w:t>
      </w:r>
      <w:r w:rsidRPr="002400A3">
        <w:rPr>
          <w:rFonts w:ascii="Times New Roman" w:hAnsi="Times New Roman" w:cs="Times New Roman"/>
          <w:noProof/>
        </w:rPr>
        <w:t xml:space="preserve"> </w:t>
      </w:r>
      <w:r w:rsidRPr="002400A3">
        <w:rPr>
          <w:rFonts w:ascii="Times New Roman" w:hAnsi="Times New Roman" w:cs="Times New Roman"/>
          <w:b/>
          <w:bCs/>
          <w:noProof/>
        </w:rPr>
        <w:t>92</w:t>
      </w:r>
      <w:r w:rsidRPr="002400A3">
        <w:rPr>
          <w:rFonts w:ascii="Times New Roman" w:hAnsi="Times New Roman" w:cs="Times New Roman"/>
          <w:noProof/>
        </w:rPr>
        <w:t>, 811–823 (2014).</w:t>
      </w:r>
    </w:p>
    <w:p w14:paraId="0DBEA0CB"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3.</w:t>
      </w:r>
      <w:r w:rsidRPr="002400A3">
        <w:rPr>
          <w:rFonts w:ascii="Times New Roman" w:hAnsi="Times New Roman" w:cs="Times New Roman"/>
          <w:noProof/>
        </w:rPr>
        <w:tab/>
        <w:t xml:space="preserve">Zhong, Z. </w:t>
      </w:r>
      <w:r w:rsidRPr="002400A3">
        <w:rPr>
          <w:rFonts w:ascii="Times New Roman" w:hAnsi="Times New Roman" w:cs="Times New Roman"/>
          <w:i/>
          <w:iCs/>
          <w:noProof/>
        </w:rPr>
        <w:t>et al.</w:t>
      </w:r>
      <w:r w:rsidRPr="002400A3">
        <w:rPr>
          <w:rFonts w:ascii="Times New Roman" w:hAnsi="Times New Roman" w:cs="Times New Roman"/>
          <w:noProof/>
        </w:rPr>
        <w:t xml:space="preserve"> HOXD13 methylation status is a prognostic indicator in breast cancer. </w:t>
      </w:r>
      <w:r w:rsidRPr="002400A3">
        <w:rPr>
          <w:rFonts w:ascii="Times New Roman" w:hAnsi="Times New Roman" w:cs="Times New Roman"/>
          <w:i/>
          <w:iCs/>
          <w:noProof/>
        </w:rPr>
        <w:t>Int. J. Clin. Exp. Pathol.</w:t>
      </w:r>
      <w:r w:rsidRPr="002400A3">
        <w:rPr>
          <w:rFonts w:ascii="Times New Roman" w:hAnsi="Times New Roman" w:cs="Times New Roman"/>
          <w:noProof/>
        </w:rPr>
        <w:t xml:space="preserve"> </w:t>
      </w:r>
      <w:r w:rsidRPr="002400A3">
        <w:rPr>
          <w:rFonts w:ascii="Times New Roman" w:hAnsi="Times New Roman" w:cs="Times New Roman"/>
          <w:b/>
          <w:bCs/>
          <w:noProof/>
        </w:rPr>
        <w:t>8</w:t>
      </w:r>
      <w:r w:rsidRPr="002400A3">
        <w:rPr>
          <w:rFonts w:ascii="Times New Roman" w:hAnsi="Times New Roman" w:cs="Times New Roman"/>
          <w:noProof/>
        </w:rPr>
        <w:t>, 10716–24 (2015).</w:t>
      </w:r>
    </w:p>
    <w:p w14:paraId="652B509A"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4.</w:t>
      </w:r>
      <w:r w:rsidRPr="002400A3">
        <w:rPr>
          <w:rFonts w:ascii="Times New Roman" w:hAnsi="Times New Roman" w:cs="Times New Roman"/>
          <w:noProof/>
        </w:rPr>
        <w:tab/>
        <w:t xml:space="preserve">Marzese, D. M. </w:t>
      </w:r>
      <w:r w:rsidRPr="002400A3">
        <w:rPr>
          <w:rFonts w:ascii="Times New Roman" w:hAnsi="Times New Roman" w:cs="Times New Roman"/>
          <w:i/>
          <w:iCs/>
          <w:noProof/>
        </w:rPr>
        <w:t>et al.</w:t>
      </w:r>
      <w:r w:rsidRPr="002400A3">
        <w:rPr>
          <w:rFonts w:ascii="Times New Roman" w:hAnsi="Times New Roman" w:cs="Times New Roman"/>
          <w:noProof/>
        </w:rPr>
        <w:t xml:space="preserve"> Epigenome-wide DNA methylation landscape of melanoma progression to brain metastasis reveals aberrations on homeobox D cluster associated with prognosis. </w:t>
      </w:r>
      <w:r w:rsidRPr="002400A3">
        <w:rPr>
          <w:rFonts w:ascii="Times New Roman" w:hAnsi="Times New Roman" w:cs="Times New Roman"/>
          <w:i/>
          <w:iCs/>
          <w:noProof/>
        </w:rPr>
        <w:t>Hum. Mol. Genet.</w:t>
      </w:r>
      <w:r w:rsidRPr="002400A3">
        <w:rPr>
          <w:rFonts w:ascii="Times New Roman" w:hAnsi="Times New Roman" w:cs="Times New Roman"/>
          <w:noProof/>
        </w:rPr>
        <w:t xml:space="preserve"> </w:t>
      </w:r>
      <w:r w:rsidRPr="002400A3">
        <w:rPr>
          <w:rFonts w:ascii="Times New Roman" w:hAnsi="Times New Roman" w:cs="Times New Roman"/>
          <w:b/>
          <w:bCs/>
          <w:noProof/>
        </w:rPr>
        <w:t>23</w:t>
      </w:r>
      <w:r w:rsidRPr="002400A3">
        <w:rPr>
          <w:rFonts w:ascii="Times New Roman" w:hAnsi="Times New Roman" w:cs="Times New Roman"/>
          <w:noProof/>
        </w:rPr>
        <w:t>, 226–38 (2014).</w:t>
      </w:r>
    </w:p>
    <w:p w14:paraId="49C02160"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5.</w:t>
      </w:r>
      <w:r w:rsidRPr="002400A3">
        <w:rPr>
          <w:rFonts w:ascii="Times New Roman" w:hAnsi="Times New Roman" w:cs="Times New Roman"/>
          <w:noProof/>
        </w:rPr>
        <w:tab/>
        <w:t xml:space="preserve">Kim, Y. &amp; Jho, E. Deubiquitinase YOD1: the potent activator of YAP in hepatomegaly and liver cancer. </w:t>
      </w:r>
      <w:r w:rsidRPr="002400A3">
        <w:rPr>
          <w:rFonts w:ascii="Times New Roman" w:hAnsi="Times New Roman" w:cs="Times New Roman"/>
          <w:i/>
          <w:iCs/>
          <w:noProof/>
        </w:rPr>
        <w:t>BMB Rep.</w:t>
      </w:r>
      <w:r w:rsidRPr="002400A3">
        <w:rPr>
          <w:rFonts w:ascii="Times New Roman" w:hAnsi="Times New Roman" w:cs="Times New Roman"/>
          <w:noProof/>
        </w:rPr>
        <w:t xml:space="preserve"> </w:t>
      </w:r>
      <w:r w:rsidRPr="002400A3">
        <w:rPr>
          <w:rFonts w:ascii="Times New Roman" w:hAnsi="Times New Roman" w:cs="Times New Roman"/>
          <w:b/>
          <w:bCs/>
          <w:noProof/>
        </w:rPr>
        <w:t>50</w:t>
      </w:r>
      <w:r w:rsidRPr="002400A3">
        <w:rPr>
          <w:rFonts w:ascii="Times New Roman" w:hAnsi="Times New Roman" w:cs="Times New Roman"/>
          <w:noProof/>
        </w:rPr>
        <w:t>, 281 (2017).</w:t>
      </w:r>
    </w:p>
    <w:p w14:paraId="6ACD3C42"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lastRenderedPageBreak/>
        <w:t>6.</w:t>
      </w:r>
      <w:r w:rsidRPr="002400A3">
        <w:rPr>
          <w:rFonts w:ascii="Times New Roman" w:hAnsi="Times New Roman" w:cs="Times New Roman"/>
          <w:noProof/>
        </w:rPr>
        <w:tab/>
        <w:t xml:space="preserve">Teng, Y. </w:t>
      </w:r>
      <w:r w:rsidRPr="002400A3">
        <w:rPr>
          <w:rFonts w:ascii="Times New Roman" w:hAnsi="Times New Roman" w:cs="Times New Roman"/>
          <w:i/>
          <w:iCs/>
          <w:noProof/>
        </w:rPr>
        <w:t>et al.</w:t>
      </w:r>
      <w:r w:rsidRPr="002400A3">
        <w:rPr>
          <w:rFonts w:ascii="Times New Roman" w:hAnsi="Times New Roman" w:cs="Times New Roman"/>
          <w:noProof/>
        </w:rPr>
        <w:t xml:space="preserve"> The WASF3--NCKAP1--CYFIP1 complex is essential for breast cancer metastasis. </w:t>
      </w:r>
      <w:r w:rsidRPr="002400A3">
        <w:rPr>
          <w:rFonts w:ascii="Times New Roman" w:hAnsi="Times New Roman" w:cs="Times New Roman"/>
          <w:i/>
          <w:iCs/>
          <w:noProof/>
        </w:rPr>
        <w:t>Cancer Res.</w:t>
      </w:r>
      <w:r w:rsidRPr="002400A3">
        <w:rPr>
          <w:rFonts w:ascii="Times New Roman" w:hAnsi="Times New Roman" w:cs="Times New Roman"/>
          <w:noProof/>
        </w:rPr>
        <w:t xml:space="preserve"> </w:t>
      </w:r>
      <w:r w:rsidRPr="002400A3">
        <w:rPr>
          <w:rFonts w:ascii="Times New Roman" w:hAnsi="Times New Roman" w:cs="Times New Roman"/>
          <w:b/>
          <w:bCs/>
          <w:noProof/>
        </w:rPr>
        <w:t>76</w:t>
      </w:r>
      <w:r w:rsidRPr="002400A3">
        <w:rPr>
          <w:rFonts w:ascii="Times New Roman" w:hAnsi="Times New Roman" w:cs="Times New Roman"/>
          <w:noProof/>
        </w:rPr>
        <w:t>, 5133–5142 (2016).</w:t>
      </w:r>
    </w:p>
    <w:p w14:paraId="5E8DAEC1"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7.</w:t>
      </w:r>
      <w:r w:rsidRPr="002400A3">
        <w:rPr>
          <w:rFonts w:ascii="Times New Roman" w:hAnsi="Times New Roman" w:cs="Times New Roman"/>
          <w:noProof/>
        </w:rPr>
        <w:tab/>
        <w:t xml:space="preserve">Chang, R.-M., Xu, J.-F., Fang, F., Yang, H. &amp; Yang, L.-Y. MicroRNA-130b promotes proliferation and EMT-induced metastasis via PTEN/p-AKT/HIF-1α signaling. </w:t>
      </w:r>
      <w:r w:rsidRPr="002400A3">
        <w:rPr>
          <w:rFonts w:ascii="Times New Roman" w:hAnsi="Times New Roman" w:cs="Times New Roman"/>
          <w:i/>
          <w:iCs/>
          <w:noProof/>
        </w:rPr>
        <w:t>Tumor Biol.</w:t>
      </w:r>
      <w:r w:rsidRPr="002400A3">
        <w:rPr>
          <w:rFonts w:ascii="Times New Roman" w:hAnsi="Times New Roman" w:cs="Times New Roman"/>
          <w:noProof/>
        </w:rPr>
        <w:t xml:space="preserve"> </w:t>
      </w:r>
      <w:r w:rsidRPr="002400A3">
        <w:rPr>
          <w:rFonts w:ascii="Times New Roman" w:hAnsi="Times New Roman" w:cs="Times New Roman"/>
          <w:b/>
          <w:bCs/>
          <w:noProof/>
        </w:rPr>
        <w:t>37</w:t>
      </w:r>
      <w:r w:rsidRPr="002400A3">
        <w:rPr>
          <w:rFonts w:ascii="Times New Roman" w:hAnsi="Times New Roman" w:cs="Times New Roman"/>
          <w:noProof/>
        </w:rPr>
        <w:t>, 10609–10619 (2016).</w:t>
      </w:r>
    </w:p>
    <w:p w14:paraId="7C7608D6"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8.</w:t>
      </w:r>
      <w:r w:rsidRPr="002400A3">
        <w:rPr>
          <w:rFonts w:ascii="Times New Roman" w:hAnsi="Times New Roman" w:cs="Times New Roman"/>
          <w:noProof/>
        </w:rPr>
        <w:tab/>
        <w:t xml:space="preserve">Satterfield, L. </w:t>
      </w:r>
      <w:r w:rsidRPr="002400A3">
        <w:rPr>
          <w:rFonts w:ascii="Times New Roman" w:hAnsi="Times New Roman" w:cs="Times New Roman"/>
          <w:i/>
          <w:iCs/>
          <w:noProof/>
        </w:rPr>
        <w:t>et al.</w:t>
      </w:r>
      <w:r w:rsidRPr="002400A3">
        <w:rPr>
          <w:rFonts w:ascii="Times New Roman" w:hAnsi="Times New Roman" w:cs="Times New Roman"/>
          <w:noProof/>
        </w:rPr>
        <w:t xml:space="preserve"> miR-130b directly targets ARHGAP1 to drive activation of a metastatic CDC42-PAK1-AP1 positive feedback loop in Ewing sarcoma. </w:t>
      </w:r>
      <w:r w:rsidRPr="002400A3">
        <w:rPr>
          <w:rFonts w:ascii="Times New Roman" w:hAnsi="Times New Roman" w:cs="Times New Roman"/>
          <w:i/>
          <w:iCs/>
          <w:noProof/>
        </w:rPr>
        <w:t>Int. J. Cancer</w:t>
      </w:r>
      <w:r w:rsidRPr="002400A3">
        <w:rPr>
          <w:rFonts w:ascii="Times New Roman" w:hAnsi="Times New Roman" w:cs="Times New Roman"/>
          <w:noProof/>
        </w:rPr>
        <w:t xml:space="preserve"> </w:t>
      </w:r>
      <w:r w:rsidRPr="002400A3">
        <w:rPr>
          <w:rFonts w:ascii="Times New Roman" w:hAnsi="Times New Roman" w:cs="Times New Roman"/>
          <w:b/>
          <w:bCs/>
          <w:noProof/>
        </w:rPr>
        <w:t>141</w:t>
      </w:r>
      <w:r w:rsidRPr="002400A3">
        <w:rPr>
          <w:rFonts w:ascii="Times New Roman" w:hAnsi="Times New Roman" w:cs="Times New Roman"/>
          <w:noProof/>
        </w:rPr>
        <w:t>, 2062–2075 (2017).</w:t>
      </w:r>
    </w:p>
    <w:p w14:paraId="573DFB11"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9.</w:t>
      </w:r>
      <w:r w:rsidRPr="002400A3">
        <w:rPr>
          <w:rFonts w:ascii="Times New Roman" w:hAnsi="Times New Roman" w:cs="Times New Roman"/>
          <w:noProof/>
        </w:rPr>
        <w:tab/>
        <w:t xml:space="preserve">Gu, S. </w:t>
      </w:r>
      <w:r w:rsidRPr="002400A3">
        <w:rPr>
          <w:rFonts w:ascii="Times New Roman" w:hAnsi="Times New Roman" w:cs="Times New Roman"/>
          <w:i/>
          <w:iCs/>
          <w:noProof/>
        </w:rPr>
        <w:t>et al.</w:t>
      </w:r>
      <w:r w:rsidRPr="002400A3">
        <w:rPr>
          <w:rFonts w:ascii="Times New Roman" w:hAnsi="Times New Roman" w:cs="Times New Roman"/>
          <w:noProof/>
        </w:rPr>
        <w:t xml:space="preserve"> Molecular Mechanisms of Regulation and Action of microRNA-199a in Testicular Germ Cell Tumor and Glioblastomas. </w:t>
      </w:r>
      <w:r w:rsidRPr="002400A3">
        <w:rPr>
          <w:rFonts w:ascii="Times New Roman" w:hAnsi="Times New Roman" w:cs="Times New Roman"/>
          <w:i/>
          <w:iCs/>
          <w:noProof/>
        </w:rPr>
        <w:t>PLoS One</w:t>
      </w:r>
      <w:r w:rsidRPr="002400A3">
        <w:rPr>
          <w:rFonts w:ascii="Times New Roman" w:hAnsi="Times New Roman" w:cs="Times New Roman"/>
          <w:noProof/>
        </w:rPr>
        <w:t xml:space="preserve"> </w:t>
      </w:r>
      <w:r w:rsidRPr="002400A3">
        <w:rPr>
          <w:rFonts w:ascii="Times New Roman" w:hAnsi="Times New Roman" w:cs="Times New Roman"/>
          <w:b/>
          <w:bCs/>
          <w:noProof/>
        </w:rPr>
        <w:t>8</w:t>
      </w:r>
      <w:r w:rsidRPr="002400A3">
        <w:rPr>
          <w:rFonts w:ascii="Times New Roman" w:hAnsi="Times New Roman" w:cs="Times New Roman"/>
          <w:noProof/>
        </w:rPr>
        <w:t>, e83980 (2013).</w:t>
      </w:r>
    </w:p>
    <w:p w14:paraId="7FD5A8CB"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10.</w:t>
      </w:r>
      <w:r w:rsidRPr="002400A3">
        <w:rPr>
          <w:rFonts w:ascii="Times New Roman" w:hAnsi="Times New Roman" w:cs="Times New Roman"/>
          <w:noProof/>
        </w:rPr>
        <w:tab/>
        <w:t xml:space="preserve">Liu, N. </w:t>
      </w:r>
      <w:r w:rsidRPr="002400A3">
        <w:rPr>
          <w:rFonts w:ascii="Times New Roman" w:hAnsi="Times New Roman" w:cs="Times New Roman"/>
          <w:i/>
          <w:iCs/>
          <w:noProof/>
        </w:rPr>
        <w:t>et al.</w:t>
      </w:r>
      <w:r w:rsidRPr="002400A3">
        <w:rPr>
          <w:rFonts w:ascii="Times New Roman" w:hAnsi="Times New Roman" w:cs="Times New Roman"/>
          <w:noProof/>
        </w:rPr>
        <w:t xml:space="preserve"> MiR-29c suppresses invasion and metastasis by targeting TIAM1 in nasopharyngeal carcinoma. </w:t>
      </w:r>
      <w:r w:rsidRPr="002400A3">
        <w:rPr>
          <w:rFonts w:ascii="Times New Roman" w:hAnsi="Times New Roman" w:cs="Times New Roman"/>
          <w:i/>
          <w:iCs/>
          <w:noProof/>
        </w:rPr>
        <w:t>Cancer Lett.</w:t>
      </w:r>
      <w:r w:rsidRPr="002400A3">
        <w:rPr>
          <w:rFonts w:ascii="Times New Roman" w:hAnsi="Times New Roman" w:cs="Times New Roman"/>
          <w:noProof/>
        </w:rPr>
        <w:t xml:space="preserve"> </w:t>
      </w:r>
      <w:r w:rsidRPr="002400A3">
        <w:rPr>
          <w:rFonts w:ascii="Times New Roman" w:hAnsi="Times New Roman" w:cs="Times New Roman"/>
          <w:b/>
          <w:bCs/>
          <w:noProof/>
        </w:rPr>
        <w:t>329</w:t>
      </w:r>
      <w:r w:rsidRPr="002400A3">
        <w:rPr>
          <w:rFonts w:ascii="Times New Roman" w:hAnsi="Times New Roman" w:cs="Times New Roman"/>
          <w:noProof/>
        </w:rPr>
        <w:t>, 181–188 (2013).</w:t>
      </w:r>
    </w:p>
    <w:p w14:paraId="42B969FC"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11.</w:t>
      </w:r>
      <w:r w:rsidRPr="002400A3">
        <w:rPr>
          <w:rFonts w:ascii="Times New Roman" w:hAnsi="Times New Roman" w:cs="Times New Roman"/>
          <w:noProof/>
        </w:rPr>
        <w:tab/>
        <w:t xml:space="preserve">Lu, Y. </w:t>
      </w:r>
      <w:r w:rsidRPr="002400A3">
        <w:rPr>
          <w:rFonts w:ascii="Times New Roman" w:hAnsi="Times New Roman" w:cs="Times New Roman"/>
          <w:i/>
          <w:iCs/>
          <w:noProof/>
        </w:rPr>
        <w:t>et al.</w:t>
      </w:r>
      <w:r w:rsidRPr="002400A3">
        <w:rPr>
          <w:rFonts w:ascii="Times New Roman" w:hAnsi="Times New Roman" w:cs="Times New Roman"/>
          <w:noProof/>
        </w:rPr>
        <w:t xml:space="preserve"> MiR-29c inhibits cell growth, invasion, and migration of pancreatic cancer by targeting ITGB1. </w:t>
      </w:r>
      <w:r w:rsidRPr="002400A3">
        <w:rPr>
          <w:rFonts w:ascii="Times New Roman" w:hAnsi="Times New Roman" w:cs="Times New Roman"/>
          <w:i/>
          <w:iCs/>
          <w:noProof/>
        </w:rPr>
        <w:t>Onco. Targets. Ther.</w:t>
      </w:r>
      <w:r w:rsidRPr="002400A3">
        <w:rPr>
          <w:rFonts w:ascii="Times New Roman" w:hAnsi="Times New Roman" w:cs="Times New Roman"/>
          <w:noProof/>
        </w:rPr>
        <w:t xml:space="preserve"> </w:t>
      </w:r>
      <w:r w:rsidRPr="002400A3">
        <w:rPr>
          <w:rFonts w:ascii="Times New Roman" w:hAnsi="Times New Roman" w:cs="Times New Roman"/>
          <w:b/>
          <w:bCs/>
          <w:noProof/>
        </w:rPr>
        <w:t>9</w:t>
      </w:r>
      <w:r w:rsidRPr="002400A3">
        <w:rPr>
          <w:rFonts w:ascii="Times New Roman" w:hAnsi="Times New Roman" w:cs="Times New Roman"/>
          <w:noProof/>
        </w:rPr>
        <w:t>, 99–109 (2016).</w:t>
      </w:r>
    </w:p>
    <w:p w14:paraId="5E23B44C"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12.</w:t>
      </w:r>
      <w:r w:rsidRPr="002400A3">
        <w:rPr>
          <w:rFonts w:ascii="Times New Roman" w:hAnsi="Times New Roman" w:cs="Times New Roman"/>
          <w:noProof/>
        </w:rPr>
        <w:tab/>
        <w:t xml:space="preserve">CHO, H. M. </w:t>
      </w:r>
      <w:r w:rsidRPr="002400A3">
        <w:rPr>
          <w:rFonts w:ascii="Times New Roman" w:hAnsi="Times New Roman" w:cs="Times New Roman"/>
          <w:i/>
          <w:iCs/>
          <w:noProof/>
        </w:rPr>
        <w:t>et al.</w:t>
      </w:r>
      <w:r w:rsidRPr="002400A3">
        <w:rPr>
          <w:rFonts w:ascii="Times New Roman" w:hAnsi="Times New Roman" w:cs="Times New Roman"/>
          <w:noProof/>
        </w:rPr>
        <w:t xml:space="preserve"> microRNA-101 inhibits lung cancer invasion through the regulation of enhancer of zeste homolog 2. </w:t>
      </w:r>
      <w:r w:rsidRPr="002400A3">
        <w:rPr>
          <w:rFonts w:ascii="Times New Roman" w:hAnsi="Times New Roman" w:cs="Times New Roman"/>
          <w:i/>
          <w:iCs/>
          <w:noProof/>
        </w:rPr>
        <w:t>Exp. Ther. Med.</w:t>
      </w:r>
      <w:r w:rsidRPr="002400A3">
        <w:rPr>
          <w:rFonts w:ascii="Times New Roman" w:hAnsi="Times New Roman" w:cs="Times New Roman"/>
          <w:noProof/>
        </w:rPr>
        <w:t xml:space="preserve"> </w:t>
      </w:r>
      <w:r w:rsidRPr="002400A3">
        <w:rPr>
          <w:rFonts w:ascii="Times New Roman" w:hAnsi="Times New Roman" w:cs="Times New Roman"/>
          <w:b/>
          <w:bCs/>
          <w:noProof/>
        </w:rPr>
        <w:t>2</w:t>
      </w:r>
      <w:r w:rsidRPr="002400A3">
        <w:rPr>
          <w:rFonts w:ascii="Times New Roman" w:hAnsi="Times New Roman" w:cs="Times New Roman"/>
          <w:noProof/>
        </w:rPr>
        <w:t>, 963–967 (2011).</w:t>
      </w:r>
    </w:p>
    <w:p w14:paraId="1AC8B9F4" w14:textId="77777777" w:rsidR="00632DD4" w:rsidRPr="002400A3" w:rsidRDefault="00632DD4" w:rsidP="00632DD4">
      <w:pPr>
        <w:widowControl w:val="0"/>
        <w:autoSpaceDE w:val="0"/>
        <w:autoSpaceDN w:val="0"/>
        <w:adjustRightInd w:val="0"/>
        <w:spacing w:line="240" w:lineRule="auto"/>
        <w:ind w:left="640" w:hanging="640"/>
        <w:rPr>
          <w:rFonts w:ascii="Times New Roman" w:hAnsi="Times New Roman" w:cs="Times New Roman"/>
          <w:noProof/>
        </w:rPr>
      </w:pPr>
      <w:r w:rsidRPr="002400A3">
        <w:rPr>
          <w:rFonts w:ascii="Times New Roman" w:hAnsi="Times New Roman" w:cs="Times New Roman"/>
          <w:noProof/>
        </w:rPr>
        <w:t>13.</w:t>
      </w:r>
      <w:r w:rsidRPr="002400A3">
        <w:rPr>
          <w:rFonts w:ascii="Times New Roman" w:hAnsi="Times New Roman" w:cs="Times New Roman"/>
          <w:noProof/>
        </w:rPr>
        <w:tab/>
        <w:t xml:space="preserve">Tang, X.-R. </w:t>
      </w:r>
      <w:r w:rsidRPr="002400A3">
        <w:rPr>
          <w:rFonts w:ascii="Times New Roman" w:hAnsi="Times New Roman" w:cs="Times New Roman"/>
          <w:i/>
          <w:iCs/>
          <w:noProof/>
        </w:rPr>
        <w:t>et al.</w:t>
      </w:r>
      <w:r w:rsidRPr="002400A3">
        <w:rPr>
          <w:rFonts w:ascii="Times New Roman" w:hAnsi="Times New Roman" w:cs="Times New Roman"/>
          <w:noProof/>
        </w:rPr>
        <w:t xml:space="preserve"> MicroRNA-101 inhibits invasion and angiogenesis through targeting ITGA3 and its systemic delivery inhibits lung metastasis in nasopharyngeal carcinoma. </w:t>
      </w:r>
      <w:r w:rsidRPr="002400A3">
        <w:rPr>
          <w:rFonts w:ascii="Times New Roman" w:hAnsi="Times New Roman" w:cs="Times New Roman"/>
          <w:i/>
          <w:iCs/>
          <w:noProof/>
        </w:rPr>
        <w:t>Cell Death Dis.</w:t>
      </w:r>
      <w:r w:rsidRPr="002400A3">
        <w:rPr>
          <w:rFonts w:ascii="Times New Roman" w:hAnsi="Times New Roman" w:cs="Times New Roman"/>
          <w:noProof/>
        </w:rPr>
        <w:t xml:space="preserve"> </w:t>
      </w:r>
      <w:r w:rsidRPr="002400A3">
        <w:rPr>
          <w:rFonts w:ascii="Times New Roman" w:hAnsi="Times New Roman" w:cs="Times New Roman"/>
          <w:b/>
          <w:bCs/>
          <w:noProof/>
        </w:rPr>
        <w:t>8</w:t>
      </w:r>
      <w:r w:rsidRPr="002400A3">
        <w:rPr>
          <w:rFonts w:ascii="Times New Roman" w:hAnsi="Times New Roman" w:cs="Times New Roman"/>
          <w:noProof/>
        </w:rPr>
        <w:t>, e2566–e2566 (2017).</w:t>
      </w:r>
    </w:p>
    <w:p w14:paraId="6AC1D531" w14:textId="38F4862D" w:rsidR="0058710A" w:rsidRPr="002400A3" w:rsidRDefault="0058710A" w:rsidP="0058710A">
      <w:pPr>
        <w:rPr>
          <w:rFonts w:ascii="Times New Roman" w:hAnsi="Times New Roman" w:cs="Times New Roman"/>
        </w:rPr>
      </w:pPr>
      <w:r w:rsidRPr="002400A3">
        <w:rPr>
          <w:rFonts w:ascii="Times New Roman" w:hAnsi="Times New Roman" w:cs="Times New Roman"/>
        </w:rPr>
        <w:fldChar w:fldCharType="end"/>
      </w:r>
    </w:p>
    <w:sectPr w:rsidR="0058710A" w:rsidRPr="002400A3">
      <w:pgSz w:w="16983" w:h="15840"/>
      <w:pgMar w:top="1440" w:right="6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Source Han Sans CN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05"/>
    <w:rsid w:val="000255FA"/>
    <w:rsid w:val="0019556F"/>
    <w:rsid w:val="002400A3"/>
    <w:rsid w:val="002C306C"/>
    <w:rsid w:val="002F5431"/>
    <w:rsid w:val="003604B1"/>
    <w:rsid w:val="00391490"/>
    <w:rsid w:val="004604D4"/>
    <w:rsid w:val="00476C41"/>
    <w:rsid w:val="004B4A7F"/>
    <w:rsid w:val="004B4BF7"/>
    <w:rsid w:val="004D2E2E"/>
    <w:rsid w:val="00516487"/>
    <w:rsid w:val="0058710A"/>
    <w:rsid w:val="005D7BB2"/>
    <w:rsid w:val="006227F2"/>
    <w:rsid w:val="006233D2"/>
    <w:rsid w:val="00632DD4"/>
    <w:rsid w:val="00676972"/>
    <w:rsid w:val="007D4E89"/>
    <w:rsid w:val="0085793E"/>
    <w:rsid w:val="00891AD8"/>
    <w:rsid w:val="008C6705"/>
    <w:rsid w:val="008E5A1D"/>
    <w:rsid w:val="009606AC"/>
    <w:rsid w:val="00B00225"/>
    <w:rsid w:val="00B23E4D"/>
    <w:rsid w:val="00B91B6D"/>
    <w:rsid w:val="00BC78B8"/>
    <w:rsid w:val="00CE250E"/>
    <w:rsid w:val="00D02E72"/>
    <w:rsid w:val="00D54750"/>
    <w:rsid w:val="00E17D8C"/>
    <w:rsid w:val="00EA5173"/>
    <w:rsid w:val="00F60F55"/>
    <w:rsid w:val="00FF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4228"/>
  <w15:chartTrackingRefBased/>
  <w15:docId w15:val="{817EDFF7-BE42-40C7-85F4-576C3633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BodyText"/>
    <w:link w:val="Heading2Char"/>
    <w:qFormat/>
    <w:rsid w:val="00BC78B8"/>
    <w:pPr>
      <w:keepNext/>
      <w:widowControl w:val="0"/>
      <w:suppressAutoHyphens/>
      <w:spacing w:before="200" w:after="120" w:line="240" w:lineRule="auto"/>
      <w:outlineLvl w:val="1"/>
    </w:pPr>
    <w:rPr>
      <w:rFonts w:ascii="Liberation Serif" w:eastAsia="Source Han Sans CN Regular" w:hAnsi="Liberation Serif" w:cs="Lohit Devanagari"/>
      <w:b/>
      <w:bCs/>
      <w:kern w:val="1"/>
      <w:sz w:val="36"/>
      <w:szCs w:val="36"/>
      <w:lang w:eastAsia="zh-CN" w:bidi="hi-IN"/>
    </w:rPr>
  </w:style>
  <w:style w:type="paragraph" w:styleId="Heading3">
    <w:name w:val="heading 3"/>
    <w:basedOn w:val="Normal"/>
    <w:next w:val="Normal"/>
    <w:link w:val="Heading3Char"/>
    <w:uiPriority w:val="9"/>
    <w:unhideWhenUsed/>
    <w:qFormat/>
    <w:rsid w:val="00BC78B8"/>
    <w:pPr>
      <w:keepNext/>
      <w:keepLines/>
      <w:spacing w:before="40" w:after="0" w:line="480"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semiHidden/>
    <w:unhideWhenUsed/>
    <w:qFormat/>
    <w:rsid w:val="00BC78B8"/>
    <w:pPr>
      <w:keepNext/>
      <w:keepLines/>
      <w:spacing w:before="40" w:after="0"/>
      <w:outlineLvl w:val="3"/>
    </w:pPr>
    <w:rPr>
      <w:rFonts w:ascii="Times New Roman" w:eastAsiaTheme="majorEastAsia" w:hAnsi="Times New Roman"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78B8"/>
    <w:rPr>
      <w:rFonts w:ascii="Liberation Serif" w:eastAsia="Source Han Sans CN Regular" w:hAnsi="Liberation Serif" w:cs="Lohit Devanagari"/>
      <w:b/>
      <w:bCs/>
      <w:kern w:val="1"/>
      <w:sz w:val="36"/>
      <w:szCs w:val="36"/>
      <w:lang w:eastAsia="zh-CN" w:bidi="hi-IN"/>
    </w:rPr>
  </w:style>
  <w:style w:type="paragraph" w:styleId="BodyText">
    <w:name w:val="Body Text"/>
    <w:basedOn w:val="Normal"/>
    <w:link w:val="BodyTextChar"/>
    <w:uiPriority w:val="99"/>
    <w:semiHidden/>
    <w:unhideWhenUsed/>
    <w:rsid w:val="00BC78B8"/>
    <w:pPr>
      <w:spacing w:after="120"/>
    </w:pPr>
  </w:style>
  <w:style w:type="character" w:customStyle="1" w:styleId="BodyTextChar">
    <w:name w:val="Body Text Char"/>
    <w:basedOn w:val="DefaultParagraphFont"/>
    <w:link w:val="BodyText"/>
    <w:uiPriority w:val="99"/>
    <w:semiHidden/>
    <w:rsid w:val="00BC78B8"/>
  </w:style>
  <w:style w:type="character" w:customStyle="1" w:styleId="Heading3Char">
    <w:name w:val="Heading 3 Char"/>
    <w:basedOn w:val="DefaultParagraphFont"/>
    <w:link w:val="Heading3"/>
    <w:uiPriority w:val="9"/>
    <w:rsid w:val="00BC78B8"/>
    <w:rPr>
      <w:rFonts w:ascii="Times New Roman" w:eastAsiaTheme="majorEastAsia" w:hAnsi="Times New Roman" w:cstheme="majorBidi"/>
      <w:b/>
      <w:color w:val="000000" w:themeColor="text1"/>
      <w:sz w:val="24"/>
      <w:szCs w:val="24"/>
    </w:rPr>
  </w:style>
  <w:style w:type="character" w:styleId="CommentReference">
    <w:name w:val="annotation reference"/>
    <w:basedOn w:val="DefaultParagraphFont"/>
    <w:uiPriority w:val="99"/>
    <w:semiHidden/>
    <w:unhideWhenUsed/>
    <w:rsid w:val="00BC78B8"/>
    <w:rPr>
      <w:sz w:val="16"/>
      <w:szCs w:val="16"/>
    </w:rPr>
  </w:style>
  <w:style w:type="paragraph" w:styleId="CommentText">
    <w:name w:val="annotation text"/>
    <w:basedOn w:val="Normal"/>
    <w:link w:val="CommentTextChar"/>
    <w:uiPriority w:val="99"/>
    <w:semiHidden/>
    <w:unhideWhenUsed/>
    <w:rsid w:val="00BC78B8"/>
    <w:pPr>
      <w:spacing w:after="0" w:line="240" w:lineRule="auto"/>
      <w:jc w:val="both"/>
    </w:pPr>
    <w:rPr>
      <w:rFonts w:ascii="Times New Roman" w:eastAsia="Times New Roman" w:hAnsi="Times New Roman" w:cs="Times New Roman"/>
      <w:sz w:val="20"/>
      <w:szCs w:val="20"/>
      <w:lang w:val="en"/>
    </w:rPr>
  </w:style>
  <w:style w:type="character" w:customStyle="1" w:styleId="CommentTextChar">
    <w:name w:val="Comment Text Char"/>
    <w:basedOn w:val="DefaultParagraphFont"/>
    <w:link w:val="CommentText"/>
    <w:uiPriority w:val="99"/>
    <w:semiHidden/>
    <w:rsid w:val="00BC78B8"/>
    <w:rPr>
      <w:rFonts w:ascii="Times New Roman" w:eastAsia="Times New Roman" w:hAnsi="Times New Roman" w:cs="Times New Roman"/>
      <w:sz w:val="20"/>
      <w:szCs w:val="20"/>
      <w:lang w:val="en"/>
    </w:rPr>
  </w:style>
  <w:style w:type="paragraph" w:styleId="BalloonText">
    <w:name w:val="Balloon Text"/>
    <w:basedOn w:val="Normal"/>
    <w:link w:val="BalloonTextChar"/>
    <w:uiPriority w:val="99"/>
    <w:semiHidden/>
    <w:unhideWhenUsed/>
    <w:rsid w:val="00BC7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8B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C78B8"/>
    <w:pPr>
      <w:spacing w:after="16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BC78B8"/>
    <w:rPr>
      <w:rFonts w:ascii="Times New Roman" w:eastAsia="Times New Roman" w:hAnsi="Times New Roman" w:cs="Times New Roman"/>
      <w:b/>
      <w:bCs/>
      <w:sz w:val="20"/>
      <w:szCs w:val="20"/>
      <w:lang w:val="en"/>
    </w:rPr>
  </w:style>
  <w:style w:type="character" w:customStyle="1" w:styleId="Heading4Char">
    <w:name w:val="Heading 4 Char"/>
    <w:basedOn w:val="DefaultParagraphFont"/>
    <w:link w:val="Heading4"/>
    <w:uiPriority w:val="9"/>
    <w:semiHidden/>
    <w:rsid w:val="00BC78B8"/>
    <w:rPr>
      <w:rFonts w:ascii="Times New Roman" w:eastAsiaTheme="majorEastAsia" w:hAnsi="Times New Roman" w:cstheme="majorBidi"/>
      <w:i/>
      <w:iCs/>
    </w:rPr>
  </w:style>
  <w:style w:type="table" w:customStyle="1" w:styleId="5">
    <w:name w:val="5"/>
    <w:basedOn w:val="TableNormal"/>
    <w:rsid w:val="004B4BF7"/>
    <w:pPr>
      <w:spacing w:after="0" w:line="240" w:lineRule="auto"/>
      <w:jc w:val="both"/>
    </w:pPr>
    <w:rPr>
      <w:rFonts w:ascii="Times New Roman" w:eastAsia="Times New Roman" w:hAnsi="Times New Roman" w:cs="Times New Roman"/>
      <w:sz w:val="24"/>
      <w:szCs w:val="24"/>
      <w:lang w:val="en"/>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9606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8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81EC3-A0D4-431A-8462-74C0F6A8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6329</Words>
  <Characters>36080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IEUser</dc:creator>
  <cp:keywords/>
  <dc:description/>
  <cp:lastModifiedBy>IEUser</cp:lastModifiedBy>
  <cp:revision>7</cp:revision>
  <dcterms:created xsi:type="dcterms:W3CDTF">2019-10-15T03:43:00Z</dcterms:created>
  <dcterms:modified xsi:type="dcterms:W3CDTF">2019-10-15T19:34:00Z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http://www.zotero.org/styles/nature</vt:lpwstr>
  </property>
  <property fmtid="{D5CDD505-2E9C-101B-9397-08002B2CF9AE}" pid="24" name="Mendeley Unique User Id_1">
    <vt:lpwstr>a08a6911-533a-3c90-8c92-251eedbd2806</vt:lpwstr>
  </property>
</Properties>
</file>