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2809C" w14:textId="214F0A9D" w:rsidR="008E16F6" w:rsidRDefault="008E16F6" w:rsidP="008E16F6">
      <w:pPr>
        <w:rPr>
          <w:rFonts w:ascii="Arial" w:eastAsia="Arial" w:hAnsi="Arial" w:cs="Times New Roman"/>
          <w:sz w:val="24"/>
          <w:szCs w:val="24"/>
        </w:rPr>
      </w:pPr>
      <w:r>
        <w:rPr>
          <w:rFonts w:ascii="Arial" w:eastAsia="Arial" w:hAnsi="Arial" w:cs="Times New Roman"/>
          <w:b/>
          <w:sz w:val="24"/>
          <w:szCs w:val="24"/>
        </w:rPr>
        <w:t>Supplemental Ta</w:t>
      </w:r>
      <w:r w:rsidRPr="00232EFC">
        <w:rPr>
          <w:rFonts w:ascii="Arial" w:eastAsia="Arial" w:hAnsi="Arial" w:cs="Times New Roman"/>
          <w:b/>
          <w:sz w:val="24"/>
          <w:szCs w:val="24"/>
        </w:rPr>
        <w:t xml:space="preserve">ble </w:t>
      </w:r>
      <w:r w:rsidR="00B70083">
        <w:rPr>
          <w:rFonts w:ascii="Arial" w:eastAsia="Arial" w:hAnsi="Arial" w:cs="Times New Roman"/>
          <w:b/>
          <w:sz w:val="24"/>
          <w:szCs w:val="24"/>
        </w:rPr>
        <w:t>6</w:t>
      </w:r>
      <w:r w:rsidRPr="00232EFC">
        <w:rPr>
          <w:rFonts w:ascii="Arial" w:eastAsia="Arial" w:hAnsi="Arial" w:cs="Times New Roman"/>
          <w:b/>
          <w:sz w:val="24"/>
          <w:szCs w:val="24"/>
        </w:rPr>
        <w:t xml:space="preserve">: </w:t>
      </w:r>
      <w:r w:rsidR="00D80AD9">
        <w:rPr>
          <w:rFonts w:ascii="Arial" w:eastAsia="Arial" w:hAnsi="Arial" w:cs="Times New Roman"/>
          <w:sz w:val="24"/>
          <w:szCs w:val="24"/>
        </w:rPr>
        <w:t>P</w:t>
      </w:r>
      <w:r>
        <w:rPr>
          <w:rFonts w:ascii="Arial" w:eastAsia="Arial" w:hAnsi="Arial" w:cs="Times New Roman"/>
          <w:sz w:val="24"/>
          <w:szCs w:val="24"/>
        </w:rPr>
        <w:t>athway</w:t>
      </w:r>
      <w:r w:rsidRPr="00232EFC">
        <w:rPr>
          <w:rFonts w:ascii="Arial" w:eastAsia="Arial" w:hAnsi="Arial" w:cs="Times New Roman"/>
          <w:sz w:val="24"/>
          <w:szCs w:val="24"/>
        </w:rPr>
        <w:t xml:space="preserve"> analysis of </w:t>
      </w:r>
      <w:r w:rsidR="00D80AD9">
        <w:rPr>
          <w:rFonts w:ascii="Arial" w:eastAsia="Arial" w:hAnsi="Arial" w:cs="Times New Roman"/>
          <w:sz w:val="24"/>
          <w:szCs w:val="24"/>
        </w:rPr>
        <w:t xml:space="preserve">target genes regulated by transcription factors identified with higher binding in dcSSc </w:t>
      </w:r>
      <w:r w:rsidR="006731CE">
        <w:rPr>
          <w:rFonts w:ascii="Arial" w:eastAsia="Arial" w:hAnsi="Arial" w:cs="Times New Roman"/>
          <w:sz w:val="24"/>
          <w:szCs w:val="24"/>
        </w:rPr>
        <w:t xml:space="preserve">ECs </w:t>
      </w:r>
      <w:r w:rsidR="00D80AD9">
        <w:rPr>
          <w:rFonts w:ascii="Arial" w:eastAsia="Arial" w:hAnsi="Arial" w:cs="Times New Roman"/>
          <w:sz w:val="24"/>
          <w:szCs w:val="24"/>
        </w:rPr>
        <w:t xml:space="preserve">compared to controls. </w:t>
      </w:r>
      <w:r>
        <w:rPr>
          <w:rFonts w:ascii="Arial" w:eastAsia="Arial" w:hAnsi="Arial" w:cs="Times New Roman"/>
          <w:sz w:val="24"/>
          <w:szCs w:val="24"/>
        </w:rPr>
        <w:t>Anal</w:t>
      </w:r>
      <w:r w:rsidR="00CB2CEB">
        <w:rPr>
          <w:rFonts w:ascii="Arial" w:eastAsia="Arial" w:hAnsi="Arial" w:cs="Times New Roman"/>
          <w:sz w:val="24"/>
          <w:szCs w:val="24"/>
        </w:rPr>
        <w:t xml:space="preserve">ysis was performed using ClueGO (Reactome pathways) </w:t>
      </w:r>
      <w:r>
        <w:rPr>
          <w:rFonts w:ascii="Arial" w:eastAsia="Arial" w:hAnsi="Arial" w:cs="Times New Roman"/>
          <w:sz w:val="24"/>
          <w:szCs w:val="24"/>
        </w:rPr>
        <w:t xml:space="preserve">with gene lists extracted from </w:t>
      </w:r>
      <w:r w:rsidRPr="008E16F6">
        <w:rPr>
          <w:rFonts w:ascii="Arial" w:eastAsia="Arial" w:hAnsi="Arial" w:cs="Times New Roman"/>
          <w:sz w:val="24"/>
          <w:szCs w:val="24"/>
        </w:rPr>
        <w:t>TRANSFAC Predicted Transcription Factor Targets</w:t>
      </w:r>
      <w:r>
        <w:rPr>
          <w:rFonts w:ascii="Arial" w:eastAsia="Arial" w:hAnsi="Arial" w:cs="Times New Roman"/>
          <w:sz w:val="24"/>
          <w:szCs w:val="24"/>
        </w:rPr>
        <w:t>,</w:t>
      </w:r>
      <w:r w:rsidRPr="008E16F6">
        <w:rPr>
          <w:rFonts w:ascii="Arial" w:eastAsia="Arial" w:hAnsi="Arial" w:cs="Times New Roman"/>
          <w:sz w:val="24"/>
          <w:szCs w:val="24"/>
        </w:rPr>
        <w:t xml:space="preserve"> CHEA Transcription Factor Targets databases</w:t>
      </w:r>
      <w:r>
        <w:rPr>
          <w:rFonts w:ascii="Arial" w:eastAsia="Arial" w:hAnsi="Arial" w:cs="Times New Roman"/>
          <w:sz w:val="24"/>
          <w:szCs w:val="24"/>
        </w:rPr>
        <w:t xml:space="preserve">, or ChiP-seq data from Liu et. al </w:t>
      </w:r>
      <w:r>
        <w:rPr>
          <w:rFonts w:ascii="Arial" w:eastAsia="Arial" w:hAnsi="Arial" w:cs="Times New Roman"/>
          <w:sz w:val="24"/>
          <w:szCs w:val="24"/>
        </w:rPr>
        <w:fldChar w:fldCharType="begin"/>
      </w:r>
      <w:r>
        <w:rPr>
          <w:rFonts w:ascii="Arial" w:eastAsia="Arial" w:hAnsi="Arial" w:cs="Times New Roman"/>
          <w:sz w:val="24"/>
          <w:szCs w:val="24"/>
        </w:rPr>
        <w:instrText xml:space="preserve"> ADDIN EN.CITE &lt;EndNote&gt;&lt;Cite&gt;&lt;Author&gt;Liu&lt;/Author&gt;&lt;Year&gt;2015&lt;/Year&gt;&lt;RecNum&gt;1286&lt;/RecNum&gt;&lt;DisplayText&gt;(1)&lt;/DisplayText&gt;&lt;record&gt;&lt;rec-number&gt;1286&lt;/rec-number&gt;&lt;foreign-keys&gt;&lt;key app="EN" db-id="0pevfx5s90tfr0efx2j5xre9tzwaa5sr5ptt" timestamp="1591371519"&gt;1286&lt;/key&gt;&lt;/foreign-keys&gt;&lt;ref-type name="Journal Article"&gt;17&lt;/ref-type&gt;&lt;contributors&gt;&lt;authors&gt;&lt;author&gt;Liu, Fang&lt;/author&gt;&lt;author&gt;Li, Daofeng&lt;/author&gt;&lt;author&gt;Yu, Yik Yeung Lawrence&lt;/author&gt;&lt;author&gt;Kang, Inyoung&lt;/author&gt;&lt;author&gt;Cha, Min-Ji&lt;/author&gt;&lt;author&gt;Kim, Ju Young&lt;/author&gt;&lt;author&gt;Park, Changwon&lt;/author&gt;&lt;author&gt;Watson, Dennis K&lt;/author&gt;&lt;author&gt;Wang, Ting&lt;/author&gt;&lt;author&gt;Choi, Kyunghee&lt;/author&gt;&lt;/authors&gt;&lt;/contributors&gt;&lt;titles&gt;&lt;title&gt;Induction of hematopoietic and endothelial cell program orchestrated by ETS transcription factor ER71/ETV2&lt;/title&gt;&lt;secondary-title&gt;EMBO reports&lt;/secondary-title&gt;&lt;/titles&gt;&lt;periodical&gt;&lt;full-title&gt;EMBO reports&lt;/full-title&gt;&lt;/periodical&gt;&lt;pages&gt;654-669&lt;/pages&gt;&lt;volume&gt;16&lt;/volume&gt;&lt;number&gt;5&lt;/number&gt;&lt;dates&gt;&lt;year&gt;2015&lt;/year&gt;&lt;/dates&gt;&lt;isbn&gt;1469-221X&lt;/isbn&gt;&lt;urls&gt;&lt;related-urls&gt;&lt;url&gt;https://www.embopress.org/doi/abs/10.15252/embr.201439939&lt;/url&gt;&lt;/related-urls&gt;&lt;/urls&gt;&lt;electronic-resource-num&gt;10.15252/embr.201439939&lt;/electronic-resource-num&gt;&lt;/record&gt;&lt;/Cite&gt;&lt;/EndNote&gt;</w:instrText>
      </w:r>
      <w:r>
        <w:rPr>
          <w:rFonts w:ascii="Arial" w:eastAsia="Arial" w:hAnsi="Arial" w:cs="Times New Roman"/>
          <w:sz w:val="24"/>
          <w:szCs w:val="24"/>
        </w:rPr>
        <w:fldChar w:fldCharType="separate"/>
      </w:r>
      <w:r>
        <w:rPr>
          <w:rFonts w:ascii="Arial" w:eastAsia="Arial" w:hAnsi="Arial" w:cs="Times New Roman"/>
          <w:noProof/>
          <w:sz w:val="24"/>
          <w:szCs w:val="24"/>
        </w:rPr>
        <w:t>(1)</w:t>
      </w:r>
      <w:r>
        <w:rPr>
          <w:rFonts w:ascii="Arial" w:eastAsia="Arial" w:hAnsi="Arial" w:cs="Times New Roman"/>
          <w:sz w:val="24"/>
          <w:szCs w:val="24"/>
        </w:rPr>
        <w:fldChar w:fldCharType="end"/>
      </w:r>
      <w:r>
        <w:rPr>
          <w:rFonts w:ascii="Arial" w:eastAsia="Arial" w:hAnsi="Arial" w:cs="Times New Roman"/>
          <w:sz w:val="24"/>
          <w:szCs w:val="24"/>
        </w:rPr>
        <w:t>.</w:t>
      </w:r>
      <w:r w:rsidR="00541108">
        <w:rPr>
          <w:rFonts w:ascii="Arial" w:eastAsia="Arial" w:hAnsi="Arial" w:cs="Times New Roman"/>
          <w:sz w:val="24"/>
          <w:szCs w:val="24"/>
        </w:rPr>
        <w:t xml:space="preserve"> The top 10 pathways </w:t>
      </w:r>
      <w:bookmarkStart w:id="0" w:name="_GoBack"/>
      <w:bookmarkEnd w:id="0"/>
      <w:r w:rsidR="00541108">
        <w:rPr>
          <w:rFonts w:ascii="Arial" w:eastAsia="Arial" w:hAnsi="Arial" w:cs="Times New Roman"/>
          <w:sz w:val="24"/>
          <w:szCs w:val="24"/>
        </w:rPr>
        <w:t xml:space="preserve">are listed. </w:t>
      </w:r>
    </w:p>
    <w:tbl>
      <w:tblPr>
        <w:tblW w:w="9987" w:type="dxa"/>
        <w:jc w:val="center"/>
        <w:tblLook w:val="04A0" w:firstRow="1" w:lastRow="0" w:firstColumn="1" w:lastColumn="0" w:noHBand="0" w:noVBand="1"/>
      </w:tblPr>
      <w:tblGrid>
        <w:gridCol w:w="7557"/>
        <w:gridCol w:w="2430"/>
      </w:tblGrid>
      <w:tr w:rsidR="008E16F6" w:rsidRPr="00BE349D" w14:paraId="709F9098" w14:textId="77777777" w:rsidTr="00BE349D">
        <w:trPr>
          <w:trHeight w:val="285"/>
          <w:jc w:val="center"/>
        </w:trPr>
        <w:tc>
          <w:tcPr>
            <w:tcW w:w="755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4BACCC6B" w14:textId="77777777" w:rsidR="008E16F6" w:rsidRPr="00BE349D" w:rsidRDefault="008E16F6" w:rsidP="001B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Pathways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F2B065A" w14:textId="77777777" w:rsidR="008E16F6" w:rsidRPr="00BE349D" w:rsidRDefault="008E16F6" w:rsidP="001B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Adjusted P Value</w:t>
            </w:r>
          </w:p>
        </w:tc>
      </w:tr>
      <w:tr w:rsidR="008E16F6" w:rsidRPr="00BE349D" w14:paraId="64C22ACA" w14:textId="77777777" w:rsidTr="00BE349D">
        <w:trPr>
          <w:trHeight w:val="315"/>
          <w:jc w:val="center"/>
        </w:trPr>
        <w:tc>
          <w:tcPr>
            <w:tcW w:w="7557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bottom"/>
          </w:tcPr>
          <w:p w14:paraId="347B189F" w14:textId="77777777" w:rsidR="008E16F6" w:rsidRPr="00D6515B" w:rsidRDefault="008E16F6" w:rsidP="001B6E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D651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SNAI2: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14:paraId="716C59E9" w14:textId="77777777" w:rsidR="008E16F6" w:rsidRPr="00BE349D" w:rsidRDefault="008E16F6" w:rsidP="001B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400C4" w:rsidRPr="00BE349D" w14:paraId="197DCDA5" w14:textId="77777777" w:rsidTr="00D6515B">
        <w:trPr>
          <w:trHeight w:val="242"/>
          <w:jc w:val="center"/>
        </w:trPr>
        <w:tc>
          <w:tcPr>
            <w:tcW w:w="755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7F07DFF" w14:textId="77777777" w:rsidR="006400C4" w:rsidRPr="00D6515B" w:rsidRDefault="006400C4" w:rsidP="0064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1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Nuclear Receptor transcription pathway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E67B8" w14:textId="77777777" w:rsidR="006400C4" w:rsidRPr="00BE349D" w:rsidRDefault="006400C4" w:rsidP="00D651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9D">
              <w:rPr>
                <w:rFonts w:ascii="Arial" w:hAnsi="Arial" w:cs="Arial"/>
                <w:sz w:val="24"/>
                <w:szCs w:val="24"/>
              </w:rPr>
              <w:t>7.08E-20</w:t>
            </w:r>
          </w:p>
        </w:tc>
      </w:tr>
      <w:tr w:rsidR="006400C4" w:rsidRPr="00BE349D" w14:paraId="656E2ED8" w14:textId="77777777" w:rsidTr="00D6515B">
        <w:trPr>
          <w:trHeight w:val="261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6F794" w14:textId="77777777" w:rsidR="006400C4" w:rsidRPr="00D6515B" w:rsidRDefault="006400C4" w:rsidP="0064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1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SUMOylation of intracellular receptors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4AAED" w14:textId="77777777" w:rsidR="006400C4" w:rsidRPr="00BE349D" w:rsidRDefault="006400C4" w:rsidP="00D651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9D">
              <w:rPr>
                <w:rFonts w:ascii="Arial" w:hAnsi="Arial" w:cs="Arial"/>
                <w:sz w:val="24"/>
                <w:szCs w:val="24"/>
              </w:rPr>
              <w:t>2.66E-18</w:t>
            </w:r>
          </w:p>
        </w:tc>
      </w:tr>
      <w:tr w:rsidR="006400C4" w:rsidRPr="00BE349D" w14:paraId="7D69B3A2" w14:textId="77777777" w:rsidTr="00D6515B">
        <w:trPr>
          <w:trHeight w:val="270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8121F" w14:textId="77777777" w:rsidR="006400C4" w:rsidRPr="00D6515B" w:rsidRDefault="006400C4" w:rsidP="0064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1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SUMO E3 ligases SUMOylate target proteins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C208F" w14:textId="77777777" w:rsidR="006400C4" w:rsidRPr="00BE349D" w:rsidRDefault="006400C4" w:rsidP="00D651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9D">
              <w:rPr>
                <w:rFonts w:ascii="Arial" w:hAnsi="Arial" w:cs="Arial"/>
                <w:sz w:val="24"/>
                <w:szCs w:val="24"/>
              </w:rPr>
              <w:t>1.40E-15</w:t>
            </w:r>
          </w:p>
        </w:tc>
      </w:tr>
      <w:tr w:rsidR="006400C4" w:rsidRPr="00BE349D" w14:paraId="125E452A" w14:textId="77777777" w:rsidTr="00D6515B">
        <w:trPr>
          <w:trHeight w:val="270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D5C10" w14:textId="77777777" w:rsidR="006400C4" w:rsidRPr="00D6515B" w:rsidRDefault="006400C4" w:rsidP="0064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1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SUMOylation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1C8BA" w14:textId="77777777" w:rsidR="006400C4" w:rsidRPr="00BE349D" w:rsidRDefault="006400C4" w:rsidP="00D651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9D">
              <w:rPr>
                <w:rFonts w:ascii="Arial" w:hAnsi="Arial" w:cs="Arial"/>
                <w:sz w:val="24"/>
                <w:szCs w:val="24"/>
              </w:rPr>
              <w:t>2.65E-15</w:t>
            </w:r>
          </w:p>
        </w:tc>
      </w:tr>
      <w:tr w:rsidR="006400C4" w:rsidRPr="00BE349D" w14:paraId="48480E35" w14:textId="77777777" w:rsidTr="00D6515B">
        <w:trPr>
          <w:trHeight w:val="180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01B92" w14:textId="77777777" w:rsidR="006400C4" w:rsidRPr="00D6515B" w:rsidRDefault="006400C4" w:rsidP="0064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1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Estrogen-dependent gene expression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E9C89" w14:textId="77777777" w:rsidR="006400C4" w:rsidRPr="00BE349D" w:rsidRDefault="006400C4" w:rsidP="00D651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9D">
              <w:rPr>
                <w:rFonts w:ascii="Arial" w:hAnsi="Arial" w:cs="Arial"/>
                <w:sz w:val="24"/>
                <w:szCs w:val="24"/>
              </w:rPr>
              <w:t>2.46E-13</w:t>
            </w:r>
          </w:p>
        </w:tc>
      </w:tr>
      <w:tr w:rsidR="006400C4" w:rsidRPr="00BE349D" w14:paraId="2C2DE145" w14:textId="77777777" w:rsidTr="00D6515B">
        <w:trPr>
          <w:trHeight w:val="198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5EA50" w14:textId="77777777" w:rsidR="006400C4" w:rsidRPr="00D6515B" w:rsidRDefault="006400C4" w:rsidP="0064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1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Transcriptional regulation of granulopoiesis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AB77B" w14:textId="77777777" w:rsidR="006400C4" w:rsidRPr="00BE349D" w:rsidRDefault="006400C4" w:rsidP="00D651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9D">
              <w:rPr>
                <w:rFonts w:ascii="Arial" w:hAnsi="Arial" w:cs="Arial"/>
                <w:sz w:val="24"/>
                <w:szCs w:val="24"/>
              </w:rPr>
              <w:t>4.54E-10</w:t>
            </w:r>
          </w:p>
        </w:tc>
      </w:tr>
      <w:tr w:rsidR="006400C4" w:rsidRPr="00BE349D" w14:paraId="009D1DDF" w14:textId="77777777" w:rsidTr="00D6515B">
        <w:trPr>
          <w:trHeight w:val="216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7EA02" w14:textId="77777777" w:rsidR="006400C4" w:rsidRPr="00D6515B" w:rsidRDefault="006400C4" w:rsidP="0064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1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PPARA activates gene expression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935AD" w14:textId="77777777" w:rsidR="006400C4" w:rsidRPr="00BE349D" w:rsidRDefault="006400C4" w:rsidP="00D651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9D">
              <w:rPr>
                <w:rFonts w:ascii="Arial" w:hAnsi="Arial" w:cs="Arial"/>
                <w:sz w:val="24"/>
                <w:szCs w:val="24"/>
              </w:rPr>
              <w:t>6.08E-10</w:t>
            </w:r>
          </w:p>
        </w:tc>
      </w:tr>
      <w:tr w:rsidR="006400C4" w:rsidRPr="00BE349D" w14:paraId="6D8CA98E" w14:textId="77777777" w:rsidTr="00D6515B">
        <w:trPr>
          <w:trHeight w:val="234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F9655" w14:textId="77777777" w:rsidR="006400C4" w:rsidRPr="00D6515B" w:rsidRDefault="006400C4" w:rsidP="0064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1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Regulation of lipid metabolism by PPARalpha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6F5B2" w14:textId="77777777" w:rsidR="006400C4" w:rsidRPr="00BE349D" w:rsidRDefault="006400C4" w:rsidP="00D651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9D">
              <w:rPr>
                <w:rFonts w:ascii="Arial" w:hAnsi="Arial" w:cs="Arial"/>
                <w:sz w:val="24"/>
                <w:szCs w:val="24"/>
              </w:rPr>
              <w:t>7.50E-10</w:t>
            </w:r>
          </w:p>
        </w:tc>
      </w:tr>
      <w:tr w:rsidR="006400C4" w:rsidRPr="00BE349D" w14:paraId="513E2218" w14:textId="77777777" w:rsidTr="00D6515B">
        <w:trPr>
          <w:trHeight w:val="252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1A6CB" w14:textId="77777777" w:rsidR="006400C4" w:rsidRPr="00BE349D" w:rsidRDefault="006400C4" w:rsidP="0064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Transcriptional regulation by RUNX3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89D79" w14:textId="77777777" w:rsidR="006400C4" w:rsidRPr="00BE349D" w:rsidRDefault="006400C4" w:rsidP="00D651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9D">
              <w:rPr>
                <w:rFonts w:ascii="Arial" w:hAnsi="Arial" w:cs="Arial"/>
                <w:sz w:val="24"/>
                <w:szCs w:val="24"/>
              </w:rPr>
              <w:t>1.10E-09</w:t>
            </w:r>
          </w:p>
        </w:tc>
      </w:tr>
      <w:tr w:rsidR="006400C4" w:rsidRPr="00BE349D" w14:paraId="4A6206A6" w14:textId="77777777" w:rsidTr="00D6515B">
        <w:trPr>
          <w:trHeight w:val="180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EC55D" w14:textId="77777777" w:rsidR="006400C4" w:rsidRPr="00BE349D" w:rsidRDefault="006400C4" w:rsidP="0064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Circadian Clock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66809" w14:textId="77777777" w:rsidR="006400C4" w:rsidRPr="00BE349D" w:rsidRDefault="006400C4" w:rsidP="00D651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49D">
              <w:rPr>
                <w:rFonts w:ascii="Arial" w:hAnsi="Arial" w:cs="Arial"/>
                <w:sz w:val="24"/>
                <w:szCs w:val="24"/>
              </w:rPr>
              <w:t>1.27E-08</w:t>
            </w:r>
          </w:p>
        </w:tc>
      </w:tr>
      <w:tr w:rsidR="006400C4" w:rsidRPr="00BE349D" w14:paraId="05063D86" w14:textId="77777777" w:rsidTr="00D6515B">
        <w:trPr>
          <w:trHeight w:val="126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5DEEE" w14:textId="77777777" w:rsidR="006400C4" w:rsidRPr="00BE349D" w:rsidRDefault="006400C4" w:rsidP="00D651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BE349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ELF1:</w:t>
            </w:r>
          </w:p>
          <w:p w14:paraId="4F661505" w14:textId="77777777" w:rsidR="006400C4" w:rsidRPr="00BE349D" w:rsidRDefault="007202B9" w:rsidP="00D65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significant enrichment was found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14260" w14:textId="77777777" w:rsidR="006400C4" w:rsidRPr="00BE349D" w:rsidRDefault="006400C4" w:rsidP="00D65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49C2362" w14:textId="77777777" w:rsidR="006400C4" w:rsidRPr="00BE349D" w:rsidRDefault="006400C4" w:rsidP="00D65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6515B" w:rsidRPr="00BE349D" w14:paraId="1A7B9290" w14:textId="77777777" w:rsidTr="00D6515B">
        <w:trPr>
          <w:trHeight w:val="441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2E5C4" w14:textId="77777777" w:rsidR="00D6515B" w:rsidRPr="00BE349D" w:rsidRDefault="00D6515B" w:rsidP="00D651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BE349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ETV2:</w:t>
            </w:r>
          </w:p>
          <w:p w14:paraId="61E570DC" w14:textId="77777777" w:rsidR="00D6515B" w:rsidRPr="00BE349D" w:rsidRDefault="00D6515B" w:rsidP="00D65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Nervous system development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78DE6" w14:textId="77777777" w:rsidR="00D6515B" w:rsidRPr="00D6515B" w:rsidRDefault="00D6515B" w:rsidP="00D651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D6515B">
              <w:rPr>
                <w:rFonts w:ascii="Arial" w:hAnsi="Arial" w:cs="Arial"/>
                <w:sz w:val="24"/>
                <w:szCs w:val="20"/>
              </w:rPr>
              <w:t>3.94E-08</w:t>
            </w:r>
          </w:p>
        </w:tc>
      </w:tr>
      <w:tr w:rsidR="00D6515B" w:rsidRPr="00BE349D" w14:paraId="1372FDAD" w14:textId="77777777" w:rsidTr="00D6515B">
        <w:trPr>
          <w:trHeight w:val="207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26845" w14:textId="77777777" w:rsidR="00D6515B" w:rsidRPr="00BE349D" w:rsidRDefault="00D6515B" w:rsidP="00D65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Axon guidance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6DD43" w14:textId="77777777" w:rsidR="00D6515B" w:rsidRPr="00D6515B" w:rsidRDefault="00D6515B" w:rsidP="00D6515B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D6515B">
              <w:rPr>
                <w:rFonts w:ascii="Arial" w:hAnsi="Arial" w:cs="Arial"/>
                <w:sz w:val="24"/>
                <w:szCs w:val="20"/>
              </w:rPr>
              <w:t>6.41E-08</w:t>
            </w:r>
          </w:p>
        </w:tc>
      </w:tr>
      <w:tr w:rsidR="00D6515B" w:rsidRPr="00BE349D" w14:paraId="6CA46CF1" w14:textId="77777777" w:rsidTr="00D6515B">
        <w:trPr>
          <w:trHeight w:val="270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AA160" w14:textId="77777777" w:rsidR="00D6515B" w:rsidRPr="00BE349D" w:rsidRDefault="00D6515B" w:rsidP="00D65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Signaling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by GPCR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DBD50" w14:textId="77777777" w:rsidR="00D6515B" w:rsidRPr="00D6515B" w:rsidRDefault="00D6515B" w:rsidP="00D6515B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D6515B">
              <w:rPr>
                <w:rFonts w:ascii="Arial" w:hAnsi="Arial" w:cs="Arial"/>
                <w:sz w:val="24"/>
                <w:szCs w:val="20"/>
              </w:rPr>
              <w:t>6.93E-07</w:t>
            </w:r>
          </w:p>
        </w:tc>
      </w:tr>
      <w:tr w:rsidR="00D6515B" w:rsidRPr="00BE349D" w14:paraId="764CCFC1" w14:textId="77777777" w:rsidTr="00D6515B">
        <w:trPr>
          <w:trHeight w:val="270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4534E" w14:textId="77777777" w:rsidR="00D6515B" w:rsidRPr="00BE349D" w:rsidRDefault="00D6515B" w:rsidP="00D65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GPCR downstream signalling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CDDFC" w14:textId="77777777" w:rsidR="00D6515B" w:rsidRPr="00D6515B" w:rsidRDefault="00D6515B" w:rsidP="00D6515B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D6515B">
              <w:rPr>
                <w:rFonts w:ascii="Arial" w:hAnsi="Arial" w:cs="Arial"/>
                <w:sz w:val="24"/>
                <w:szCs w:val="20"/>
              </w:rPr>
              <w:t>1.52E-06</w:t>
            </w:r>
          </w:p>
        </w:tc>
      </w:tr>
      <w:tr w:rsidR="00D6515B" w:rsidRPr="00BE349D" w14:paraId="5D3D765F" w14:textId="77777777" w:rsidTr="00D6515B">
        <w:trPr>
          <w:trHeight w:val="270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B1CB1" w14:textId="77777777" w:rsidR="00D6515B" w:rsidRPr="00BE349D" w:rsidRDefault="00D6515B" w:rsidP="00D65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Signali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 by Receptor Tyrosine Kinases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89CA0" w14:textId="77777777" w:rsidR="00D6515B" w:rsidRPr="00D6515B" w:rsidRDefault="00D6515B" w:rsidP="00D6515B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D6515B">
              <w:rPr>
                <w:rFonts w:ascii="Arial" w:hAnsi="Arial" w:cs="Arial"/>
                <w:sz w:val="24"/>
                <w:szCs w:val="20"/>
              </w:rPr>
              <w:t>8.79E-06</w:t>
            </w:r>
          </w:p>
        </w:tc>
      </w:tr>
      <w:tr w:rsidR="00D6515B" w:rsidRPr="00BE349D" w14:paraId="1AC69979" w14:textId="77777777" w:rsidTr="00D6515B">
        <w:trPr>
          <w:trHeight w:val="333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308F5" w14:textId="77777777" w:rsidR="00D6515B" w:rsidRPr="00BE349D" w:rsidRDefault="00D6515B" w:rsidP="00D65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EPHB-mediated forward signaling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B6ECE" w14:textId="77777777" w:rsidR="00D6515B" w:rsidRPr="00D6515B" w:rsidRDefault="00D6515B" w:rsidP="00D6515B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D6515B">
              <w:rPr>
                <w:rFonts w:ascii="Arial" w:hAnsi="Arial" w:cs="Arial"/>
                <w:sz w:val="24"/>
                <w:szCs w:val="20"/>
              </w:rPr>
              <w:t>1.77E-05</w:t>
            </w:r>
          </w:p>
        </w:tc>
      </w:tr>
      <w:tr w:rsidR="00D6515B" w:rsidRPr="00BE349D" w14:paraId="03C0239A" w14:textId="77777777" w:rsidTr="00D6515B">
        <w:trPr>
          <w:trHeight w:val="297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A791E" w14:textId="77777777" w:rsidR="00D6515B" w:rsidRPr="00BE349D" w:rsidRDefault="00D6515B" w:rsidP="00D65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Platelet activa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tion, signaling and aggregation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55CA6" w14:textId="77777777" w:rsidR="00D6515B" w:rsidRPr="00D6515B" w:rsidRDefault="00D6515B" w:rsidP="00D6515B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D6515B">
              <w:rPr>
                <w:rFonts w:ascii="Arial" w:hAnsi="Arial" w:cs="Arial"/>
                <w:sz w:val="24"/>
                <w:szCs w:val="20"/>
              </w:rPr>
              <w:t>6.04E-04</w:t>
            </w:r>
          </w:p>
        </w:tc>
      </w:tr>
      <w:tr w:rsidR="00D6515B" w:rsidRPr="00BE349D" w14:paraId="43173B81" w14:textId="77777777" w:rsidTr="00D6515B">
        <w:trPr>
          <w:trHeight w:val="270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26F82" w14:textId="77777777" w:rsidR="00D6515B" w:rsidRPr="00BE349D" w:rsidRDefault="00D6515B" w:rsidP="00D65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Adherens junctions interactions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CC0A5" w14:textId="77777777" w:rsidR="00D6515B" w:rsidRPr="00D6515B" w:rsidRDefault="00D6515B" w:rsidP="00D6515B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D6515B">
              <w:rPr>
                <w:rFonts w:ascii="Arial" w:hAnsi="Arial" w:cs="Arial"/>
                <w:sz w:val="24"/>
                <w:szCs w:val="20"/>
              </w:rPr>
              <w:t>2.67E-03</w:t>
            </w:r>
          </w:p>
        </w:tc>
      </w:tr>
      <w:tr w:rsidR="00D6515B" w:rsidRPr="00BE349D" w14:paraId="20589CE3" w14:textId="77777777" w:rsidTr="00D6515B">
        <w:trPr>
          <w:trHeight w:val="270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29B3A" w14:textId="77777777" w:rsidR="00D6515B" w:rsidRPr="00BE349D" w:rsidRDefault="00D6515B" w:rsidP="00D65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EPH-Ephrin signaling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9F855" w14:textId="77777777" w:rsidR="00D6515B" w:rsidRPr="00D6515B" w:rsidRDefault="00D6515B" w:rsidP="00D6515B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D6515B">
              <w:rPr>
                <w:rFonts w:ascii="Arial" w:hAnsi="Arial" w:cs="Arial"/>
                <w:sz w:val="24"/>
                <w:szCs w:val="20"/>
              </w:rPr>
              <w:t>3.37E-03</w:t>
            </w:r>
          </w:p>
        </w:tc>
      </w:tr>
      <w:tr w:rsidR="00D6515B" w:rsidRPr="00BE349D" w14:paraId="511DD4F0" w14:textId="77777777" w:rsidTr="00D6515B">
        <w:trPr>
          <w:trHeight w:val="270"/>
          <w:jc w:val="center"/>
        </w:trPr>
        <w:tc>
          <w:tcPr>
            <w:tcW w:w="755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287794D" w14:textId="77777777" w:rsidR="00D6515B" w:rsidRPr="00BE349D" w:rsidRDefault="00D6515B" w:rsidP="00D65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RAF-independent MAPK1/3 activation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245215E" w14:textId="77777777" w:rsidR="00D6515B" w:rsidRPr="00D6515B" w:rsidRDefault="00D6515B" w:rsidP="00D6515B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D6515B">
              <w:rPr>
                <w:rFonts w:ascii="Arial" w:hAnsi="Arial" w:cs="Arial"/>
                <w:sz w:val="24"/>
                <w:szCs w:val="20"/>
              </w:rPr>
              <w:t>3.73E-03</w:t>
            </w:r>
          </w:p>
        </w:tc>
      </w:tr>
    </w:tbl>
    <w:p w14:paraId="007ED81A" w14:textId="77777777" w:rsidR="008E16F6" w:rsidRDefault="008E16F6"/>
    <w:p w14:paraId="1D3519EA" w14:textId="77777777" w:rsidR="00CB2CEB" w:rsidRPr="00CB2CEB" w:rsidRDefault="008E16F6" w:rsidP="00CB2CEB">
      <w:pPr>
        <w:pStyle w:val="EndNoteBibliography"/>
        <w:ind w:left="720" w:hanging="720"/>
      </w:pPr>
      <w:r>
        <w:rPr>
          <w:rFonts w:ascii="Calibri" w:hAnsi="Calibri" w:cs="Calibri"/>
        </w:rPr>
        <w:fldChar w:fldCharType="begin"/>
      </w:r>
      <w:r>
        <w:instrText xml:space="preserve"> ADDIN EN.REFLIST </w:instrText>
      </w:r>
      <w:r>
        <w:rPr>
          <w:rFonts w:ascii="Calibri" w:hAnsi="Calibri" w:cs="Calibri"/>
        </w:rPr>
        <w:fldChar w:fldCharType="separate"/>
      </w:r>
      <w:r w:rsidR="00CB2CEB" w:rsidRPr="00CB2CEB">
        <w:t>1.</w:t>
      </w:r>
      <w:r w:rsidR="00CB2CEB" w:rsidRPr="00CB2CEB">
        <w:tab/>
        <w:t>F. Liu</w:t>
      </w:r>
      <w:r w:rsidR="00CB2CEB" w:rsidRPr="00CB2CEB">
        <w:rPr>
          <w:i/>
        </w:rPr>
        <w:t xml:space="preserve"> et al.</w:t>
      </w:r>
      <w:r w:rsidR="00CB2CEB" w:rsidRPr="00CB2CEB">
        <w:t xml:space="preserve">, Induction of hematopoietic and endothelial cell program orchestrated by ETS transcription factor ER71/ETV2. </w:t>
      </w:r>
      <w:r w:rsidR="00CB2CEB" w:rsidRPr="00CB2CEB">
        <w:rPr>
          <w:i/>
        </w:rPr>
        <w:t>EMBO reports</w:t>
      </w:r>
      <w:r w:rsidR="00CB2CEB" w:rsidRPr="00CB2CEB">
        <w:t xml:space="preserve"> </w:t>
      </w:r>
      <w:r w:rsidR="00CB2CEB" w:rsidRPr="00CB2CEB">
        <w:rPr>
          <w:b/>
        </w:rPr>
        <w:t>16</w:t>
      </w:r>
      <w:r w:rsidR="00CB2CEB" w:rsidRPr="00CB2CEB">
        <w:t>, 654-669 (2015).</w:t>
      </w:r>
    </w:p>
    <w:p w14:paraId="192FEFE4" w14:textId="77777777" w:rsidR="00867998" w:rsidRDefault="008E16F6">
      <w:r>
        <w:fldChar w:fldCharType="end"/>
      </w:r>
    </w:p>
    <w:sectPr w:rsidR="00867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pevfx5s90tfr0efx2j5xre9tzwaa5sr5ptt&quot;&gt;My EndNote Library-Converted&lt;record-ids&gt;&lt;item&gt;1286&lt;/item&gt;&lt;/record-ids&gt;&lt;/item&gt;&lt;/Libraries&gt;"/>
  </w:docVars>
  <w:rsids>
    <w:rsidRoot w:val="008E16F6"/>
    <w:rsid w:val="00541108"/>
    <w:rsid w:val="006400C4"/>
    <w:rsid w:val="006731CE"/>
    <w:rsid w:val="007202B9"/>
    <w:rsid w:val="00867998"/>
    <w:rsid w:val="008E16F6"/>
    <w:rsid w:val="00B70083"/>
    <w:rsid w:val="00BE349D"/>
    <w:rsid w:val="00CB2CEB"/>
    <w:rsid w:val="00D6515B"/>
    <w:rsid w:val="00D8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C4B0"/>
  <w15:chartTrackingRefBased/>
  <w15:docId w15:val="{F50F89CA-447D-4873-A718-7FB23A17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16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8E16F6"/>
    <w:pPr>
      <w:spacing w:after="0"/>
      <w:jc w:val="center"/>
    </w:pPr>
    <w:rPr>
      <w:rFonts w:ascii="Arial" w:hAnsi="Arial"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E16F6"/>
    <w:rPr>
      <w:rFonts w:ascii="Arial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8E16F6"/>
    <w:pPr>
      <w:spacing w:line="240" w:lineRule="auto"/>
    </w:pPr>
    <w:rPr>
      <w:rFonts w:ascii="Arial" w:hAnsi="Arial"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E16F6"/>
    <w:rPr>
      <w:rFonts w:ascii="Arial" w:hAnsi="Arial" w:cs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411</Words>
  <Characters>2344</Characters>
  <Application>Microsoft Office Word</Application>
  <DocSecurity>0</DocSecurity>
  <Lines>19</Lines>
  <Paragraphs>5</Paragraphs>
  <ScaleCrop>false</ScaleCrop>
  <Company>University of Michigan Health System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Tsou, Eliza</dc:creator>
  <cp:keywords/>
  <dc:description/>
  <cp:lastModifiedBy>Sawalha, Amr Hakam</cp:lastModifiedBy>
  <cp:revision>10</cp:revision>
  <dcterms:created xsi:type="dcterms:W3CDTF">2020-06-07T19:19:00Z</dcterms:created>
  <dcterms:modified xsi:type="dcterms:W3CDTF">2020-06-17T16:52:00Z</dcterms:modified>
</cp:coreProperties>
</file>