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F8DDC" w14:textId="6228C8CF" w:rsidR="008E16F6" w:rsidRDefault="008E16F6" w:rsidP="008E16F6">
      <w:pPr>
        <w:rPr>
          <w:rFonts w:ascii="Arial" w:eastAsia="Arial" w:hAnsi="Arial" w:cs="Times New Roman"/>
          <w:sz w:val="24"/>
          <w:szCs w:val="24"/>
        </w:rPr>
      </w:pPr>
      <w:r>
        <w:rPr>
          <w:rFonts w:ascii="Arial" w:eastAsia="Arial" w:hAnsi="Arial" w:cs="Times New Roman"/>
          <w:b/>
          <w:sz w:val="24"/>
          <w:szCs w:val="24"/>
        </w:rPr>
        <w:t>Supplemental Ta</w:t>
      </w:r>
      <w:r w:rsidRPr="00232EFC">
        <w:rPr>
          <w:rFonts w:ascii="Arial" w:eastAsia="Arial" w:hAnsi="Arial" w:cs="Times New Roman"/>
          <w:b/>
          <w:sz w:val="24"/>
          <w:szCs w:val="24"/>
        </w:rPr>
        <w:t xml:space="preserve">ble </w:t>
      </w:r>
      <w:r w:rsidR="00812176">
        <w:rPr>
          <w:rFonts w:ascii="Arial" w:eastAsia="Arial" w:hAnsi="Arial" w:cs="Times New Roman"/>
          <w:b/>
          <w:sz w:val="24"/>
          <w:szCs w:val="24"/>
        </w:rPr>
        <w:t>9</w:t>
      </w:r>
      <w:r w:rsidRPr="00232EFC">
        <w:rPr>
          <w:rFonts w:ascii="Arial" w:eastAsia="Arial" w:hAnsi="Arial" w:cs="Times New Roman"/>
          <w:b/>
          <w:sz w:val="24"/>
          <w:szCs w:val="24"/>
        </w:rPr>
        <w:t xml:space="preserve">: </w:t>
      </w:r>
      <w:r w:rsidR="000735D3">
        <w:rPr>
          <w:rFonts w:ascii="Arial" w:eastAsia="Arial" w:hAnsi="Arial" w:cs="Times New Roman"/>
          <w:sz w:val="24"/>
          <w:szCs w:val="24"/>
        </w:rPr>
        <w:t>Pathway</w:t>
      </w:r>
      <w:r w:rsidR="000735D3" w:rsidRPr="00232EFC">
        <w:rPr>
          <w:rFonts w:ascii="Arial" w:eastAsia="Arial" w:hAnsi="Arial" w:cs="Times New Roman"/>
          <w:sz w:val="24"/>
          <w:szCs w:val="24"/>
        </w:rPr>
        <w:t xml:space="preserve"> analysis of </w:t>
      </w:r>
      <w:r w:rsidR="000735D3">
        <w:rPr>
          <w:rFonts w:ascii="Arial" w:eastAsia="Arial" w:hAnsi="Arial" w:cs="Times New Roman"/>
          <w:sz w:val="24"/>
          <w:szCs w:val="24"/>
        </w:rPr>
        <w:t xml:space="preserve">target genes regulated by transcription factors identified with higher binding in </w:t>
      </w:r>
      <w:proofErr w:type="spellStart"/>
      <w:r w:rsidR="000735D3">
        <w:rPr>
          <w:rFonts w:ascii="Arial" w:eastAsia="Arial" w:hAnsi="Arial" w:cs="Times New Roman"/>
          <w:sz w:val="24"/>
          <w:szCs w:val="24"/>
        </w:rPr>
        <w:t>dcSSc</w:t>
      </w:r>
      <w:proofErr w:type="spellEnd"/>
      <w:r w:rsidR="000735D3">
        <w:rPr>
          <w:rFonts w:ascii="Arial" w:eastAsia="Arial" w:hAnsi="Arial" w:cs="Times New Roman"/>
          <w:sz w:val="24"/>
          <w:szCs w:val="24"/>
        </w:rPr>
        <w:t xml:space="preserve"> </w:t>
      </w:r>
      <w:r w:rsidR="000735D3">
        <w:rPr>
          <w:rFonts w:ascii="Arial" w:eastAsia="Arial" w:hAnsi="Arial" w:cs="Times New Roman"/>
          <w:sz w:val="24"/>
          <w:szCs w:val="24"/>
        </w:rPr>
        <w:t xml:space="preserve">fibroblasts </w:t>
      </w:r>
      <w:r w:rsidR="000735D3">
        <w:rPr>
          <w:rFonts w:ascii="Arial" w:eastAsia="Arial" w:hAnsi="Arial" w:cs="Times New Roman"/>
          <w:sz w:val="24"/>
          <w:szCs w:val="24"/>
        </w:rPr>
        <w:t xml:space="preserve">compared to controls. </w:t>
      </w:r>
      <w:r>
        <w:rPr>
          <w:rFonts w:ascii="Arial" w:eastAsia="Arial" w:hAnsi="Arial" w:cs="Times New Roman"/>
          <w:sz w:val="24"/>
          <w:szCs w:val="24"/>
        </w:rPr>
        <w:t xml:space="preserve">Analysis was performed using </w:t>
      </w:r>
      <w:proofErr w:type="spellStart"/>
      <w:r>
        <w:rPr>
          <w:rFonts w:ascii="Arial" w:eastAsia="Arial" w:hAnsi="Arial" w:cs="Times New Roman"/>
          <w:sz w:val="24"/>
          <w:szCs w:val="24"/>
        </w:rPr>
        <w:t>ClueGO</w:t>
      </w:r>
      <w:proofErr w:type="spellEnd"/>
      <w:r>
        <w:rPr>
          <w:rFonts w:ascii="Arial" w:eastAsia="Arial" w:hAnsi="Arial" w:cs="Times New Roman"/>
          <w:sz w:val="24"/>
          <w:szCs w:val="24"/>
        </w:rPr>
        <w:t xml:space="preserve"> </w:t>
      </w:r>
      <w:r w:rsidR="00CF707D">
        <w:rPr>
          <w:rFonts w:ascii="Arial" w:eastAsia="Arial" w:hAnsi="Arial" w:cs="Times New Roman"/>
          <w:sz w:val="24"/>
          <w:szCs w:val="24"/>
        </w:rPr>
        <w:t xml:space="preserve">querying </w:t>
      </w:r>
      <w:proofErr w:type="spellStart"/>
      <w:r w:rsidR="00CF707D">
        <w:rPr>
          <w:rFonts w:ascii="Arial" w:eastAsia="Arial" w:hAnsi="Arial" w:cs="Times New Roman"/>
          <w:sz w:val="24"/>
          <w:szCs w:val="24"/>
        </w:rPr>
        <w:t>Reactome</w:t>
      </w:r>
      <w:proofErr w:type="spellEnd"/>
      <w:r w:rsidR="00CF707D">
        <w:rPr>
          <w:rFonts w:ascii="Arial" w:eastAsia="Arial" w:hAnsi="Arial" w:cs="Times New Roman"/>
          <w:sz w:val="24"/>
          <w:szCs w:val="24"/>
        </w:rPr>
        <w:t xml:space="preserve"> pathways </w:t>
      </w:r>
      <w:r>
        <w:rPr>
          <w:rFonts w:ascii="Arial" w:eastAsia="Arial" w:hAnsi="Arial" w:cs="Times New Roman"/>
          <w:sz w:val="24"/>
          <w:szCs w:val="24"/>
        </w:rPr>
        <w:t xml:space="preserve">with gene lists extracted from </w:t>
      </w:r>
      <w:r w:rsidR="00CF707D">
        <w:rPr>
          <w:rFonts w:ascii="Arial" w:eastAsia="Arial" w:hAnsi="Arial" w:cs="Times New Roman"/>
          <w:sz w:val="24"/>
          <w:szCs w:val="24"/>
        </w:rPr>
        <w:t xml:space="preserve">the </w:t>
      </w:r>
      <w:r w:rsidRPr="008E16F6">
        <w:rPr>
          <w:rFonts w:ascii="Arial" w:eastAsia="Arial" w:hAnsi="Arial" w:cs="Times New Roman"/>
          <w:sz w:val="24"/>
          <w:szCs w:val="24"/>
        </w:rPr>
        <w:t>CHEA Transcription Factor Targets databases</w:t>
      </w:r>
      <w:r w:rsidR="00CF707D">
        <w:rPr>
          <w:rFonts w:ascii="Arial" w:eastAsia="Arial" w:hAnsi="Arial" w:cs="Times New Roman"/>
          <w:sz w:val="24"/>
          <w:szCs w:val="24"/>
        </w:rPr>
        <w:t xml:space="preserve">. </w:t>
      </w:r>
      <w:r w:rsidR="00E23621">
        <w:rPr>
          <w:rFonts w:ascii="Arial" w:eastAsia="Arial" w:hAnsi="Arial" w:cs="Times New Roman"/>
          <w:sz w:val="24"/>
          <w:szCs w:val="24"/>
        </w:rPr>
        <w:t xml:space="preserve">The top pathways (up to 10) are listed. </w:t>
      </w:r>
      <w:bookmarkStart w:id="0" w:name="_GoBack"/>
      <w:bookmarkEnd w:id="0"/>
    </w:p>
    <w:tbl>
      <w:tblPr>
        <w:tblW w:w="9987" w:type="dxa"/>
        <w:jc w:val="center"/>
        <w:tblLook w:val="04A0" w:firstRow="1" w:lastRow="0" w:firstColumn="1" w:lastColumn="0" w:noHBand="0" w:noVBand="1"/>
      </w:tblPr>
      <w:tblGrid>
        <w:gridCol w:w="7557"/>
        <w:gridCol w:w="2430"/>
      </w:tblGrid>
      <w:tr w:rsidR="008E16F6" w:rsidRPr="00BE349D" w14:paraId="1F0C5D78" w14:textId="77777777" w:rsidTr="00BE349D">
        <w:trPr>
          <w:trHeight w:val="285"/>
          <w:jc w:val="center"/>
        </w:trPr>
        <w:tc>
          <w:tcPr>
            <w:tcW w:w="755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1001F064" w14:textId="77777777" w:rsidR="008E16F6" w:rsidRPr="00BE349D" w:rsidRDefault="008E16F6" w:rsidP="001B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Pathways</w:t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56FDA09" w14:textId="77777777" w:rsidR="008E16F6" w:rsidRPr="00BE349D" w:rsidRDefault="008E16F6" w:rsidP="001B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34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Adjusted P Value</w:t>
            </w:r>
          </w:p>
        </w:tc>
      </w:tr>
      <w:tr w:rsidR="008E16F6" w:rsidRPr="00BE349D" w14:paraId="76152076" w14:textId="77777777" w:rsidTr="00BE349D">
        <w:trPr>
          <w:trHeight w:val="315"/>
          <w:jc w:val="center"/>
        </w:trPr>
        <w:tc>
          <w:tcPr>
            <w:tcW w:w="7557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bottom"/>
          </w:tcPr>
          <w:p w14:paraId="386A8209" w14:textId="77777777" w:rsidR="008E16F6" w:rsidRPr="00D6515B" w:rsidRDefault="00CF707D" w:rsidP="001B6E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RUNX1</w:t>
            </w:r>
            <w:r w:rsidR="008E16F6" w:rsidRPr="00D651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:</w:t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</w:tcPr>
          <w:p w14:paraId="690B6B02" w14:textId="77777777" w:rsidR="008E16F6" w:rsidRPr="00BE349D" w:rsidRDefault="008E16F6" w:rsidP="001B6E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F707D" w:rsidRPr="00BE349D" w14:paraId="1379F819" w14:textId="77777777" w:rsidTr="00FE7C90">
        <w:trPr>
          <w:trHeight w:val="242"/>
          <w:jc w:val="center"/>
        </w:trPr>
        <w:tc>
          <w:tcPr>
            <w:tcW w:w="7557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38B4EEC" w14:textId="77777777" w:rsidR="00CF707D" w:rsidRPr="00D6515B" w:rsidRDefault="00FE7C90" w:rsidP="00CF7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GPCR downstream signa</w:t>
            </w:r>
            <w:r w:rsidR="00CF70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ling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F778C" w14:textId="77777777" w:rsidR="00CF707D" w:rsidRPr="00FE7C90" w:rsidRDefault="00CF707D" w:rsidP="00FE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E7C90">
              <w:rPr>
                <w:rFonts w:ascii="Arial" w:hAnsi="Arial" w:cs="Arial"/>
                <w:sz w:val="24"/>
                <w:szCs w:val="20"/>
              </w:rPr>
              <w:t>8.03E-16</w:t>
            </w:r>
          </w:p>
        </w:tc>
      </w:tr>
      <w:tr w:rsidR="00CF707D" w:rsidRPr="00BE349D" w14:paraId="5975B239" w14:textId="77777777" w:rsidTr="00FE7C90">
        <w:trPr>
          <w:trHeight w:val="261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FA070" w14:textId="77777777" w:rsidR="00CF707D" w:rsidRPr="00D6515B" w:rsidRDefault="00CF707D" w:rsidP="00CF7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Signaling by GPCR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ABBDC" w14:textId="77777777" w:rsidR="00CF707D" w:rsidRPr="00FE7C90" w:rsidRDefault="00CF707D" w:rsidP="00FE7C9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E7C90">
              <w:rPr>
                <w:rFonts w:ascii="Arial" w:hAnsi="Arial" w:cs="Arial"/>
                <w:sz w:val="24"/>
                <w:szCs w:val="20"/>
              </w:rPr>
              <w:t>2.78E-14</w:t>
            </w:r>
          </w:p>
        </w:tc>
      </w:tr>
      <w:tr w:rsidR="00CF707D" w:rsidRPr="00BE349D" w14:paraId="18F69013" w14:textId="77777777" w:rsidTr="00FE7C90">
        <w:trPr>
          <w:trHeight w:val="270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3239B" w14:textId="77777777" w:rsidR="00CF707D" w:rsidRPr="00D6515B" w:rsidRDefault="00CF707D" w:rsidP="00CF7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70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Diseases of signal transduction by growth factor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receptors and second messengers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99E32" w14:textId="77777777" w:rsidR="00CF707D" w:rsidRPr="00FE7C90" w:rsidRDefault="00CF707D" w:rsidP="00FE7C9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E7C90">
              <w:rPr>
                <w:rFonts w:ascii="Arial" w:hAnsi="Arial" w:cs="Arial"/>
                <w:sz w:val="24"/>
                <w:szCs w:val="20"/>
              </w:rPr>
              <w:t>3.91E-08</w:t>
            </w:r>
          </w:p>
        </w:tc>
      </w:tr>
      <w:tr w:rsidR="00CF707D" w:rsidRPr="00BE349D" w14:paraId="5886AD53" w14:textId="77777777" w:rsidTr="00FE7C90">
        <w:trPr>
          <w:trHeight w:val="270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1ED50" w14:textId="77777777" w:rsidR="00CF707D" w:rsidRPr="00D6515B" w:rsidRDefault="00CF707D" w:rsidP="00CF7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Chromatin modifying enzymes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9E9AF" w14:textId="77777777" w:rsidR="00CF707D" w:rsidRPr="00FE7C90" w:rsidRDefault="00CF707D" w:rsidP="00FE7C9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E7C90">
              <w:rPr>
                <w:rFonts w:ascii="Arial" w:hAnsi="Arial" w:cs="Arial"/>
                <w:sz w:val="24"/>
                <w:szCs w:val="20"/>
              </w:rPr>
              <w:t>6.64E-07</w:t>
            </w:r>
          </w:p>
        </w:tc>
      </w:tr>
      <w:tr w:rsidR="00CF707D" w:rsidRPr="00BE349D" w14:paraId="602147A9" w14:textId="77777777" w:rsidTr="00FE7C90">
        <w:trPr>
          <w:trHeight w:val="180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41F52" w14:textId="77777777" w:rsidR="00CF707D" w:rsidRPr="00D6515B" w:rsidRDefault="00CF707D" w:rsidP="00CF7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Chromatin organization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26248" w14:textId="77777777" w:rsidR="00CF707D" w:rsidRPr="00FE7C90" w:rsidRDefault="00CF707D" w:rsidP="00FE7C9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E7C90">
              <w:rPr>
                <w:rFonts w:ascii="Arial" w:hAnsi="Arial" w:cs="Arial"/>
                <w:sz w:val="24"/>
                <w:szCs w:val="20"/>
              </w:rPr>
              <w:t>6.64E-07</w:t>
            </w:r>
          </w:p>
        </w:tc>
      </w:tr>
      <w:tr w:rsidR="00CF707D" w:rsidRPr="00BE349D" w14:paraId="65E413E3" w14:textId="77777777" w:rsidTr="00FE7C90">
        <w:trPr>
          <w:trHeight w:val="68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7009F" w14:textId="77777777" w:rsidR="00CF707D" w:rsidRPr="00D6515B" w:rsidRDefault="00CF707D" w:rsidP="00CF7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Signaling by Rho GTPases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FD8FC" w14:textId="77777777" w:rsidR="00CF707D" w:rsidRPr="00FE7C90" w:rsidRDefault="00CF707D" w:rsidP="00FE7C9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E7C90">
              <w:rPr>
                <w:rFonts w:ascii="Arial" w:hAnsi="Arial" w:cs="Arial"/>
                <w:sz w:val="24"/>
                <w:szCs w:val="20"/>
              </w:rPr>
              <w:t>1.83E-06</w:t>
            </w:r>
          </w:p>
        </w:tc>
      </w:tr>
      <w:tr w:rsidR="00CF707D" w:rsidRPr="00BE349D" w14:paraId="06F9BA8F" w14:textId="77777777" w:rsidTr="00FE7C90">
        <w:trPr>
          <w:trHeight w:val="216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BCB38" w14:textId="77777777" w:rsidR="00CF707D" w:rsidRPr="00D6515B" w:rsidRDefault="00CF707D" w:rsidP="00CF7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Hemostasis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028CC" w14:textId="77777777" w:rsidR="00CF707D" w:rsidRPr="00FE7C90" w:rsidRDefault="00CF707D" w:rsidP="00FE7C9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E7C90">
              <w:rPr>
                <w:rFonts w:ascii="Arial" w:hAnsi="Arial" w:cs="Arial"/>
                <w:sz w:val="24"/>
                <w:szCs w:val="20"/>
              </w:rPr>
              <w:t>9.72E-06</w:t>
            </w:r>
          </w:p>
        </w:tc>
      </w:tr>
      <w:tr w:rsidR="00CF707D" w:rsidRPr="00BE349D" w14:paraId="58A1BC70" w14:textId="77777777" w:rsidTr="00FE7C90">
        <w:trPr>
          <w:trHeight w:val="234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A604" w14:textId="77777777" w:rsidR="00CF707D" w:rsidRPr="00D6515B" w:rsidRDefault="00CF707D" w:rsidP="00CF7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Signaling by NTRK1 (TRKA)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BB314" w14:textId="77777777" w:rsidR="00CF707D" w:rsidRPr="00FE7C90" w:rsidRDefault="00CF707D" w:rsidP="00FE7C9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E7C90">
              <w:rPr>
                <w:rFonts w:ascii="Arial" w:hAnsi="Arial" w:cs="Arial"/>
                <w:sz w:val="24"/>
                <w:szCs w:val="20"/>
              </w:rPr>
              <w:t>1.42E-05</w:t>
            </w:r>
          </w:p>
        </w:tc>
      </w:tr>
      <w:tr w:rsidR="00CF707D" w:rsidRPr="00BE349D" w14:paraId="60C7939C" w14:textId="77777777" w:rsidTr="00FE7C90">
        <w:trPr>
          <w:trHeight w:val="252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6FB0A" w14:textId="77777777" w:rsidR="00CF707D" w:rsidRPr="00BE349D" w:rsidRDefault="00CF707D" w:rsidP="00CF7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70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Signali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 by Receptor Tyrosine Kinases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98D1F" w14:textId="77777777" w:rsidR="00CF707D" w:rsidRPr="00FE7C90" w:rsidRDefault="00CF707D" w:rsidP="00FE7C9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E7C90">
              <w:rPr>
                <w:rFonts w:ascii="Arial" w:hAnsi="Arial" w:cs="Arial"/>
                <w:sz w:val="24"/>
                <w:szCs w:val="20"/>
              </w:rPr>
              <w:t>1.93E-05</w:t>
            </w:r>
          </w:p>
        </w:tc>
      </w:tr>
      <w:tr w:rsidR="00CF707D" w:rsidRPr="00BE349D" w14:paraId="7129915C" w14:textId="77777777" w:rsidTr="00FE7C90">
        <w:trPr>
          <w:trHeight w:val="180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6AE19" w14:textId="77777777" w:rsidR="00CF707D" w:rsidRPr="00BE349D" w:rsidRDefault="00CF707D" w:rsidP="00CF70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70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ESR-mediated signaling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1DA89" w14:textId="77777777" w:rsidR="00CF707D" w:rsidRPr="00FE7C90" w:rsidRDefault="00CF707D" w:rsidP="00FE7C9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E7C90">
              <w:rPr>
                <w:rFonts w:ascii="Arial" w:hAnsi="Arial" w:cs="Arial"/>
                <w:sz w:val="24"/>
                <w:szCs w:val="20"/>
              </w:rPr>
              <w:t>4.12E-05</w:t>
            </w:r>
          </w:p>
        </w:tc>
      </w:tr>
      <w:tr w:rsidR="00FE7C90" w:rsidRPr="00BE349D" w14:paraId="585057FC" w14:textId="77777777" w:rsidTr="00FE7C90">
        <w:trPr>
          <w:trHeight w:val="495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A5D39" w14:textId="77777777" w:rsidR="00FE7C90" w:rsidRPr="00BE349D" w:rsidRDefault="00FE7C90" w:rsidP="00FE7C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RUNX2</w:t>
            </w:r>
            <w:r w:rsidRPr="00BE349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:</w:t>
            </w:r>
          </w:p>
          <w:p w14:paraId="229735A4" w14:textId="77777777" w:rsidR="00FE7C90" w:rsidRPr="00BE349D" w:rsidRDefault="00FE7C90" w:rsidP="00FE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HCMV Infection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19791" w14:textId="77777777" w:rsidR="00FE7C90" w:rsidRPr="00FE7C90" w:rsidRDefault="00FE7C90" w:rsidP="00FE7C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E7C90">
              <w:rPr>
                <w:rFonts w:ascii="Arial" w:hAnsi="Arial" w:cs="Arial"/>
                <w:sz w:val="24"/>
                <w:szCs w:val="20"/>
              </w:rPr>
              <w:t>4.03E-07</w:t>
            </w:r>
          </w:p>
        </w:tc>
      </w:tr>
      <w:tr w:rsidR="00FE7C90" w:rsidRPr="00BE349D" w14:paraId="75102982" w14:textId="77777777" w:rsidTr="00FE7C90">
        <w:trPr>
          <w:trHeight w:val="207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C553C" w14:textId="77777777" w:rsidR="00FE7C90" w:rsidRPr="00BE349D" w:rsidRDefault="00FE7C90" w:rsidP="00FE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Infectious disease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EADD9" w14:textId="77777777" w:rsidR="00FE7C90" w:rsidRPr="00FE7C90" w:rsidRDefault="00FE7C90" w:rsidP="00FE7C9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E7C90">
              <w:rPr>
                <w:rFonts w:ascii="Arial" w:hAnsi="Arial" w:cs="Arial"/>
                <w:sz w:val="24"/>
                <w:szCs w:val="20"/>
              </w:rPr>
              <w:t>4.12E-07</w:t>
            </w:r>
          </w:p>
        </w:tc>
      </w:tr>
      <w:tr w:rsidR="00FE7C90" w:rsidRPr="00BE349D" w14:paraId="4E6C5B82" w14:textId="77777777" w:rsidTr="00FE7C90">
        <w:trPr>
          <w:trHeight w:val="270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54B9A" w14:textId="77777777" w:rsidR="00FE7C90" w:rsidRPr="00BE349D" w:rsidRDefault="00616E47" w:rsidP="00FE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 alpha (s) signa</w:t>
            </w:r>
            <w:r w:rsidR="00FE7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ling events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211A9" w14:textId="77777777" w:rsidR="00FE7C90" w:rsidRPr="00FE7C90" w:rsidRDefault="00FE7C90" w:rsidP="00FE7C9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E7C90">
              <w:rPr>
                <w:rFonts w:ascii="Arial" w:hAnsi="Arial" w:cs="Arial"/>
                <w:sz w:val="24"/>
                <w:szCs w:val="20"/>
              </w:rPr>
              <w:t>2.91E-05</w:t>
            </w:r>
          </w:p>
        </w:tc>
      </w:tr>
      <w:tr w:rsidR="00FE7C90" w:rsidRPr="00BE349D" w14:paraId="6C4F3237" w14:textId="77777777" w:rsidTr="00FE7C90">
        <w:trPr>
          <w:trHeight w:val="270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5F46" w14:textId="77777777" w:rsidR="00FE7C90" w:rsidRPr="00BE349D" w:rsidRDefault="00FE7C90" w:rsidP="00FE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Keratinization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6BA20" w14:textId="77777777" w:rsidR="00FE7C90" w:rsidRPr="00FE7C90" w:rsidRDefault="00FE7C90" w:rsidP="00FE7C9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E7C90">
              <w:rPr>
                <w:rFonts w:ascii="Arial" w:hAnsi="Arial" w:cs="Arial"/>
                <w:sz w:val="24"/>
                <w:szCs w:val="20"/>
              </w:rPr>
              <w:t>1.09E-04</w:t>
            </w:r>
          </w:p>
        </w:tc>
      </w:tr>
      <w:tr w:rsidR="00FE7C90" w:rsidRPr="00BE349D" w14:paraId="3B455ABB" w14:textId="77777777" w:rsidTr="00FE7C90">
        <w:trPr>
          <w:trHeight w:val="270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66AF5" w14:textId="77777777" w:rsidR="00FE7C90" w:rsidRPr="00BE349D" w:rsidRDefault="00FE7C90" w:rsidP="00FE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HCMV Early Events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1FFF5" w14:textId="77777777" w:rsidR="00FE7C90" w:rsidRPr="00FE7C90" w:rsidRDefault="00FE7C90" w:rsidP="00FE7C9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E7C90">
              <w:rPr>
                <w:rFonts w:ascii="Arial" w:hAnsi="Arial" w:cs="Arial"/>
                <w:sz w:val="24"/>
                <w:szCs w:val="20"/>
              </w:rPr>
              <w:t>1.43E-04</w:t>
            </w:r>
          </w:p>
        </w:tc>
      </w:tr>
      <w:tr w:rsidR="00FE7C90" w:rsidRPr="00BE349D" w14:paraId="19C6980F" w14:textId="77777777" w:rsidTr="00FE7C90">
        <w:trPr>
          <w:trHeight w:val="333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69405" w14:textId="77777777" w:rsidR="00FE7C90" w:rsidRPr="00BE349D" w:rsidRDefault="00FE7C90" w:rsidP="00FE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Netrin-1 signaling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66B8" w14:textId="77777777" w:rsidR="00FE7C90" w:rsidRPr="00FE7C90" w:rsidRDefault="00FE7C90" w:rsidP="00FE7C9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E7C90">
              <w:rPr>
                <w:rFonts w:ascii="Arial" w:hAnsi="Arial" w:cs="Arial"/>
                <w:sz w:val="24"/>
                <w:szCs w:val="20"/>
              </w:rPr>
              <w:t>2.25E-04</w:t>
            </w:r>
          </w:p>
        </w:tc>
      </w:tr>
      <w:tr w:rsidR="00FE7C90" w:rsidRPr="00BE349D" w14:paraId="3444928B" w14:textId="77777777" w:rsidTr="00FE7C90">
        <w:trPr>
          <w:trHeight w:val="297"/>
          <w:jc w:val="center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42A9F" w14:textId="77777777" w:rsidR="00FE7C90" w:rsidRPr="00BE349D" w:rsidRDefault="00FE7C90" w:rsidP="00FE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7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Signaling by Receptor Tyrosine K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inases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41849" w14:textId="77777777" w:rsidR="00FE7C90" w:rsidRPr="00FE7C90" w:rsidRDefault="00FE7C90" w:rsidP="00FE7C9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E7C90">
              <w:rPr>
                <w:rFonts w:ascii="Arial" w:hAnsi="Arial" w:cs="Arial"/>
                <w:sz w:val="24"/>
                <w:szCs w:val="20"/>
              </w:rPr>
              <w:t>1.13E-02</w:t>
            </w:r>
          </w:p>
        </w:tc>
      </w:tr>
      <w:tr w:rsidR="00FE7C90" w:rsidRPr="00BE349D" w14:paraId="6B935331" w14:textId="77777777" w:rsidTr="00FE7C90">
        <w:trPr>
          <w:trHeight w:val="270"/>
          <w:jc w:val="center"/>
        </w:trPr>
        <w:tc>
          <w:tcPr>
            <w:tcW w:w="75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5B6B929" w14:textId="77777777" w:rsidR="00FE7C90" w:rsidRPr="00BE349D" w:rsidRDefault="00FE7C90" w:rsidP="00FE7C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E7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Adherens</w:t>
            </w:r>
            <w:proofErr w:type="spellEnd"/>
            <w:r w:rsidRPr="00FE7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junctions interactions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DEA2B7F" w14:textId="77777777" w:rsidR="00FE7C90" w:rsidRPr="00FE7C90" w:rsidRDefault="00FE7C90" w:rsidP="00FE7C90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FE7C90">
              <w:rPr>
                <w:rFonts w:ascii="Arial" w:hAnsi="Arial" w:cs="Arial"/>
                <w:sz w:val="24"/>
                <w:szCs w:val="20"/>
              </w:rPr>
              <w:t>2.93E-02</w:t>
            </w:r>
          </w:p>
        </w:tc>
      </w:tr>
    </w:tbl>
    <w:p w14:paraId="0DEB7783" w14:textId="77777777" w:rsidR="008E16F6" w:rsidRDefault="008E16F6" w:rsidP="008E16F6">
      <w:pPr>
        <w:spacing w:line="480" w:lineRule="auto"/>
        <w:rPr>
          <w:rFonts w:ascii="Arial" w:hAnsi="Arial" w:cs="Arial"/>
          <w:sz w:val="24"/>
          <w:szCs w:val="24"/>
        </w:rPr>
      </w:pPr>
    </w:p>
    <w:p w14:paraId="1D54A80C" w14:textId="77777777" w:rsidR="008E16F6" w:rsidRDefault="008E16F6" w:rsidP="008E16F6">
      <w:pPr>
        <w:spacing w:line="480" w:lineRule="auto"/>
        <w:rPr>
          <w:rFonts w:ascii="Arial" w:hAnsi="Arial" w:cs="Arial"/>
          <w:sz w:val="24"/>
          <w:szCs w:val="24"/>
        </w:rPr>
      </w:pPr>
    </w:p>
    <w:p w14:paraId="53BF8476" w14:textId="77777777" w:rsidR="008E16F6" w:rsidRDefault="008E16F6" w:rsidP="008E16F6">
      <w:pPr>
        <w:spacing w:line="480" w:lineRule="auto"/>
        <w:rPr>
          <w:rFonts w:ascii="Arial" w:hAnsi="Arial" w:cs="Arial"/>
          <w:sz w:val="24"/>
          <w:szCs w:val="24"/>
        </w:rPr>
      </w:pPr>
    </w:p>
    <w:p w14:paraId="7549943B" w14:textId="77777777" w:rsidR="008E16F6" w:rsidRDefault="008E16F6" w:rsidP="008E16F6">
      <w:pPr>
        <w:spacing w:line="480" w:lineRule="auto"/>
        <w:rPr>
          <w:rFonts w:ascii="Arial" w:hAnsi="Arial" w:cs="Arial"/>
          <w:sz w:val="24"/>
          <w:szCs w:val="24"/>
        </w:rPr>
      </w:pPr>
    </w:p>
    <w:p w14:paraId="22C894D2" w14:textId="77777777" w:rsidR="00867998" w:rsidRDefault="00812176">
      <w:r>
        <w:fldChar w:fldCharType="begin"/>
      </w:r>
      <w:r>
        <w:instrText xml:space="preserve"> ADDIN EN.REFLIST </w:instrText>
      </w:r>
      <w:r>
        <w:fldChar w:fldCharType="end"/>
      </w:r>
    </w:p>
    <w:sectPr w:rsidR="00867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pevfx5s90tfr0efx2j5xre9tzwaa5sr5ptt&quot;&gt;My EndNote Library-Converted&lt;record-ids&gt;&lt;item&gt;1286&lt;/item&gt;&lt;/record-ids&gt;&lt;/item&gt;&lt;/Libraries&gt;"/>
  </w:docVars>
  <w:rsids>
    <w:rsidRoot w:val="008E16F6"/>
    <w:rsid w:val="000735D3"/>
    <w:rsid w:val="00616E47"/>
    <w:rsid w:val="006400C4"/>
    <w:rsid w:val="007202B9"/>
    <w:rsid w:val="00812176"/>
    <w:rsid w:val="00867998"/>
    <w:rsid w:val="008E16F6"/>
    <w:rsid w:val="00BE04ED"/>
    <w:rsid w:val="00BE349D"/>
    <w:rsid w:val="00CF707D"/>
    <w:rsid w:val="00D6515B"/>
    <w:rsid w:val="00E23621"/>
    <w:rsid w:val="00F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72CD"/>
  <w15:chartTrackingRefBased/>
  <w15:docId w15:val="{F50F89CA-447D-4873-A718-7FB23A17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16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8E16F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E16F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E16F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E16F6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Tsou, Eliza</dc:creator>
  <cp:keywords/>
  <dc:description/>
  <cp:lastModifiedBy>Sawalha, Amr Hakam</cp:lastModifiedBy>
  <cp:revision>8</cp:revision>
  <dcterms:created xsi:type="dcterms:W3CDTF">2020-06-07T19:53:00Z</dcterms:created>
  <dcterms:modified xsi:type="dcterms:W3CDTF">2020-06-17T16:51:00Z</dcterms:modified>
</cp:coreProperties>
</file>