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87CF2" w14:textId="0DC34539" w:rsidR="002D13E5" w:rsidRPr="00701CB4" w:rsidRDefault="00A5330C" w:rsidP="00701CB4">
      <w:pPr>
        <w:spacing w:line="480" w:lineRule="auto"/>
        <w:rPr>
          <w:rFonts w:eastAsia="Arial"/>
        </w:rPr>
      </w:pPr>
      <w:bookmarkStart w:id="0" w:name="_GoBack"/>
      <w:bookmarkEnd w:id="0"/>
      <w:r>
        <w:rPr>
          <w:rFonts w:eastAsia="Arial"/>
          <w:b/>
          <w:color w:val="000000"/>
        </w:rPr>
        <w:t>SUPPLEMENTARY</w:t>
      </w:r>
      <w:r w:rsidR="00656C7C">
        <w:rPr>
          <w:rFonts w:eastAsia="Arial"/>
          <w:b/>
          <w:color w:val="000000"/>
        </w:rPr>
        <w:t xml:space="preserve"> MATERIALS AND</w:t>
      </w:r>
      <w:r>
        <w:rPr>
          <w:rFonts w:eastAsia="Arial"/>
          <w:b/>
          <w:color w:val="000000"/>
        </w:rPr>
        <w:t xml:space="preserve"> </w:t>
      </w:r>
      <w:r w:rsidR="002D13E5" w:rsidRPr="00701CB4">
        <w:rPr>
          <w:rFonts w:eastAsia="Arial"/>
          <w:b/>
          <w:color w:val="000000"/>
        </w:rPr>
        <w:t>METHODS</w:t>
      </w:r>
    </w:p>
    <w:p w14:paraId="39DB3812" w14:textId="19805C31" w:rsidR="002D13E5" w:rsidRPr="00701CB4" w:rsidRDefault="00382205" w:rsidP="00701CB4">
      <w:pPr>
        <w:spacing w:line="480" w:lineRule="auto"/>
        <w:rPr>
          <w:rFonts w:eastAsia="Arial"/>
        </w:rPr>
      </w:pPr>
      <w:r w:rsidRPr="00701CB4">
        <w:rPr>
          <w:rFonts w:eastAsia="Arial"/>
          <w:b/>
        </w:rPr>
        <w:t>G</w:t>
      </w:r>
      <w:r w:rsidR="00D84985" w:rsidRPr="00701CB4">
        <w:rPr>
          <w:rFonts w:eastAsia="Arial"/>
          <w:b/>
        </w:rPr>
        <w:t>enome and exome sequencing</w:t>
      </w:r>
      <w:r w:rsidR="002D13E5" w:rsidRPr="00701CB4">
        <w:rPr>
          <w:rFonts w:eastAsia="Arial"/>
          <w:b/>
        </w:rPr>
        <w:t xml:space="preserve"> data</w:t>
      </w:r>
    </w:p>
    <w:p w14:paraId="2A02E0B5" w14:textId="32FC9237" w:rsidR="002D13E5" w:rsidRPr="00701CB4" w:rsidRDefault="00382205" w:rsidP="00701CB4">
      <w:pPr>
        <w:widowControl w:val="0"/>
        <w:spacing w:line="480" w:lineRule="auto"/>
        <w:jc w:val="both"/>
        <w:rPr>
          <w:rFonts w:eastAsia="Times"/>
        </w:rPr>
      </w:pPr>
      <w:r w:rsidRPr="00701CB4">
        <w:rPr>
          <w:rFonts w:eastAsia="Times"/>
        </w:rPr>
        <w:t>The 2,284 genome sequencing (</w:t>
      </w:r>
      <w:r w:rsidR="002D13E5" w:rsidRPr="00701CB4">
        <w:rPr>
          <w:rFonts w:eastAsia="Times"/>
        </w:rPr>
        <w:t>GS</w:t>
      </w:r>
      <w:r w:rsidRPr="00701CB4">
        <w:rPr>
          <w:rFonts w:eastAsia="Times"/>
        </w:rPr>
        <w:t>)</w:t>
      </w:r>
      <w:r w:rsidR="002D13E5" w:rsidRPr="00701CB4">
        <w:rPr>
          <w:rFonts w:eastAsia="Times"/>
        </w:rPr>
        <w:t xml:space="preserve"> samples </w:t>
      </w:r>
      <w:r w:rsidR="00701CB4">
        <w:rPr>
          <w:rFonts w:eastAsia="Times"/>
        </w:rPr>
        <w:t>were subjected to</w:t>
      </w:r>
      <w:r w:rsidR="002D13E5" w:rsidRPr="00701CB4">
        <w:rPr>
          <w:rFonts w:eastAsia="Times"/>
        </w:rPr>
        <w:t xml:space="preserve"> PCR-free DNA preparation and </w:t>
      </w:r>
      <w:r w:rsidR="00701CB4" w:rsidRPr="00701CB4">
        <w:rPr>
          <w:rFonts w:eastAsia="Times"/>
        </w:rPr>
        <w:t>sequenc</w:t>
      </w:r>
      <w:r w:rsidR="00411566">
        <w:rPr>
          <w:rFonts w:eastAsia="Times"/>
        </w:rPr>
        <w:t>ed at the Broad Institute (Cambridge, MA, USA)</w:t>
      </w:r>
      <w:r w:rsidR="00701CB4" w:rsidRPr="00701CB4">
        <w:rPr>
          <w:rFonts w:eastAsia="Times"/>
        </w:rPr>
        <w:t xml:space="preserve"> </w:t>
      </w:r>
      <w:r w:rsidR="00701CB4">
        <w:rPr>
          <w:rFonts w:eastAsia="Times"/>
        </w:rPr>
        <w:t>using</w:t>
      </w:r>
      <w:r w:rsidR="00701CB4" w:rsidRPr="00701CB4">
        <w:rPr>
          <w:rFonts w:eastAsia="Times"/>
        </w:rPr>
        <w:t xml:space="preserve"> </w:t>
      </w:r>
      <w:r w:rsidR="00701CB4">
        <w:rPr>
          <w:rFonts w:eastAsia="Times"/>
        </w:rPr>
        <w:t>an</w:t>
      </w:r>
      <w:r w:rsidR="00701CB4" w:rsidRPr="00701CB4">
        <w:rPr>
          <w:rFonts w:eastAsia="Times"/>
        </w:rPr>
        <w:t xml:space="preserve"> </w:t>
      </w:r>
      <w:r w:rsidR="002D13E5" w:rsidRPr="00701CB4">
        <w:rPr>
          <w:rFonts w:eastAsia="Times"/>
        </w:rPr>
        <w:t xml:space="preserve">Illumina </w:t>
      </w:r>
      <w:proofErr w:type="spellStart"/>
      <w:r w:rsidR="002D13E5" w:rsidRPr="00701CB4">
        <w:rPr>
          <w:rFonts w:eastAsia="Times"/>
        </w:rPr>
        <w:t>HiSeq</w:t>
      </w:r>
      <w:proofErr w:type="spellEnd"/>
      <w:r w:rsidR="002D13E5" w:rsidRPr="00701CB4">
        <w:rPr>
          <w:rFonts w:eastAsia="Times"/>
        </w:rPr>
        <w:t xml:space="preserve"> X Ten</w:t>
      </w:r>
      <w:r w:rsidR="00701CB4">
        <w:rPr>
          <w:rFonts w:eastAsia="Times"/>
        </w:rPr>
        <w:t xml:space="preserve"> device</w:t>
      </w:r>
      <w:r w:rsidR="002D13E5" w:rsidRPr="00701CB4">
        <w:rPr>
          <w:rFonts w:eastAsia="Times"/>
        </w:rPr>
        <w:t xml:space="preserve"> </w:t>
      </w:r>
      <w:r w:rsidR="00701CB4">
        <w:rPr>
          <w:rFonts w:eastAsia="Times"/>
        </w:rPr>
        <w:t>(</w:t>
      </w:r>
      <w:r w:rsidR="002D13E5" w:rsidRPr="00701CB4">
        <w:rPr>
          <w:rFonts w:eastAsia="Times"/>
        </w:rPr>
        <w:t>150</w:t>
      </w:r>
      <w:r w:rsidR="00701CB4">
        <w:rPr>
          <w:rFonts w:eastAsia="Cambria Math"/>
        </w:rPr>
        <w:t>-</w:t>
      </w:r>
      <w:r w:rsidR="002D13E5" w:rsidRPr="00701CB4">
        <w:rPr>
          <w:rFonts w:eastAsia="Times"/>
        </w:rPr>
        <w:t>bp paired-end reads</w:t>
      </w:r>
      <w:r w:rsidR="00701CB4">
        <w:rPr>
          <w:rFonts w:eastAsia="Times"/>
        </w:rPr>
        <w:t>;</w:t>
      </w:r>
      <w:r w:rsidR="002D13E5" w:rsidRPr="00701CB4">
        <w:rPr>
          <w:rFonts w:eastAsia="Times"/>
        </w:rPr>
        <w:t xml:space="preserve"> m</w:t>
      </w:r>
      <w:r w:rsidRPr="00701CB4">
        <w:rPr>
          <w:rFonts w:eastAsia="Times"/>
        </w:rPr>
        <w:t>ean coverage</w:t>
      </w:r>
      <w:r w:rsidR="00701CB4">
        <w:rPr>
          <w:rFonts w:eastAsia="Times"/>
        </w:rPr>
        <w:t>,</w:t>
      </w:r>
      <w:r w:rsidRPr="00701CB4">
        <w:rPr>
          <w:rFonts w:eastAsia="Times"/>
        </w:rPr>
        <w:t xml:space="preserve"> 30×</w:t>
      </w:r>
      <w:r w:rsidR="00701CB4">
        <w:rPr>
          <w:rFonts w:eastAsia="Times"/>
        </w:rPr>
        <w:t>)</w:t>
      </w:r>
      <w:r w:rsidRPr="00701CB4">
        <w:rPr>
          <w:rFonts w:eastAsia="Times"/>
        </w:rPr>
        <w:t>. The 2,500 exome sequencing (</w:t>
      </w:r>
      <w:r w:rsidR="002D13E5" w:rsidRPr="00701CB4">
        <w:rPr>
          <w:rFonts w:eastAsia="Times"/>
        </w:rPr>
        <w:t>ES</w:t>
      </w:r>
      <w:r w:rsidRPr="00701CB4">
        <w:rPr>
          <w:rFonts w:eastAsia="Times"/>
        </w:rPr>
        <w:t>)</w:t>
      </w:r>
      <w:r w:rsidR="002D13E5" w:rsidRPr="00701CB4">
        <w:rPr>
          <w:rFonts w:eastAsia="Times"/>
        </w:rPr>
        <w:t xml:space="preserve"> samples were sequenced</w:t>
      </w:r>
      <w:r w:rsidR="00411566">
        <w:rPr>
          <w:rFonts w:eastAsia="Times"/>
        </w:rPr>
        <w:t xml:space="preserve"> at Nestlé Institute of Health Sciences (Lausanne, Switzerland)</w:t>
      </w:r>
      <w:r w:rsidR="002D13E5" w:rsidRPr="00701CB4">
        <w:rPr>
          <w:rFonts w:eastAsia="Times"/>
        </w:rPr>
        <w:t xml:space="preserve"> using the Agilent </w:t>
      </w:r>
      <w:proofErr w:type="spellStart"/>
      <w:r w:rsidR="002D13E5" w:rsidRPr="00701CB4">
        <w:rPr>
          <w:rFonts w:eastAsia="Times"/>
        </w:rPr>
        <w:t>SureSelect</w:t>
      </w:r>
      <w:proofErr w:type="spellEnd"/>
      <w:r w:rsidR="002D13E5" w:rsidRPr="00701CB4">
        <w:rPr>
          <w:rFonts w:eastAsia="Times"/>
        </w:rPr>
        <w:t xml:space="preserve"> Human All Exon V5+UTRs Kit according to the manufacturer’s recommendations</w:t>
      </w:r>
      <w:r w:rsidR="00A5330C">
        <w:rPr>
          <w:rFonts w:eastAsia="Times"/>
        </w:rPr>
        <w:t>,</w:t>
      </w:r>
      <w:r w:rsidR="002D13E5" w:rsidRPr="00701CB4">
        <w:rPr>
          <w:rFonts w:eastAsia="Times"/>
        </w:rPr>
        <w:t xml:space="preserve"> with</w:t>
      </w:r>
      <w:r w:rsidR="00A5330C">
        <w:rPr>
          <w:rFonts w:eastAsia="Times"/>
        </w:rPr>
        <w:t xml:space="preserve"> a</w:t>
      </w:r>
      <w:r w:rsidR="002D13E5" w:rsidRPr="00701CB4">
        <w:rPr>
          <w:rFonts w:eastAsia="Times"/>
        </w:rPr>
        <w:t xml:space="preserve"> mean target coverage of 67×. Sequenced reads were aligned to the GRCh37 human reference genome assembly.</w:t>
      </w:r>
    </w:p>
    <w:p w14:paraId="099D862D" w14:textId="2C91F393" w:rsidR="00D84985" w:rsidRPr="00701CB4" w:rsidRDefault="002D13E5" w:rsidP="00DD7D45">
      <w:pPr>
        <w:pStyle w:val="BodyText"/>
        <w:spacing w:after="0" w:line="480" w:lineRule="auto"/>
        <w:ind w:firstLine="360"/>
      </w:pPr>
      <w:r w:rsidRPr="00701CB4">
        <w:t>Outlier samples were excluded based on high</w:t>
      </w:r>
      <w:r w:rsidR="00A5330C">
        <w:t xml:space="preserve"> degree</w:t>
      </w:r>
      <w:r w:rsidRPr="00701CB4">
        <w:t xml:space="preserve"> (&gt;5%)</w:t>
      </w:r>
      <w:r w:rsidR="00A5330C" w:rsidRPr="00A5330C">
        <w:t xml:space="preserve"> </w:t>
      </w:r>
      <w:r w:rsidR="00A5330C">
        <w:t xml:space="preserve">of </w:t>
      </w:r>
      <w:r w:rsidR="00A5330C" w:rsidRPr="00701CB4">
        <w:t>contamination</w:t>
      </w:r>
      <w:r w:rsidRPr="00701CB4">
        <w:t xml:space="preserve">, </w:t>
      </w:r>
      <w:r w:rsidR="00A5330C">
        <w:t>large</w:t>
      </w:r>
      <w:r w:rsidR="00A5330C" w:rsidRPr="00701CB4">
        <w:t xml:space="preserve"> </w:t>
      </w:r>
      <w:r w:rsidRPr="00701CB4">
        <w:t>proportion</w:t>
      </w:r>
      <w:r w:rsidR="00A5330C">
        <w:t xml:space="preserve"> </w:t>
      </w:r>
      <w:r w:rsidR="00A5330C" w:rsidRPr="00701CB4">
        <w:t>(&gt;5%)</w:t>
      </w:r>
      <w:r w:rsidRPr="00701CB4">
        <w:t xml:space="preserve"> of chimeric alignment, low call rate </w:t>
      </w:r>
      <w:r w:rsidR="00A5330C" w:rsidRPr="00701CB4">
        <w:t>(&lt;99%)</w:t>
      </w:r>
      <w:r w:rsidR="00A5330C">
        <w:t xml:space="preserve"> </w:t>
      </w:r>
      <w:r w:rsidRPr="00701CB4">
        <w:t xml:space="preserve">for </w:t>
      </w:r>
      <w:r w:rsidR="00A5330C">
        <w:t>single nucleotide variants (</w:t>
      </w:r>
      <w:r w:rsidRPr="00701CB4">
        <w:t>SNVs</w:t>
      </w:r>
      <w:r w:rsidR="00A5330C">
        <w:t>)</w:t>
      </w:r>
      <w:r w:rsidRPr="00701CB4">
        <w:t>, and mismatches between phenotypic and genotypic sex. Additional outlier samples (mean ±</w:t>
      </w:r>
      <w:r w:rsidR="00A5330C">
        <w:t xml:space="preserve"> three standard deviations [SDs]</w:t>
      </w:r>
      <w:r w:rsidRPr="00701CB4">
        <w:t xml:space="preserve">) were excluded based on the numbers of variants, non-reference variants, </w:t>
      </w:r>
      <w:r w:rsidR="00A5330C">
        <w:t xml:space="preserve">and </w:t>
      </w:r>
      <w:r w:rsidRPr="00701CB4">
        <w:t xml:space="preserve">heterozygous variants, </w:t>
      </w:r>
      <w:r w:rsidR="00A5330C">
        <w:t xml:space="preserve">and the </w:t>
      </w:r>
      <w:r w:rsidRPr="00701CB4">
        <w:t>heterozygous/homozygous and transition/</w:t>
      </w:r>
      <w:proofErr w:type="spellStart"/>
      <w:r w:rsidRPr="00701CB4">
        <w:t>transversion</w:t>
      </w:r>
      <w:proofErr w:type="spellEnd"/>
      <w:r w:rsidRPr="00701CB4">
        <w:t xml:space="preserve"> ratio</w:t>
      </w:r>
      <w:r w:rsidR="00A5330C">
        <w:t>s</w:t>
      </w:r>
      <w:r w:rsidRPr="00701CB4">
        <w:t xml:space="preserve">. </w:t>
      </w:r>
      <w:r w:rsidR="00A5330C">
        <w:t>In addition, e</w:t>
      </w:r>
      <w:r w:rsidR="00A5330C" w:rsidRPr="00701CB4">
        <w:t xml:space="preserve">xtremely </w:t>
      </w:r>
      <w:r w:rsidRPr="00701CB4">
        <w:t>low</w:t>
      </w:r>
      <w:r w:rsidR="00A5330C">
        <w:t>-</w:t>
      </w:r>
      <w:r w:rsidRPr="00701CB4">
        <w:t xml:space="preserve">coverage samples (below </w:t>
      </w:r>
      <w:r w:rsidR="00A5330C">
        <w:t xml:space="preserve">the </w:t>
      </w:r>
      <w:r w:rsidRPr="00701CB4">
        <w:t>mean –3 SD</w:t>
      </w:r>
      <w:r w:rsidR="00A5330C">
        <w:t>s</w:t>
      </w:r>
      <w:r w:rsidRPr="00701CB4">
        <w:t>) and extreme values (mean ±</w:t>
      </w:r>
      <w:r w:rsidR="00A5330C">
        <w:t xml:space="preserve"> </w:t>
      </w:r>
      <w:r w:rsidRPr="00701CB4">
        <w:t>3 SD</w:t>
      </w:r>
      <w:r w:rsidR="00A5330C">
        <w:t>s</w:t>
      </w:r>
      <w:r w:rsidRPr="00701CB4">
        <w:t xml:space="preserve">) of </w:t>
      </w:r>
      <w:proofErr w:type="spellStart"/>
      <w:r w:rsidRPr="00701CB4">
        <w:t>multiallelic</w:t>
      </w:r>
      <w:proofErr w:type="spellEnd"/>
      <w:r w:rsidRPr="00701CB4">
        <w:t xml:space="preserve"> SNVs and inbreeding coefficient </w:t>
      </w:r>
      <w:r w:rsidR="00382205" w:rsidRPr="00DD7D45">
        <w:rPr>
          <w:i/>
          <w:iCs/>
        </w:rPr>
        <w:t>F</w:t>
      </w:r>
      <w:r w:rsidR="00382205" w:rsidRPr="00701CB4">
        <w:t xml:space="preserve"> were removed in </w:t>
      </w:r>
      <w:r w:rsidRPr="00701CB4">
        <w:t xml:space="preserve">ES quality control. After filtering and exclusion of duplicates, the final set contained </w:t>
      </w:r>
      <w:r w:rsidR="004B163D" w:rsidRPr="00701CB4">
        <w:t>4</w:t>
      </w:r>
      <w:r w:rsidR="00382205" w:rsidRPr="00701CB4">
        <w:t>,594</w:t>
      </w:r>
      <w:r w:rsidRPr="00701CB4">
        <w:t xml:space="preserve"> unique samples</w:t>
      </w:r>
      <w:r w:rsidR="00382205" w:rsidRPr="00701CB4">
        <w:t xml:space="preserve"> (GS</w:t>
      </w:r>
      <w:r w:rsidR="00A5330C">
        <w:t>,</w:t>
      </w:r>
      <w:r w:rsidR="005C0D3A" w:rsidRPr="00701CB4">
        <w:t xml:space="preserve"> </w:t>
      </w:r>
      <w:r w:rsidR="005C0D3A" w:rsidRPr="00DD7D45">
        <w:rPr>
          <w:i/>
          <w:iCs/>
        </w:rPr>
        <w:t>n</w:t>
      </w:r>
      <w:r w:rsidR="00A5330C">
        <w:t xml:space="preserve"> </w:t>
      </w:r>
      <w:r w:rsidR="005C0D3A" w:rsidRPr="00701CB4">
        <w:t>=</w:t>
      </w:r>
      <w:r w:rsidR="00A5330C">
        <w:t xml:space="preserve"> </w:t>
      </w:r>
      <w:r w:rsidR="005C0D3A" w:rsidRPr="00701CB4">
        <w:t>2,240</w:t>
      </w:r>
      <w:r w:rsidR="00A5330C">
        <w:t>;</w:t>
      </w:r>
      <w:r w:rsidR="00382205" w:rsidRPr="00701CB4">
        <w:t xml:space="preserve"> </w:t>
      </w:r>
      <w:r w:rsidR="004B163D" w:rsidRPr="00701CB4">
        <w:t>ES</w:t>
      </w:r>
      <w:r w:rsidR="00A5330C">
        <w:t>,</w:t>
      </w:r>
      <w:r w:rsidR="004B163D" w:rsidRPr="00701CB4">
        <w:t xml:space="preserve"> </w:t>
      </w:r>
      <w:r w:rsidR="005C0D3A" w:rsidRPr="00DD7D45">
        <w:rPr>
          <w:i/>
          <w:iCs/>
        </w:rPr>
        <w:t>n</w:t>
      </w:r>
      <w:r w:rsidR="00A5330C">
        <w:t xml:space="preserve"> </w:t>
      </w:r>
      <w:r w:rsidR="005C0D3A" w:rsidRPr="00701CB4">
        <w:t>=</w:t>
      </w:r>
      <w:r w:rsidR="00A5330C">
        <w:t xml:space="preserve"> </w:t>
      </w:r>
      <w:r w:rsidR="005C0D3A" w:rsidRPr="00701CB4">
        <w:t>2,354</w:t>
      </w:r>
      <w:r w:rsidR="004B163D" w:rsidRPr="00701CB4">
        <w:t>)</w:t>
      </w:r>
      <w:r w:rsidRPr="00701CB4">
        <w:t>.</w:t>
      </w:r>
      <w:r w:rsidR="004B163D" w:rsidRPr="00701CB4">
        <w:t xml:space="preserve"> </w:t>
      </w:r>
      <w:r w:rsidR="00D84985" w:rsidRPr="00701CB4">
        <w:t>A</w:t>
      </w:r>
      <w:r w:rsidR="00A5330C">
        <w:t>s a</w:t>
      </w:r>
      <w:r w:rsidR="00A5330C" w:rsidRPr="00701CB4">
        <w:t>djust</w:t>
      </w:r>
      <w:r w:rsidR="00A5330C">
        <w:t>ment</w:t>
      </w:r>
      <w:r w:rsidR="00A5330C" w:rsidRPr="00701CB4">
        <w:t xml:space="preserve"> </w:t>
      </w:r>
      <w:r w:rsidR="00D84985" w:rsidRPr="00701CB4">
        <w:t>for relatedness, first-degree relatives (identity</w:t>
      </w:r>
      <w:r w:rsidR="0041567E">
        <w:t xml:space="preserve"> </w:t>
      </w:r>
      <w:r w:rsidR="00D84985" w:rsidRPr="00701CB4">
        <w:t>by</w:t>
      </w:r>
      <w:r w:rsidR="0041567E">
        <w:t xml:space="preserve"> </w:t>
      </w:r>
      <w:r w:rsidR="00D84985" w:rsidRPr="00701CB4">
        <w:t>descent &gt; 0.4) were excluded using PLINK v1.9</w:t>
      </w:r>
      <w:r w:rsidR="00701CB4">
        <w:t>.</w:t>
      </w:r>
      <w:r w:rsidR="00DB4EF2" w:rsidRPr="00701CB4">
        <w:fldChar w:fldCharType="begin" w:fldLock="1"/>
      </w:r>
      <w:r w:rsidR="00411566">
        <w:instrText>ADDIN CSL_CITATION {"citationItems":[{"id":"ITEM-1","itemData":{"DOI":"10.1186/s13742-015-0047-8","abstract":"Background: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O ?√ ? n -time/constant-space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use.","author":[{"dropping-particle":"","family":"Chang","given":"Christopher C.","non-dropping-particle":"","parse-names":false,"suffix":""},{"dropping-particle":"","family":"Chow","given":"Carson C.","non-dropping-particle":"","parse-names":false,"suffix":""},{"dropping-particle":"","family":"Tellier","given":"Laurent CAM","non-dropping-particle":"","parse-names":false,"suffix":""},{"dropping-particle":"","family":"Vattikuti","given":"Shashaank","non-dropping-particle":"","parse-names":false,"suffix":""},{"dropping-particle":"","family":"Purcell","given":"Shaun and","non-dropping-particle":"","parse-names":false,"suffix":""},{"dropping-particle":"","family":"Lee","given":"James J","non-dropping-particle":"","parse-names":false,"suffix":""}],"container-title":"American journal of human genetics","id":"ITEM-1","issue":"7","issued":{"date-parts":[["2015"]]},"title":"Second-generation PLINK: rising to the challenge of larger and richer datasets","type":"article-journal","volume":"4"},"uris":["http://www.mendeley.com/documents/?uuid=be45eda1-8013-436f-a50f-c78737859a31"]}],"mendeley":{"formattedCitation":"&lt;sup&gt;1&lt;/sup&gt;","plainTextFormattedCitation":"1","previouslyFormattedCitation":"&lt;sup&gt;1&lt;/sup&gt;"},"properties":{"noteIndex":0},"schema":"https://github.com/citation-style-language/schema/raw/master/csl-citation.json"}</w:instrText>
      </w:r>
      <w:r w:rsidR="00DB4EF2" w:rsidRPr="00701CB4">
        <w:fldChar w:fldCharType="separate"/>
      </w:r>
      <w:r w:rsidR="00DB4EF2" w:rsidRPr="00701CB4">
        <w:rPr>
          <w:noProof/>
          <w:vertAlign w:val="superscript"/>
        </w:rPr>
        <w:t>1</w:t>
      </w:r>
      <w:r w:rsidR="00DB4EF2" w:rsidRPr="00701CB4">
        <w:fldChar w:fldCharType="end"/>
      </w:r>
      <w:r w:rsidR="00D84985" w:rsidRPr="00701CB4">
        <w:t xml:space="preserve"> Samples were excluded by choosing the minimal list of related individuals to break all kinship ties using</w:t>
      </w:r>
      <w:r w:rsidR="00A5330C">
        <w:t xml:space="preserve"> the</w:t>
      </w:r>
      <w:r w:rsidR="00D84985" w:rsidRPr="00701CB4">
        <w:t xml:space="preserve"> RELOUT5 tool from Allele (http://www.toomashaller.com/allele.html).</w:t>
      </w:r>
    </w:p>
    <w:p w14:paraId="10FF1F90" w14:textId="16BB11E7" w:rsidR="002D13E5" w:rsidRDefault="00A5330C" w:rsidP="00701CB4">
      <w:pPr>
        <w:widowControl w:val="0"/>
        <w:spacing w:line="480" w:lineRule="auto"/>
        <w:ind w:firstLine="360"/>
        <w:jc w:val="both"/>
        <w:rPr>
          <w:rFonts w:eastAsia="Times"/>
        </w:rPr>
      </w:pPr>
      <w:r>
        <w:rPr>
          <w:rFonts w:eastAsia="Times"/>
        </w:rPr>
        <w:t>The Genome Analysis Toolkit’s</w:t>
      </w:r>
      <w:r w:rsidR="00411566">
        <w:rPr>
          <w:rFonts w:eastAsia="Times"/>
        </w:rPr>
        <w:fldChar w:fldCharType="begin" w:fldLock="1"/>
      </w:r>
      <w:r w:rsidR="00411566">
        <w:rPr>
          <w:rFonts w:eastAsia="Times"/>
        </w:rPr>
        <w:instrText>ADDIN CSL_CITATION {"citationItems":[{"id":"ITEM-1","itemData":{"DOI":"10.1101/gr.107524.110","abstract":"Next-generation DNA sequencing (NGS) projects, such as the 1000 Genomes Project, are already revolutionizing our understanding of genetic variation among individuals. However, the massive data sets generated by NGS—the 1000 Genome pilot alone includes nearly five terabases—make writing feature-rich, efficient, and robust analysis tools difficult for even computationally sophisticated individuals. Indeed, many professionals are limited in the scope and the ease with which they can answer scientific questions by the complexity of accessing and manipulating the data produced by these machines. Here, we discuss our Genome Analysis Toolkit (GATK), a structured programming framework designed to ease the development of efficient and robust analysis tools for next-generation DNA sequencers using the functional programming philosophy of MapReduce. The GATK provides a small but rich set of data access patterns that encompass the majority of analysis tool needs. Separating specific analysis calculations from common data management infrastructure enables us to optimize the GATK framework for correctness, stability, and CPU and memory efficiency and to enable distributed and shared memory parallelization. We highlight the capabilities of the GATK by describing the implementation and application of robust, scale-tolerant tools like coverage calculators and single nucleotide polymorphism (SNP) calling. We conclude that the GATK programming framework enables developers and analysts to quickly and easily write efficient and robust NGS tools, many of which have already been incorporated into large-scale sequencing projects like the 1000 Genomes Project and The Cancer Genome Atlas.","author":[{"dropping-particle":"","family":"McKenna","given":"A","non-dropping-particle":"","parse-names":false,"suffix":""},{"dropping-particle":"","family":"Hanna","given":"M","non-dropping-particle":"","parse-names":false,"suffix":""},{"dropping-particle":"","family":"Banks","given":"E","non-dropping-particle":"","parse-names":false,"suffix":""},{"dropping-particle":"","family":"Sivachenko","given":"A","non-dropping-particle":"","parse-names":false,"suffix":""},{"dropping-particle":"","family":"Cibulskis","given":"K","non-dropping-particle":"","parse-names":false,"suffix":""},{"dropping-particle":"","family":"Kernytsky","given":"A","non-dropping-particle":"","parse-names":false,"suffix":""},{"dropping-particle":"","family":"Garimella","given":"K","non-dropping-particle":"","parse-names":false,"suffix":""},{"dropping-particle":"","family":"Altshuler","given":"D","non-dropping-particle":"","parse-names":false,"suffix":""},{"dropping-particle":"","family":"Gabriel","given":"S","non-dropping-particle":"","parse-names":false,"suffix":""},{"dropping-particle":"","family":"Daly","given":"M","non-dropping-particle":"","parse-names":false,"suffix":""},{"dropping-particle":"","family":"DePristo","given":"MA","non-dropping-particle":"","parse-names":false,"suffix":""}],"container-title":"Genome Research","id":"ITEM-1","issue":"9","issued":{"date-parts":[["2010"]]},"page":"1297-1303","title":"The Genome Analysis Toolkit: A MapReduce framework for analyzing next-generation DNA sequencing data","type":"article-journal","volume":"20"},"uris":["http://www.mendeley.com/documents/?uuid=a32ac769-a101-449c-9553-52a3847f87a7"]}],"mendeley":{"formattedCitation":"&lt;sup&gt;2&lt;/sup&gt;","plainTextFormattedCitation":"2","previouslyFormattedCitation":"&lt;sup&gt;2&lt;/sup&gt;"},"properties":{"noteIndex":0},"schema":"https://github.com/citation-style-language/schema/raw/master/csl-citation.json"}</w:instrText>
      </w:r>
      <w:r w:rsidR="00411566">
        <w:rPr>
          <w:rFonts w:eastAsia="Times"/>
        </w:rPr>
        <w:fldChar w:fldCharType="separate"/>
      </w:r>
      <w:r w:rsidR="00411566" w:rsidRPr="00411566">
        <w:rPr>
          <w:rFonts w:eastAsia="Times"/>
          <w:noProof/>
          <w:vertAlign w:val="superscript"/>
        </w:rPr>
        <w:t>2</w:t>
      </w:r>
      <w:r w:rsidR="00411566">
        <w:rPr>
          <w:rFonts w:eastAsia="Times"/>
        </w:rPr>
        <w:fldChar w:fldCharType="end"/>
      </w:r>
      <w:r w:rsidR="002D13E5" w:rsidRPr="00701CB4">
        <w:rPr>
          <w:rFonts w:eastAsia="Times"/>
        </w:rPr>
        <w:t xml:space="preserve"> </w:t>
      </w:r>
      <w:r w:rsidRPr="00701CB4">
        <w:rPr>
          <w:rFonts w:eastAsia="Times"/>
        </w:rPr>
        <w:t>variant quality score re</w:t>
      </w:r>
      <w:r w:rsidR="002D13E5" w:rsidRPr="00701CB4">
        <w:rPr>
          <w:rFonts w:eastAsia="Times"/>
        </w:rPr>
        <w:t>calibration was used to filter variants with truth sensitivit</w:t>
      </w:r>
      <w:r>
        <w:rPr>
          <w:rFonts w:eastAsia="Times"/>
        </w:rPr>
        <w:t>ies</w:t>
      </w:r>
      <w:r w:rsidR="002D13E5" w:rsidRPr="00701CB4">
        <w:rPr>
          <w:rFonts w:eastAsia="Times"/>
        </w:rPr>
        <w:t xml:space="preserve"> of 99.8% for SNVs and 99.9% for </w:t>
      </w:r>
      <w:proofErr w:type="spellStart"/>
      <w:r w:rsidR="002D13E5" w:rsidRPr="00701CB4">
        <w:rPr>
          <w:rFonts w:eastAsia="Times"/>
        </w:rPr>
        <w:t>indels</w:t>
      </w:r>
      <w:proofErr w:type="spellEnd"/>
      <w:r w:rsidR="002D13E5" w:rsidRPr="00701CB4">
        <w:rPr>
          <w:rFonts w:eastAsia="Times"/>
        </w:rPr>
        <w:t>. Variants with inbreeding coefficient</w:t>
      </w:r>
      <w:r>
        <w:rPr>
          <w:rFonts w:eastAsia="Times"/>
        </w:rPr>
        <w:t>s</w:t>
      </w:r>
      <w:r w:rsidR="002D13E5" w:rsidRPr="00701CB4">
        <w:rPr>
          <w:rFonts w:eastAsia="Times"/>
        </w:rPr>
        <w:t xml:space="preserve"> &lt; –0.3, quality by depth</w:t>
      </w:r>
      <w:r>
        <w:rPr>
          <w:rFonts w:eastAsia="Times"/>
        </w:rPr>
        <w:t xml:space="preserve"> scores</w:t>
      </w:r>
      <w:r w:rsidR="002D13E5" w:rsidRPr="00701CB4">
        <w:rPr>
          <w:rFonts w:eastAsia="Times"/>
        </w:rPr>
        <w:t xml:space="preserve"> &lt;</w:t>
      </w:r>
      <w:r>
        <w:rPr>
          <w:rFonts w:eastAsia="Times"/>
        </w:rPr>
        <w:t xml:space="preserve"> </w:t>
      </w:r>
      <w:r w:rsidR="002D13E5" w:rsidRPr="00701CB4">
        <w:rPr>
          <w:rFonts w:eastAsia="Times"/>
        </w:rPr>
        <w:t xml:space="preserve">2 for SNVs and &lt;3 for </w:t>
      </w:r>
      <w:proofErr w:type="spellStart"/>
      <w:r w:rsidR="002D13E5" w:rsidRPr="00701CB4">
        <w:rPr>
          <w:rFonts w:eastAsia="Times"/>
        </w:rPr>
        <w:t>indels</w:t>
      </w:r>
      <w:proofErr w:type="spellEnd"/>
      <w:r w:rsidR="002D13E5" w:rsidRPr="00701CB4">
        <w:rPr>
          <w:rFonts w:eastAsia="Times"/>
        </w:rPr>
        <w:t>, call rate</w:t>
      </w:r>
      <w:r>
        <w:rPr>
          <w:rFonts w:eastAsia="Times"/>
        </w:rPr>
        <w:t>s</w:t>
      </w:r>
      <w:r w:rsidR="002D13E5" w:rsidRPr="00701CB4">
        <w:rPr>
          <w:rFonts w:eastAsia="Times"/>
        </w:rPr>
        <w:t xml:space="preserve"> &lt;</w:t>
      </w:r>
      <w:r>
        <w:rPr>
          <w:rFonts w:eastAsia="Times"/>
        </w:rPr>
        <w:t xml:space="preserve"> </w:t>
      </w:r>
      <w:r w:rsidR="002D13E5" w:rsidRPr="00701CB4">
        <w:rPr>
          <w:rFonts w:eastAsia="Times"/>
        </w:rPr>
        <w:t xml:space="preserve">95%, and Hardy-Weinberg equilibrium </w:t>
      </w:r>
      <w:r w:rsidR="002D13E5" w:rsidRPr="00DD7D45">
        <w:rPr>
          <w:rFonts w:eastAsia="Times"/>
          <w:i/>
          <w:iCs/>
        </w:rPr>
        <w:t>P</w:t>
      </w:r>
      <w:r>
        <w:rPr>
          <w:rFonts w:eastAsia="Times"/>
        </w:rPr>
        <w:t xml:space="preserve"> </w:t>
      </w:r>
      <w:r w:rsidR="002D13E5" w:rsidRPr="00701CB4">
        <w:rPr>
          <w:rFonts w:eastAsia="Times"/>
        </w:rPr>
        <w:t>value</w:t>
      </w:r>
      <w:r>
        <w:rPr>
          <w:rFonts w:eastAsia="Times"/>
        </w:rPr>
        <w:t>s</w:t>
      </w:r>
      <w:r w:rsidR="002D13E5" w:rsidRPr="00701CB4">
        <w:rPr>
          <w:rFonts w:eastAsia="Times"/>
        </w:rPr>
        <w:t xml:space="preserve"> &lt;</w:t>
      </w:r>
      <w:r>
        <w:rPr>
          <w:rFonts w:eastAsia="Times"/>
        </w:rPr>
        <w:t xml:space="preserve"> </w:t>
      </w:r>
      <w:r w:rsidR="002D13E5" w:rsidRPr="00701CB4">
        <w:rPr>
          <w:rFonts w:eastAsia="Times"/>
        </w:rPr>
        <w:t>1×10</w:t>
      </w:r>
      <w:r w:rsidR="002D13E5" w:rsidRPr="00DD7D45">
        <w:rPr>
          <w:rFonts w:eastAsia="Times"/>
          <w:vertAlign w:val="superscript"/>
        </w:rPr>
        <w:t>-6</w:t>
      </w:r>
      <w:r w:rsidR="002D13E5" w:rsidRPr="00701CB4">
        <w:rPr>
          <w:rFonts w:eastAsia="Times"/>
        </w:rPr>
        <w:t xml:space="preserve"> were removed. Sequenced </w:t>
      </w:r>
      <w:r w:rsidR="002D13E5" w:rsidRPr="00701CB4">
        <w:rPr>
          <w:rFonts w:eastAsia="Times"/>
        </w:rPr>
        <w:lastRenderedPageBreak/>
        <w:t>variants were annotated with Variant Effect Predictor</w:t>
      </w:r>
      <w:r w:rsidR="00135F1E" w:rsidRPr="00701CB4">
        <w:rPr>
          <w:rFonts w:eastAsia="Times"/>
        </w:rPr>
        <w:fldChar w:fldCharType="begin" w:fldLock="1"/>
      </w:r>
      <w:r w:rsidR="00411566">
        <w:rPr>
          <w:rFonts w:eastAsia="Times"/>
        </w:rPr>
        <w:instrText>ADDIN CSL_CITATION {"citationItems":[{"id":"ITEM-1","itemData":{"DOI":"10.1186/s13059-016-0974-4","ISBN":"1474760X (Electronic)","ISSN":"1474760X","PMID":"27268795","abstract":"The Ensembl Variant Effect Predictor is a powerful toolset for the analysis, annotation, and prioritization of genomic variants in coding and non-coding regions. It provides access to an extensive collection of genomic annotation, with a variety of interfaces to suit different requirements, and simple options for configuring and extending analysis. It is open source, free to use, and supports full reproducibility of results. The Ensembl Variant Effect Predictor can simplify and accelerate variant interpretation in a wide range of study designs.","author":[{"dropping-particle":"","family":"McLaren","given":"William","non-dropping-particle":"","parse-names":false,"suffix":""},{"dropping-particle":"","family":"Gil","given":"Laurent","non-dropping-particle":"","parse-names":false,"suffix":""},{"dropping-particle":"","family":"Hunt","given":"Sarah E.","non-dropping-particle":"","parse-names":false,"suffix":""},{"dropping-particle":"","family":"Riat","given":"Harpreet Singh","non-dropping-particle":"","parse-names":false,"suffix":""},{"dropping-particle":"","family":"Ritchie","given":"Graham R.S.","non-dropping-particle":"","parse-names":false,"suffix":""},{"dropping-particle":"","family":"Thormann","given":"Anja","non-dropping-particle":"","parse-names":false,"suffix":""},{"dropping-particle":"","family":"Flicek","given":"Paul","non-dropping-particle":"","parse-names":false,"suffix":""},{"dropping-particle":"","family":"Cunningham","given":"Fiona","non-dropping-particle":"","parse-names":false,"suffix":""}],"container-title":"Genome Biology","id":"ITEM-1","issue":"1","issued":{"date-parts":[["2016"]]},"page":"1-14","publisher":"Genome Biology","title":"The Ensembl Variant Effect Predictor","type":"article-journal","volume":"17"},"uris":["http://www.mendeley.com/documents/?uuid=13f6f8dc-9acd-4862-ae8e-4906ef32551a"]}],"mendeley":{"formattedCitation":"&lt;sup&gt;3&lt;/sup&gt;","plainTextFormattedCitation":"3","previouslyFormattedCitation":"&lt;sup&gt;3&lt;/sup&gt;"},"properties":{"noteIndex":0},"schema":"https://github.com/citation-style-language/schema/raw/master/csl-citation.json"}</w:instrText>
      </w:r>
      <w:r w:rsidR="00135F1E" w:rsidRPr="00701CB4">
        <w:rPr>
          <w:rFonts w:eastAsia="Times"/>
        </w:rPr>
        <w:fldChar w:fldCharType="separate"/>
      </w:r>
      <w:r w:rsidR="00411566" w:rsidRPr="00411566">
        <w:rPr>
          <w:rFonts w:eastAsia="Times"/>
          <w:noProof/>
          <w:vertAlign w:val="superscript"/>
        </w:rPr>
        <w:t>3</w:t>
      </w:r>
      <w:r w:rsidR="00135F1E" w:rsidRPr="00701CB4">
        <w:rPr>
          <w:rFonts w:eastAsia="Times"/>
        </w:rPr>
        <w:fldChar w:fldCharType="end"/>
      </w:r>
      <w:r w:rsidR="002D13E5" w:rsidRPr="00701CB4">
        <w:rPr>
          <w:rFonts w:eastAsia="Times"/>
        </w:rPr>
        <w:t xml:space="preserve"> version 87 (</w:t>
      </w:r>
      <w:proofErr w:type="spellStart"/>
      <w:r w:rsidR="002D13E5" w:rsidRPr="00701CB4">
        <w:rPr>
          <w:rFonts w:eastAsia="Times"/>
        </w:rPr>
        <w:t>Gencode</w:t>
      </w:r>
      <w:proofErr w:type="spellEnd"/>
      <w:r w:rsidR="002D13E5" w:rsidRPr="00701CB4">
        <w:rPr>
          <w:rFonts w:eastAsia="Times"/>
        </w:rPr>
        <w:t xml:space="preserve"> v19 on GRCh37.p13)</w:t>
      </w:r>
      <w:r w:rsidR="00135F1E" w:rsidRPr="00701CB4">
        <w:rPr>
          <w:rFonts w:eastAsia="Times"/>
        </w:rPr>
        <w:t xml:space="preserve"> and</w:t>
      </w:r>
      <w:r w:rsidR="002D13E5" w:rsidRPr="00701CB4">
        <w:rPr>
          <w:rFonts w:eastAsia="Times"/>
        </w:rPr>
        <w:t xml:space="preserve"> ANNOVAR</w:t>
      </w:r>
      <w:r w:rsidR="00701CB4">
        <w:rPr>
          <w:rFonts w:eastAsia="Times"/>
        </w:rPr>
        <w:t>.</w:t>
      </w:r>
      <w:r w:rsidR="00135F1E" w:rsidRPr="00701CB4">
        <w:rPr>
          <w:rFonts w:eastAsia="Times"/>
        </w:rPr>
        <w:fldChar w:fldCharType="begin" w:fldLock="1"/>
      </w:r>
      <w:r w:rsidR="00411566">
        <w:rPr>
          <w:rFonts w:eastAsia="Times"/>
        </w:rPr>
        <w:instrText>ADDIN CSL_CITATION {"citationItems":[{"id":"ITEM-1","itemData":{"DOI":"10.1038/nprot.2015.105","abstract":"Recent developments in sequencing techniques have enabled rapid and high-throughput generation of sequence data, democratizing the ability to compile information on large amounts of genetic variations in individual laboratories. However, there is a growing gap between the generation of raw sequencing data and the extraction of meaningful biological information. Here, we describe a protocol to use the ANNOVAR (ANNOtate VARiation) software to facilitate fast and easy variant annotations, including gene-based, region-based and filter-based annotations on a variant call format (VCF) file generated from human genomes. We further describe a protocol for gene-based annotation of a newly sequenced nonhuman species. Finally, we describe how to use a user-friendly and easily accessible web server called wANNOVAR to prioritize candidate genes for a Mendelian disease. The variant annotation protocols take 5–30 min of computer time, depending on the size of the variant file, and 5–10 min of hands-on time. In summary, through the command-line tool and the web server, these protocols provide a convenient means to analyze genetic variants generated in humans and other species.","author":[{"dropping-particle":"","family":"Yang","given":"Hui","non-dropping-particle":"","parse-names":false,"suffix":""},{"dropping-particle":"","family":"Wang","given":"Kai","non-dropping-particle":"","parse-names":false,"suffix":""}],"container-title":"Nature protocols","id":"ITEM-1","issue":"10","issued":{"date-parts":[["2015"]]},"page":"1556-1566","title":"Genomic variant annotation and prioritization with ANNOVAR and wANNOVAR","type":"article-journal","volume":"10"},"uris":["http://www.mendeley.com/documents/?uuid=8b1504da-bea5-43e0-aafa-9fb8324ae886"]}],"mendeley":{"formattedCitation":"&lt;sup&gt;4&lt;/sup&gt;","plainTextFormattedCitation":"4","previouslyFormattedCitation":"&lt;sup&gt;4&lt;/sup&gt;"},"properties":{"noteIndex":0},"schema":"https://github.com/citation-style-language/schema/raw/master/csl-citation.json"}</w:instrText>
      </w:r>
      <w:r w:rsidR="00135F1E" w:rsidRPr="00701CB4">
        <w:rPr>
          <w:rFonts w:eastAsia="Times"/>
        </w:rPr>
        <w:fldChar w:fldCharType="separate"/>
      </w:r>
      <w:r w:rsidR="00411566" w:rsidRPr="00411566">
        <w:rPr>
          <w:rFonts w:eastAsia="Times"/>
          <w:noProof/>
          <w:vertAlign w:val="superscript"/>
        </w:rPr>
        <w:t>4</w:t>
      </w:r>
      <w:r w:rsidR="00135F1E" w:rsidRPr="00701CB4">
        <w:rPr>
          <w:rFonts w:eastAsia="Times"/>
        </w:rPr>
        <w:fldChar w:fldCharType="end"/>
      </w:r>
    </w:p>
    <w:p w14:paraId="384DE0E7" w14:textId="77777777" w:rsidR="00701CB4" w:rsidRPr="00701CB4" w:rsidRDefault="00701CB4" w:rsidP="00701CB4">
      <w:pPr>
        <w:widowControl w:val="0"/>
        <w:spacing w:line="480" w:lineRule="auto"/>
        <w:ind w:firstLine="360"/>
        <w:jc w:val="both"/>
        <w:rPr>
          <w:rFonts w:eastAsia="Times"/>
        </w:rPr>
      </w:pPr>
    </w:p>
    <w:p w14:paraId="266A8FCF" w14:textId="5A6F4C3E" w:rsidR="002D13E5" w:rsidRPr="00701CB4" w:rsidRDefault="00B13C58" w:rsidP="00701CB4">
      <w:pPr>
        <w:widowControl w:val="0"/>
        <w:spacing w:line="480" w:lineRule="auto"/>
        <w:jc w:val="both"/>
        <w:rPr>
          <w:rFonts w:eastAsia="Times"/>
          <w:b/>
        </w:rPr>
      </w:pPr>
      <w:r w:rsidRPr="00701CB4">
        <w:rPr>
          <w:rFonts w:eastAsia="Arial"/>
          <w:b/>
        </w:rPr>
        <w:t>Variant detection and e</w:t>
      </w:r>
      <w:r w:rsidR="002D13E5" w:rsidRPr="00701CB4">
        <w:rPr>
          <w:rFonts w:eastAsia="Arial"/>
          <w:b/>
        </w:rPr>
        <w:t>valuation</w:t>
      </w:r>
      <w:r w:rsidR="002D13E5" w:rsidRPr="00701CB4">
        <w:rPr>
          <w:rFonts w:eastAsia="Times"/>
          <w:b/>
        </w:rPr>
        <w:t xml:space="preserve"> of </w:t>
      </w:r>
      <w:r w:rsidR="00A5330C">
        <w:rPr>
          <w:rFonts w:eastAsia="Times"/>
          <w:b/>
        </w:rPr>
        <w:t>variant</w:t>
      </w:r>
      <w:r w:rsidR="002D13E5" w:rsidRPr="00701CB4">
        <w:rPr>
          <w:rFonts w:eastAsia="Times"/>
          <w:b/>
        </w:rPr>
        <w:t xml:space="preserve"> pathogenicity</w:t>
      </w:r>
    </w:p>
    <w:p w14:paraId="03165E27" w14:textId="6F38CA3C" w:rsidR="002D13E5" w:rsidRPr="00CE5773" w:rsidRDefault="00411566" w:rsidP="00CE5773">
      <w:pPr>
        <w:widowControl w:val="0"/>
        <w:spacing w:line="480" w:lineRule="auto"/>
        <w:jc w:val="both"/>
        <w:rPr>
          <w:rFonts w:eastAsia="Times"/>
          <w:color w:val="FF0000"/>
        </w:rPr>
      </w:pPr>
      <w:r w:rsidRPr="00701CB4">
        <w:rPr>
          <w:rFonts w:eastAsia="Times"/>
        </w:rPr>
        <w:t xml:space="preserve">We used a custom pipeline to annotate and prioritize clinically important variants. This pipeline incorporates standard annotations, including variant effect, protein functional predictions, </w:t>
      </w:r>
      <w:r>
        <w:rPr>
          <w:rFonts w:eastAsia="Times"/>
        </w:rPr>
        <w:t xml:space="preserve">and </w:t>
      </w:r>
      <w:r w:rsidRPr="00701CB4">
        <w:rPr>
          <w:rFonts w:eastAsia="Times"/>
        </w:rPr>
        <w:t>conservation and allele frequencies, along with public</w:t>
      </w:r>
      <w:r>
        <w:rPr>
          <w:rFonts w:eastAsia="Times"/>
        </w:rPr>
        <w:t>ly available</w:t>
      </w:r>
      <w:r w:rsidRPr="00701CB4">
        <w:rPr>
          <w:rFonts w:eastAsia="Times"/>
        </w:rPr>
        <w:t xml:space="preserve"> </w:t>
      </w:r>
      <w:r>
        <w:rPr>
          <w:rFonts w:eastAsia="Times"/>
        </w:rPr>
        <w:t xml:space="preserve">variant </w:t>
      </w:r>
      <w:r w:rsidRPr="00701CB4">
        <w:rPr>
          <w:rFonts w:eastAsia="Times"/>
        </w:rPr>
        <w:t xml:space="preserve">data. </w:t>
      </w:r>
      <w:r w:rsidR="002D13E5" w:rsidRPr="00701CB4">
        <w:rPr>
          <w:rFonts w:eastAsia="Times"/>
        </w:rPr>
        <w:t xml:space="preserve">For </w:t>
      </w:r>
      <w:r w:rsidR="00A7196A">
        <w:rPr>
          <w:rFonts w:eastAsia="Times"/>
        </w:rPr>
        <w:t xml:space="preserve">estimation of the </w:t>
      </w:r>
      <w:r w:rsidR="002D13E5" w:rsidRPr="00701CB4">
        <w:rPr>
          <w:rFonts w:eastAsia="Times"/>
        </w:rPr>
        <w:t xml:space="preserve">pathogenicity of </w:t>
      </w:r>
      <w:r w:rsidR="00BF25DB">
        <w:rPr>
          <w:rFonts w:eastAsia="Times"/>
        </w:rPr>
        <w:t>likely</w:t>
      </w:r>
      <w:r w:rsidR="00BF25DB" w:rsidRPr="00701CB4">
        <w:rPr>
          <w:rFonts w:eastAsia="Times"/>
        </w:rPr>
        <w:t xml:space="preserve"> </w:t>
      </w:r>
      <w:r w:rsidR="002D13E5" w:rsidRPr="00701CB4">
        <w:rPr>
          <w:rFonts w:eastAsia="Times"/>
        </w:rPr>
        <w:t>pathogenic</w:t>
      </w:r>
      <w:r w:rsidR="00F36E5E" w:rsidRPr="00701CB4">
        <w:rPr>
          <w:rFonts w:eastAsia="Times"/>
        </w:rPr>
        <w:t xml:space="preserve"> (</w:t>
      </w:r>
      <w:r w:rsidR="00BF25DB">
        <w:rPr>
          <w:rFonts w:eastAsia="Times"/>
        </w:rPr>
        <w:t>L</w:t>
      </w:r>
      <w:r w:rsidR="00F36E5E" w:rsidRPr="00701CB4">
        <w:rPr>
          <w:rFonts w:eastAsia="Times"/>
        </w:rPr>
        <w:t>P)</w:t>
      </w:r>
      <w:r w:rsidR="002D13E5" w:rsidRPr="00701CB4">
        <w:rPr>
          <w:rFonts w:eastAsia="Times"/>
        </w:rPr>
        <w:t xml:space="preserve"> </w:t>
      </w:r>
      <w:r w:rsidR="00A7196A">
        <w:rPr>
          <w:rFonts w:eastAsia="Times"/>
        </w:rPr>
        <w:t>(</w:t>
      </w:r>
      <w:r w:rsidR="00B13C58" w:rsidRPr="00701CB4">
        <w:rPr>
          <w:rFonts w:eastAsia="Times"/>
        </w:rPr>
        <w:t xml:space="preserve">and known pathogenic </w:t>
      </w:r>
      <w:r w:rsidR="00A7196A">
        <w:rPr>
          <w:rFonts w:eastAsia="Times"/>
        </w:rPr>
        <w:t>[</w:t>
      </w:r>
      <w:r w:rsidR="00B13C58" w:rsidRPr="00701CB4">
        <w:rPr>
          <w:rFonts w:eastAsia="Times"/>
        </w:rPr>
        <w:t>KP</w:t>
      </w:r>
      <w:r w:rsidR="00A7196A">
        <w:rPr>
          <w:rFonts w:eastAsia="Times"/>
        </w:rPr>
        <w:t>])</w:t>
      </w:r>
      <w:r w:rsidR="00B13C58" w:rsidRPr="00701CB4">
        <w:rPr>
          <w:rFonts w:eastAsia="Times"/>
        </w:rPr>
        <w:t xml:space="preserve"> </w:t>
      </w:r>
      <w:r w:rsidR="002D13E5" w:rsidRPr="00701CB4">
        <w:rPr>
          <w:rFonts w:eastAsia="Times"/>
        </w:rPr>
        <w:t>variants</w:t>
      </w:r>
      <w:r w:rsidR="00A7196A">
        <w:rPr>
          <w:rFonts w:eastAsia="Times"/>
        </w:rPr>
        <w:t>,</w:t>
      </w:r>
      <w:r w:rsidR="002D13E5" w:rsidRPr="00701CB4">
        <w:rPr>
          <w:rFonts w:eastAsia="Times"/>
        </w:rPr>
        <w:t xml:space="preserve"> the following </w:t>
      </w:r>
      <w:r w:rsidR="002D13E5" w:rsidRPr="00BF25DB">
        <w:rPr>
          <w:rFonts w:eastAsia="Times"/>
          <w:i/>
          <w:iCs/>
        </w:rPr>
        <w:t xml:space="preserve">in </w:t>
      </w:r>
      <w:proofErr w:type="spellStart"/>
      <w:r w:rsidR="002D13E5" w:rsidRPr="00BF25DB">
        <w:rPr>
          <w:rFonts w:eastAsia="Times"/>
          <w:i/>
          <w:iCs/>
        </w:rPr>
        <w:t>silico</w:t>
      </w:r>
      <w:proofErr w:type="spellEnd"/>
      <w:r w:rsidR="002D13E5" w:rsidRPr="00701CB4">
        <w:rPr>
          <w:rFonts w:eastAsia="Times"/>
        </w:rPr>
        <w:t xml:space="preserve"> prediction algorithms were considered: </w:t>
      </w:r>
      <w:r w:rsidR="005C0D3A" w:rsidRPr="00701CB4">
        <w:rPr>
          <w:rFonts w:eastAsia="Times"/>
        </w:rPr>
        <w:t>SIFT</w:t>
      </w:r>
      <w:r w:rsidR="00701CB4">
        <w:rPr>
          <w:rFonts w:eastAsia="Times"/>
        </w:rPr>
        <w:t>,</w:t>
      </w:r>
      <w:r w:rsidR="00135F1E" w:rsidRPr="00701CB4">
        <w:rPr>
          <w:rFonts w:eastAsia="Times"/>
        </w:rPr>
        <w:fldChar w:fldCharType="begin" w:fldLock="1"/>
      </w:r>
      <w:r>
        <w:rPr>
          <w:rFonts w:eastAsia="Times"/>
        </w:rPr>
        <w:instrText>ADDIN CSL_CITATION {"citationItems":[{"id":"ITEM-1","itemData":{"DOI":"doi:10.1038/nprot.2015.123","abstract":"The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author":[{"dropping-particle":"","family":"Vaser","given":"Robert","non-dropping-particle":"","parse-names":false,"suffix":""},{"dropping-particle":"","family":"Adusumalli","given":"Swarnaseetha","non-dropping-particle":"","parse-names":false,"suffix":""},{"dropping-particle":"","family":"Leng","given":"Sim Ngak","non-dropping-particle":"","parse-names":false,"suffix":""},{"dropping-particle":"","family":"Sikic","given":"Mile","non-dropping-particle":"","parse-names":false,"suffix":""},{"dropping-particle":"","family":"Ng","given":"Pauline C","non-dropping-particle":"","parse-names":false,"suffix":""}],"container-title":"Nature Protocols","id":"ITEM-1","issued":{"date-parts":[["2016"]]},"page":"1-9","publisher":"Nature Publishing Group","title":"SIFT missense predictions for genomes","type":"article-journal","volume":"11"},"uris":["http://www.mendeley.com/documents/?uuid=da452b01-e81d-462e-a694-e98a3f2ebdc6"]}],"mendeley":{"formattedCitation":"&lt;sup&gt;5&lt;/sup&gt;","plainTextFormattedCitation":"5","previouslyFormattedCitation":"&lt;sup&gt;5&lt;/sup&gt;"},"properties":{"noteIndex":0},"schema":"https://github.com/citation-style-language/schema/raw/master/csl-citation.json"}</w:instrText>
      </w:r>
      <w:r w:rsidR="00135F1E" w:rsidRPr="00701CB4">
        <w:rPr>
          <w:rFonts w:eastAsia="Times"/>
        </w:rPr>
        <w:fldChar w:fldCharType="separate"/>
      </w:r>
      <w:r w:rsidRPr="00411566">
        <w:rPr>
          <w:rFonts w:eastAsia="Times"/>
          <w:noProof/>
          <w:vertAlign w:val="superscript"/>
        </w:rPr>
        <w:t>5</w:t>
      </w:r>
      <w:r w:rsidR="00135F1E" w:rsidRPr="00701CB4">
        <w:rPr>
          <w:rFonts w:eastAsia="Times"/>
        </w:rPr>
        <w:fldChar w:fldCharType="end"/>
      </w:r>
      <w:r w:rsidR="005C0D3A" w:rsidRPr="00701CB4">
        <w:rPr>
          <w:rFonts w:eastAsia="Times"/>
        </w:rPr>
        <w:t xml:space="preserve"> PolyPhen-2</w:t>
      </w:r>
      <w:r w:rsidR="00701CB4">
        <w:rPr>
          <w:rFonts w:eastAsia="Times"/>
        </w:rPr>
        <w:t>,</w:t>
      </w:r>
      <w:r w:rsidR="005C0D3A" w:rsidRPr="00701CB4">
        <w:rPr>
          <w:rFonts w:eastAsia="Times"/>
        </w:rPr>
        <w:t xml:space="preserve"> </w:t>
      </w:r>
      <w:proofErr w:type="spellStart"/>
      <w:r w:rsidR="005C0D3A" w:rsidRPr="00701CB4">
        <w:rPr>
          <w:rFonts w:eastAsia="Times"/>
        </w:rPr>
        <w:t>HumDiv</w:t>
      </w:r>
      <w:proofErr w:type="spellEnd"/>
      <w:r w:rsidR="00D84985" w:rsidRPr="00701CB4">
        <w:rPr>
          <w:rFonts w:eastAsia="Times"/>
        </w:rPr>
        <w:t>,</w:t>
      </w:r>
      <w:r w:rsidR="00BC7257" w:rsidRPr="00701CB4">
        <w:rPr>
          <w:rFonts w:eastAsia="Times"/>
        </w:rPr>
        <w:t xml:space="preserve"> </w:t>
      </w:r>
      <w:r w:rsidR="00F36E5E" w:rsidRPr="00701CB4">
        <w:rPr>
          <w:rFonts w:eastAsia="Times"/>
        </w:rPr>
        <w:t>Hvar</w:t>
      </w:r>
      <w:r w:rsidR="005C0D3A" w:rsidRPr="00701CB4">
        <w:rPr>
          <w:rFonts w:eastAsia="Times"/>
        </w:rPr>
        <w:t>,</w:t>
      </w:r>
      <w:r w:rsidR="00E37683" w:rsidRPr="00701CB4">
        <w:rPr>
          <w:rFonts w:eastAsia="Times"/>
        </w:rPr>
        <w:fldChar w:fldCharType="begin" w:fldLock="1"/>
      </w:r>
      <w:r w:rsidR="00E37683">
        <w:rPr>
          <w:rFonts w:eastAsia="Times"/>
        </w:rPr>
        <w:instrText>ADDIN CSL_CITATION {"citationItems":[{"id":"ITEM-1","itemData":{"DOI":"10.1038/nmeth0410-248","ISBN":"1548-7105 (Electronic)\\n1548-7091 (Linking)","ISSN":"15487091","PMID":"20354512","abstract":"248 | VOL.7 NO.4 | APRIL 2010 | nature methods correspondence tions (omitting the time stamps). We used interventional data on steady-state gene expression levels of known single-gene knock-out experiments as the gold standard for determining the causal effects. We applied IDA, as well as Lasso and Elastic-net, to the observational datasets and evaluated how well the resulting top q predicted effects (q = 10 for the networks of size 10 and q = 25 for the networks of size 100) corresponded to the top m percentage (m = 5 or 10) of the effects as computed from the interventional data (Supplementary Methods). We counted the number of networks in which the partial area under the receiver operating characteristic curve (pAUC) was better than random guessing at significance level a = 0.01 for both values of m (Supplementary Methods). By this measure, IDA was at least as good as Lasso and Elastic-net for all four possible combinations of the type of observational data (multifactorial or time series) and the size of the networks (10 or 100 genes). The difference was largest for the multifactorial data on the networks of size 10, where IDA was substantially better than Lasso and Elastic-net for three of the five networks (Supplementary Fig. 1 and Supplementary Table 2). For instance, in this setting with m = 10 and q = 10, IDA found 4, 4, 5, 1 and 2 true positives for the five different networks, whereas Lasso found 1, 1, 0, 1 and 2 true positives and Elastic-net found 3, 1, 0, 1 and 1 true positives. The results presented here on S. cerevisiae and the DREAM4 data are proof-of-concept results that IDA can predict the stron-gest causal effects in potentially large-scale biological systems by using only observational data. In particular, the results on S. cerevisiae demonstrate that we were able to do this in a chal-lenging real-world setting where the number of variables (5,361) was much larger than the sample size (63) and the variables were substantially disturbed by noise. As IDA is supported by math-ematical theory, we expect the results presented here to generalize to other problems. Of course, statistical predictions based on observational data can never replace intervention experiments. In fact, whenever possible, IDA predictions should be followed up by intervention experiments. In this way, the predictions can serve as a new tool for the design of experiments, as they indicate which interven-tions are likely to show a large effect. Software for IDA is ava…","author":[{"dropping-particle":"","family":"Adzhubei","given":"Ivan A.","non-dropping-particle":"","parse-names":false,"suffix":""},{"dropping-particle":"","family":"Schmidt","given":"Steffen","non-dropping-particle":"","parse-names":false,"suffix":""},{"dropping-particle":"","family":"Peshkin","given":"Leonid","non-dropping-particle":"","parse-names":false,"suffix":""},{"dropping-particle":"","family":"Ramensky","given":"Vasily E.","non-dropping-particle":"","parse-names":false,"suffix":""},{"dropping-particle":"","family":"Gerasimova","given":"Anna","non-dropping-particle":"","parse-names":false,"suffix":""},{"dropping-particle":"","family":"Bork","given":"Peer","non-dropping-particle":"","parse-names":false,"suffix":""},{"dropping-particle":"","family":"Kondrashov","given":"Alexey S.","non-dropping-particle":"","parse-names":false,"suffix":""},{"dropping-particle":"","family":"Sunyaev","given":"Shamil R.","non-dropping-particle":"","parse-names":false,"suffix":""}],"container-title":"Nature Methods","id":"ITEM-1","issue":"4","issued":{"date-parts":[["2010"]]},"page":"248-249","publisher":"Nature Publishing Group","title":"A method and server for predicting damaging missense mutations","type":"article-journal","volume":"7"},"uris":["http://www.mendeley.com/documents/?uuid=9e61d13f-0728-449f-970c-5c85566f954e"]}],"mendeley":{"formattedCitation":"&lt;sup&gt;6&lt;/sup&gt;","plainTextFormattedCitation":"6","previouslyFormattedCitation":"&lt;sup&gt;6&lt;/sup&gt;"},"properties":{"noteIndex":0},"schema":"https://github.com/citation-style-language/schema/raw/master/csl-citation.json"}</w:instrText>
      </w:r>
      <w:r w:rsidR="00E37683" w:rsidRPr="00701CB4">
        <w:rPr>
          <w:rFonts w:eastAsia="Times"/>
        </w:rPr>
        <w:fldChar w:fldCharType="separate"/>
      </w:r>
      <w:r w:rsidR="00E37683" w:rsidRPr="00411566">
        <w:rPr>
          <w:rFonts w:eastAsia="Times"/>
          <w:noProof/>
          <w:vertAlign w:val="superscript"/>
        </w:rPr>
        <w:t>6</w:t>
      </w:r>
      <w:r w:rsidR="00E37683" w:rsidRPr="00701CB4">
        <w:rPr>
          <w:rFonts w:eastAsia="Times"/>
        </w:rPr>
        <w:fldChar w:fldCharType="end"/>
      </w:r>
      <w:r w:rsidR="005C0D3A" w:rsidRPr="00701CB4">
        <w:rPr>
          <w:rFonts w:eastAsia="Times"/>
        </w:rPr>
        <w:t xml:space="preserve"> CADD</w:t>
      </w:r>
      <w:r w:rsidR="00701CB4">
        <w:rPr>
          <w:rFonts w:eastAsia="Times"/>
        </w:rPr>
        <w:t>,</w:t>
      </w:r>
      <w:r w:rsidR="00F36E5E" w:rsidRPr="00701CB4">
        <w:rPr>
          <w:rFonts w:eastAsia="Times"/>
        </w:rPr>
        <w:fldChar w:fldCharType="begin" w:fldLock="1"/>
      </w:r>
      <w:r>
        <w:rPr>
          <w:rFonts w:eastAsia="Times"/>
        </w:rPr>
        <w:instrText>ADDIN CSL_CITATION {"citationItems":[{"id":"ITEM-1","itemData":{"DOI":"10.1038/ng.2892","ISBN":"1546-1718 (Electronic)\\r1061-4036 (Linking)","ISSN":"15461718","PMID":"24487276","abstract":"Current methods for annotating and interpreting human genetic variation tend to exploit a single information type (for example, conservation) and/or are restricted in scope (for example, to missense changes). Here we describe Combined Annotation-Dependent Depletion (CADD), a method for objectively integrating many diverse annotations into a single measure (C score) for each variant. We implement CADD as a support vector machine trained to differentiate 14.7 million high-frequency human-derived alleles from 14.7 million simulated variants. We precompute C scores for all 8.6 billion possible human single-nucleotide variants and enable scoring of short insertions-deletions. C scores correlate with allelic diversity, annotations of functionality, pathogenicity, disease severity, experimentally measured regulatory effects and complex trait associations, and they highly rank known pathogenic variants within individual genomes. The ability of CADD to prioritize functional, deleterious and pathogenic variants across many functional categories, effect sizes and genetic architectures is unmatched by any current single-annotation method.","author":[{"dropping-particle":"","family":"Kircher","given":"Martin","non-dropping-particle":"","parse-names":false,"suffix":""},{"dropping-particle":"","family":"Witten","given":"Daniela M.","non-dropping-particle":"","parse-names":false,"suffix":""},{"dropping-particle":"","family":"Jain","given":"Preti","non-dropping-particle":"","parse-names":false,"suffix":""},{"dropping-particle":"","family":"O'roak","given":"Brian J.","non-dropping-particle":"","parse-names":false,"suffix":""},{"dropping-particle":"","family":"Cooper","given":"Gregory M.","non-dropping-particle":"","parse-names":false,"suffix":""},{"dropping-particle":"","family":"Shendure","given":"Jay","non-dropping-particle":"","parse-names":false,"suffix":""}],"container-title":"Nature Genetics","id":"ITEM-1","issue":"3","issued":{"date-parts":[["2014"]]},"page":"310-315","publisher":"Nature Publishing Group","title":"A general framework for estimating the relative pathogenicity of human genetic variants","type":"article-journal","volume":"46"},"uris":["http://www.mendeley.com/documents/?uuid=c21f6056-335c-4be3-b3b9-49d57679681e"]}],"mendeley":{"formattedCitation":"&lt;sup&gt;7&lt;/sup&gt;","plainTextFormattedCitation":"7","previouslyFormattedCitation":"&lt;sup&gt;7&lt;/sup&gt;"},"properties":{"noteIndex":0},"schema":"https://github.com/citation-style-language/schema/raw/master/csl-citation.json"}</w:instrText>
      </w:r>
      <w:r w:rsidR="00F36E5E" w:rsidRPr="00701CB4">
        <w:rPr>
          <w:rFonts w:eastAsia="Times"/>
        </w:rPr>
        <w:fldChar w:fldCharType="separate"/>
      </w:r>
      <w:r w:rsidRPr="00411566">
        <w:rPr>
          <w:rFonts w:eastAsia="Times"/>
          <w:noProof/>
          <w:vertAlign w:val="superscript"/>
        </w:rPr>
        <w:t>7</w:t>
      </w:r>
      <w:r w:rsidR="00F36E5E" w:rsidRPr="00701CB4">
        <w:rPr>
          <w:rFonts w:eastAsia="Times"/>
        </w:rPr>
        <w:fldChar w:fldCharType="end"/>
      </w:r>
      <w:r w:rsidR="005C0D3A" w:rsidRPr="00701CB4">
        <w:rPr>
          <w:rFonts w:eastAsia="Times"/>
        </w:rPr>
        <w:t xml:space="preserve"> PhyloP</w:t>
      </w:r>
      <w:r w:rsidR="00701CB4">
        <w:rPr>
          <w:rFonts w:eastAsia="Times"/>
        </w:rPr>
        <w:t>,</w:t>
      </w:r>
      <w:r w:rsidR="00F36E5E" w:rsidRPr="00701CB4">
        <w:rPr>
          <w:rFonts w:eastAsia="Times"/>
        </w:rPr>
        <w:fldChar w:fldCharType="begin" w:fldLock="1"/>
      </w:r>
      <w:r>
        <w:rPr>
          <w:rFonts w:eastAsia="Times"/>
        </w:rPr>
        <w:instrText>ADDIN CSL_CITATION {"citationItems":[{"id":"ITEM-1","itemData":{"DOI":"10.1101/gr.3577405","ISBN":"1088-9051 (Print)\\r1088-9051 (Linking)","ISSN":"10889051","PMID":"15965027","abstract":"Comparisons of orthologous genomic DNA sequences can be used to characterize regions that have been subject to purifying selection and are enriched for functional elements. We here present the results of such an analysis on an alignment of sequences from 29 mammalian species. The alignment captures approximately 3.9 neutral substitutions per site and spans approximately 1.9 Mbp of the human genome. We identify constrained elements from 3 bp to over 1 kbp in length, covering approximately 5.5% of the human locus. Our estimate for the total amount of nonexonic constraint experienced by this locus is roughly twice that for exonic constraint. Constrained elements tend to cluster, and we identify large constrained regions that correspond well with known functional elements. While constraint density inversely correlates with mobile element density, we also show the presence of unambiguously constrained elements overlapping mammalian ancestral repeats. In addition, we describe a number of elements in this region that have undergone intense purifying selection throughout mammalian evolution, and we show that these important elements are more numerous than previously thought. These results were obtained with Genomic Evolutionary Rate Profiling (GERP), a statistically rigorous and biologically transparent framework for constrained element identification. GERP identifies regions at high resolution that exhibit nucleotide substitution deficits, and measures these deficits as \"rejected substitutions\". Rejected substitutions reflect the intensity of past purifying selection and are used to rank and characterize constrained elements. We anticipate that GERP and the types of analyses it facilitates will provide further insights and improved annotation for the human genome as mammalian genome sequence data become richer.","author":[{"dropping-particle":"","family":"Cooper","given":"Gregory M.","non-dropping-particle":"","parse-names":false,"suffix":""},{"dropping-particle":"","family":"Stone","given":"Eric A.","non-dropping-particle":"","parse-names":false,"suffix":""},{"dropping-particle":"","family":"Asimenos","given":"George","non-dropping-particle":"","parse-names":false,"suffix":""},{"dropping-particle":"","family":"Green","given":"Eric D.","non-dropping-particle":"","parse-names":false,"suffix":""},{"dropping-particle":"","family":"Batzoglou","given":"Serafim","non-dropping-particle":"","parse-names":false,"suffix":""},{"dropping-particle":"","family":"Sidow","given":"Arend","non-dropping-particle":"","parse-names":false,"suffix":""}],"container-title":"Genome Research","id":"ITEM-1","issue":"7","issued":{"date-parts":[["2005"]]},"page":"901-913","title":"Distribution and intensity of constraint in mammalian genomic sequence","type":"article-journal","volume":"15"},"uris":["http://www.mendeley.com/documents/?uuid=d9914b40-2e59-4b1f-b3cb-370586f54ba0"]}],"mendeley":{"formattedCitation":"&lt;sup&gt;8&lt;/sup&gt;","plainTextFormattedCitation":"8","previouslyFormattedCitation":"&lt;sup&gt;8&lt;/sup&gt;"},"properties":{"noteIndex":0},"schema":"https://github.com/citation-style-language/schema/raw/master/csl-citation.json"}</w:instrText>
      </w:r>
      <w:r w:rsidR="00F36E5E" w:rsidRPr="00701CB4">
        <w:rPr>
          <w:rFonts w:eastAsia="Times"/>
        </w:rPr>
        <w:fldChar w:fldCharType="separate"/>
      </w:r>
      <w:r w:rsidRPr="00411566">
        <w:rPr>
          <w:rFonts w:eastAsia="Times"/>
          <w:noProof/>
          <w:vertAlign w:val="superscript"/>
        </w:rPr>
        <w:t>8</w:t>
      </w:r>
      <w:r w:rsidR="00F36E5E" w:rsidRPr="00701CB4">
        <w:rPr>
          <w:rFonts w:eastAsia="Times"/>
        </w:rPr>
        <w:fldChar w:fldCharType="end"/>
      </w:r>
      <w:r w:rsidR="005C0D3A" w:rsidRPr="00701CB4">
        <w:rPr>
          <w:rFonts w:eastAsia="Times"/>
        </w:rPr>
        <w:t xml:space="preserve"> MutationTaster2</w:t>
      </w:r>
      <w:r w:rsidR="00701CB4">
        <w:rPr>
          <w:rFonts w:eastAsia="Times"/>
        </w:rPr>
        <w:t>,</w:t>
      </w:r>
      <w:r w:rsidR="00F36E5E" w:rsidRPr="00701CB4">
        <w:rPr>
          <w:rFonts w:eastAsia="Times"/>
        </w:rPr>
        <w:fldChar w:fldCharType="begin" w:fldLock="1"/>
      </w:r>
      <w:r>
        <w:rPr>
          <w:rFonts w:eastAsia="Times"/>
        </w:rPr>
        <w:instrText>ADDIN CSL_CITATION {"citationItems":[{"id":"ITEM-1","itemData":{"DOI":"10.1038/nmeth.2890","ISBN":"1548-7105 (Electronic)\\r1548-7091 (Linking)","ISSN":"15487105","PMID":"24681721","abstract":"To the Editor: The majority of the gene variants discovered by next-generation sequencing (NGS) projects are either intronic or synony-mous. These variants are difficult to interpret because their effects on protein expression and function tend to be less obvious than those of missense or nonsense variants. Here we present MutationTaster2 (http://www.mutationtaster.org/), the latest version of our web-based software MutationTaster 1 , which evaluates the pathogenic potential of DNA sequence alterations. It is designed to predict the functional consequences of not only amino acid substitutions but also intronic and synonymous alterations, short insertion and/or deletion (indel) mutations and variants spanning intron-exon borders. MutationTaster2 includes all publicly available single-nucleotide polymorphisms (SNPs) and indels from the 1000 Genomes Project 2 (hereafter referred to as 1000G) as well as known disease variants from ClinVar 3 and HGMD Public 4 . Alterations found more than four times in the homozygous state in 1000G or in HapMap 5 are automatically regarded as neutral. Variants marked as pathogenic in ClinVar are automatically predicted to be disease causing, and the disease phe-notype is displayed. We have integrated tests for regulatory features, including data from the ENCODE project 6 and JASPAR 7 , and score the evolutionary conservation around DNA variants (Supplementary Methods). To reduce the number of false positive splice-site four barcodes left out). We first immobilized cells on glass surfaces (Supplementary Methods). The DNA probes were hybridized, imaged and then removed by DNase I treatment (88.5% ± 11.0% efficiency (± standard deviation); Supplementary Fig. 2 and Supplementary Note). The remaining signal was pho-tobleached (Supplementary Fig. 3). Even after six hybridizations, mRNAs were observed at 70.9% ± 21.8% of the original intensity (Supplementary Fig. 4). We observed that 77.9% ± 5.6% of the spots that colocalized in the first two hybridizations also colo-calized with the third hybridization (Fig. 1b and Supplementary Figs. 5 and 6). We quantified the mRNA abundances by counting the occurrence of corresponding barcodes in the cell (n = 37 cells; Supplementary Figs. 7 and 8). We also show that mRNAs can be stripped and rehybridized efficiently in adherent mammalian cells (Supplementary Figs. 9 and 10). Sequential barcoding has many advantages. First, it scales up quickly; with even two dyes the coding capacity is in prin…","author":[{"dropping-particle":"","family":"Schwarz","given":"Jana Marie","non-dropping-particle":"","parse-names":false,"suffix":""},{"dropping-particle":"","family":"Cooper","given":"David N.","non-dropping-particle":"","parse-names":false,"suffix":""},{"dropping-particle":"","family":"Schuelke","given":"Markus","non-dropping-particle":"","parse-names":false,"suffix":""},{"dropping-particle":"","family":"Seelow","given":"Dominik","non-dropping-particle":"","parse-names":false,"suffix":""}],"container-title":"Nature Methods","id":"ITEM-1","issue":"4","issued":{"date-parts":[["2014"]]},"page":"361-362","publisher":"Nature Publishing Group","title":"Mutationtaster2: Mutation prediction for the deep-sequencing age","type":"article-journal","volume":"11"},"uris":["http://www.mendeley.com/documents/?uuid=a4180312-b9bb-455d-8afc-866025cd7039"]}],"mendeley":{"formattedCitation":"&lt;sup&gt;9&lt;/sup&gt;","plainTextFormattedCitation":"9","previouslyFormattedCitation":"&lt;sup&gt;9&lt;/sup&gt;"},"properties":{"noteIndex":0},"schema":"https://github.com/citation-style-language/schema/raw/master/csl-citation.json"}</w:instrText>
      </w:r>
      <w:r w:rsidR="00F36E5E" w:rsidRPr="00701CB4">
        <w:rPr>
          <w:rFonts w:eastAsia="Times"/>
        </w:rPr>
        <w:fldChar w:fldCharType="separate"/>
      </w:r>
      <w:r w:rsidRPr="00411566">
        <w:rPr>
          <w:rFonts w:eastAsia="Times"/>
          <w:noProof/>
          <w:vertAlign w:val="superscript"/>
        </w:rPr>
        <w:t>9</w:t>
      </w:r>
      <w:r w:rsidR="00F36E5E" w:rsidRPr="00701CB4">
        <w:rPr>
          <w:rFonts w:eastAsia="Times"/>
        </w:rPr>
        <w:fldChar w:fldCharType="end"/>
      </w:r>
      <w:r w:rsidR="002D13E5" w:rsidRPr="00701CB4">
        <w:rPr>
          <w:rFonts w:eastAsia="Arial"/>
        </w:rPr>
        <w:t xml:space="preserve"> MutationAssessor</w:t>
      </w:r>
      <w:r w:rsidR="00701CB4">
        <w:rPr>
          <w:rFonts w:eastAsia="Arial"/>
        </w:rPr>
        <w:t>,</w:t>
      </w:r>
      <w:r w:rsidR="00D528E0" w:rsidRPr="00701CB4">
        <w:rPr>
          <w:rFonts w:eastAsia="Arial"/>
        </w:rPr>
        <w:fldChar w:fldCharType="begin" w:fldLock="1"/>
      </w:r>
      <w:r>
        <w:rPr>
          <w:rFonts w:eastAsia="Arial"/>
        </w:rPr>
        <w:instrText>ADDIN CSL_CITATION {"citationItems":[{"id":"ITEM-1","itemData":{"DOI":"10.1093/nar/gkr407","author":[{"dropping-particle":"","family":"Reva","given":"Boris","non-dropping-particle":"","parse-names":false,"suffix":""},{"dropping-particle":"","family":"Antipin","given":"Yevgeniy","non-dropping-particle":"","parse-names":false,"suffix":""},{"dropping-particle":"","family":"Sander","given":"Chris","non-dropping-particle":"","parse-names":false,"suffix":""}],"id":"ITEM-1","issue":"17","issued":{"date-parts":[["2011"]]},"page":"37-43","title":"Predicting the functional impact of protein mutations : application to cancer genomics","type":"article-journal","volume":"39"},"uris":["http://www.mendeley.com/documents/?uuid=25d3ae76-1b8d-4fd7-9068-134c55dbd490"]}],"mendeley":{"formattedCitation":"&lt;sup&gt;10&lt;/sup&gt;","plainTextFormattedCitation":"10","previouslyFormattedCitation":"&lt;sup&gt;10&lt;/sup&gt;"},"properties":{"noteIndex":0},"schema":"https://github.com/citation-style-language/schema/raw/master/csl-citation.json"}</w:instrText>
      </w:r>
      <w:r w:rsidR="00D528E0" w:rsidRPr="00701CB4">
        <w:rPr>
          <w:rFonts w:eastAsia="Arial"/>
        </w:rPr>
        <w:fldChar w:fldCharType="separate"/>
      </w:r>
      <w:r w:rsidRPr="00411566">
        <w:rPr>
          <w:rFonts w:eastAsia="Arial"/>
          <w:noProof/>
          <w:vertAlign w:val="superscript"/>
        </w:rPr>
        <w:t>10</w:t>
      </w:r>
      <w:r w:rsidR="00D528E0" w:rsidRPr="00701CB4">
        <w:rPr>
          <w:rFonts w:eastAsia="Arial"/>
        </w:rPr>
        <w:fldChar w:fldCharType="end"/>
      </w:r>
      <w:r w:rsidR="002D13E5" w:rsidRPr="00701CB4">
        <w:rPr>
          <w:rFonts w:eastAsia="Arial"/>
        </w:rPr>
        <w:t xml:space="preserve"> PROVEAN</w:t>
      </w:r>
      <w:r w:rsidR="00701CB4">
        <w:rPr>
          <w:rFonts w:eastAsia="Arial"/>
        </w:rPr>
        <w:t>,</w:t>
      </w:r>
      <w:r w:rsidR="00F36E5E" w:rsidRPr="00701CB4">
        <w:rPr>
          <w:rFonts w:eastAsia="Arial"/>
        </w:rPr>
        <w:fldChar w:fldCharType="begin" w:fldLock="1"/>
      </w:r>
      <w:r>
        <w:rPr>
          <w:rFonts w:eastAsia="Arial"/>
        </w:rPr>
        <w:instrText>ADDIN CSL_CITATION {"citationItems":[{"id":"ITEM-1","itemData":{"DOI":"10.1093/bioinformatics/btv195","abstract":"Summary: We present a web server to predict the functional effect of single or multiple amino acid substitutions, insertions and deletions using the prediction tool PROVEAN. The server provides rapid analysis of protein variants from any organisms, and also supports high-throughput analysis for human and mouse variants at both the genomic and protein levels. Availability and implementation: The web server is freely available and open to all users with no login requirements at http://provean.jcvi.org. Contact:","author":[{"dropping-particle":"","family":"Choi","given":"Yongwook","non-dropping-particle":"","parse-names":false,"suffix":""},{"dropping-particle":"","family":"Chan","given":"Agnes P","non-dropping-particle":"","parse-names":false,"suffix":""}],"id":"ITEM-1","issue":"16","issued":{"date-parts":[["2015"]]},"page":"2745-2747","title":"PROVEAN web server : a tool to predict the functional effect of amino acid substitutions and indels","type":"article-journal","volume":"31"},"uris":["http://www.mendeley.com/documents/?uuid=51626443-9f1a-4a7a-84f5-56623908beac"]}],"mendeley":{"formattedCitation":"&lt;sup&gt;11&lt;/sup&gt;","plainTextFormattedCitation":"11","previouslyFormattedCitation":"&lt;sup&gt;11&lt;/sup&gt;"},"properties":{"noteIndex":0},"schema":"https://github.com/citation-style-language/schema/raw/master/csl-citation.json"}</w:instrText>
      </w:r>
      <w:r w:rsidR="00F36E5E" w:rsidRPr="00701CB4">
        <w:rPr>
          <w:rFonts w:eastAsia="Arial"/>
        </w:rPr>
        <w:fldChar w:fldCharType="separate"/>
      </w:r>
      <w:r w:rsidRPr="00411566">
        <w:rPr>
          <w:rFonts w:eastAsia="Arial"/>
          <w:noProof/>
          <w:vertAlign w:val="superscript"/>
        </w:rPr>
        <w:t>11</w:t>
      </w:r>
      <w:r w:rsidR="00F36E5E" w:rsidRPr="00701CB4">
        <w:rPr>
          <w:rFonts w:eastAsia="Arial"/>
        </w:rPr>
        <w:fldChar w:fldCharType="end"/>
      </w:r>
      <w:r w:rsidR="00D528E0" w:rsidRPr="00701CB4">
        <w:rPr>
          <w:rFonts w:eastAsia="Arial"/>
        </w:rPr>
        <w:t xml:space="preserve"> </w:t>
      </w:r>
      <w:proofErr w:type="spellStart"/>
      <w:r w:rsidR="00D528E0" w:rsidRPr="00701CB4">
        <w:rPr>
          <w:rFonts w:eastAsia="Arial"/>
        </w:rPr>
        <w:t>Meta</w:t>
      </w:r>
      <w:r w:rsidR="002D13E5" w:rsidRPr="00701CB4">
        <w:rPr>
          <w:rFonts w:eastAsia="Arial"/>
        </w:rPr>
        <w:t>SVM</w:t>
      </w:r>
      <w:proofErr w:type="spellEnd"/>
      <w:r w:rsidR="00A7196A">
        <w:rPr>
          <w:rFonts w:eastAsia="Arial"/>
        </w:rPr>
        <w:t>,</w:t>
      </w:r>
      <w:r w:rsidR="006412F6" w:rsidRPr="00701CB4">
        <w:rPr>
          <w:rFonts w:eastAsia="Arial"/>
        </w:rPr>
        <w:t xml:space="preserve"> and</w:t>
      </w:r>
      <w:r w:rsidR="002D13E5" w:rsidRPr="00701CB4">
        <w:rPr>
          <w:rFonts w:eastAsia="Arial"/>
        </w:rPr>
        <w:t xml:space="preserve"> MetaLR</w:t>
      </w:r>
      <w:r w:rsidR="00701CB4">
        <w:rPr>
          <w:rFonts w:eastAsia="Arial"/>
        </w:rPr>
        <w:t>.</w:t>
      </w:r>
      <w:r w:rsidR="006412F6" w:rsidRPr="00701CB4">
        <w:rPr>
          <w:rFonts w:eastAsia="Arial"/>
        </w:rPr>
        <w:fldChar w:fldCharType="begin" w:fldLock="1"/>
      </w:r>
      <w:r>
        <w:rPr>
          <w:rFonts w:eastAsia="Arial"/>
        </w:rPr>
        <w:instrText>ADDIN CSL_CITATION {"citationItems":[{"id":"ITEM-1","itemData":{"DOI":"10.1093/hmg/ddu733","ISBN":"7135000900","ISSN":"14602083","abstract":"Accurate deleteriousness prediction for nonsynonymous variants is crucial for distinguishing pathogenic mutations from background polymorphisms in whole exome sequencing (WES) studies. Although many deleteriousness prediction methods have been developed, their prediction results are sometimes inconsistent with each other and their relative merits are still unclear in practical applications. To address these issues, we comprehensively evaluated the predictive performance of 18 current deleteriousness-scoring methods, including 11 function prediction scores (PolyPhen-2, SIFT, MutationTaster, Mutation Assessor, FATHMM, LRT, PANTHER, PhD-SNP, SNAP, SNPs&amp;GO and MutPred), 3 conservation scores (GERP++, SiPhy and PhyloP) and 4 ensemble scores (CADD, PON-P, KGGSeq and CONDEL). We found that FATHMM and KGGSeq had the highest discriminative poweramong independent scores and ensemble scores, respectively. Moreover, to ensure unbiased performance evaluation of these prediction scores, we manually collected three distinct testing datasets, on which no current prediction scores were tuned. In addition, we developed two new ensemble scores that integrate nine independent scores and allele frequency. Our scores achieved the highest discriminative power compared with all the deleteriousness prediction scores tested and showed low false-positive prediction rate for benign yet rare nonsynonymous variants, which demonstrated the value of combining information from multiple orthologous approaches. Finally, to facilitate variant prioritization in WES studies, we have pre-computed our ensemble scores for 87 347 044 possible variants in the whole-exome and made them publicly available through the ANNOVAR software and the dbNSFP database.","author":[{"dropping-particle":"","family":"Dong","given":"Chengliang","non-dropping-particle":"","parse-names":false,"suffix":""},{"dropping-particle":"","family":"Wei","given":"Peng","non-dropping-particle":"","parse-names":false,"suffix":""},{"dropping-particle":"","family":"Jian","given":"Xueqiu","non-dropping-particle":"","parse-names":false,"suffix":""},{"dropping-particle":"","family":"Gibbs","given":"Richard","non-dropping-particle":"","parse-names":false,"suffix":""},{"dropping-particle":"","family":"Boerwinkle","given":"Eric","non-dropping-particle":"","parse-names":false,"suffix":""},{"dropping-particle":"","family":"Wang","given":"Kai","non-dropping-particle":"","parse-names":false,"suffix":""},{"dropping-particle":"","family":"Liu","given":"Xiaoming","non-dropping-particle":"","parse-names":false,"suffix":""}],"container-title":"Human Molecular Genetics","id":"ITEM-1","issue":"8","issued":{"date-parts":[["2015"]]},"page":"2125-2137","title":"Comparison and integration of deleteriousness prediction methods for nonsynonymous SNVs in whole exome sequencing studies","type":"article-journal","volume":"24"},"uris":["http://www.mendeley.com/documents/?uuid=d52ceef3-ce83-4ba3-9f33-0fec33e8e83e"]}],"mendeley":{"formattedCitation":"&lt;sup&gt;12&lt;/sup&gt;","plainTextFormattedCitation":"12","previouslyFormattedCitation":"&lt;sup&gt;12&lt;/sup&gt;"},"properties":{"noteIndex":0},"schema":"https://github.com/citation-style-language/schema/raw/master/csl-citation.json"}</w:instrText>
      </w:r>
      <w:r w:rsidR="006412F6" w:rsidRPr="00701CB4">
        <w:rPr>
          <w:rFonts w:eastAsia="Arial"/>
        </w:rPr>
        <w:fldChar w:fldCharType="separate"/>
      </w:r>
      <w:r w:rsidRPr="00411566">
        <w:rPr>
          <w:rFonts w:eastAsia="Arial"/>
          <w:noProof/>
          <w:vertAlign w:val="superscript"/>
        </w:rPr>
        <w:t>12</w:t>
      </w:r>
      <w:r w:rsidR="006412F6" w:rsidRPr="00701CB4">
        <w:rPr>
          <w:rFonts w:eastAsia="Arial"/>
        </w:rPr>
        <w:fldChar w:fldCharType="end"/>
      </w:r>
      <w:r w:rsidR="002D13E5" w:rsidRPr="00701CB4">
        <w:rPr>
          <w:rFonts w:eastAsia="Times"/>
        </w:rPr>
        <w:t xml:space="preserve"> </w:t>
      </w:r>
      <w:r w:rsidR="00A7196A">
        <w:rPr>
          <w:rFonts w:eastAsia="Times"/>
        </w:rPr>
        <w:t>In this manner, w</w:t>
      </w:r>
      <w:r w:rsidR="002D13E5" w:rsidRPr="00701CB4">
        <w:rPr>
          <w:rFonts w:eastAsia="Times"/>
        </w:rPr>
        <w:t xml:space="preserve">e compiled </w:t>
      </w:r>
      <w:r w:rsidR="00A7196A">
        <w:rPr>
          <w:rFonts w:eastAsia="Times"/>
        </w:rPr>
        <w:t>a</w:t>
      </w:r>
      <w:r w:rsidR="00A7196A" w:rsidRPr="00701CB4">
        <w:rPr>
          <w:rFonts w:eastAsia="Times"/>
        </w:rPr>
        <w:t xml:space="preserve"> </w:t>
      </w:r>
      <w:r w:rsidR="002D13E5" w:rsidRPr="00701CB4">
        <w:rPr>
          <w:rFonts w:eastAsia="Times"/>
        </w:rPr>
        <w:t xml:space="preserve">list of </w:t>
      </w:r>
      <w:r w:rsidR="00F36E5E" w:rsidRPr="00701CB4">
        <w:rPr>
          <w:rFonts w:eastAsia="Times"/>
        </w:rPr>
        <w:t>clinically actionable</w:t>
      </w:r>
      <w:r w:rsidR="002D13E5" w:rsidRPr="00701CB4">
        <w:rPr>
          <w:rFonts w:eastAsia="Times"/>
        </w:rPr>
        <w:t xml:space="preserve"> </w:t>
      </w:r>
      <w:r w:rsidR="00BF25DB">
        <w:rPr>
          <w:rFonts w:eastAsia="Times"/>
        </w:rPr>
        <w:t>L</w:t>
      </w:r>
      <w:r w:rsidR="00A7196A">
        <w:rPr>
          <w:rFonts w:eastAsia="Times"/>
        </w:rPr>
        <w:t xml:space="preserve">P and KP </w:t>
      </w:r>
      <w:r w:rsidR="002D13E5" w:rsidRPr="00701CB4">
        <w:rPr>
          <w:rFonts w:eastAsia="Times"/>
          <w:i/>
        </w:rPr>
        <w:t>BRCA1</w:t>
      </w:r>
      <w:r w:rsidR="00F36E5E" w:rsidRPr="00701CB4">
        <w:rPr>
          <w:rFonts w:eastAsia="Times"/>
        </w:rPr>
        <w:t>/</w:t>
      </w:r>
      <w:r w:rsidR="00F36E5E" w:rsidRPr="00701CB4">
        <w:rPr>
          <w:rFonts w:eastAsia="Times"/>
          <w:i/>
        </w:rPr>
        <w:t>2</w:t>
      </w:r>
      <w:r w:rsidR="00F36E5E" w:rsidRPr="00701CB4">
        <w:rPr>
          <w:rFonts w:eastAsia="Times"/>
        </w:rPr>
        <w:t xml:space="preserve"> variants.</w:t>
      </w:r>
      <w:r w:rsidR="00CE5773">
        <w:rPr>
          <w:rFonts w:eastAsia="Times"/>
          <w:color w:val="FF0000"/>
        </w:rPr>
        <w:t xml:space="preserve"> </w:t>
      </w:r>
      <w:r w:rsidR="00F07620">
        <w:rPr>
          <w:rFonts w:eastAsia="Times"/>
        </w:rPr>
        <w:t>P</w:t>
      </w:r>
      <w:r w:rsidR="002D13E5" w:rsidRPr="00701CB4">
        <w:rPr>
          <w:rFonts w:eastAsia="Times"/>
        </w:rPr>
        <w:t>otentially important variants were identified,</w:t>
      </w:r>
      <w:r w:rsidR="00F07620">
        <w:rPr>
          <w:rFonts w:eastAsia="Times"/>
        </w:rPr>
        <w:t xml:space="preserve"> and</w:t>
      </w:r>
      <w:r w:rsidR="002D13E5" w:rsidRPr="00701CB4">
        <w:rPr>
          <w:rFonts w:eastAsia="Times"/>
        </w:rPr>
        <w:t xml:space="preserve"> manual</w:t>
      </w:r>
      <w:r w:rsidR="00F07620">
        <w:rPr>
          <w:rFonts w:eastAsia="Times"/>
        </w:rPr>
        <w:t>ly</w:t>
      </w:r>
      <w:r w:rsidR="002D13E5" w:rsidRPr="00701CB4">
        <w:rPr>
          <w:rFonts w:eastAsia="Times"/>
        </w:rPr>
        <w:t xml:space="preserve"> </w:t>
      </w:r>
      <w:r w:rsidR="00F07620" w:rsidRPr="00701CB4">
        <w:rPr>
          <w:rFonts w:eastAsia="Times"/>
        </w:rPr>
        <w:t>assess</w:t>
      </w:r>
      <w:r w:rsidR="00F07620">
        <w:rPr>
          <w:rFonts w:eastAsia="Times"/>
        </w:rPr>
        <w:t>ed</w:t>
      </w:r>
      <w:r w:rsidR="002D13E5" w:rsidRPr="00701CB4">
        <w:rPr>
          <w:rFonts w:eastAsia="Times"/>
        </w:rPr>
        <w:t>.</w:t>
      </w:r>
      <w:r>
        <w:rPr>
          <w:rFonts w:eastAsia="Times"/>
        </w:rPr>
        <w:fldChar w:fldCharType="begin" w:fldLock="1"/>
      </w:r>
      <w:r w:rsidR="001917D8">
        <w:rPr>
          <w:rFonts w:eastAsia="Times"/>
        </w:rPr>
        <w:instrText>ADDIN CSL_CITATION {"citationItems":[{"id":"ITEM-1","itemData":{"DOI":"10.1002/humu.23348","ISSN":"10981004","abstract":"The Human Genome Variation Society (HGVS) variant nomenclature is widely used to describe sequence variants in scientific publications, clinical reports, and databases. However, the HGVS recommendations are complex and this often results in inaccurate variant descriptions being reported. The open-source hgvs Python package (https://github.com/biocommons/hgvs) provides a programmatic interface for parsing, manipulating, formatting, and validating of variants according to the HGVS recommendations, but does not provide a user-friendly Web interface. We have developed a Web-based variant validation tool, VariantValidator (https://variantvalidator.org/), which utilizes the hgvs Python package and provides additional functionality to assist users who wish to accurately describe and report sequence-level variations that are compliant with the HGVS recommendations. VariantValidator was designed to ensure that users are guided through the intricacies of the HGVS nomenclature, for example, if the user makes a mistake, VariantValidator automatically corrects the mistake if it can, or provides helpful guidance if it cannot. In addition, VariantValidator has the facility to interconvert genomic variant descriptions in HGVS and Variant Call Format with a degree of accuracy that surpasses most competing solutions.","author":[{"dropping-particle":"","family":"Freeman","given":"Peter J.","non-dropping-particle":"","parse-names":false,"suffix":""},{"dropping-particle":"","family":"Hart","given":"Reece K.","non-dropping-particle":"","parse-names":false,"suffix":""},{"dropping-particle":"","family":"Gretton","given":"Liam J.","non-dropping-particle":"","parse-names":false,"suffix":""},{"dropping-particle":"","family":"Brookes","given":"Anthony J.","non-dropping-particle":"","parse-names":false,"suffix":""},{"dropping-particle":"","family":"Dalgleish","given":"Raymond","non-dropping-particle":"","parse-names":false,"suffix":""}],"container-title":"Human Mutation","id":"ITEM-1","issue":"1","issued":{"date-parts":[["2018"]]},"page":"61-68","title":"VariantValidator: Accurate validation, mapping, and formatting of sequence variation descriptions","type":"article-journal","volume":"39"},"uris":["http://www.mendeley.com/documents/?uuid=fa6deb9e-9196-4ac6-b521-29f5ab28312a"]}],"mendeley":{"formattedCitation":"&lt;sup&gt;13&lt;/sup&gt;","plainTextFormattedCitation":"13"},"properties":{"noteIndex":0},"schema":"https://github.com/citation-style-language/schema/raw/master/csl-citation.json"}</w:instrText>
      </w:r>
      <w:r>
        <w:rPr>
          <w:rFonts w:eastAsia="Times"/>
        </w:rPr>
        <w:fldChar w:fldCharType="separate"/>
      </w:r>
      <w:r w:rsidR="001917D8" w:rsidRPr="001917D8">
        <w:rPr>
          <w:rFonts w:eastAsia="Times"/>
          <w:noProof/>
          <w:vertAlign w:val="superscript"/>
        </w:rPr>
        <w:t>13</w:t>
      </w:r>
      <w:r>
        <w:rPr>
          <w:rFonts w:eastAsia="Times"/>
        </w:rPr>
        <w:fldChar w:fldCharType="end"/>
      </w:r>
      <w:r w:rsidR="002D13E5" w:rsidRPr="00701CB4">
        <w:rPr>
          <w:rFonts w:eastAsia="Times"/>
        </w:rPr>
        <w:t xml:space="preserve"> </w:t>
      </w:r>
      <w:r w:rsidR="00F07620">
        <w:rPr>
          <w:rFonts w:eastAsia="Times"/>
        </w:rPr>
        <w:t xml:space="preserve">They were classified as </w:t>
      </w:r>
      <w:r w:rsidR="002D13E5" w:rsidRPr="00701CB4">
        <w:rPr>
          <w:rFonts w:eastAsia="Times"/>
        </w:rPr>
        <w:t xml:space="preserve">pathogenic, likely pathogenic, </w:t>
      </w:r>
      <w:r w:rsidR="00F07620">
        <w:rPr>
          <w:rFonts w:eastAsia="Times"/>
        </w:rPr>
        <w:t xml:space="preserve">of </w:t>
      </w:r>
      <w:r w:rsidR="002D13E5" w:rsidRPr="00701CB4">
        <w:rPr>
          <w:rFonts w:eastAsia="Times"/>
        </w:rPr>
        <w:t xml:space="preserve">uncertain significance, likely benign, </w:t>
      </w:r>
      <w:r w:rsidR="00F07620">
        <w:rPr>
          <w:rFonts w:eastAsia="Times"/>
        </w:rPr>
        <w:t xml:space="preserve">and </w:t>
      </w:r>
      <w:r w:rsidR="002D13E5" w:rsidRPr="00701CB4">
        <w:rPr>
          <w:rFonts w:eastAsia="Times"/>
        </w:rPr>
        <w:t>benign</w:t>
      </w:r>
      <w:r w:rsidR="00701CB4">
        <w:rPr>
          <w:rFonts w:eastAsia="Times"/>
        </w:rPr>
        <w:t>.</w:t>
      </w:r>
      <w:r w:rsidR="00382205" w:rsidRPr="00701CB4">
        <w:rPr>
          <w:rFonts w:eastAsia="Times"/>
        </w:rPr>
        <w:fldChar w:fldCharType="begin" w:fldLock="1"/>
      </w:r>
      <w:r w:rsidR="001917D8">
        <w:rPr>
          <w:rFonts w:eastAsia="Times"/>
        </w:rPr>
        <w:instrText>ADDIN CSL_CITATION {"citationItems":[{"id":"ITEM-1","itemData":{"DOI":"10.1038/gim.2015.30","ISSN":"15300366","abstract":"The American College of Medical Genetics and Genomics (ACMG) previously developed guidance for the interpretation of sequence variants.(1) In the past decade, sequencing technology has evolved rapidly with the advent of high-throughput next-generation sequencing. By adopting and leveraging next-generation sequencing, clinical laboratories are now performing an ever-increasing catalogue of genetic testing spanning genotyping, single genes, gene panels, exomes, genomes, transcriptomes, and epigenetic assays for genetic disorders. By virtue of increased complexity, this shift in genetic testing has been accompanied by new challenges in sequence interpretation. In this context the ACMG convened a workgroup in 2013 comprising representatives from the ACMG, the Association for Molecular Pathology (AMP), and the College of American Pathologists to revisit and revise the standards and guidelines for the interpretation of sequence variants. The group consisted of clinical laboratory directors and clinicians. This report represents expert opinion of the workgroup with input from ACMG, AMP, and College of American Pathologists stakeholders. These recommendations primarily apply to the breadth of genetic tests used in clinical laboratories, including genotyping, single genes, panels, exomes, and genomes. This report recommends the use of specific standard terminology-\"pathogenic,\" \"likely pathogenic,\" \"uncertain significance,\" \"likely benign,\" and \"benign\"-to describe variants identified in genes that cause Mendelian disorders. Moreover, this recommendation describes a process for classifying variants into these five categories based on criteria using typical types of variant evidence (e.g., population data, computational data, functional data, segregation data). Because of the increased complexity of analysis and interpretation of clinical genetic testing described in this report, the ACMG strongly recommends that clinical molecular genetic testing should be performed in a Clinical Laboratory Improvement Amendments-approved laboratory, with results interpreted by a board-certified clinical molecular geneticist or molecular genetic pathologist or the equivalent.","author":[{"dropping-particle":"","family":"Richards","given":"Sue","non-dropping-particle":"","parse-names":false,"suffix":""},{"dropping-particle":"","family":"Aziz","given":"Nazneen","non-dropping-particle":"","parse-names":false,"suffix":""},{"dropping-particle":"","family":"Bale","given":"Sherri","non-dropping-particle":"","parse-names":false,"suffix":""},{"dropping-particle":"","family":"Bick","given":"David","non-dropping-particle":"","parse-names":false,"suffix":""},{"dropping-particle":"","family":"Das","given":"Soma","non-dropping-particle":"","parse-names":false,"suffix":""},{"dropping-particle":"","family":"Gastier-Foster","given":"Julie","non-dropping-particle":"","parse-names":false,"suffix":""},{"dropping-particle":"","family":"Grody","given":"Wayne W.","non-dropping-particle":"","parse-names":false,"suffix":""},{"dropping-particle":"","family":"Hegde","given":"Madhuri","non-dropping-particle":"","parse-names":false,"suffix":""},{"dropping-particle":"","family":"Lyon","given":"Elaine","non-dropping-particle":"","parse-names":false,"suffix":""},{"dropping-particle":"","family":"Spector","given":"Elaine","non-dropping-particle":"","parse-names":false,"suffix":""},{"dropping-particle":"","family":"Voelkerding","given":"Karl","non-dropping-particle":"","parse-names":false,"suffix":""},{"dropping-particle":"","family":"Rehm","given":"Heidi L.","non-dropping-particle":"","parse-names":false,"suffix":""}],"container-title":"Genetics in Medicine","id":"ITEM-1","issue":"5","issued":{"date-parts":[["2015"]]},"page":"405-424","publisher":"IOP Publishing","title":"Standards and guidelines for the interpretation of sequence variants: A joint consensus recommendation of the American College of Medical Genetics and Genomics and the Association for Molecular Pathology","type":"article-journal","volume":"17"},"uris":["http://www.mendeley.com/documents/?uuid=95950908-3d47-4c13-ad31-f1b608afa2ce"]}],"mendeley":{"formattedCitation":"&lt;sup&gt;14&lt;/sup&gt;","plainTextFormattedCitation":"14","previouslyFormattedCitation":"&lt;sup&gt;13&lt;/sup&gt;"},"properties":{"noteIndex":0},"schema":"https://github.com/citation-style-language/schema/raw/master/csl-citation.json"}</w:instrText>
      </w:r>
      <w:r w:rsidR="00382205" w:rsidRPr="00701CB4">
        <w:rPr>
          <w:rFonts w:eastAsia="Times"/>
        </w:rPr>
        <w:fldChar w:fldCharType="separate"/>
      </w:r>
      <w:r w:rsidR="001917D8" w:rsidRPr="001917D8">
        <w:rPr>
          <w:rFonts w:eastAsia="Times"/>
          <w:noProof/>
          <w:vertAlign w:val="superscript"/>
        </w:rPr>
        <w:t>14</w:t>
      </w:r>
      <w:r w:rsidR="00382205" w:rsidRPr="00701CB4">
        <w:rPr>
          <w:rFonts w:eastAsia="Times"/>
        </w:rPr>
        <w:fldChar w:fldCharType="end"/>
      </w:r>
      <w:r w:rsidR="002D13E5" w:rsidRPr="00701CB4">
        <w:rPr>
          <w:rFonts w:eastAsia="Times"/>
        </w:rPr>
        <w:t xml:space="preserve"> Selected candidate variants were confirmed by conventional PCR amplification and Sanger sequencing.</w:t>
      </w:r>
    </w:p>
    <w:p w14:paraId="4CCE3828" w14:textId="77777777" w:rsidR="00B13C58" w:rsidRPr="00701CB4" w:rsidRDefault="00B13C58" w:rsidP="00701CB4">
      <w:pPr>
        <w:spacing w:line="480" w:lineRule="auto"/>
        <w:rPr>
          <w:rFonts w:eastAsia="Times"/>
        </w:rPr>
      </w:pPr>
      <w:r w:rsidRPr="00701CB4">
        <w:rPr>
          <w:rFonts w:eastAsia="Times"/>
        </w:rPr>
        <w:br w:type="page"/>
      </w:r>
    </w:p>
    <w:p w14:paraId="0104413C" w14:textId="6B2D882E" w:rsidR="005C0D3A" w:rsidRPr="00701CB4" w:rsidRDefault="00B13C58" w:rsidP="00701CB4">
      <w:pPr>
        <w:widowControl w:val="0"/>
        <w:spacing w:line="480" w:lineRule="auto"/>
        <w:jc w:val="both"/>
        <w:rPr>
          <w:rFonts w:eastAsia="Times"/>
        </w:rPr>
      </w:pPr>
      <w:r w:rsidRPr="00701CB4">
        <w:rPr>
          <w:rFonts w:eastAsia="Times"/>
        </w:rPr>
        <w:lastRenderedPageBreak/>
        <w:t>References</w:t>
      </w:r>
    </w:p>
    <w:p w14:paraId="6C8D3FBD" w14:textId="2978A6DE" w:rsidR="001917D8" w:rsidRPr="001917D8" w:rsidRDefault="00135F1E" w:rsidP="001917D8">
      <w:pPr>
        <w:widowControl w:val="0"/>
        <w:autoSpaceDE w:val="0"/>
        <w:autoSpaceDN w:val="0"/>
        <w:adjustRightInd w:val="0"/>
        <w:spacing w:line="480" w:lineRule="auto"/>
        <w:ind w:left="640" w:hanging="640"/>
        <w:rPr>
          <w:noProof/>
        </w:rPr>
      </w:pPr>
      <w:r w:rsidRPr="00701CB4">
        <w:fldChar w:fldCharType="begin" w:fldLock="1"/>
      </w:r>
      <w:r w:rsidRPr="00701CB4">
        <w:instrText xml:space="preserve">ADDIN Mendeley Bibliography CSL_BIBLIOGRAPHY </w:instrText>
      </w:r>
      <w:r w:rsidRPr="00701CB4">
        <w:fldChar w:fldCharType="separate"/>
      </w:r>
      <w:r w:rsidR="001917D8" w:rsidRPr="001917D8">
        <w:rPr>
          <w:noProof/>
        </w:rPr>
        <w:t xml:space="preserve">1. </w:t>
      </w:r>
      <w:r w:rsidR="001917D8" w:rsidRPr="001917D8">
        <w:rPr>
          <w:noProof/>
        </w:rPr>
        <w:tab/>
        <w:t xml:space="preserve">Chang CC, Chow CC, Tellier LC, Vattikuti S, Purcell S and, Lee JJ. Second-generation PLINK: rising to the challenge of larger and richer datasets. </w:t>
      </w:r>
      <w:r w:rsidR="001917D8" w:rsidRPr="001917D8">
        <w:rPr>
          <w:i/>
          <w:iCs/>
          <w:noProof/>
        </w:rPr>
        <w:t>Am J Hum Genet</w:t>
      </w:r>
      <w:r w:rsidR="001917D8" w:rsidRPr="001917D8">
        <w:rPr>
          <w:noProof/>
        </w:rPr>
        <w:t>. 2015;4(7). doi:10.1186/s13742-015-0047-8</w:t>
      </w:r>
    </w:p>
    <w:p w14:paraId="01D317AC"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2. </w:t>
      </w:r>
      <w:r w:rsidRPr="001917D8">
        <w:rPr>
          <w:noProof/>
        </w:rPr>
        <w:tab/>
        <w:t xml:space="preserve">McKenna A, Hanna M, Banks E, et al. The Genome Analysis Toolkit: A MapReduce framework for analyzing next-generation DNA sequencing data. </w:t>
      </w:r>
      <w:r w:rsidRPr="001917D8">
        <w:rPr>
          <w:i/>
          <w:iCs/>
          <w:noProof/>
        </w:rPr>
        <w:t>Genome Res</w:t>
      </w:r>
      <w:r w:rsidRPr="001917D8">
        <w:rPr>
          <w:noProof/>
        </w:rPr>
        <w:t>. 2010;20(9):1297-1303. doi:10.1101/gr.107524.110</w:t>
      </w:r>
    </w:p>
    <w:p w14:paraId="1A3FC514"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3. </w:t>
      </w:r>
      <w:r w:rsidRPr="001917D8">
        <w:rPr>
          <w:noProof/>
        </w:rPr>
        <w:tab/>
        <w:t xml:space="preserve">McLaren W, Gil L, Hunt SE, et al. The Ensembl Variant Effect Predictor. </w:t>
      </w:r>
      <w:r w:rsidRPr="001917D8">
        <w:rPr>
          <w:i/>
          <w:iCs/>
          <w:noProof/>
        </w:rPr>
        <w:t>Genome Biol</w:t>
      </w:r>
      <w:r w:rsidRPr="001917D8">
        <w:rPr>
          <w:noProof/>
        </w:rPr>
        <w:t>. 2016;17(1):1-14. doi:10.1186/s13059-016-0974-4</w:t>
      </w:r>
    </w:p>
    <w:p w14:paraId="1B784E76"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4. </w:t>
      </w:r>
      <w:r w:rsidRPr="001917D8">
        <w:rPr>
          <w:noProof/>
        </w:rPr>
        <w:tab/>
        <w:t xml:space="preserve">Yang H, Wang K. Genomic variant annotation and prioritization with ANNOVAR and wANNOVAR. </w:t>
      </w:r>
      <w:r w:rsidRPr="001917D8">
        <w:rPr>
          <w:i/>
          <w:iCs/>
          <w:noProof/>
        </w:rPr>
        <w:t>Nat Protoc</w:t>
      </w:r>
      <w:r w:rsidRPr="001917D8">
        <w:rPr>
          <w:noProof/>
        </w:rPr>
        <w:t>. 2015;10(10):1556-1566. doi:10.1038/nprot.2015.105</w:t>
      </w:r>
    </w:p>
    <w:p w14:paraId="7166C634"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5. </w:t>
      </w:r>
      <w:r w:rsidRPr="001917D8">
        <w:rPr>
          <w:noProof/>
        </w:rPr>
        <w:tab/>
        <w:t xml:space="preserve">Vaser R, Adusumalli S, Leng SN, Sikic M, Ng PC. SIFT missense predictions for genomes. </w:t>
      </w:r>
      <w:r w:rsidRPr="001917D8">
        <w:rPr>
          <w:i/>
          <w:iCs/>
          <w:noProof/>
        </w:rPr>
        <w:t>Nat Protoc</w:t>
      </w:r>
      <w:r w:rsidRPr="001917D8">
        <w:rPr>
          <w:noProof/>
        </w:rPr>
        <w:t>. 2016;11:1-9. doi:doi:10.1038/nprot.2015.123</w:t>
      </w:r>
    </w:p>
    <w:p w14:paraId="0ECEA1B8"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6. </w:t>
      </w:r>
      <w:r w:rsidRPr="001917D8">
        <w:rPr>
          <w:noProof/>
        </w:rPr>
        <w:tab/>
        <w:t xml:space="preserve">Adzhubei IA, Schmidt S, Peshkin L, et al. A method and server for predicting damaging missense mutations. </w:t>
      </w:r>
      <w:r w:rsidRPr="001917D8">
        <w:rPr>
          <w:i/>
          <w:iCs/>
          <w:noProof/>
        </w:rPr>
        <w:t>Nat Methods</w:t>
      </w:r>
      <w:r w:rsidRPr="001917D8">
        <w:rPr>
          <w:noProof/>
        </w:rPr>
        <w:t>. 2010;7(4):248-249. doi:10.1038/nmeth0410-248</w:t>
      </w:r>
    </w:p>
    <w:p w14:paraId="281EC7D1"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7. </w:t>
      </w:r>
      <w:r w:rsidRPr="001917D8">
        <w:rPr>
          <w:noProof/>
        </w:rPr>
        <w:tab/>
        <w:t xml:space="preserve">Kircher M, Witten DM, Jain P, O’roak BJ, Cooper GM, Shendure J. A general framework for estimating the relative pathogenicity of human genetic variants. </w:t>
      </w:r>
      <w:r w:rsidRPr="001917D8">
        <w:rPr>
          <w:i/>
          <w:iCs/>
          <w:noProof/>
        </w:rPr>
        <w:t>Nat Genet</w:t>
      </w:r>
      <w:r w:rsidRPr="001917D8">
        <w:rPr>
          <w:noProof/>
        </w:rPr>
        <w:t>. 2014;46(3):310-315. doi:10.1038/ng.2892</w:t>
      </w:r>
    </w:p>
    <w:p w14:paraId="3FE46AB4"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8. </w:t>
      </w:r>
      <w:r w:rsidRPr="001917D8">
        <w:rPr>
          <w:noProof/>
        </w:rPr>
        <w:tab/>
        <w:t xml:space="preserve">Cooper GM, Stone EA, Asimenos G, Green ED, Batzoglou S, Sidow A. Distribution and intensity of constraint in mammalian genomic sequence. </w:t>
      </w:r>
      <w:r w:rsidRPr="001917D8">
        <w:rPr>
          <w:i/>
          <w:iCs/>
          <w:noProof/>
        </w:rPr>
        <w:t>Genome Res</w:t>
      </w:r>
      <w:r w:rsidRPr="001917D8">
        <w:rPr>
          <w:noProof/>
        </w:rPr>
        <w:t>. 2005;15(7):901-913. doi:10.1101/gr.3577405</w:t>
      </w:r>
    </w:p>
    <w:p w14:paraId="38DE43B2"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9. </w:t>
      </w:r>
      <w:r w:rsidRPr="001917D8">
        <w:rPr>
          <w:noProof/>
        </w:rPr>
        <w:tab/>
        <w:t xml:space="preserve">Schwarz JM, Cooper DN, Schuelke M, Seelow D. Mutationtaster2: Mutation prediction for the deep-sequencing age. </w:t>
      </w:r>
      <w:r w:rsidRPr="001917D8">
        <w:rPr>
          <w:i/>
          <w:iCs/>
          <w:noProof/>
        </w:rPr>
        <w:t>Nat Methods</w:t>
      </w:r>
      <w:r w:rsidRPr="001917D8">
        <w:rPr>
          <w:noProof/>
        </w:rPr>
        <w:t>. 2014;11(4):361-362. doi:10.1038/nmeth.2890</w:t>
      </w:r>
    </w:p>
    <w:p w14:paraId="41D7E85E"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lastRenderedPageBreak/>
        <w:t xml:space="preserve">10. </w:t>
      </w:r>
      <w:r w:rsidRPr="001917D8">
        <w:rPr>
          <w:noProof/>
        </w:rPr>
        <w:tab/>
        <w:t>Reva B, Antipin Y, Sander C. Predicting the functional impact of protein mutations : application to cancer genomics. 2011;39(17):37-43. doi:10.1093/nar/gkr407</w:t>
      </w:r>
    </w:p>
    <w:p w14:paraId="12FA3CC9"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11. </w:t>
      </w:r>
      <w:r w:rsidRPr="001917D8">
        <w:rPr>
          <w:noProof/>
        </w:rPr>
        <w:tab/>
        <w:t>Choi Y, Chan AP. PROVEAN web server : a tool to predict the functional effect of amino acid substitutions and indels. 2015;31(16):2745-2747. doi:10.1093/bioinformatics/btv195</w:t>
      </w:r>
    </w:p>
    <w:p w14:paraId="24FAAE4F"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12. </w:t>
      </w:r>
      <w:r w:rsidRPr="001917D8">
        <w:rPr>
          <w:noProof/>
        </w:rPr>
        <w:tab/>
        <w:t xml:space="preserve">Dong C, Wei P, Jian X, et al. Comparison and integration of deleteriousness prediction methods for nonsynonymous SNVs in whole exome sequencing studies. </w:t>
      </w:r>
      <w:r w:rsidRPr="001917D8">
        <w:rPr>
          <w:i/>
          <w:iCs/>
          <w:noProof/>
        </w:rPr>
        <w:t>Hum Mol Genet</w:t>
      </w:r>
      <w:r w:rsidRPr="001917D8">
        <w:rPr>
          <w:noProof/>
        </w:rPr>
        <w:t>. 2015;24(8):2125-2137. doi:10.1093/hmg/ddu733</w:t>
      </w:r>
    </w:p>
    <w:p w14:paraId="3FFDC485"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13. </w:t>
      </w:r>
      <w:r w:rsidRPr="001917D8">
        <w:rPr>
          <w:noProof/>
        </w:rPr>
        <w:tab/>
        <w:t xml:space="preserve">Freeman PJ, Hart RK, Gretton LJ, Brookes AJ, Dalgleish R. VariantValidator: Accurate validation, mapping, and formatting of sequence variation descriptions. </w:t>
      </w:r>
      <w:r w:rsidRPr="001917D8">
        <w:rPr>
          <w:i/>
          <w:iCs/>
          <w:noProof/>
        </w:rPr>
        <w:t>Hum Mutat</w:t>
      </w:r>
      <w:r w:rsidRPr="001917D8">
        <w:rPr>
          <w:noProof/>
        </w:rPr>
        <w:t>. 2018;39(1):61-68. doi:10.1002/humu.23348</w:t>
      </w:r>
    </w:p>
    <w:p w14:paraId="05690886" w14:textId="77777777" w:rsidR="001917D8" w:rsidRPr="001917D8" w:rsidRDefault="001917D8" w:rsidP="001917D8">
      <w:pPr>
        <w:widowControl w:val="0"/>
        <w:autoSpaceDE w:val="0"/>
        <w:autoSpaceDN w:val="0"/>
        <w:adjustRightInd w:val="0"/>
        <w:spacing w:line="480" w:lineRule="auto"/>
        <w:ind w:left="640" w:hanging="640"/>
        <w:rPr>
          <w:noProof/>
        </w:rPr>
      </w:pPr>
      <w:r w:rsidRPr="001917D8">
        <w:rPr>
          <w:noProof/>
        </w:rPr>
        <w:t xml:space="preserve">14. </w:t>
      </w:r>
      <w:r w:rsidRPr="001917D8">
        <w:rPr>
          <w:noProof/>
        </w:rPr>
        <w:tab/>
        <w:t xml:space="preserve">Richards S, Aziz N, Bale S, et al. Standards and guidelines for the interpretation of sequence variants: A joint consensus recommendation of the American College of Medical Genetics and Genomics and the Association for Molecular Pathology. </w:t>
      </w:r>
      <w:r w:rsidRPr="001917D8">
        <w:rPr>
          <w:i/>
          <w:iCs/>
          <w:noProof/>
        </w:rPr>
        <w:t>Genet Med</w:t>
      </w:r>
      <w:r w:rsidRPr="001917D8">
        <w:rPr>
          <w:noProof/>
        </w:rPr>
        <w:t>. 2015;17(5):405-424. doi:10.1038/gim.2015.30</w:t>
      </w:r>
    </w:p>
    <w:p w14:paraId="0C26BF22" w14:textId="69B1DB66" w:rsidR="00496884" w:rsidRPr="00701CB4" w:rsidRDefault="00135F1E" w:rsidP="00701CB4">
      <w:pPr>
        <w:spacing w:line="480" w:lineRule="auto"/>
      </w:pPr>
      <w:r w:rsidRPr="00701CB4">
        <w:fldChar w:fldCharType="end"/>
      </w:r>
    </w:p>
    <w:sectPr w:rsidR="00496884" w:rsidRPr="00701CB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CC410" w16cid:durableId="2215E8FA"/>
  <w16cid:commentId w16cid:paraId="08F7936B" w16cid:durableId="2215F06F"/>
  <w16cid:commentId w16cid:paraId="79FB5987" w16cid:durableId="2215F1F9"/>
  <w16cid:commentId w16cid:paraId="26E38B0C" w16cid:durableId="2215F29E"/>
  <w16cid:commentId w16cid:paraId="375CA2B9" w16cid:durableId="2215F32A"/>
  <w16cid:commentId w16cid:paraId="5DD5456D" w16cid:durableId="220E1863"/>
  <w16cid:commentId w16cid:paraId="57D3297C" w16cid:durableId="2215F45B"/>
  <w16cid:commentId w16cid:paraId="7261FF37" w16cid:durableId="220E1864"/>
  <w16cid:commentId w16cid:paraId="092BE0E1" w16cid:durableId="2215F4C3"/>
  <w16cid:commentId w16cid:paraId="2C4EB0B4" w16cid:durableId="2215F502"/>
  <w16cid:commentId w16cid:paraId="08E7426F" w16cid:durableId="2215F5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E5"/>
    <w:rsid w:val="000E4645"/>
    <w:rsid w:val="00135F1E"/>
    <w:rsid w:val="00156138"/>
    <w:rsid w:val="001917D8"/>
    <w:rsid w:val="001E1344"/>
    <w:rsid w:val="002D13E5"/>
    <w:rsid w:val="00382205"/>
    <w:rsid w:val="00411566"/>
    <w:rsid w:val="0041567E"/>
    <w:rsid w:val="004811F8"/>
    <w:rsid w:val="00496884"/>
    <w:rsid w:val="004B163D"/>
    <w:rsid w:val="00515CD8"/>
    <w:rsid w:val="005C0D3A"/>
    <w:rsid w:val="006412F6"/>
    <w:rsid w:val="00656254"/>
    <w:rsid w:val="00656C7C"/>
    <w:rsid w:val="006B1F9E"/>
    <w:rsid w:val="006D1D86"/>
    <w:rsid w:val="00701CB4"/>
    <w:rsid w:val="007263C4"/>
    <w:rsid w:val="008714EC"/>
    <w:rsid w:val="00A5330C"/>
    <w:rsid w:val="00A7196A"/>
    <w:rsid w:val="00AC138C"/>
    <w:rsid w:val="00B13C58"/>
    <w:rsid w:val="00BC7257"/>
    <w:rsid w:val="00BF25DB"/>
    <w:rsid w:val="00CE5773"/>
    <w:rsid w:val="00D248D4"/>
    <w:rsid w:val="00D528E0"/>
    <w:rsid w:val="00D57683"/>
    <w:rsid w:val="00D84985"/>
    <w:rsid w:val="00DB4EF2"/>
    <w:rsid w:val="00DD7D45"/>
    <w:rsid w:val="00DF124F"/>
    <w:rsid w:val="00E37683"/>
    <w:rsid w:val="00E73A4D"/>
    <w:rsid w:val="00ED48FC"/>
    <w:rsid w:val="00F07620"/>
    <w:rsid w:val="00F3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1BEF"/>
  <w15:chartTrackingRefBased/>
  <w15:docId w15:val="{A8DCA8D8-7D96-4E74-9075-68F2967F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3E5"/>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E5"/>
    <w:rPr>
      <w:rFonts w:ascii="Segoe UI" w:eastAsia="Times New Roman" w:hAnsi="Segoe UI" w:cs="Segoe UI"/>
      <w:sz w:val="18"/>
      <w:szCs w:val="18"/>
      <w:lang w:val="en-US"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99"/>
    <w:unhideWhenUsed/>
    <w:rsid w:val="00382205"/>
    <w:pPr>
      <w:widowControl w:val="0"/>
      <w:spacing w:after="240" w:line="360" w:lineRule="auto"/>
      <w:jc w:val="both"/>
    </w:pPr>
    <w:rPr>
      <w:rFonts w:eastAsia="Times"/>
    </w:rPr>
  </w:style>
  <w:style w:type="character" w:customStyle="1" w:styleId="BodyTextChar">
    <w:name w:val="Body Text Char"/>
    <w:basedOn w:val="DefaultParagraphFont"/>
    <w:link w:val="BodyText"/>
    <w:uiPriority w:val="99"/>
    <w:rsid w:val="00382205"/>
    <w:rPr>
      <w:rFonts w:ascii="Times New Roman" w:eastAsia="Times" w:hAnsi="Times New Roman" w:cs="Times New Roman"/>
      <w:sz w:val="24"/>
      <w:szCs w:val="24"/>
      <w:lang w:val="en-US" w:eastAsia="en-GB"/>
    </w:rPr>
  </w:style>
  <w:style w:type="character" w:styleId="Hyperlink">
    <w:name w:val="Hyperlink"/>
    <w:basedOn w:val="DefaultParagraphFont"/>
    <w:uiPriority w:val="99"/>
    <w:semiHidden/>
    <w:unhideWhenUsed/>
    <w:rsid w:val="00BC7257"/>
    <w:rPr>
      <w:color w:val="0000FF"/>
      <w:u w:val="single"/>
    </w:rPr>
  </w:style>
  <w:style w:type="paragraph" w:styleId="CommentSubject">
    <w:name w:val="annotation subject"/>
    <w:basedOn w:val="CommentText"/>
    <w:next w:val="CommentText"/>
    <w:link w:val="CommentSubjectChar"/>
    <w:uiPriority w:val="99"/>
    <w:semiHidden/>
    <w:unhideWhenUsed/>
    <w:rsid w:val="00D528E0"/>
    <w:rPr>
      <w:b/>
      <w:bCs/>
    </w:rPr>
  </w:style>
  <w:style w:type="character" w:customStyle="1" w:styleId="CommentSubjectChar">
    <w:name w:val="Comment Subject Char"/>
    <w:basedOn w:val="CommentTextChar"/>
    <w:link w:val="CommentSubject"/>
    <w:uiPriority w:val="99"/>
    <w:semiHidden/>
    <w:rsid w:val="00D528E0"/>
    <w:rPr>
      <w:rFonts w:ascii="Times New Roman" w:eastAsia="Times New Roman" w:hAnsi="Times New Roman" w:cs="Times New Roman"/>
      <w:b/>
      <w:bCs/>
      <w:sz w:val="20"/>
      <w:szCs w:val="20"/>
      <w:lang w:val="en-US" w:eastAsia="en-GB"/>
    </w:rPr>
  </w:style>
  <w:style w:type="character" w:styleId="Strong">
    <w:name w:val="Strong"/>
    <w:basedOn w:val="DefaultParagraphFont"/>
    <w:uiPriority w:val="22"/>
    <w:qFormat/>
    <w:rsid w:val="00D528E0"/>
    <w:rPr>
      <w:b/>
      <w:bCs/>
    </w:rPr>
  </w:style>
  <w:style w:type="character" w:customStyle="1" w:styleId="st">
    <w:name w:val="st"/>
    <w:basedOn w:val="DefaultParagraphFont"/>
    <w:rsid w:val="00A7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B642-7946-4095-9AAE-6C83DAEA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6915</Words>
  <Characters>39421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 Palover</dc:creator>
  <cp:keywords/>
  <dc:description/>
  <cp:lastModifiedBy>Marili Palover</cp:lastModifiedBy>
  <cp:revision>2</cp:revision>
  <dcterms:created xsi:type="dcterms:W3CDTF">2020-04-21T10:59:00Z</dcterms:created>
  <dcterms:modified xsi:type="dcterms:W3CDTF">2020-04-21T10:59:00Z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http://www.zotero.org/styles/genetics-in-medicine</vt:lpwstr>
  </property>
  <property fmtid="{D5CDD505-2E9C-101B-9397-08002B2CF9AE}" pid="13" name="Mendeley Recent Style Name 5_1">
    <vt:lpwstr>Genetics in Medicine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24313ab6-3eff-3208-b676-a5aa0bdca036</vt:lpwstr>
  </property>
  <property fmtid="{D5CDD505-2E9C-101B-9397-08002B2CF9AE}" pid="24" name="Mendeley Citation Style_1">
    <vt:lpwstr>http://www.zotero.org/styles/genetics-in-medicine</vt:lpwstr>
  </property>
</Properties>
</file>