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</w:pPr>
    </w:p>
    <w:p>
      <w:pPr>
        <w:pStyle w:val="Normal.0"/>
        <w:spacing w:after="0"/>
        <w:jc w:val="center"/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</w:rPr>
      </w:pPr>
      <w:r>
        <w:rPr>
          <w:b w:val="1"/>
          <w:bCs w:val="1"/>
          <w:rtl w:val="0"/>
          <w:lang w:val="en-US"/>
        </w:rPr>
        <w:t>MOOSE Statement - Reporting Guidelines Checklist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after="0"/>
        <w:rPr>
          <w:rFonts w:ascii="Helvetica" w:cs="Helvetica" w:hAnsi="Helvetica" w:eastAsia="Helvetica"/>
          <w:sz w:val="16"/>
          <w:szCs w:val="16"/>
        </w:rPr>
      </w:pPr>
    </w:p>
    <w:tbl>
      <w:tblPr>
        <w:tblW w:w="8630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95"/>
        <w:gridCol w:w="2218"/>
        <w:gridCol w:w="2217"/>
      </w:tblGrid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Reporting Criteria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Reported (Yes/No)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Reported on Page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Reporting of Background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   Problem definition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   Hypothesis statement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   Description of Study Outcome(s)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   Type of exposure or intervention used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   Type of study design used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   Study population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Reporting of Search Strategy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Qualifications of searchers (eg, librarians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and investigators)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Search strategy, including time period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included in the synthesis and keywords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3,4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Effort to include all available studies,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including contact with authors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   Databases and registries searched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Search software used, name and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version, including special features used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(eg, explosion)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Use of hand searching (eg, reference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lists of obtained articles)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List of citations located and those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excluded, including justification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Method for addressing articles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published in languages other than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English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Method of handling abstracts and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unpublished studies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   Description of any contact with authors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Reporting of Methods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8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Description of relevance or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appropriateness of studies assembled for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assessing the hypothesis to be tested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Rationale for the selection and coding of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data (eg, sound clinical principles or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convenience)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Documentation of how data were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classified and coded (eg, multiple raters,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blinding, and interrater reliability)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Assessment of confounding (eg,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comparability of cases and controls in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studies where appropriate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Assessment of study quality, including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blinding of quality assessors;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stratification or regression on possible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predictors of study results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   Assessment of heterogeneity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89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Description of statistical methods (eg,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complete description of fixed or random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effects models, justification of whether   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the chosen models account for predictors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of study results, dose-response models,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or cumulative meta-analysis) in sufficient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detail to be replicated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Provision of appropriate tables and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graphics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14-20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Reporting of Results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Table giving descriptive information for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each study included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14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Results of sensitivity testing (eg,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subgroup analysis)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Indication of statistical uncertainty of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findings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Reporting of Discussion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Quantitative assessment of bias (eg,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publication bias)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Justification for exclusion (eg, exclusion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of non</w:t>
            </w:r>
            <w:r>
              <w:rPr>
                <w:shd w:val="nil" w:color="auto" w:fill="auto"/>
                <w:rtl w:val="0"/>
                <w:lang w:val="en-US"/>
              </w:rPr>
              <w:t>–</w:t>
            </w:r>
            <w:r>
              <w:rPr>
                <w:shd w:val="nil" w:color="auto" w:fill="auto"/>
                <w:rtl w:val="0"/>
                <w:lang w:val="en-US"/>
              </w:rPr>
              <w:t>English-language citations)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7,8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   Assessment of quality of included studies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Reporting of Conclusions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Consideration of alternative explanations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for observed results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Generalization of the conclusions (ie,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appropriate for the data presented and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within the domain of the literature review)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7,8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   Guidelines for future research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4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   Disclosure of funding source</w:t>
            </w:r>
          </w:p>
        </w:tc>
        <w:tc>
          <w:tcPr>
            <w:tcW w:type="dxa" w:w="2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</w:p>
        </w:tc>
      </w:tr>
    </w:tbl>
    <w:p>
      <w:pPr>
        <w:pStyle w:val="Normal.0"/>
        <w:widowControl w:val="0"/>
        <w:spacing w:after="0"/>
        <w:ind w:left="432" w:hanging="432"/>
      </w:pPr>
      <w:r>
        <w:rPr>
          <w:rFonts w:ascii="Helvetica" w:cs="Helvetica" w:hAnsi="Helvetica" w:eastAsia="Helvetica"/>
          <w:sz w:val="16"/>
          <w:szCs w:val="16"/>
        </w:rPr>
      </w:r>
    </w:p>
    <w:sectPr>
      <w:headerReference w:type="default" r:id="rId4"/>
      <w:footerReference w:type="default" r:id="rId5"/>
      <w:pgSz w:w="12240" w:h="15840" w:orient="portrait"/>
      <w:pgMar w:top="5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