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3B091" w14:textId="79165E87" w:rsidR="002932D5" w:rsidRPr="0057527D" w:rsidRDefault="002932D5" w:rsidP="0057527D">
      <w:pPr>
        <w:jc w:val="center"/>
        <w:rPr>
          <w:b/>
          <w:sz w:val="28"/>
          <w:u w:val="single"/>
        </w:rPr>
      </w:pPr>
      <w:r w:rsidRPr="0057527D">
        <w:rPr>
          <w:b/>
          <w:sz w:val="28"/>
          <w:u w:val="single"/>
        </w:rPr>
        <w:t>Supplementary material</w:t>
      </w:r>
      <w:r w:rsidR="0057527D">
        <w:rPr>
          <w:b/>
          <w:sz w:val="28"/>
          <w:u w:val="single"/>
        </w:rPr>
        <w:t xml:space="preserve"> to Qin et al. (2020)</w:t>
      </w:r>
    </w:p>
    <w:p w14:paraId="42C99E4A" w14:textId="61E0C414" w:rsidR="002932D5" w:rsidRDefault="002932D5" w:rsidP="002932D5"/>
    <w:p w14:paraId="6A9979FA" w14:textId="77777777" w:rsidR="00D827F5" w:rsidRDefault="00D827F5" w:rsidP="002932D5">
      <w:pPr>
        <w:rPr>
          <w:b/>
        </w:rPr>
      </w:pPr>
    </w:p>
    <w:p w14:paraId="011B211A" w14:textId="1CE949C8" w:rsidR="0057527D" w:rsidRDefault="0057527D" w:rsidP="002932D5">
      <w:pPr>
        <w:rPr>
          <w:b/>
        </w:rPr>
      </w:pPr>
      <w:r>
        <w:rPr>
          <w:b/>
        </w:rPr>
        <w:t>Figure S1. Study flowchart</w:t>
      </w:r>
      <w:r w:rsidR="002E7BFE">
        <w:rPr>
          <w:b/>
        </w:rPr>
        <w:t>.</w:t>
      </w:r>
    </w:p>
    <w:p w14:paraId="1F633754" w14:textId="06856226" w:rsidR="0057527D" w:rsidRDefault="00257FAE" w:rsidP="00257FAE">
      <w:pPr>
        <w:jc w:val="center"/>
        <w:rPr>
          <w:b/>
        </w:rPr>
      </w:pPr>
      <w:r w:rsidRPr="00257FAE">
        <w:rPr>
          <w:b/>
          <w:noProof/>
        </w:rPr>
        <w:drawing>
          <wp:inline distT="0" distB="0" distL="0" distR="0" wp14:anchorId="7AA56FC0" wp14:editId="14E73FC0">
            <wp:extent cx="5552502" cy="300971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6831" cy="30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F313" w14:textId="77777777" w:rsidR="008160B9" w:rsidRDefault="008160B9" w:rsidP="002932D5">
      <w:pPr>
        <w:rPr>
          <w:b/>
        </w:rPr>
      </w:pPr>
    </w:p>
    <w:p w14:paraId="5A9078DE" w14:textId="11945311" w:rsidR="00CE1A2A" w:rsidRDefault="002932D5" w:rsidP="002932D5">
      <w:r w:rsidRPr="002932D5">
        <w:rPr>
          <w:b/>
        </w:rPr>
        <w:t>Figure S</w:t>
      </w:r>
      <w:r w:rsidR="0057527D">
        <w:rPr>
          <w:b/>
        </w:rPr>
        <w:t>2.</w:t>
      </w:r>
      <w:r w:rsidRPr="002932D5">
        <w:rPr>
          <w:b/>
        </w:rPr>
        <w:t xml:space="preserve"> SNP</w:t>
      </w:r>
      <w:r w:rsidR="00CC1A86">
        <w:rPr>
          <w:b/>
        </w:rPr>
        <w:t xml:space="preserve">-microbial taxon </w:t>
      </w:r>
      <w:r w:rsidRPr="002932D5">
        <w:rPr>
          <w:b/>
        </w:rPr>
        <w:t xml:space="preserve">heritability. </w:t>
      </w:r>
      <w:r w:rsidR="00863D7D" w:rsidRPr="00863D7D">
        <w:t xml:space="preserve">(A) </w:t>
      </w:r>
      <w:r w:rsidR="00415FC2">
        <w:t>SNP-taxon h</w:t>
      </w:r>
      <w:r w:rsidR="00863D7D" w:rsidRPr="00863D7D">
        <w:t>eritability (</w:t>
      </w:r>
      <w:r w:rsidR="00863D7D" w:rsidRPr="000F02DE">
        <w:rPr>
          <w:i/>
        </w:rPr>
        <w:t>h</w:t>
      </w:r>
      <w:r w:rsidR="00863D7D" w:rsidRPr="000F02DE">
        <w:rPr>
          <w:i/>
          <w:vertAlign w:val="superscript"/>
        </w:rPr>
        <w:t>2</w:t>
      </w:r>
      <w:r w:rsidR="00863D7D" w:rsidRPr="00863D7D">
        <w:t xml:space="preserve">) for </w:t>
      </w:r>
      <w:r w:rsidR="00C77020">
        <w:t xml:space="preserve">all </w:t>
      </w:r>
      <w:r w:rsidR="00863D7D" w:rsidRPr="00863D7D">
        <w:t>2</w:t>
      </w:r>
      <w:r w:rsidR="00CC1A86">
        <w:t>,</w:t>
      </w:r>
      <w:r w:rsidR="00863D7D" w:rsidRPr="00863D7D">
        <w:t>801 taxa included in the genome-wide association</w:t>
      </w:r>
      <w:r w:rsidR="000F02DE">
        <w:t xml:space="preserve"> analysis</w:t>
      </w:r>
      <w:r w:rsidR="00863D7D" w:rsidRPr="00863D7D">
        <w:t xml:space="preserve">, grouped </w:t>
      </w:r>
      <w:r w:rsidR="00415FC2">
        <w:t>into their</w:t>
      </w:r>
      <w:r w:rsidR="00863D7D" w:rsidRPr="00863D7D">
        <w:t xml:space="preserve"> 61 corresponding GTDB phyla, and ordered by median heritability per phylum. Red denotes bacterial phyla, and purple denotes archaeal phyla.</w:t>
      </w:r>
      <w:r w:rsidR="00415FC2">
        <w:t xml:space="preserve"> The right panel indicates the n</w:t>
      </w:r>
      <w:r w:rsidR="00863D7D" w:rsidRPr="00863D7D">
        <w:t xml:space="preserve">umber of </w:t>
      </w:r>
      <w:r w:rsidR="00415FC2" w:rsidRPr="00415FC2">
        <w:t>genome-wide significan</w:t>
      </w:r>
      <w:r w:rsidR="00415FC2">
        <w:t xml:space="preserve">t </w:t>
      </w:r>
      <w:r w:rsidR="00863D7D" w:rsidRPr="00863D7D">
        <w:t xml:space="preserve">associated taxa </w:t>
      </w:r>
      <w:r w:rsidR="00415FC2">
        <w:t>for each phyl</w:t>
      </w:r>
      <w:r w:rsidR="00863D7D" w:rsidRPr="00863D7D">
        <w:t>um (</w:t>
      </w:r>
      <w:r w:rsidR="00863D7D" w:rsidRPr="00863D7D">
        <w:rPr>
          <w:i/>
        </w:rPr>
        <w:t>p</w:t>
      </w:r>
      <w:r w:rsidR="00863D7D" w:rsidRPr="00863D7D">
        <w:t>&lt;5×10</w:t>
      </w:r>
      <w:r w:rsidR="00863D7D" w:rsidRPr="00863D7D">
        <w:rPr>
          <w:vertAlign w:val="superscript"/>
        </w:rPr>
        <w:t>-8</w:t>
      </w:r>
      <w:r w:rsidR="00863D7D" w:rsidRPr="00863D7D">
        <w:t xml:space="preserve">). </w:t>
      </w:r>
      <w:r w:rsidR="0057527D">
        <w:t>(B)</w:t>
      </w:r>
      <w:r w:rsidR="001348B3">
        <w:t xml:space="preserve"> SNP-taxon heritability is shown for each associated taxon</w:t>
      </w:r>
      <w:r w:rsidR="00001C60">
        <w:t xml:space="preserve"> (</w:t>
      </w:r>
      <w:r w:rsidR="00001C60" w:rsidRPr="00863D7D">
        <w:rPr>
          <w:i/>
        </w:rPr>
        <w:t>p</w:t>
      </w:r>
      <w:r w:rsidR="00001C60" w:rsidRPr="00863D7D">
        <w:t>&lt;5×10</w:t>
      </w:r>
      <w:r w:rsidR="00001C60" w:rsidRPr="00863D7D">
        <w:rPr>
          <w:vertAlign w:val="superscript"/>
        </w:rPr>
        <w:t>-8</w:t>
      </w:r>
      <w:r w:rsidR="00001C60">
        <w:t>)</w:t>
      </w:r>
      <w:r w:rsidR="001348B3">
        <w:t>, grouped by its taxonomic rank.</w:t>
      </w:r>
      <w:r w:rsidR="0057527D">
        <w:t xml:space="preserve"> </w:t>
      </w:r>
    </w:p>
    <w:p w14:paraId="78CB4B15" w14:textId="17D70348" w:rsidR="00CE1A2A" w:rsidRPr="0057527D" w:rsidRDefault="00CE1A2A" w:rsidP="00CE1A2A">
      <w:pPr>
        <w:jc w:val="center"/>
      </w:pPr>
      <w:r w:rsidRPr="00CE1A2A">
        <w:rPr>
          <w:noProof/>
          <w:lang w:val="en-US" w:eastAsia="zh-CN"/>
        </w:rPr>
        <w:drawing>
          <wp:inline distT="0" distB="0" distL="0" distR="0" wp14:anchorId="2EA5953C" wp14:editId="4293BD1B">
            <wp:extent cx="5393803" cy="425703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0948" cy="427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C7B8" w14:textId="24F99521" w:rsidR="0057527D" w:rsidRDefault="0057527D" w:rsidP="002E7BFE">
      <w:pPr>
        <w:jc w:val="center"/>
        <w:rPr>
          <w:b/>
        </w:rPr>
      </w:pPr>
    </w:p>
    <w:p w14:paraId="4DA74B22" w14:textId="77777777" w:rsidR="00B419FA" w:rsidRDefault="00B419FA" w:rsidP="002932D5">
      <w:pPr>
        <w:rPr>
          <w:b/>
        </w:rPr>
      </w:pPr>
    </w:p>
    <w:p w14:paraId="404FEE51" w14:textId="77777777" w:rsidR="00D827F5" w:rsidRDefault="00D827F5" w:rsidP="002932D5">
      <w:pPr>
        <w:rPr>
          <w:b/>
        </w:rPr>
      </w:pPr>
    </w:p>
    <w:p w14:paraId="7E6AD0D0" w14:textId="0FCBC561" w:rsidR="009E4DD1" w:rsidRDefault="002E7BFE" w:rsidP="002932D5">
      <w:r>
        <w:rPr>
          <w:b/>
        </w:rPr>
        <w:t>F</w:t>
      </w:r>
      <w:r w:rsidR="009E4DD1">
        <w:rPr>
          <w:b/>
        </w:rPr>
        <w:t>igure S3.</w:t>
      </w:r>
      <w:r>
        <w:rPr>
          <w:b/>
        </w:rPr>
        <w:t xml:space="preserve"> </w:t>
      </w:r>
      <w:proofErr w:type="spellStart"/>
      <w:r w:rsidRPr="002E7BFE">
        <w:rPr>
          <w:b/>
        </w:rPr>
        <w:t>LocusZoom</w:t>
      </w:r>
      <w:proofErr w:type="spellEnd"/>
      <w:r w:rsidRPr="002E7BFE">
        <w:rPr>
          <w:b/>
        </w:rPr>
        <w:t xml:space="preserve"> plots </w:t>
      </w:r>
      <w:r w:rsidR="00B419FA">
        <w:rPr>
          <w:b/>
        </w:rPr>
        <w:t>for</w:t>
      </w:r>
      <w:r w:rsidRPr="002E7BFE">
        <w:rPr>
          <w:b/>
        </w:rPr>
        <w:t xml:space="preserve"> three </w:t>
      </w:r>
      <w:r w:rsidR="00296CA6">
        <w:rPr>
          <w:b/>
        </w:rPr>
        <w:t xml:space="preserve">loci with </w:t>
      </w:r>
      <w:r w:rsidRPr="002E7BFE">
        <w:rPr>
          <w:b/>
        </w:rPr>
        <w:t xml:space="preserve">study-wide significant </w:t>
      </w:r>
      <w:r w:rsidR="00B419FA">
        <w:rPr>
          <w:b/>
        </w:rPr>
        <w:t>associat</w:t>
      </w:r>
      <w:r w:rsidR="00296CA6">
        <w:rPr>
          <w:b/>
        </w:rPr>
        <w:t xml:space="preserve">ions </w:t>
      </w:r>
      <w:r w:rsidR="00BA115A" w:rsidRPr="00BA115A">
        <w:rPr>
          <w:b/>
        </w:rPr>
        <w:t>(</w:t>
      </w:r>
      <w:r w:rsidR="00BA115A" w:rsidRPr="00BA115A">
        <w:rPr>
          <w:b/>
          <w:i/>
        </w:rPr>
        <w:t>p</w:t>
      </w:r>
      <w:r w:rsidR="00BA115A" w:rsidRPr="00BA115A">
        <w:rPr>
          <w:b/>
        </w:rPr>
        <w:t>&lt;3.8×10</w:t>
      </w:r>
      <w:r w:rsidR="00BA115A" w:rsidRPr="00BA115A">
        <w:rPr>
          <w:b/>
          <w:vertAlign w:val="superscript"/>
        </w:rPr>
        <w:t>-11</w:t>
      </w:r>
      <w:r w:rsidR="00BA115A" w:rsidRPr="00BA115A">
        <w:rPr>
          <w:b/>
        </w:rPr>
        <w:t>)</w:t>
      </w:r>
      <w:r w:rsidRPr="002E7BFE">
        <w:rPr>
          <w:b/>
        </w:rPr>
        <w:t xml:space="preserve">. </w:t>
      </w:r>
      <w:r w:rsidRPr="002E7BFE">
        <w:t xml:space="preserve">Associations with top taxa are shown. Top SNPs are indicated in purple diamond. Other SNPs are </w:t>
      </w:r>
      <w:r w:rsidR="00B419FA" w:rsidRPr="002E7BFE">
        <w:t>coloured</w:t>
      </w:r>
      <w:r w:rsidRPr="002E7BFE">
        <w:t xml:space="preserve"> by their </w:t>
      </w:r>
      <w:r w:rsidR="00B419FA">
        <w:t>linkage disequilibrium (</w:t>
      </w:r>
      <w:r w:rsidRPr="002E7BFE">
        <w:t>LD</w:t>
      </w:r>
      <w:r w:rsidR="00B419FA">
        <w:t>) value</w:t>
      </w:r>
      <w:r w:rsidR="00296CA6">
        <w:t>s</w:t>
      </w:r>
      <w:r w:rsidRPr="002E7BFE">
        <w:t xml:space="preserve"> with the top SNPs. Genes covered by the region are indicated in the bottom. (A)</w:t>
      </w:r>
      <w:r w:rsidR="007A1128">
        <w:t xml:space="preserve"> Associated SNPs at the</w:t>
      </w:r>
      <w:r w:rsidRPr="002E7BFE">
        <w:t xml:space="preserve"> </w:t>
      </w:r>
      <w:r w:rsidRPr="00B419FA">
        <w:rPr>
          <w:i/>
        </w:rPr>
        <w:t>LCT</w:t>
      </w:r>
      <w:r w:rsidRPr="002E7BFE">
        <w:t xml:space="preserve"> locus </w:t>
      </w:r>
      <w:r w:rsidR="007A1128">
        <w:t>spans over</w:t>
      </w:r>
      <w:r w:rsidRPr="002E7BFE">
        <w:t xml:space="preserve"> a 2</w:t>
      </w:r>
      <w:r w:rsidR="007A1128">
        <w:t xml:space="preserve"> </w:t>
      </w:r>
      <w:proofErr w:type="spellStart"/>
      <w:r w:rsidRPr="002E7BFE">
        <w:t>Mb</w:t>
      </w:r>
      <w:r w:rsidR="007A1128">
        <w:t>p</w:t>
      </w:r>
      <w:proofErr w:type="spellEnd"/>
      <w:r w:rsidR="00B419FA">
        <w:t xml:space="preserve"> </w:t>
      </w:r>
      <w:r w:rsidR="007A1128">
        <w:t xml:space="preserve">genomic </w:t>
      </w:r>
      <w:r w:rsidR="00B419FA">
        <w:t>region</w:t>
      </w:r>
      <w:r w:rsidRPr="002E7BFE">
        <w:t>, while</w:t>
      </w:r>
      <w:r w:rsidR="007A1128">
        <w:t xml:space="preserve"> they are grouped on a</w:t>
      </w:r>
      <w:r w:rsidR="007A1128" w:rsidRPr="007A1128">
        <w:t xml:space="preserve"> 400</w:t>
      </w:r>
      <w:r w:rsidR="007A1128">
        <w:t xml:space="preserve"> </w:t>
      </w:r>
      <w:proofErr w:type="spellStart"/>
      <w:r w:rsidR="007A1128" w:rsidRPr="007A1128">
        <w:t>kbp</w:t>
      </w:r>
      <w:proofErr w:type="spellEnd"/>
      <w:r w:rsidR="007A1128">
        <w:t xml:space="preserve"> region for both</w:t>
      </w:r>
      <w:r w:rsidRPr="002E7BFE">
        <w:t xml:space="preserve"> (B) </w:t>
      </w:r>
      <w:r w:rsidRPr="007A1128">
        <w:rPr>
          <w:i/>
        </w:rPr>
        <w:t>ABO</w:t>
      </w:r>
      <w:r w:rsidRPr="002E7BFE">
        <w:t xml:space="preserve"> and (C)</w:t>
      </w:r>
      <w:r w:rsidR="007A1128">
        <w:t xml:space="preserve"> the</w:t>
      </w:r>
      <w:r w:rsidRPr="002E7BFE">
        <w:t xml:space="preserve"> </w:t>
      </w:r>
      <w:r w:rsidRPr="007A1128">
        <w:rPr>
          <w:i/>
        </w:rPr>
        <w:t>MED13L</w:t>
      </w:r>
      <w:r w:rsidRPr="002E7BFE">
        <w:t xml:space="preserve"> loc</w:t>
      </w:r>
      <w:r w:rsidR="007A1128">
        <w:t>i</w:t>
      </w:r>
      <w:r w:rsidRPr="002E7BFE">
        <w:t>.</w:t>
      </w:r>
    </w:p>
    <w:p w14:paraId="0CDE9837" w14:textId="77777777" w:rsidR="00B419FA" w:rsidRDefault="00B419FA" w:rsidP="002932D5">
      <w:pPr>
        <w:rPr>
          <w:b/>
        </w:rPr>
      </w:pPr>
    </w:p>
    <w:p w14:paraId="08E4CDB5" w14:textId="3FE61A4A" w:rsidR="009E4DD1" w:rsidRDefault="009E4DD1" w:rsidP="00690833">
      <w:pPr>
        <w:jc w:val="center"/>
        <w:rPr>
          <w:b/>
        </w:rPr>
      </w:pPr>
      <w:r w:rsidRPr="009E4DD1">
        <w:rPr>
          <w:b/>
          <w:noProof/>
          <w:lang w:val="en-US" w:eastAsia="zh-CN"/>
        </w:rPr>
        <w:drawing>
          <wp:inline distT="0" distB="0" distL="0" distR="0" wp14:anchorId="11CC53FA" wp14:editId="172B8A5D">
            <wp:extent cx="5727700" cy="1664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572E" w14:textId="30A9B7B1" w:rsidR="009E4DD1" w:rsidRDefault="009E4DD1" w:rsidP="002932D5">
      <w:pPr>
        <w:rPr>
          <w:b/>
        </w:rPr>
      </w:pPr>
    </w:p>
    <w:p w14:paraId="65A2C901" w14:textId="77777777" w:rsidR="00B419FA" w:rsidRDefault="00B419FA" w:rsidP="002E7BFE">
      <w:pPr>
        <w:rPr>
          <w:b/>
        </w:rPr>
      </w:pPr>
    </w:p>
    <w:p w14:paraId="35BC9FB4" w14:textId="77777777" w:rsidR="008160B9" w:rsidRDefault="008160B9" w:rsidP="002E7BFE">
      <w:pPr>
        <w:rPr>
          <w:b/>
        </w:rPr>
      </w:pPr>
    </w:p>
    <w:p w14:paraId="3B70320A" w14:textId="77777777" w:rsidR="00D827F5" w:rsidRDefault="00D827F5" w:rsidP="002E7BFE">
      <w:pPr>
        <w:rPr>
          <w:b/>
        </w:rPr>
      </w:pPr>
    </w:p>
    <w:p w14:paraId="4C4AF9DB" w14:textId="1A28A0D3" w:rsidR="002E7BFE" w:rsidRPr="002E7BFE" w:rsidRDefault="009E4DD1" w:rsidP="002E7BFE">
      <w:pPr>
        <w:rPr>
          <w:b/>
        </w:rPr>
      </w:pPr>
      <w:r w:rsidRPr="009E4DD1">
        <w:rPr>
          <w:b/>
        </w:rPr>
        <w:t>Figure S</w:t>
      </w:r>
      <w:r w:rsidR="00F17FB0">
        <w:rPr>
          <w:b/>
        </w:rPr>
        <w:t>4</w:t>
      </w:r>
      <w:r>
        <w:t>.</w:t>
      </w:r>
      <w:r w:rsidR="002E7BFE" w:rsidRPr="002E7BFE">
        <w:rPr>
          <w:b/>
        </w:rPr>
        <w:t xml:space="preserve"> Correlation </w:t>
      </w:r>
      <w:r w:rsidR="00F77570">
        <w:rPr>
          <w:b/>
        </w:rPr>
        <w:t>between</w:t>
      </w:r>
      <w:r w:rsidR="002E7BFE" w:rsidRPr="002E7BFE">
        <w:rPr>
          <w:b/>
        </w:rPr>
        <w:t xml:space="preserve"> </w:t>
      </w:r>
      <w:r w:rsidR="00F77570">
        <w:rPr>
          <w:b/>
        </w:rPr>
        <w:t>individua</w:t>
      </w:r>
      <w:r w:rsidR="00E5660E">
        <w:rPr>
          <w:b/>
        </w:rPr>
        <w:t>l baseline</w:t>
      </w:r>
      <w:r w:rsidR="002E7BFE" w:rsidRPr="002E7BFE">
        <w:rPr>
          <w:b/>
        </w:rPr>
        <w:t xml:space="preserve"> age and</w:t>
      </w:r>
      <w:r w:rsidR="00F77570">
        <w:rPr>
          <w:b/>
        </w:rPr>
        <w:t xml:space="preserve"> the relative abundance of bacteria from the</w:t>
      </w:r>
      <w:r w:rsidR="002E7BFE" w:rsidRPr="002E7BFE">
        <w:rPr>
          <w:b/>
        </w:rPr>
        <w:t xml:space="preserve"> </w:t>
      </w:r>
      <w:r w:rsidR="002E7BFE" w:rsidRPr="002E7BFE">
        <w:rPr>
          <w:b/>
          <w:i/>
        </w:rPr>
        <w:t>Bifidobacterium</w:t>
      </w:r>
      <w:r w:rsidR="002E7BFE" w:rsidRPr="002E7BFE">
        <w:rPr>
          <w:b/>
        </w:rPr>
        <w:t xml:space="preserve"> </w:t>
      </w:r>
      <w:r w:rsidR="00F77570">
        <w:rPr>
          <w:b/>
        </w:rPr>
        <w:t xml:space="preserve">genus </w:t>
      </w:r>
      <w:r w:rsidR="002E7BFE" w:rsidRPr="002E7BFE">
        <w:rPr>
          <w:b/>
        </w:rPr>
        <w:t>in lactose intoleran</w:t>
      </w:r>
      <w:r w:rsidR="00F77570">
        <w:rPr>
          <w:b/>
        </w:rPr>
        <w:t>t</w:t>
      </w:r>
      <w:r w:rsidR="002E7BFE" w:rsidRPr="002E7BFE">
        <w:rPr>
          <w:b/>
        </w:rPr>
        <w:t xml:space="preserve"> individuals. </w:t>
      </w:r>
      <w:r w:rsidR="002E7BFE" w:rsidRPr="002E7BFE">
        <w:t xml:space="preserve">Only genetically lactose intolerance individuals </w:t>
      </w:r>
      <w:r w:rsidR="00F77570">
        <w:t>(</w:t>
      </w:r>
      <w:r w:rsidR="002E7BFE" w:rsidRPr="002E7BFE">
        <w:t>rs4988235</w:t>
      </w:r>
      <w:r w:rsidR="00F77570">
        <w:t>:</w:t>
      </w:r>
      <w:r w:rsidR="002E7BFE" w:rsidRPr="002E7BFE">
        <w:t>CC) are shown, and colo</w:t>
      </w:r>
      <w:r w:rsidR="00F77570">
        <w:t>u</w:t>
      </w:r>
      <w:r w:rsidR="002E7BFE" w:rsidRPr="002E7BFE">
        <w:t xml:space="preserve">red by </w:t>
      </w:r>
      <w:r w:rsidR="00F77570">
        <w:t xml:space="preserve">dietary </w:t>
      </w:r>
      <w:r w:rsidR="002E7BFE" w:rsidRPr="002E7BFE">
        <w:t xml:space="preserve">dairy </w:t>
      </w:r>
      <w:r w:rsidR="00F77570">
        <w:t>habits</w:t>
      </w:r>
      <w:r w:rsidR="002E7BFE" w:rsidRPr="002E7BFE">
        <w:t xml:space="preserve"> (blue</w:t>
      </w:r>
      <w:r w:rsidR="00F77570">
        <w:t>: self-reported regular consumption of dairy,</w:t>
      </w:r>
      <w:r w:rsidR="002E7BFE" w:rsidRPr="002E7BFE">
        <w:t xml:space="preserve"> n=763</w:t>
      </w:r>
      <w:r w:rsidR="00F77570">
        <w:t>;</w:t>
      </w:r>
      <w:r w:rsidR="002E7BFE" w:rsidRPr="002E7BFE">
        <w:t xml:space="preserve"> and</w:t>
      </w:r>
      <w:r w:rsidR="00F77570">
        <w:t xml:space="preserve"> </w:t>
      </w:r>
      <w:r w:rsidR="002E7BFE" w:rsidRPr="002E7BFE">
        <w:t>red</w:t>
      </w:r>
      <w:r w:rsidR="00F77570">
        <w:t>: self-reported irregular dairy diet or lactose-free diet,</w:t>
      </w:r>
      <w:r w:rsidR="002E7BFE" w:rsidRPr="002E7BFE">
        <w:t xml:space="preserve"> n=253). Best fitted lines and 95% confidence intervals are indicated. Spearman correlation coefficients are given.</w:t>
      </w:r>
      <w:r w:rsidR="002E7BFE" w:rsidRPr="002E7BFE">
        <w:rPr>
          <w:b/>
        </w:rPr>
        <w:t xml:space="preserve">  </w:t>
      </w:r>
    </w:p>
    <w:p w14:paraId="5202FCD2" w14:textId="4BFE44DF" w:rsidR="009E4DD1" w:rsidRPr="009E4DD1" w:rsidRDefault="009E4DD1" w:rsidP="002E7BFE">
      <w:pPr>
        <w:jc w:val="center"/>
      </w:pPr>
      <w:r w:rsidRPr="009E4DD1">
        <w:rPr>
          <w:noProof/>
          <w:lang w:val="en-US" w:eastAsia="zh-CN"/>
        </w:rPr>
        <w:drawing>
          <wp:inline distT="0" distB="0" distL="0" distR="0" wp14:anchorId="74A505A9" wp14:editId="396FA077">
            <wp:extent cx="4037162" cy="3725199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8263" cy="372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316E" w14:textId="77777777" w:rsidR="009E4DD1" w:rsidRDefault="009E4DD1">
      <w:pPr>
        <w:rPr>
          <w:b/>
        </w:rPr>
      </w:pPr>
    </w:p>
    <w:p w14:paraId="20F9E2C6" w14:textId="77777777" w:rsidR="00F17FB0" w:rsidRDefault="00F17FB0">
      <w:pPr>
        <w:rPr>
          <w:b/>
        </w:rPr>
      </w:pPr>
      <w:r>
        <w:rPr>
          <w:b/>
        </w:rPr>
        <w:br w:type="page"/>
      </w:r>
    </w:p>
    <w:p w14:paraId="2B3D003E" w14:textId="26BBE83A" w:rsidR="009E4DD1" w:rsidRDefault="009E4DD1">
      <w:pPr>
        <w:rPr>
          <w:b/>
        </w:rPr>
      </w:pPr>
      <w:r>
        <w:rPr>
          <w:b/>
        </w:rPr>
        <w:lastRenderedPageBreak/>
        <w:t>Figure S</w:t>
      </w:r>
      <w:r w:rsidR="00F17FB0">
        <w:rPr>
          <w:b/>
        </w:rPr>
        <w:t>5</w:t>
      </w:r>
      <w:r>
        <w:rPr>
          <w:b/>
        </w:rPr>
        <w:t>.</w:t>
      </w:r>
      <w:r w:rsidR="002E7BFE" w:rsidRPr="002E7BFE">
        <w:rPr>
          <w:b/>
        </w:rPr>
        <w:t xml:space="preserve"> Spearman correlation of relative abundances in 4 taxa associated with the </w:t>
      </w:r>
      <w:r w:rsidR="002E7BFE" w:rsidRPr="002E7BFE">
        <w:rPr>
          <w:b/>
          <w:i/>
        </w:rPr>
        <w:t xml:space="preserve">LCT </w:t>
      </w:r>
      <w:r w:rsidR="002E7BFE" w:rsidRPr="002E7BFE">
        <w:rPr>
          <w:b/>
        </w:rPr>
        <w:t xml:space="preserve">locus. </w:t>
      </w:r>
      <w:r w:rsidR="002E7BFE" w:rsidRPr="002E7BFE">
        <w:t>Abundances of</w:t>
      </w:r>
      <w:r w:rsidR="001039BB">
        <w:t xml:space="preserve"> the</w:t>
      </w:r>
      <w:r w:rsidR="002E7BFE" w:rsidRPr="002E7BFE">
        <w:t xml:space="preserve"> </w:t>
      </w:r>
      <w:r w:rsidR="002E7BFE" w:rsidRPr="002E7BFE">
        <w:rPr>
          <w:i/>
        </w:rPr>
        <w:t xml:space="preserve">Bifidobacterium, </w:t>
      </w:r>
      <w:proofErr w:type="spellStart"/>
      <w:r w:rsidR="002E7BFE" w:rsidRPr="002E7BFE">
        <w:rPr>
          <w:i/>
        </w:rPr>
        <w:t>Negativibacillus</w:t>
      </w:r>
      <w:proofErr w:type="spellEnd"/>
      <w:r w:rsidR="002E7BFE" w:rsidRPr="002E7BFE">
        <w:rPr>
          <w:i/>
        </w:rPr>
        <w:t xml:space="preserve">, UBA3855 </w:t>
      </w:r>
      <w:r w:rsidR="002E7BFE" w:rsidRPr="002E7BFE">
        <w:t xml:space="preserve">and </w:t>
      </w:r>
      <w:r w:rsidR="002E7BFE" w:rsidRPr="002E7BFE">
        <w:rPr>
          <w:i/>
        </w:rPr>
        <w:t xml:space="preserve">CAG-81 </w:t>
      </w:r>
      <w:r w:rsidR="002E7BFE" w:rsidRPr="002E7BFE">
        <w:t xml:space="preserve">genera are compared. </w:t>
      </w:r>
      <w:r w:rsidR="001039BB">
        <w:t>Abundances in the</w:t>
      </w:r>
      <w:r w:rsidR="002E7BFE" w:rsidRPr="002E7BFE">
        <w:t xml:space="preserve"> </w:t>
      </w:r>
      <w:r w:rsidR="001039BB">
        <w:t>entire</w:t>
      </w:r>
      <w:r w:rsidR="002E7BFE" w:rsidRPr="002E7BFE">
        <w:t xml:space="preserve"> FR02 cohort is compared to </w:t>
      </w:r>
      <w:r w:rsidR="001039BB">
        <w:t xml:space="preserve">those in </w:t>
      </w:r>
      <w:r w:rsidR="002E7BFE" w:rsidRPr="002E7BFE">
        <w:t>a subset of genetically lactose-intolerant individuals</w:t>
      </w:r>
      <w:r w:rsidR="00527B8A">
        <w:t>,</w:t>
      </w:r>
      <w:r w:rsidR="002E7BFE" w:rsidRPr="002E7BFE">
        <w:t xml:space="preserve"> and to a subset of genetically lactose-intolerant individuals who report</w:t>
      </w:r>
      <w:r w:rsidR="00527B8A">
        <w:t>ed</w:t>
      </w:r>
      <w:r w:rsidR="002E7BFE" w:rsidRPr="002E7BFE">
        <w:t xml:space="preserve"> a regular dairy diet. Coloured boxes denote the strength of correlation, while a white square denotes a non-significant p-value for the correlation (</w:t>
      </w:r>
      <w:r w:rsidR="002E7BFE" w:rsidRPr="00C77020">
        <w:rPr>
          <w:i/>
        </w:rPr>
        <w:t>p</w:t>
      </w:r>
      <w:r w:rsidR="002E7BFE" w:rsidRPr="002E7BFE">
        <w:t>&gt;0.05).</w:t>
      </w:r>
    </w:p>
    <w:p w14:paraId="235532AF" w14:textId="49831729" w:rsidR="009E4DD1" w:rsidRDefault="009E4DD1" w:rsidP="002E7BFE">
      <w:pPr>
        <w:jc w:val="center"/>
        <w:rPr>
          <w:b/>
        </w:rPr>
      </w:pPr>
      <w:r w:rsidRPr="009E4DD1">
        <w:rPr>
          <w:b/>
          <w:noProof/>
          <w:lang w:val="en-US" w:eastAsia="zh-CN"/>
        </w:rPr>
        <w:drawing>
          <wp:inline distT="0" distB="0" distL="0" distR="0" wp14:anchorId="072B6F6A" wp14:editId="2BE5C21C">
            <wp:extent cx="3678865" cy="1866350"/>
            <wp:effectExtent l="0" t="0" r="444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0137" cy="187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8204" w14:textId="7E56A7F1" w:rsidR="009E4DD1" w:rsidRDefault="009E4DD1">
      <w:pPr>
        <w:rPr>
          <w:b/>
        </w:rPr>
      </w:pPr>
    </w:p>
    <w:p w14:paraId="4E47F2E9" w14:textId="5C98FEF4" w:rsidR="002E7BFE" w:rsidRPr="008160B9" w:rsidRDefault="002E7BFE">
      <w:pPr>
        <w:rPr>
          <w:b/>
        </w:rPr>
      </w:pPr>
      <w:r>
        <w:rPr>
          <w:b/>
        </w:rPr>
        <w:t>Figure S</w:t>
      </w:r>
      <w:r w:rsidR="00DA7CE4">
        <w:rPr>
          <w:b/>
        </w:rPr>
        <w:t>6</w:t>
      </w:r>
      <w:r>
        <w:rPr>
          <w:b/>
        </w:rPr>
        <w:t>.</w:t>
      </w:r>
      <w:r w:rsidR="00F6063F" w:rsidRPr="00F6063F">
        <w:rPr>
          <w:b/>
        </w:rPr>
        <w:t xml:space="preserve"> </w:t>
      </w:r>
      <w:r w:rsidR="00DA7CE4">
        <w:rPr>
          <w:b/>
        </w:rPr>
        <w:t>Co-abundance and c</w:t>
      </w:r>
      <w:r w:rsidR="00F6063F" w:rsidRPr="00F6063F">
        <w:rPr>
          <w:b/>
        </w:rPr>
        <w:t>arbohydrate-active enzymes (</w:t>
      </w:r>
      <w:proofErr w:type="spellStart"/>
      <w:r w:rsidR="00F6063F" w:rsidRPr="00F6063F">
        <w:rPr>
          <w:b/>
        </w:rPr>
        <w:t>CAZyme</w:t>
      </w:r>
      <w:proofErr w:type="spellEnd"/>
      <w:r w:rsidR="00F6063F" w:rsidRPr="00F6063F">
        <w:rPr>
          <w:b/>
        </w:rPr>
        <w:t>) distribution patterns in</w:t>
      </w:r>
      <w:r w:rsidR="00DA7CE4">
        <w:rPr>
          <w:b/>
        </w:rPr>
        <w:t xml:space="preserve"> 11</w:t>
      </w:r>
      <w:r w:rsidR="00F6063F" w:rsidRPr="00F6063F">
        <w:rPr>
          <w:b/>
        </w:rPr>
        <w:t xml:space="preserve"> </w:t>
      </w:r>
      <w:r w:rsidR="00DA7CE4">
        <w:rPr>
          <w:b/>
          <w:i/>
        </w:rPr>
        <w:t>Bifidobacterium</w:t>
      </w:r>
      <w:r w:rsidR="00DA7CE4">
        <w:rPr>
          <w:b/>
        </w:rPr>
        <w:t xml:space="preserve"> species harboured by &gt;25% of individuals in the </w:t>
      </w:r>
      <w:r w:rsidR="002B759D">
        <w:rPr>
          <w:b/>
        </w:rPr>
        <w:t>FR02</w:t>
      </w:r>
      <w:r w:rsidR="00DA7CE4">
        <w:rPr>
          <w:b/>
        </w:rPr>
        <w:t xml:space="preserve"> cohort</w:t>
      </w:r>
      <w:r w:rsidR="00F6063F" w:rsidRPr="00F6063F">
        <w:rPr>
          <w:b/>
        </w:rPr>
        <w:t>.</w:t>
      </w:r>
      <w:r w:rsidR="008160B9">
        <w:rPr>
          <w:b/>
        </w:rPr>
        <w:t xml:space="preserve"> </w:t>
      </w:r>
      <w:r w:rsidR="0055384E" w:rsidRPr="0055384E">
        <w:t>(A)</w:t>
      </w:r>
      <w:r w:rsidR="0055384E">
        <w:t xml:space="preserve"> </w:t>
      </w:r>
      <w:r w:rsidR="00C6642C" w:rsidRPr="00C6642C">
        <w:t>Associations between</w:t>
      </w:r>
      <w:r w:rsidR="00B65444">
        <w:t xml:space="preserve"> the</w:t>
      </w:r>
      <w:r w:rsidR="00C6642C" w:rsidRPr="00C6642C">
        <w:t xml:space="preserve"> </w:t>
      </w:r>
      <w:r w:rsidR="00C6642C" w:rsidRPr="00B65444">
        <w:rPr>
          <w:i/>
        </w:rPr>
        <w:t>LCT</w:t>
      </w:r>
      <w:r w:rsidR="00B65444">
        <w:rPr>
          <w:i/>
        </w:rPr>
        <w:t>-MCM6</w:t>
      </w:r>
      <w:r w:rsidR="00C6642C" w:rsidRPr="00C6642C">
        <w:t xml:space="preserve"> locus and 11 </w:t>
      </w:r>
      <w:r w:rsidR="00C6642C" w:rsidRPr="00B65444">
        <w:rPr>
          <w:i/>
        </w:rPr>
        <w:t>Bifidobacterium</w:t>
      </w:r>
      <w:r w:rsidR="00C6642C" w:rsidRPr="00C6642C">
        <w:t xml:space="preserve"> species</w:t>
      </w:r>
      <w:r w:rsidR="008160B9">
        <w:t xml:space="preserve">; </w:t>
      </w:r>
      <w:r w:rsidR="00B65444">
        <w:t xml:space="preserve">(left) </w:t>
      </w:r>
      <w:r w:rsidR="00C6642C" w:rsidRPr="00C6642C">
        <w:t>top association</w:t>
      </w:r>
      <w:r w:rsidR="00B65444">
        <w:t xml:space="preserve"> results between variation of</w:t>
      </w:r>
      <w:r w:rsidR="00C6642C" w:rsidRPr="00C6642C">
        <w:t xml:space="preserve"> 11</w:t>
      </w:r>
      <w:r w:rsidR="00B65444">
        <w:t xml:space="preserve"> </w:t>
      </w:r>
      <w:r w:rsidR="00B65444">
        <w:rPr>
          <w:i/>
        </w:rPr>
        <w:t>Bifidobacterium</w:t>
      </w:r>
      <w:r w:rsidR="00C6642C" w:rsidRPr="00C6642C">
        <w:t xml:space="preserve"> species and </w:t>
      </w:r>
      <w:r w:rsidR="00141B24">
        <w:t xml:space="preserve">the </w:t>
      </w:r>
      <w:r w:rsidR="00C6642C" w:rsidRPr="00B65444">
        <w:rPr>
          <w:i/>
        </w:rPr>
        <w:t>LCT</w:t>
      </w:r>
      <w:r w:rsidR="00C6642C" w:rsidRPr="00C6642C">
        <w:t xml:space="preserve"> locus, with study-wide significant associations</w:t>
      </w:r>
      <w:r w:rsidR="00B65444">
        <w:t xml:space="preserve"> (</w:t>
      </w:r>
      <w:r w:rsidR="00BA115A" w:rsidRPr="00C77020">
        <w:rPr>
          <w:i/>
        </w:rPr>
        <w:t>p</w:t>
      </w:r>
      <w:r w:rsidR="00BA115A" w:rsidRPr="00BA115A">
        <w:t>&lt;</w:t>
      </w:r>
      <w:r w:rsidR="00BA115A">
        <w:t>3.8</w:t>
      </w:r>
      <w:r w:rsidR="00BA115A" w:rsidRPr="00BA115A">
        <w:t>×10</w:t>
      </w:r>
      <w:r w:rsidR="00BA115A" w:rsidRPr="00BA115A">
        <w:rPr>
          <w:vertAlign w:val="superscript"/>
        </w:rPr>
        <w:t>-</w:t>
      </w:r>
      <w:r w:rsidR="00BA115A">
        <w:rPr>
          <w:vertAlign w:val="superscript"/>
        </w:rPr>
        <w:t>11</w:t>
      </w:r>
      <w:r w:rsidR="00B65444">
        <w:t>)</w:t>
      </w:r>
      <w:r w:rsidR="00C6642C" w:rsidRPr="00C6642C">
        <w:t xml:space="preserve"> highlighted in bold</w:t>
      </w:r>
      <w:r w:rsidR="008160B9">
        <w:t>;</w:t>
      </w:r>
      <w:r w:rsidR="00C6642C" w:rsidRPr="00C6642C">
        <w:t xml:space="preserve"> </w:t>
      </w:r>
      <w:r w:rsidR="00D130A7">
        <w:t>(middle) S</w:t>
      </w:r>
      <w:r w:rsidR="00C6642C" w:rsidRPr="00C6642C">
        <w:t>pearman coefficients calculated on CLR</w:t>
      </w:r>
      <w:r w:rsidR="00D130A7">
        <w:t>-</w:t>
      </w:r>
      <w:r w:rsidR="00C6642C" w:rsidRPr="00C6642C">
        <w:t>transformed abundance</w:t>
      </w:r>
      <w:r w:rsidR="00D130A7">
        <w:t>s</w:t>
      </w:r>
      <w:r w:rsidR="008160B9">
        <w:t xml:space="preserve">; </w:t>
      </w:r>
      <w:r w:rsidR="008160B9" w:rsidRPr="008160B9">
        <w:t xml:space="preserve">(right) relative abundances across the </w:t>
      </w:r>
      <w:r w:rsidR="00141B24">
        <w:t>FR02</w:t>
      </w:r>
      <w:r w:rsidR="008160B9" w:rsidRPr="008160B9">
        <w:t xml:space="preserve"> cohort. </w:t>
      </w:r>
      <w:r w:rsidR="0055384E">
        <w:t xml:space="preserve">(B) </w:t>
      </w:r>
      <w:r w:rsidR="0055384E" w:rsidRPr="0055384E">
        <w:t>Carbohydrate-active enzymes (</w:t>
      </w:r>
      <w:proofErr w:type="spellStart"/>
      <w:r w:rsidR="0055384E" w:rsidRPr="0055384E">
        <w:t>CAZyme</w:t>
      </w:r>
      <w:proofErr w:type="spellEnd"/>
      <w:r w:rsidR="0055384E" w:rsidRPr="0055384E">
        <w:t xml:space="preserve">) distribution </w:t>
      </w:r>
      <w:r w:rsidR="0055384E" w:rsidRPr="00B65444">
        <w:t xml:space="preserve">patterns in </w:t>
      </w:r>
      <w:r w:rsidR="00B65444" w:rsidRPr="00B65444">
        <w:t>327</w:t>
      </w:r>
      <w:r w:rsidR="0055384E" w:rsidRPr="0055384E">
        <w:t xml:space="preserve"> previously published reference genomes</w:t>
      </w:r>
      <w:r w:rsidR="0055384E">
        <w:t xml:space="preserve"> </w:t>
      </w:r>
      <w:r w:rsidR="0055384E" w:rsidRPr="00B65444">
        <w:t xml:space="preserve">from </w:t>
      </w:r>
      <w:r w:rsidR="00B65444" w:rsidRPr="00B65444">
        <w:t>11</w:t>
      </w:r>
      <w:r w:rsidR="0055384E" w:rsidRPr="00B65444">
        <w:t xml:space="preserve"> </w:t>
      </w:r>
      <w:r w:rsidR="0055384E" w:rsidRPr="00B65444">
        <w:rPr>
          <w:i/>
        </w:rPr>
        <w:t>Bifidobacterium</w:t>
      </w:r>
      <w:r w:rsidR="0055384E" w:rsidRPr="0055384E">
        <w:t xml:space="preserve"> </w:t>
      </w:r>
      <w:r w:rsidR="00C6642C">
        <w:t xml:space="preserve">GTDB </w:t>
      </w:r>
      <w:r w:rsidR="0055384E">
        <w:t xml:space="preserve">species </w:t>
      </w:r>
      <w:r w:rsidR="0055384E" w:rsidRPr="0055384E">
        <w:t xml:space="preserve">which were included in the GTDB release 89 index used to classify metagenomes in this study. The heatmap indicates </w:t>
      </w:r>
      <w:r w:rsidR="009D7B48">
        <w:t>abundance of</w:t>
      </w:r>
      <w:r w:rsidR="0055384E" w:rsidRPr="0055384E">
        <w:t xml:space="preserve"> corresponding </w:t>
      </w:r>
      <w:proofErr w:type="spellStart"/>
      <w:r w:rsidR="0055384E" w:rsidRPr="0055384E">
        <w:t>CAZyme</w:t>
      </w:r>
      <w:proofErr w:type="spellEnd"/>
      <w:r w:rsidR="0055384E" w:rsidRPr="0055384E">
        <w:t xml:space="preserve"> families</w:t>
      </w:r>
      <w:r w:rsidR="003656A3">
        <w:t xml:space="preserve"> in species</w:t>
      </w:r>
      <w:r w:rsidR="0055384E" w:rsidRPr="0055384E">
        <w:t xml:space="preserve">, corresponding to the total count of detected families for each species divided by the number of reference genomes examined for the same species. Values &lt;1 indicate that less than one copy per genome of the corresponding </w:t>
      </w:r>
      <w:proofErr w:type="spellStart"/>
      <w:r w:rsidR="0055384E" w:rsidRPr="0055384E">
        <w:t>CAZyme</w:t>
      </w:r>
      <w:proofErr w:type="spellEnd"/>
      <w:r w:rsidR="0055384E" w:rsidRPr="0055384E">
        <w:t xml:space="preserve"> family was detected for each</w:t>
      </w:r>
      <w:r w:rsidR="003656A3">
        <w:t xml:space="preserve"> species</w:t>
      </w:r>
      <w:r w:rsidR="0055384E" w:rsidRPr="0055384E">
        <w:t>, values &gt;1 indicate that more than one copy per genome was detected. Preferred substrate groups are based on literature search and descriptions on CAZypedia.org.</w:t>
      </w:r>
    </w:p>
    <w:p w14:paraId="522BCD3B" w14:textId="32483151" w:rsidR="00C6642C" w:rsidRDefault="001039BB" w:rsidP="001039BB">
      <w:pPr>
        <w:jc w:val="center"/>
        <w:rPr>
          <w:b/>
        </w:rPr>
      </w:pPr>
      <w:r w:rsidRPr="001039BB">
        <w:rPr>
          <w:b/>
          <w:noProof/>
          <w:lang w:val="en-US" w:eastAsia="zh-CN"/>
        </w:rPr>
        <w:drawing>
          <wp:inline distT="0" distB="0" distL="0" distR="0" wp14:anchorId="1698C120" wp14:editId="5FF5C114">
            <wp:extent cx="5765006" cy="341878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6723" cy="341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FBBA" w14:textId="713F8DA1" w:rsidR="002E7BFE" w:rsidRDefault="002E7BFE">
      <w:pPr>
        <w:rPr>
          <w:b/>
        </w:rPr>
      </w:pPr>
      <w:r>
        <w:rPr>
          <w:b/>
        </w:rPr>
        <w:lastRenderedPageBreak/>
        <w:t>Figure S</w:t>
      </w:r>
      <w:r w:rsidR="008160B9">
        <w:rPr>
          <w:b/>
        </w:rPr>
        <w:t>7</w:t>
      </w:r>
      <w:r>
        <w:rPr>
          <w:b/>
        </w:rPr>
        <w:t>.</w:t>
      </w:r>
      <w:r w:rsidR="00332B08" w:rsidRPr="00332B08">
        <w:rPr>
          <w:rFonts w:hint="cs"/>
          <w:b/>
        </w:rPr>
        <w:t xml:space="preserve"> ABO </w:t>
      </w:r>
      <w:r w:rsidR="008160B9">
        <w:rPr>
          <w:b/>
        </w:rPr>
        <w:t xml:space="preserve">blood type </w:t>
      </w:r>
      <w:r w:rsidR="00332B08" w:rsidRPr="00332B08">
        <w:rPr>
          <w:rFonts w:hint="cs"/>
          <w:b/>
        </w:rPr>
        <w:t xml:space="preserve">and secretor status </w:t>
      </w:r>
      <w:r w:rsidR="001039BB">
        <w:rPr>
          <w:b/>
        </w:rPr>
        <w:t>are</w:t>
      </w:r>
      <w:r w:rsidR="00332B08" w:rsidRPr="00332B08">
        <w:rPr>
          <w:rFonts w:hint="cs"/>
          <w:b/>
        </w:rPr>
        <w:t xml:space="preserve"> not associated with gut microbial</w:t>
      </w:r>
      <w:r w:rsidR="008160B9">
        <w:rPr>
          <w:b/>
        </w:rPr>
        <w:t xml:space="preserve"> alpha- and beta-</w:t>
      </w:r>
      <w:r w:rsidR="00332B08" w:rsidRPr="00332B08">
        <w:rPr>
          <w:rFonts w:hint="cs"/>
          <w:b/>
        </w:rPr>
        <w:t>diversity</w:t>
      </w:r>
      <w:r w:rsidR="008160B9">
        <w:rPr>
          <w:b/>
        </w:rPr>
        <w:t xml:space="preserve"> measures</w:t>
      </w:r>
      <w:r w:rsidR="00332B08" w:rsidRPr="00332B08">
        <w:rPr>
          <w:rFonts w:hint="cs"/>
          <w:b/>
        </w:rPr>
        <w:t xml:space="preserve">. </w:t>
      </w:r>
      <w:r w:rsidR="00697556" w:rsidRPr="00697556">
        <w:t>(left)</w:t>
      </w:r>
      <w:r w:rsidR="00697556">
        <w:rPr>
          <w:b/>
        </w:rPr>
        <w:t xml:space="preserve"> </w:t>
      </w:r>
      <w:r w:rsidR="00DC3BD1" w:rsidRPr="00C77020">
        <w:t>Alpha diversity</w:t>
      </w:r>
      <w:r w:rsidR="00C77020">
        <w:t xml:space="preserve"> represented by </w:t>
      </w:r>
      <w:r w:rsidR="00332B08" w:rsidRPr="00332B08">
        <w:rPr>
          <w:rFonts w:hint="cs"/>
        </w:rPr>
        <w:t xml:space="preserve">Shannon </w:t>
      </w:r>
      <w:r w:rsidR="00C77020">
        <w:t>indices</w:t>
      </w:r>
      <w:r w:rsidR="00697556">
        <w:t>; (r</w:t>
      </w:r>
      <w:r w:rsidR="00332B08" w:rsidRPr="00332B08">
        <w:rPr>
          <w:rFonts w:hint="cs"/>
        </w:rPr>
        <w:t>ight</w:t>
      </w:r>
      <w:r w:rsidR="00697556">
        <w:t>)</w:t>
      </w:r>
      <w:r w:rsidR="00332B08" w:rsidRPr="00332B08">
        <w:rPr>
          <w:rFonts w:hint="cs"/>
        </w:rPr>
        <w:t xml:space="preserve"> </w:t>
      </w:r>
      <w:r w:rsidR="00697556">
        <w:t>b</w:t>
      </w:r>
      <w:r w:rsidR="00332B08" w:rsidRPr="00332B08">
        <w:rPr>
          <w:rFonts w:hint="cs"/>
        </w:rPr>
        <w:t>eta diversity</w:t>
      </w:r>
      <w:r w:rsidR="00697556">
        <w:t xml:space="preserve">, </w:t>
      </w:r>
      <w:r w:rsidR="00C77020">
        <w:t xml:space="preserve">represented by </w:t>
      </w:r>
      <w:r w:rsidR="00332B08" w:rsidRPr="00332B08">
        <w:rPr>
          <w:rFonts w:hint="cs"/>
        </w:rPr>
        <w:t>Bray-Curtis distance</w:t>
      </w:r>
      <w:r w:rsidR="00C77020">
        <w:t>s</w:t>
      </w:r>
      <w:r w:rsidR="00332B08" w:rsidRPr="00332B08">
        <w:rPr>
          <w:rFonts w:hint="cs"/>
        </w:rPr>
        <w:t xml:space="preserve">. Alpha and beta diversity were calculated </w:t>
      </w:r>
      <w:r w:rsidR="00697556">
        <w:t>from individual taxonomic profiles at the genus level</w:t>
      </w:r>
      <w:r w:rsidR="00332B08" w:rsidRPr="00332B08">
        <w:rPr>
          <w:rFonts w:hint="cs"/>
        </w:rPr>
        <w:t xml:space="preserve">. Individuals were segregated </w:t>
      </w:r>
      <w:r w:rsidR="00697556">
        <w:t xml:space="preserve">according to their predicted </w:t>
      </w:r>
      <w:r w:rsidR="00332B08" w:rsidRPr="00332B08">
        <w:rPr>
          <w:rFonts w:hint="cs"/>
        </w:rPr>
        <w:t>blood type and secretor status, both predicted from genotyp</w:t>
      </w:r>
      <w:r w:rsidR="00697556">
        <w:t>e</w:t>
      </w:r>
      <w:r w:rsidR="00332B08" w:rsidRPr="00332B08">
        <w:rPr>
          <w:rFonts w:hint="cs"/>
        </w:rPr>
        <w:t xml:space="preserve"> data.</w:t>
      </w:r>
    </w:p>
    <w:p w14:paraId="576A7380" w14:textId="6FBFD3BB" w:rsidR="002E7BFE" w:rsidRDefault="002E7BFE">
      <w:pPr>
        <w:rPr>
          <w:b/>
        </w:rPr>
      </w:pPr>
    </w:p>
    <w:p w14:paraId="2D2AAAD1" w14:textId="515F9E46" w:rsidR="002E7BFE" w:rsidRDefault="002E7BFE" w:rsidP="001B5E2E">
      <w:pPr>
        <w:jc w:val="center"/>
        <w:rPr>
          <w:b/>
        </w:rPr>
      </w:pPr>
      <w:r w:rsidRPr="002E7BFE">
        <w:rPr>
          <w:b/>
          <w:noProof/>
          <w:lang w:val="en-US" w:eastAsia="zh-CN"/>
        </w:rPr>
        <w:drawing>
          <wp:inline distT="0" distB="0" distL="0" distR="0" wp14:anchorId="520FA7C6" wp14:editId="00F38626">
            <wp:extent cx="4606724" cy="260469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6733" cy="261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B7F3" w14:textId="794EAD14" w:rsidR="002E7BFE" w:rsidRDefault="002E7BFE">
      <w:pPr>
        <w:rPr>
          <w:b/>
        </w:rPr>
      </w:pPr>
    </w:p>
    <w:p w14:paraId="3D1D4A95" w14:textId="77777777" w:rsidR="00F6063F" w:rsidRDefault="00F6063F">
      <w:pPr>
        <w:rPr>
          <w:b/>
        </w:rPr>
      </w:pPr>
    </w:p>
    <w:p w14:paraId="5A52D6E5" w14:textId="017557EE" w:rsidR="002E7BFE" w:rsidRDefault="002E7BFE">
      <w:pPr>
        <w:rPr>
          <w:b/>
        </w:rPr>
      </w:pPr>
      <w:r>
        <w:rPr>
          <w:b/>
        </w:rPr>
        <w:t>Figure S</w:t>
      </w:r>
      <w:r w:rsidR="003B33D2">
        <w:rPr>
          <w:b/>
        </w:rPr>
        <w:t>8</w:t>
      </w:r>
      <w:r>
        <w:rPr>
          <w:b/>
        </w:rPr>
        <w:t>.</w:t>
      </w:r>
      <w:r w:rsidRPr="002E7BFE">
        <w:rPr>
          <w:b/>
        </w:rPr>
        <w:t xml:space="preserve"> Combined effects of </w:t>
      </w:r>
      <w:r w:rsidRPr="002E7BFE">
        <w:rPr>
          <w:b/>
          <w:i/>
        </w:rPr>
        <w:t>ABO</w:t>
      </w:r>
      <w:r w:rsidRPr="002E7BFE">
        <w:rPr>
          <w:b/>
        </w:rPr>
        <w:t xml:space="preserve">:rs545971 genotype and ABO blood group with secretor status on gut levels of </w:t>
      </w:r>
      <w:proofErr w:type="spellStart"/>
      <w:r w:rsidRPr="002E7BFE">
        <w:rPr>
          <w:b/>
          <w:i/>
        </w:rPr>
        <w:t>Collinsella</w:t>
      </w:r>
      <w:proofErr w:type="spellEnd"/>
      <w:r w:rsidRPr="002E7BFE">
        <w:rPr>
          <w:b/>
        </w:rPr>
        <w:t xml:space="preserve"> associated with </w:t>
      </w:r>
      <w:r w:rsidRPr="002E7BFE">
        <w:rPr>
          <w:b/>
          <w:i/>
        </w:rPr>
        <w:t>ABO</w:t>
      </w:r>
      <w:r w:rsidRPr="002E7BFE">
        <w:rPr>
          <w:b/>
        </w:rPr>
        <w:t xml:space="preserve"> variation across participants of the </w:t>
      </w:r>
      <w:r w:rsidR="00BB5EE6">
        <w:rPr>
          <w:b/>
        </w:rPr>
        <w:t xml:space="preserve">FR02 </w:t>
      </w:r>
      <w:r w:rsidRPr="002E7BFE">
        <w:rPr>
          <w:b/>
        </w:rPr>
        <w:t xml:space="preserve"> cohort. </w:t>
      </w:r>
      <w:r w:rsidRPr="002E7BFE">
        <w:t>(A)</w:t>
      </w:r>
      <w:r>
        <w:rPr>
          <w:b/>
        </w:rPr>
        <w:t xml:space="preserve"> </w:t>
      </w:r>
      <w:r w:rsidRPr="002E7BFE">
        <w:t xml:space="preserve">Abundances are compared across stratified groups of individuals from the FR02 cohort according to (left panel): </w:t>
      </w:r>
      <w:r w:rsidRPr="002E7BFE">
        <w:rPr>
          <w:i/>
        </w:rPr>
        <w:t>ABO</w:t>
      </w:r>
      <w:r w:rsidRPr="002E7BFE">
        <w:t>:rs545971 genotype and predicted secretor status (</w:t>
      </w:r>
      <w:r w:rsidR="000A79F3">
        <w:t>blue</w:t>
      </w:r>
      <w:r w:rsidRPr="002E7BFE">
        <w:t xml:space="preserve">: secretor status conferred by </w:t>
      </w:r>
      <w:r w:rsidRPr="002E7BFE">
        <w:rPr>
          <w:i/>
        </w:rPr>
        <w:t>FUT2</w:t>
      </w:r>
      <w:r w:rsidRPr="002E7BFE">
        <w:t xml:space="preserve"> rs601338:AG/AA </w:t>
      </w:r>
      <w:r w:rsidR="000A79F3">
        <w:t>genotype</w:t>
      </w:r>
      <w:r w:rsidRPr="002E7BFE">
        <w:t xml:space="preserve">;  </w:t>
      </w:r>
      <w:r w:rsidR="000A79F3">
        <w:t>red</w:t>
      </w:r>
      <w:r w:rsidRPr="002E7BFE">
        <w:t xml:space="preserve">: non-secretor status conferred by </w:t>
      </w:r>
      <w:r w:rsidRPr="002E7BFE">
        <w:rPr>
          <w:i/>
        </w:rPr>
        <w:t>FUT2</w:t>
      </w:r>
      <w:r w:rsidRPr="002E7BFE">
        <w:t xml:space="preserve"> rs601338:GG </w:t>
      </w:r>
      <w:r w:rsidR="000A79F3">
        <w:t>genotype</w:t>
      </w:r>
      <w:r w:rsidRPr="002E7BFE">
        <w:t xml:space="preserve">) and (right panel) according to predicted A, AB, B and O blood types, and predicted secretor status. All statistical comparisons denote the p-values </w:t>
      </w:r>
      <w:r w:rsidR="000A79F3">
        <w:t>of</w:t>
      </w:r>
      <w:r w:rsidRPr="002E7BFE">
        <w:t xml:space="preserve"> Wilcoxon rank test on the distributions. </w:t>
      </w:r>
      <w:r w:rsidRPr="002E7BFE">
        <w:rPr>
          <w:i/>
        </w:rPr>
        <w:t>P</w:t>
      </w:r>
      <w:r w:rsidRPr="002E7BFE">
        <w:t>-values thresholds are abbreviated as follow: *:</w:t>
      </w:r>
      <w:r w:rsidRPr="00EC0862">
        <w:rPr>
          <w:i/>
        </w:rPr>
        <w:t>p</w:t>
      </w:r>
      <w:r w:rsidRPr="002E7BFE">
        <w:t>≤0.05; **:</w:t>
      </w:r>
      <w:r w:rsidRPr="002E7BFE">
        <w:rPr>
          <w:i/>
        </w:rPr>
        <w:t>p</w:t>
      </w:r>
      <w:r w:rsidRPr="002E7BFE">
        <w:t>≤0.01; ***:</w:t>
      </w:r>
      <w:r w:rsidRPr="002E7BFE">
        <w:rPr>
          <w:i/>
        </w:rPr>
        <w:t>p</w:t>
      </w:r>
      <w:r w:rsidRPr="002E7BFE">
        <w:t>≤0.001; ****:</w:t>
      </w:r>
      <w:r w:rsidRPr="002E7BFE">
        <w:rPr>
          <w:i/>
        </w:rPr>
        <w:t>p</w:t>
      </w:r>
      <w:r w:rsidRPr="002E7BFE">
        <w:t>≤0.0001.</w:t>
      </w:r>
      <w:r>
        <w:t xml:space="preserve"> (B) </w:t>
      </w:r>
      <w:r w:rsidR="00F6063F">
        <w:t>Effect of AB antigen secretion on gut microbial relative abundance, using the 2</w:t>
      </w:r>
      <w:r w:rsidR="000A79F3">
        <w:t>,</w:t>
      </w:r>
      <w:r w:rsidR="00F6063F">
        <w:t xml:space="preserve">801 taxa considered for GWAS in our study. </w:t>
      </w:r>
      <w:r w:rsidR="002A3A80">
        <w:t xml:space="preserve">Taxa with FDR adjusted </w:t>
      </w:r>
      <w:r w:rsidR="002A3A80" w:rsidRPr="00EC0862">
        <w:rPr>
          <w:i/>
        </w:rPr>
        <w:t>p</w:t>
      </w:r>
      <w:r w:rsidR="002A3A80">
        <w:t xml:space="preserve"> value &lt;0.05 are highlighted in red. Red line indicates the expected distribution of </w:t>
      </w:r>
      <w:r w:rsidR="002A3A80" w:rsidRPr="00EC0862">
        <w:rPr>
          <w:i/>
        </w:rPr>
        <w:t>p</w:t>
      </w:r>
      <w:r w:rsidR="002A3A80">
        <w:t xml:space="preserve"> values under the null hypothesis. P values were calculated using </w:t>
      </w:r>
      <w:r w:rsidR="002A3A80" w:rsidRPr="002E7BFE">
        <w:t>Wilcoxon rank test</w:t>
      </w:r>
      <w:r w:rsidR="002A3A80">
        <w:t>.</w:t>
      </w:r>
    </w:p>
    <w:p w14:paraId="44DE9D06" w14:textId="5F8C83F5" w:rsidR="002E7BFE" w:rsidRDefault="002E7BFE">
      <w:pPr>
        <w:rPr>
          <w:b/>
        </w:rPr>
      </w:pPr>
    </w:p>
    <w:p w14:paraId="748E06F8" w14:textId="4DE6ABE3" w:rsidR="009E4DD1" w:rsidRDefault="002E7BFE" w:rsidP="001B5E2E">
      <w:pPr>
        <w:jc w:val="center"/>
        <w:rPr>
          <w:b/>
        </w:rPr>
      </w:pPr>
      <w:r w:rsidRPr="002E7BFE">
        <w:rPr>
          <w:b/>
          <w:noProof/>
          <w:lang w:val="en-US" w:eastAsia="zh-CN"/>
        </w:rPr>
        <w:drawing>
          <wp:inline distT="0" distB="0" distL="0" distR="0" wp14:anchorId="30DAB6CA" wp14:editId="3D3FD897">
            <wp:extent cx="5727700" cy="24822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DD1">
        <w:rPr>
          <w:b/>
        </w:rPr>
        <w:br w:type="page"/>
      </w:r>
    </w:p>
    <w:p w14:paraId="7567F7F4" w14:textId="013E1724" w:rsidR="002932D5" w:rsidRDefault="002932D5" w:rsidP="002932D5">
      <w:r w:rsidRPr="002932D5">
        <w:rPr>
          <w:b/>
        </w:rPr>
        <w:lastRenderedPageBreak/>
        <w:t>Table S1. Details of 583 genome-wide significant associations between bacterial taxa abundances and genetic variants</w:t>
      </w:r>
      <w:r w:rsidRPr="002932D5">
        <w:t>. These were independent associations between 464 unique SNPs and 478 microbial taxa. Study-wide significant associations are highlighted in blue. Associated bacterial taxa are following the</w:t>
      </w:r>
      <w:r w:rsidR="00962008">
        <w:t xml:space="preserve"> </w:t>
      </w:r>
      <w:r w:rsidRPr="002932D5">
        <w:t xml:space="preserve">following nomenclature (d__ for domain, p__ for phylum, c__ for class, o__ for order, f__ for family, g__ for genus and s__ for species). The list of human gut microbiome keystone taxa was taken from Banerjee et al. (2018) </w:t>
      </w:r>
      <w:r w:rsidRPr="00EC0862">
        <w:rPr>
          <w:i/>
        </w:rPr>
        <w:t>Nature Reviews Microbiology</w:t>
      </w:r>
      <w:r w:rsidRPr="002932D5">
        <w:t xml:space="preserve"> 16(9):567-576.</w:t>
      </w:r>
    </w:p>
    <w:p w14:paraId="5D9FCB04" w14:textId="563C3031" w:rsidR="006B409D" w:rsidRDefault="006B409D" w:rsidP="002932D5"/>
    <w:p w14:paraId="105F5115" w14:textId="323FBE03" w:rsidR="002932D5" w:rsidRPr="002932D5" w:rsidRDefault="00CB4ED1" w:rsidP="00CB4ED1">
      <w:r w:rsidRPr="00CB4ED1">
        <w:rPr>
          <w:b/>
        </w:rPr>
        <w:t xml:space="preserve">Table S2. Effect of </w:t>
      </w:r>
      <w:r w:rsidR="0048258E">
        <w:rPr>
          <w:b/>
        </w:rPr>
        <w:t>before and after the adjustment of</w:t>
      </w:r>
      <w:r w:rsidRPr="00CB4ED1">
        <w:rPr>
          <w:b/>
        </w:rPr>
        <w:t xml:space="preserve"> </w:t>
      </w:r>
      <w:r w:rsidRPr="00CB4ED1">
        <w:rPr>
          <w:b/>
          <w:i/>
        </w:rPr>
        <w:t>Bifidobacterium</w:t>
      </w:r>
      <w:r w:rsidRPr="00CB4ED1">
        <w:rPr>
          <w:b/>
        </w:rPr>
        <w:t xml:space="preserve"> abundance on GWAS results. </w:t>
      </w:r>
      <w:r w:rsidRPr="00CB4ED1">
        <w:t xml:space="preserve">Associations between the </w:t>
      </w:r>
      <w:r w:rsidRPr="00CB4ED1">
        <w:rPr>
          <w:i/>
        </w:rPr>
        <w:t>LCT</w:t>
      </w:r>
      <w:r w:rsidRPr="00CB4ED1">
        <w:t xml:space="preserve"> locus and three </w:t>
      </w:r>
      <w:proofErr w:type="spellStart"/>
      <w:r>
        <w:rPr>
          <w:i/>
        </w:rPr>
        <w:t>Firmicutes_A</w:t>
      </w:r>
      <w:proofErr w:type="spellEnd"/>
      <w:r>
        <w:t xml:space="preserve"> taxa</w:t>
      </w:r>
      <w:r w:rsidRPr="00CB4ED1">
        <w:t xml:space="preserve"> were compared before and after </w:t>
      </w:r>
      <w:r w:rsidR="0048258E">
        <w:t xml:space="preserve">the </w:t>
      </w:r>
      <w:r w:rsidRPr="00CB4ED1">
        <w:t>adjustment of</w:t>
      </w:r>
      <w:r>
        <w:t xml:space="preserve"> </w:t>
      </w:r>
      <w:r w:rsidRPr="00CB4ED1">
        <w:rPr>
          <w:i/>
        </w:rPr>
        <w:t>Bifidobacterium</w:t>
      </w:r>
      <w:r w:rsidRPr="00CB4ED1">
        <w:t xml:space="preserve"> abundance. Spearman's rank correlation coefficient (ρ) was calculated using CLR-transformed bacterial abundances.</w:t>
      </w:r>
    </w:p>
    <w:p w14:paraId="33B65D1C" w14:textId="77777777" w:rsidR="002932D5" w:rsidRPr="002932D5" w:rsidRDefault="002932D5" w:rsidP="002932D5"/>
    <w:p w14:paraId="4046E061" w14:textId="0E933E38" w:rsidR="002932D5" w:rsidRPr="002932D5" w:rsidRDefault="002932D5" w:rsidP="002932D5">
      <w:r w:rsidRPr="002932D5">
        <w:rPr>
          <w:b/>
        </w:rPr>
        <w:t>Table S</w:t>
      </w:r>
      <w:r w:rsidR="00CB4ED1">
        <w:rPr>
          <w:b/>
        </w:rPr>
        <w:t>3</w:t>
      </w:r>
      <w:r w:rsidRPr="002932D5">
        <w:rPr>
          <w:b/>
        </w:rPr>
        <w:t>: Details of disease GWAS data used for two-sample Mendelian randomization.</w:t>
      </w:r>
      <w:r w:rsidRPr="002932D5">
        <w:t xml:space="preserve"> In total, 46 diseases are included. Diseases with significant causal relationships with gut microbe</w:t>
      </w:r>
      <w:r w:rsidR="001A15B9">
        <w:t>s</w:t>
      </w:r>
      <w:r w:rsidRPr="002932D5">
        <w:t xml:space="preserve"> are highlighted in bold.</w:t>
      </w:r>
    </w:p>
    <w:p w14:paraId="7A1AAE05" w14:textId="77777777" w:rsidR="002932D5" w:rsidRPr="002932D5" w:rsidRDefault="002932D5" w:rsidP="002932D5"/>
    <w:p w14:paraId="6C92EC47" w14:textId="5751131D" w:rsidR="002932D5" w:rsidRPr="002932D5" w:rsidRDefault="002932D5" w:rsidP="002932D5">
      <w:r w:rsidRPr="002932D5">
        <w:rPr>
          <w:b/>
        </w:rPr>
        <w:t>Table S</w:t>
      </w:r>
      <w:r w:rsidR="00CB4ED1">
        <w:rPr>
          <w:b/>
        </w:rPr>
        <w:t>4</w:t>
      </w:r>
      <w:r w:rsidRPr="002932D5">
        <w:rPr>
          <w:b/>
        </w:rPr>
        <w:t>. Predicted causal effects of gut microbial abundances on disease risks using five Mendelian Randomization methods.</w:t>
      </w:r>
      <w:r w:rsidRPr="002932D5">
        <w:t xml:space="preserve"> These causal effects were supported by at least three out of five tested methods. Red </w:t>
      </w:r>
      <w:proofErr w:type="spellStart"/>
      <w:r w:rsidRPr="002932D5">
        <w:t>color</w:t>
      </w:r>
      <w:proofErr w:type="spellEnd"/>
      <w:r w:rsidRPr="002932D5">
        <w:t xml:space="preserve"> denotes significant test of causal effect at</w:t>
      </w:r>
      <w:r w:rsidRPr="00EC0862">
        <w:rPr>
          <w:i/>
        </w:rPr>
        <w:t xml:space="preserve"> p</w:t>
      </w:r>
      <w:r w:rsidRPr="002932D5">
        <w:t>&lt;0.05 threshold. Horizontal pleiotropy, occurring when a variant would have an effect on disease outside of its effect on the exposure in Mendelian randomization (MR) was tested with MR-PRESSO and is reported for each test.</w:t>
      </w:r>
    </w:p>
    <w:p w14:paraId="5B7F4060" w14:textId="77777777" w:rsidR="002932D5" w:rsidRPr="002932D5" w:rsidRDefault="002932D5" w:rsidP="002932D5"/>
    <w:p w14:paraId="3BD581F6" w14:textId="179FE514" w:rsidR="002932D5" w:rsidRPr="002932D5" w:rsidRDefault="002932D5" w:rsidP="002932D5">
      <w:r w:rsidRPr="002932D5">
        <w:rPr>
          <w:b/>
        </w:rPr>
        <w:t>Table S</w:t>
      </w:r>
      <w:r w:rsidR="00CB4ED1">
        <w:rPr>
          <w:b/>
        </w:rPr>
        <w:t>5</w:t>
      </w:r>
      <w:r w:rsidRPr="002932D5">
        <w:rPr>
          <w:b/>
        </w:rPr>
        <w:t>. Predicted causal effects of disease risks on gut microbial abundances using five Mendelian Randomization methods.</w:t>
      </w:r>
      <w:r w:rsidRPr="002932D5">
        <w:t xml:space="preserve"> These causal effects were supported by at least three out of five tested methods. Red </w:t>
      </w:r>
      <w:proofErr w:type="spellStart"/>
      <w:r w:rsidRPr="002932D5">
        <w:t>color</w:t>
      </w:r>
      <w:proofErr w:type="spellEnd"/>
      <w:r w:rsidRPr="002932D5">
        <w:t xml:space="preserve"> denotes significant test of causal effect at </w:t>
      </w:r>
      <w:r w:rsidRPr="00EC0862">
        <w:rPr>
          <w:i/>
        </w:rPr>
        <w:t>p</w:t>
      </w:r>
      <w:r w:rsidRPr="002932D5">
        <w:t>&lt;0.05 threshold. Horizontal pleiotropy, occurring when a variant would have an effect on disease outside of its effect on the exposure in Mendelian randomization (MR) was tested with MR-PRESSO and is reported for each test.</w:t>
      </w:r>
    </w:p>
    <w:p w14:paraId="08E7811A" w14:textId="77777777" w:rsidR="002932D5" w:rsidRPr="002932D5" w:rsidRDefault="002932D5" w:rsidP="002932D5">
      <w:bookmarkStart w:id="0" w:name="_GoBack"/>
      <w:bookmarkEnd w:id="0"/>
    </w:p>
    <w:p w14:paraId="53F90330" w14:textId="52694837" w:rsidR="002932D5" w:rsidRDefault="002932D5">
      <w:r w:rsidRPr="002932D5">
        <w:rPr>
          <w:b/>
        </w:rPr>
        <w:t>Table S</w:t>
      </w:r>
      <w:r w:rsidR="00CB4ED1">
        <w:rPr>
          <w:b/>
        </w:rPr>
        <w:t>6.</w:t>
      </w:r>
      <w:r w:rsidRPr="002932D5">
        <w:rPr>
          <w:b/>
        </w:rPr>
        <w:t xml:space="preserve"> Summary statistics of genetic instruments used in the </w:t>
      </w:r>
      <w:r w:rsidR="00733656" w:rsidRPr="002932D5">
        <w:rPr>
          <w:b/>
        </w:rPr>
        <w:t>Mendelian Randomization</w:t>
      </w:r>
      <w:r w:rsidRPr="002932D5">
        <w:rPr>
          <w:b/>
        </w:rPr>
        <w:t>.</w:t>
      </w:r>
      <w:r w:rsidRPr="002932D5">
        <w:t xml:space="preserve"> Only genetic instruments for the inference of the significant causal effects are shown.</w:t>
      </w:r>
    </w:p>
    <w:sectPr w:rsidR="002932D5" w:rsidSect="00CE1A2A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2D5"/>
    <w:rsid w:val="00001C60"/>
    <w:rsid w:val="00034304"/>
    <w:rsid w:val="00053808"/>
    <w:rsid w:val="000A79F3"/>
    <w:rsid w:val="000C165C"/>
    <w:rsid w:val="000C3300"/>
    <w:rsid w:val="000D5528"/>
    <w:rsid w:val="000F02DE"/>
    <w:rsid w:val="000F0397"/>
    <w:rsid w:val="001039BB"/>
    <w:rsid w:val="001348B3"/>
    <w:rsid w:val="00141B24"/>
    <w:rsid w:val="001A15B9"/>
    <w:rsid w:val="001A3B5B"/>
    <w:rsid w:val="001B5E2E"/>
    <w:rsid w:val="00210DAE"/>
    <w:rsid w:val="00216C98"/>
    <w:rsid w:val="002207C9"/>
    <w:rsid w:val="00232419"/>
    <w:rsid w:val="00254DA5"/>
    <w:rsid w:val="00257FAE"/>
    <w:rsid w:val="00273AE7"/>
    <w:rsid w:val="00285659"/>
    <w:rsid w:val="002857A0"/>
    <w:rsid w:val="002932D5"/>
    <w:rsid w:val="00293644"/>
    <w:rsid w:val="00296CA6"/>
    <w:rsid w:val="002A3A80"/>
    <w:rsid w:val="002A70D6"/>
    <w:rsid w:val="002B244E"/>
    <w:rsid w:val="002B759D"/>
    <w:rsid w:val="002C2C4B"/>
    <w:rsid w:val="002D27F5"/>
    <w:rsid w:val="002E7BFE"/>
    <w:rsid w:val="002E7FEE"/>
    <w:rsid w:val="00311C69"/>
    <w:rsid w:val="00332B08"/>
    <w:rsid w:val="0034025A"/>
    <w:rsid w:val="0034479D"/>
    <w:rsid w:val="00346CCE"/>
    <w:rsid w:val="003656A3"/>
    <w:rsid w:val="00374256"/>
    <w:rsid w:val="00396E11"/>
    <w:rsid w:val="003A2FEC"/>
    <w:rsid w:val="003B33D2"/>
    <w:rsid w:val="003C6071"/>
    <w:rsid w:val="00407AF3"/>
    <w:rsid w:val="00415FC2"/>
    <w:rsid w:val="0048258E"/>
    <w:rsid w:val="004A7932"/>
    <w:rsid w:val="004B1661"/>
    <w:rsid w:val="004B2074"/>
    <w:rsid w:val="004C3165"/>
    <w:rsid w:val="004D53C4"/>
    <w:rsid w:val="005041D6"/>
    <w:rsid w:val="005115CD"/>
    <w:rsid w:val="005243D1"/>
    <w:rsid w:val="00527B8A"/>
    <w:rsid w:val="0055384E"/>
    <w:rsid w:val="0057527D"/>
    <w:rsid w:val="005D401E"/>
    <w:rsid w:val="005E0FC2"/>
    <w:rsid w:val="0061054E"/>
    <w:rsid w:val="00615BCC"/>
    <w:rsid w:val="00623041"/>
    <w:rsid w:val="006734C6"/>
    <w:rsid w:val="00675539"/>
    <w:rsid w:val="00682645"/>
    <w:rsid w:val="00685A43"/>
    <w:rsid w:val="00685C36"/>
    <w:rsid w:val="00686DFF"/>
    <w:rsid w:val="00690833"/>
    <w:rsid w:val="006914F9"/>
    <w:rsid w:val="00692F01"/>
    <w:rsid w:val="006972A9"/>
    <w:rsid w:val="00697556"/>
    <w:rsid w:val="006B2E95"/>
    <w:rsid w:val="006B409D"/>
    <w:rsid w:val="006E006A"/>
    <w:rsid w:val="006E1B70"/>
    <w:rsid w:val="00727845"/>
    <w:rsid w:val="00733656"/>
    <w:rsid w:val="007419DC"/>
    <w:rsid w:val="00781063"/>
    <w:rsid w:val="0078116F"/>
    <w:rsid w:val="007A1128"/>
    <w:rsid w:val="007B784D"/>
    <w:rsid w:val="007C1312"/>
    <w:rsid w:val="007D170A"/>
    <w:rsid w:val="00801E70"/>
    <w:rsid w:val="008160B9"/>
    <w:rsid w:val="00833928"/>
    <w:rsid w:val="00836968"/>
    <w:rsid w:val="00863D7D"/>
    <w:rsid w:val="008C74AD"/>
    <w:rsid w:val="008E7719"/>
    <w:rsid w:val="00942575"/>
    <w:rsid w:val="0094531A"/>
    <w:rsid w:val="009530EA"/>
    <w:rsid w:val="00962008"/>
    <w:rsid w:val="00962DC6"/>
    <w:rsid w:val="009636CD"/>
    <w:rsid w:val="00964A33"/>
    <w:rsid w:val="00982620"/>
    <w:rsid w:val="00994450"/>
    <w:rsid w:val="00995A09"/>
    <w:rsid w:val="009B2B64"/>
    <w:rsid w:val="009D7B48"/>
    <w:rsid w:val="009E4DD1"/>
    <w:rsid w:val="009F3612"/>
    <w:rsid w:val="00A11CBF"/>
    <w:rsid w:val="00A6448A"/>
    <w:rsid w:val="00A67EFB"/>
    <w:rsid w:val="00A70C03"/>
    <w:rsid w:val="00A70C69"/>
    <w:rsid w:val="00A73CE9"/>
    <w:rsid w:val="00A84D75"/>
    <w:rsid w:val="00AD3E77"/>
    <w:rsid w:val="00AE13BA"/>
    <w:rsid w:val="00AF63E8"/>
    <w:rsid w:val="00B419FA"/>
    <w:rsid w:val="00B47648"/>
    <w:rsid w:val="00B65444"/>
    <w:rsid w:val="00B763AA"/>
    <w:rsid w:val="00B81242"/>
    <w:rsid w:val="00BA115A"/>
    <w:rsid w:val="00BA377D"/>
    <w:rsid w:val="00BB5EE6"/>
    <w:rsid w:val="00BC6725"/>
    <w:rsid w:val="00BE59CB"/>
    <w:rsid w:val="00BE6CBB"/>
    <w:rsid w:val="00C0666C"/>
    <w:rsid w:val="00C115E1"/>
    <w:rsid w:val="00C11B96"/>
    <w:rsid w:val="00C6642C"/>
    <w:rsid w:val="00C77020"/>
    <w:rsid w:val="00C946B8"/>
    <w:rsid w:val="00CB4ED1"/>
    <w:rsid w:val="00CC1A86"/>
    <w:rsid w:val="00CD13E9"/>
    <w:rsid w:val="00CD2ED9"/>
    <w:rsid w:val="00CE1A2A"/>
    <w:rsid w:val="00CF06CD"/>
    <w:rsid w:val="00CF0CE3"/>
    <w:rsid w:val="00CF236F"/>
    <w:rsid w:val="00CF26D7"/>
    <w:rsid w:val="00D130A7"/>
    <w:rsid w:val="00D27A07"/>
    <w:rsid w:val="00D569E4"/>
    <w:rsid w:val="00D64A55"/>
    <w:rsid w:val="00D827F5"/>
    <w:rsid w:val="00D83282"/>
    <w:rsid w:val="00D846FF"/>
    <w:rsid w:val="00DA7CE4"/>
    <w:rsid w:val="00DC3BD1"/>
    <w:rsid w:val="00E05E46"/>
    <w:rsid w:val="00E142DC"/>
    <w:rsid w:val="00E3506F"/>
    <w:rsid w:val="00E53299"/>
    <w:rsid w:val="00E55E1C"/>
    <w:rsid w:val="00E5660E"/>
    <w:rsid w:val="00E84653"/>
    <w:rsid w:val="00E909C0"/>
    <w:rsid w:val="00EA2D9C"/>
    <w:rsid w:val="00EC0862"/>
    <w:rsid w:val="00F17FB0"/>
    <w:rsid w:val="00F451A3"/>
    <w:rsid w:val="00F46342"/>
    <w:rsid w:val="00F6063F"/>
    <w:rsid w:val="00F77570"/>
    <w:rsid w:val="00F8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87127"/>
  <w15:chartTrackingRefBased/>
  <w15:docId w15:val="{A8A60A33-1B58-F345-8304-0E4A749C0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932D5"/>
  </w:style>
  <w:style w:type="character" w:styleId="CommentReference">
    <w:name w:val="annotation reference"/>
    <w:basedOn w:val="DefaultParagraphFont"/>
    <w:uiPriority w:val="99"/>
    <w:semiHidden/>
    <w:unhideWhenUsed/>
    <w:rsid w:val="002932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32D5"/>
    <w:pPr>
      <w:jc w:val="left"/>
    </w:pPr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32D5"/>
    <w:rPr>
      <w:rFonts w:eastAsia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2D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2D5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C6642C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256"/>
    <w:pPr>
      <w:jc w:val="both"/>
    </w:pPr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256"/>
    <w:rPr>
      <w:rFonts w:eastAsia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Meric</dc:creator>
  <cp:keywords/>
  <dc:description/>
  <cp:lastModifiedBy>Guillaume Meric</cp:lastModifiedBy>
  <cp:revision>3</cp:revision>
  <dcterms:created xsi:type="dcterms:W3CDTF">2020-09-12T05:28:00Z</dcterms:created>
  <dcterms:modified xsi:type="dcterms:W3CDTF">2020-09-12T05:28:00Z</dcterms:modified>
</cp:coreProperties>
</file>