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5005" w14:textId="0BD33CE1" w:rsidR="003E7D90" w:rsidRPr="0028147D" w:rsidRDefault="003E7D90">
      <w:pPr>
        <w:rPr>
          <w:rFonts w:ascii="Arial" w:hAnsi="Arial" w:cs="Arial"/>
          <w:b/>
          <w:bCs/>
        </w:rPr>
      </w:pPr>
      <w:r w:rsidRPr="0028147D">
        <w:rPr>
          <w:rFonts w:ascii="Arial" w:hAnsi="Arial" w:cs="Arial"/>
          <w:b/>
          <w:bCs/>
        </w:rPr>
        <w:t xml:space="preserve">Table </w:t>
      </w:r>
      <w:r w:rsidR="00600A9F">
        <w:rPr>
          <w:rFonts w:ascii="Arial" w:hAnsi="Arial" w:cs="Arial"/>
          <w:b/>
          <w:bCs/>
        </w:rPr>
        <w:t>S</w:t>
      </w:r>
      <w:r w:rsidR="00312EFC">
        <w:rPr>
          <w:rFonts w:ascii="Arial" w:hAnsi="Arial" w:cs="Arial"/>
          <w:b/>
          <w:bCs/>
        </w:rPr>
        <w:t>4</w:t>
      </w:r>
      <w:r w:rsidRPr="0028147D">
        <w:rPr>
          <w:rFonts w:ascii="Arial" w:hAnsi="Arial" w:cs="Arial"/>
          <w:b/>
          <w:bCs/>
        </w:rPr>
        <w:t xml:space="preserve">. </w:t>
      </w:r>
      <w:r w:rsidR="00CC1DAC">
        <w:rPr>
          <w:rFonts w:ascii="Arial" w:hAnsi="Arial" w:cs="Arial"/>
          <w:b/>
          <w:bCs/>
        </w:rPr>
        <w:t>R</w:t>
      </w:r>
      <w:r w:rsidRPr="0028147D">
        <w:rPr>
          <w:rFonts w:ascii="Arial" w:hAnsi="Arial" w:cs="Arial"/>
          <w:b/>
          <w:bCs/>
        </w:rPr>
        <w:t xml:space="preserve">isk of </w:t>
      </w:r>
      <w:r w:rsidR="00024159">
        <w:rPr>
          <w:rFonts w:ascii="Arial" w:hAnsi="Arial" w:cs="Arial"/>
          <w:b/>
          <w:bCs/>
        </w:rPr>
        <w:t>b</w:t>
      </w:r>
      <w:r w:rsidRPr="0028147D">
        <w:rPr>
          <w:rFonts w:ascii="Arial" w:hAnsi="Arial" w:cs="Arial"/>
          <w:b/>
          <w:bCs/>
        </w:rPr>
        <w:t xml:space="preserve">ias </w:t>
      </w:r>
      <w:r w:rsidR="00024159">
        <w:rPr>
          <w:rFonts w:ascii="Arial" w:hAnsi="Arial" w:cs="Arial"/>
          <w:b/>
          <w:bCs/>
        </w:rPr>
        <w:t>a</w:t>
      </w:r>
      <w:r w:rsidRPr="0028147D">
        <w:rPr>
          <w:rFonts w:ascii="Arial" w:hAnsi="Arial" w:cs="Arial"/>
          <w:b/>
          <w:bCs/>
        </w:rPr>
        <w:t xml:space="preserve">ssessment </w:t>
      </w:r>
      <w:r w:rsidR="00CC1DAC">
        <w:rPr>
          <w:rFonts w:ascii="Arial" w:hAnsi="Arial" w:cs="Arial"/>
          <w:b/>
          <w:bCs/>
        </w:rPr>
        <w:t>per PRISMA guideline</w:t>
      </w:r>
    </w:p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52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00A9F" w:rsidRPr="00456818" w14:paraId="7204133A" w14:textId="4D7F0B89" w:rsidTr="00600A9F">
        <w:trPr>
          <w:trHeight w:val="2490"/>
          <w:jc w:val="center"/>
        </w:trPr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80BD7CA" w14:textId="77777777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0" w:name="_Hlk50476386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1072EBC8" w14:textId="0A2B5F70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Dorry</w:t>
            </w:r>
            <w:proofErr w:type="spellEnd"/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4B673F6" w14:textId="4D8C1404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D17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Konig</w:t>
            </w:r>
            <w:proofErr w:type="spellEnd"/>
            <w:r w:rsidRPr="007D17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AAD3607" w14:textId="69DA5DDC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D17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Mehle</w:t>
            </w:r>
            <w:proofErr w:type="spellEnd"/>
            <w:r w:rsidRPr="007D17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465F828A" w14:textId="0B122980" w:rsidR="008444B2" w:rsidRPr="00E03C99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Muhlbauer</w:t>
            </w:r>
            <w:proofErr w:type="spellEnd"/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70E7E7D9" w14:textId="6AE78BA0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Frieman</w:t>
            </w:r>
            <w:proofErr w:type="spellEnd"/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4AFF7E0A" w14:textId="2A1F870F" w:rsidR="008444B2" w:rsidRPr="00A72BE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72B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Mizutani</w:t>
            </w:r>
            <w:proofErr w:type="spellEnd"/>
            <w:r w:rsidRPr="00A72B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514A88A4" w14:textId="3480B0B0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Jiang et al, 2019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8AB6D7D" w14:textId="284D00B9" w:rsidR="008444B2" w:rsidRPr="001D7435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Ando et al, 2011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6FFC1AD5" w14:textId="7D6E580B" w:rsidR="008444B2" w:rsidRPr="001D7435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Vasu et al, 2001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02CBC737" w14:textId="6CD3201E" w:rsidR="008444B2" w:rsidRPr="001D7435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 Sage et al, 2013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4C04902" w14:textId="29EB5AF4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7B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Tutuncuoglu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FBDB4EF" w14:textId="6BE68A58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Shapira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D2FB2E" w14:textId="3B4ED042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3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König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7FB030D" w14:textId="42A5CA00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6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Denisova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3B106EE" w14:textId="5D2AEE78" w:rsidR="008444B2" w:rsidRPr="00EF2C67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52A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Bouhaddou</w:t>
            </w:r>
            <w:proofErr w:type="spellEnd"/>
            <w:r w:rsidRPr="00052A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9639FF1" w14:textId="2D95D033" w:rsidR="008444B2" w:rsidRPr="00052ABC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52A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Domingues</w:t>
            </w:r>
            <w:proofErr w:type="spellEnd"/>
            <w:r w:rsidRPr="00052A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DFBC554" w14:textId="462CB264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Reemers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ECE0D1F" w14:textId="70685AA5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3A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Lietzén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1DA1D6D" w14:textId="52719151" w:rsidR="008444B2" w:rsidRPr="00052ABC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2A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Chen et al, 2005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7A7BD29" w14:textId="680B2CE2" w:rsidR="008444B2" w:rsidRPr="00456818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712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Yoshikawa et al, 2009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9108A36" w14:textId="1C7257ED" w:rsidR="008444B2" w:rsidRPr="008444B2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6712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Moser et al, 2014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2958C35" w14:textId="35696C07" w:rsidR="008444B2" w:rsidRPr="00DA1FDF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Söderholm</w:t>
            </w:r>
            <w:proofErr w:type="spellEnd"/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2A510C0" w14:textId="6A63A65D" w:rsidR="008444B2" w:rsidRPr="00EF1A13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C94E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Gordon et al, </w:t>
            </w:r>
            <w:r w:rsidR="00EF1A13" w:rsidRPr="00C94E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51C98C3" w14:textId="430CA68E" w:rsidR="008444B2" w:rsidRPr="00456818" w:rsidRDefault="00EF1A13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6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 et al, 2005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A39E013" w14:textId="5F7C89DC" w:rsidR="008444B2" w:rsidRPr="00456818" w:rsidRDefault="00AF65CE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65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Jiao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5A77FA6" w14:textId="3F2FD1FC" w:rsidR="008444B2" w:rsidRPr="00456818" w:rsidRDefault="00AF765C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76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Ravindra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2020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DEA67F4" w14:textId="450DE263" w:rsidR="008444B2" w:rsidRPr="00456818" w:rsidRDefault="0025596B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5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et al, 2020</w:t>
            </w:r>
          </w:p>
        </w:tc>
      </w:tr>
      <w:tr w:rsidR="00600A9F" w:rsidRPr="0028147D" w14:paraId="6C59438E" w14:textId="44A2C5AB" w:rsidTr="00600A9F">
        <w:trPr>
          <w:trHeight w:val="30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2956D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Random Sequence Generation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788D55D" w14:textId="6196E34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DA12984" w14:textId="23CC1686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D740667" w14:textId="6A76A221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252DFC7" w14:textId="0C4D7930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F14D089" w14:textId="2219A085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444E4F7" w14:textId="648FE7F1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79F5DBE" w14:textId="6AA8974B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412FDB5" w14:textId="3A13FD36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4BE6E3B" w14:textId="2C60B4F2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A6FE5EC" w14:textId="0262621E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A3129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30BF262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C5E6BC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5A54E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D786CBF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F0D01F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6D355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CA3283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4B6E65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D7086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66A775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F7AE7D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1216C4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14BA6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5BAF8F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8306E13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3861CA5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564F7341" w14:textId="3B05B285" w:rsidTr="00600A9F">
        <w:trPr>
          <w:trHeight w:val="512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8E4E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Allocation concealment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31A216" w14:textId="74999A1E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410278A" w14:textId="076E43F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7A068D6" w14:textId="6436C273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F13FC73" w14:textId="132ECBFB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4E72211" w14:textId="4C2FC46A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2C15F02" w14:textId="7FC1E77B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114AB3E" w14:textId="60C1128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019297" w14:textId="2BE5DC8E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C0563E" w14:textId="150A781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921EA96" w14:textId="135AC6AF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2FDB37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DAAF7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8AAD9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3264A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4B482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1D08C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E725C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A1B2B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50F0E4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B36245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71CB1FD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161867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B57AF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5813254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43B29F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90A6A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9E643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5193A86D" w14:textId="2B779242" w:rsidTr="00600A9F">
        <w:trPr>
          <w:trHeight w:val="35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5E4D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participants and personnel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942F544" w14:textId="43BA58C0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58ADBA6" w14:textId="0723F38C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1C089F9" w14:textId="23CE9649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87415FE" w14:textId="05540FBD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07D77BE" w14:textId="5F8EF5E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06CF261" w14:textId="4CDA5F35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D13ABCD" w14:textId="69F0AFAA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FEF9285" w14:textId="2C4B088E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4E681AF" w14:textId="4DADCB78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37E8D62" w14:textId="1C84DA61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5568EB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AEB4D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5D51B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0147B4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CCA0332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E97C0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48748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AAB6AA3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26B1E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083B7B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82BEEB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208454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6960C4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9DA032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C44274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3F1A2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532C69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668DB5B8" w14:textId="27FA70AB" w:rsidTr="00600A9F">
        <w:trPr>
          <w:trHeight w:val="575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3BDC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outcome assessment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56B4181" w14:textId="5EEB8E4C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36B69E0" w14:textId="68C7D60B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9B5F59A" w14:textId="4768468F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C988D37" w14:textId="04EC77F1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80205BA" w14:textId="0A7C0E70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BC851E2" w14:textId="7083421A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4680C46" w14:textId="518FF8CE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6CAF509" w14:textId="559408AD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66DB151" w14:textId="1F638E8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A7CD420" w14:textId="2FBA8B90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EC5957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D03B94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E83B8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40763F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E051E4F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568AB3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7D5A3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F9AAE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1EDE2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3D3D6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E69BB5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10C0F4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74EC5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776AD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5D857E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68D0334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DC11EB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0108FD95" w14:textId="04C46771" w:rsidTr="00600A9F">
        <w:trPr>
          <w:trHeight w:val="62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4B0D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Incomplete outcome data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FD35C89" w14:textId="0DBEDD91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E6CC528" w14:textId="0EBCE615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74E312" w14:textId="0667C63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BF6C4C1" w14:textId="7EC2077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A27DFD" w14:textId="544293A9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8FBEE2" w14:textId="768BD514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1882C94" w14:textId="1B48CDD5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D9D3AAC" w14:textId="2B1DAD90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C8666E8" w14:textId="495F2236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27A4A25" w14:textId="2288E25D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765481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8B7C95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937655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38060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4C670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1956C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E22E4F7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BB694F3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7CF11D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23AC046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F160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55752D0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E305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E899B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802111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D5978D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C1116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5128C7BE" w14:textId="72C63EFD" w:rsidTr="00600A9F">
        <w:trPr>
          <w:trHeight w:val="494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E810" w14:textId="7777777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Selective reporting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D4C1D90" w14:textId="6E46C2FD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9AA29E0" w14:textId="6A91FAB7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C9B334" w14:textId="562B5BBB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87240F6" w14:textId="74A4E21A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C9DFF22" w14:textId="1927A459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B534548" w14:textId="6D7A675C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FAC6BA" w14:textId="530D136F" w:rsidR="008444B2" w:rsidRPr="001D7435" w:rsidRDefault="008444B2" w:rsidP="00C24CB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D7435">
              <w:rPr>
                <w:rFonts w:ascii="Arial" w:eastAsia="Times New Roman" w:hAnsi="Arial" w:cs="Arial"/>
                <w:color w:val="FFFF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9941777" w14:textId="2C98498D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3C028CA" w14:textId="61B05DA9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E247DA" w14:textId="7860D576" w:rsidR="008444B2" w:rsidRPr="0028147D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9BAEA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0D45B81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C73C0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57B6E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10C99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6132BBC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881786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4EE9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4721BA2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9AC43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466F5FB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C195B55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EE74BE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CCB282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4B7B658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B3D1A9" w14:textId="77777777" w:rsidR="008444B2" w:rsidRPr="00657BFB" w:rsidRDefault="008444B2" w:rsidP="00C24C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6B5956" w14:textId="77777777" w:rsidR="008444B2" w:rsidRPr="0025596B" w:rsidRDefault="008444B2" w:rsidP="00C24CB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bookmarkEnd w:id="0"/>
    </w:tbl>
    <w:p w14:paraId="3E5C7001" w14:textId="7B41BE49" w:rsidR="003E7D90" w:rsidRPr="0028147D" w:rsidRDefault="003E7D90">
      <w:pPr>
        <w:rPr>
          <w:rFonts w:ascii="Arial" w:hAnsi="Arial" w:cs="Arial"/>
        </w:rPr>
      </w:pPr>
    </w:p>
    <w:p w14:paraId="4BAFF93E" w14:textId="24D0A5BB" w:rsidR="008444B2" w:rsidRDefault="008444B2">
      <w:pPr>
        <w:rPr>
          <w:rFonts w:ascii="Arial" w:hAnsi="Arial" w:cs="Arial"/>
        </w:rPr>
      </w:pPr>
    </w:p>
    <w:p w14:paraId="7372B1E6" w14:textId="121FC2E3" w:rsidR="00600A9F" w:rsidRDefault="00600A9F">
      <w:pPr>
        <w:rPr>
          <w:rFonts w:ascii="Arial" w:hAnsi="Arial" w:cs="Arial"/>
        </w:rPr>
      </w:pPr>
    </w:p>
    <w:p w14:paraId="67843B88" w14:textId="56ECABAB" w:rsidR="00600A9F" w:rsidRDefault="00600A9F">
      <w:pPr>
        <w:rPr>
          <w:rFonts w:ascii="Arial" w:hAnsi="Arial" w:cs="Arial"/>
        </w:rPr>
      </w:pPr>
    </w:p>
    <w:p w14:paraId="5082A21A" w14:textId="3E919743" w:rsidR="00600A9F" w:rsidRDefault="00600A9F">
      <w:pPr>
        <w:rPr>
          <w:rFonts w:ascii="Arial" w:hAnsi="Arial" w:cs="Arial"/>
        </w:rPr>
      </w:pPr>
    </w:p>
    <w:p w14:paraId="7264BAAE" w14:textId="77777777" w:rsidR="00600A9F" w:rsidRDefault="00600A9F">
      <w:pPr>
        <w:rPr>
          <w:rFonts w:ascii="Arial" w:hAnsi="Arial" w:cs="Arial"/>
        </w:rPr>
      </w:pPr>
    </w:p>
    <w:p w14:paraId="0C5072A6" w14:textId="054AF432" w:rsidR="00600A9F" w:rsidRDefault="00600A9F">
      <w:pPr>
        <w:rPr>
          <w:rFonts w:ascii="Arial" w:hAnsi="Arial" w:cs="Arial"/>
        </w:rPr>
      </w:pPr>
    </w:p>
    <w:p w14:paraId="781584E6" w14:textId="2CE7094B" w:rsidR="00600A9F" w:rsidRPr="0028147D" w:rsidRDefault="00600A9F" w:rsidP="00600A9F">
      <w:pPr>
        <w:rPr>
          <w:rFonts w:ascii="Arial" w:hAnsi="Arial" w:cs="Arial"/>
          <w:b/>
          <w:bCs/>
        </w:rPr>
      </w:pPr>
      <w:r w:rsidRPr="0028147D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>S</w:t>
      </w:r>
      <w:r w:rsidR="00312EFC">
        <w:rPr>
          <w:rFonts w:ascii="Arial" w:hAnsi="Arial" w:cs="Arial"/>
          <w:b/>
          <w:bCs/>
        </w:rPr>
        <w:t>4</w:t>
      </w:r>
      <w:r w:rsidRPr="0028147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R</w:t>
      </w:r>
      <w:r w:rsidRPr="0028147D">
        <w:rPr>
          <w:rFonts w:ascii="Arial" w:hAnsi="Arial" w:cs="Arial"/>
          <w:b/>
          <w:bCs/>
        </w:rPr>
        <w:t xml:space="preserve">isk of </w:t>
      </w:r>
      <w:r>
        <w:rPr>
          <w:rFonts w:ascii="Arial" w:hAnsi="Arial" w:cs="Arial"/>
          <w:b/>
          <w:bCs/>
        </w:rPr>
        <w:t>b</w:t>
      </w:r>
      <w:r w:rsidRPr="0028147D">
        <w:rPr>
          <w:rFonts w:ascii="Arial" w:hAnsi="Arial" w:cs="Arial"/>
          <w:b/>
          <w:bCs/>
        </w:rPr>
        <w:t xml:space="preserve">ias </w:t>
      </w:r>
      <w:r>
        <w:rPr>
          <w:rFonts w:ascii="Arial" w:hAnsi="Arial" w:cs="Arial"/>
          <w:b/>
          <w:bCs/>
        </w:rPr>
        <w:t>a</w:t>
      </w:r>
      <w:r w:rsidRPr="0028147D">
        <w:rPr>
          <w:rFonts w:ascii="Arial" w:hAnsi="Arial" w:cs="Arial"/>
          <w:b/>
          <w:bCs/>
        </w:rPr>
        <w:t xml:space="preserve">ssessment </w:t>
      </w:r>
      <w:r>
        <w:rPr>
          <w:rFonts w:ascii="Arial" w:hAnsi="Arial" w:cs="Arial"/>
          <w:b/>
          <w:bCs/>
        </w:rPr>
        <w:t>per PRISMA guideline</w:t>
      </w:r>
      <w:r w:rsidR="00BE02ED">
        <w:rPr>
          <w:rFonts w:ascii="Arial" w:hAnsi="Arial" w:cs="Arial"/>
          <w:b/>
          <w:bCs/>
        </w:rPr>
        <w:t xml:space="preserve"> (continued)</w:t>
      </w:r>
    </w:p>
    <w:p w14:paraId="2786C3E2" w14:textId="77777777" w:rsidR="00600A9F" w:rsidRDefault="00600A9F">
      <w:pPr>
        <w:rPr>
          <w:rFonts w:ascii="Arial" w:hAnsi="Arial" w:cs="Arial"/>
        </w:rPr>
      </w:pPr>
    </w:p>
    <w:tbl>
      <w:tblPr>
        <w:tblW w:w="14463" w:type="dxa"/>
        <w:jc w:val="center"/>
        <w:tblLook w:val="04A0" w:firstRow="1" w:lastRow="0" w:firstColumn="1" w:lastColumn="0" w:noHBand="0" w:noVBand="1"/>
      </w:tblPr>
      <w:tblGrid>
        <w:gridCol w:w="252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BE02ED" w:rsidRPr="00DA1FDF" w14:paraId="2867064B" w14:textId="77777777" w:rsidTr="00BE02ED">
        <w:trPr>
          <w:trHeight w:val="2490"/>
          <w:jc w:val="center"/>
        </w:trPr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89732FE" w14:textId="77777777" w:rsidR="00BE02ED" w:rsidRDefault="00BE02ED" w:rsidP="00F838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83A3CA9" w14:textId="028F9015" w:rsidR="00BE02ED" w:rsidRPr="00456818" w:rsidRDefault="00BE02ED" w:rsidP="00F838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1D3604A0" w14:textId="6D2DAB8D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C5C30D0" w14:textId="4E487DAD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A1F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Giobbe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7C9685D" w14:textId="72BCD3F2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22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Drews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44B59898" w14:textId="11DFA874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Nagesh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05ABCCC6" w14:textId="3CFC6818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1C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Milazzo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ADB7B55" w14:textId="4A7FAEA2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41173695" w14:textId="055D754C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3D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Zhou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295CFA4" w14:textId="60121A81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F03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Karlas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84B946E" w14:textId="3C0DAEC8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03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Ahmed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468A0F3C" w14:textId="0ADE71EF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Dutta et al, 2018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9775161" w14:textId="5DBB2766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64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Keicho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179D540" w14:textId="07F5591D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64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Jurcevic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1996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9F6B804" w14:textId="56976A49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8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Kalita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8FE3B08" w14:textId="0D81431B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Zimmermann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C2B89FB" w14:textId="490EE07F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 et al, 2011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D594790" w14:textId="3B2A85EF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5D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51B2FF0" w14:textId="601A5B67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B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Zhou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F0ACEC0" w14:textId="68626A67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25B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CAA56F1" w14:textId="4F861BE6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12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Ioannidis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DD6486C" w14:textId="68FB362E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BEB3C7D" w14:textId="436DDE56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3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uang et al, 1990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A7C63F1" w14:textId="6AC0AA52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70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Lytkin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1132145" w14:textId="2D1C4EBA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770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Traboulsi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5F00C57" w14:textId="64558425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70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Huang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51628E5" w14:textId="1A852652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D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Shapira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E2B9103" w14:textId="01B1C28D" w:rsidR="00BE02ED" w:rsidRPr="00DA1FDF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D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Kim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 al, 2015</w:t>
            </w:r>
          </w:p>
        </w:tc>
      </w:tr>
      <w:tr w:rsidR="00BE02ED" w:rsidRPr="0028147D" w14:paraId="0C880929" w14:textId="77777777" w:rsidTr="00BE02ED">
        <w:trPr>
          <w:trHeight w:val="300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3BCC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Random Sequence Generation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727BEB3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ACBBEB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55FEBE3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BE93DE7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DF8A9FA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79D943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34CDFB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730785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9851577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195661A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7AAE4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C7C30BD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666CEC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B6D5E4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C744C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0A75958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F1B5BE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7A0E1E9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207AEA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C495E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0040F2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CC83EB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91B7C5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7D67AC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FF246D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2535A6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E02ED" w:rsidRPr="0028147D" w14:paraId="42E258BA" w14:textId="77777777" w:rsidTr="00BE02ED">
        <w:trPr>
          <w:trHeight w:val="512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141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Allocation concealment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8132739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1D47505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E9A2D5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BC9308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056818E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1B5035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84F24BC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F41163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EFF091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90D670A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6CBBD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B32FB1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D7444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662FDA2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EA8FF59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8EED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CEC0F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CC781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75647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325D8C8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D8608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FC54C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84DAE3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722375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B30FD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73FDF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E02ED" w:rsidRPr="0028147D" w14:paraId="7F12AE1F" w14:textId="77777777" w:rsidTr="00BE02ED">
        <w:trPr>
          <w:trHeight w:val="350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9E62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participants and personnel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832BBAA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D564D16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2D8329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B1A80E9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2D0363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8BDF34B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A2B4702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94FEB7E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A0A43D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6D8C3A7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D6BAE2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CCC221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E44390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A4C7A4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2FB498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D3FF30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5AC4C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A3C25D1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391C1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27B4FE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F26916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B647B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E8E47C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5922FB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3CF13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FFC418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E02ED" w:rsidRPr="0028147D" w14:paraId="65EBC638" w14:textId="77777777" w:rsidTr="00BE02ED">
        <w:trPr>
          <w:trHeight w:val="575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E09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outcome assessment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1E9AD2E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CA5B8B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CAD34C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BCDA0E3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AA1F71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291D46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F8F189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FB00FA9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0558AF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CC09432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022F0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5D3432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4C556E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A3231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A87423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205002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4E43B9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2CE5AF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18439B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8A679E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A5111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28D2607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BF89464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A617C7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F1E881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718AE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E02ED" w:rsidRPr="0028147D" w14:paraId="5D3E543E" w14:textId="77777777" w:rsidTr="00BE02ED">
        <w:trPr>
          <w:trHeight w:val="620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032A1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Incomplete outcome data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B430D9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66E8361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B2C208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CCA83AC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2A445C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8D6652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B9B3D0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D80AB8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C4040A9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7FD9AA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225A2C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2BEA2699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7828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B7C27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AD5E3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0493B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A29EC1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B13E76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9B6015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F5E72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58290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B2B63F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AA5B8F7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2B5C035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9BA159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9A2FC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E02ED" w:rsidRPr="0028147D" w14:paraId="61BCE443" w14:textId="77777777" w:rsidTr="00BE02ED">
        <w:trPr>
          <w:trHeight w:val="494"/>
          <w:jc w:val="center"/>
        </w:trPr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BF4B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Selective reporting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4E161E3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74F96F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3920B77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4CE9CB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5DD836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C3C8C6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9E202FD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E995BA8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5E1B44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148D460" w14:textId="77777777" w:rsidR="00BE02ED" w:rsidRPr="0028147D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2082417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5D6F8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48D80C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39295EF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98EAF6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1EC5B3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730692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ECFE97A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93CD060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D12D1A8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AB058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FFBE08E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CE2977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91E53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6D2041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C7B501B" w14:textId="77777777" w:rsidR="00BE02ED" w:rsidRPr="00657BFB" w:rsidRDefault="00BE02ED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635AC5C" w14:textId="7B8A6418" w:rsidR="008444B2" w:rsidRDefault="008444B2">
      <w:pPr>
        <w:rPr>
          <w:rFonts w:ascii="Arial" w:hAnsi="Arial" w:cs="Arial"/>
        </w:rPr>
      </w:pPr>
    </w:p>
    <w:p w14:paraId="072ED878" w14:textId="67C73EEF" w:rsidR="00C13DFA" w:rsidRDefault="00C13DFA">
      <w:pPr>
        <w:rPr>
          <w:rFonts w:ascii="Arial" w:hAnsi="Arial" w:cs="Arial"/>
        </w:rPr>
      </w:pPr>
    </w:p>
    <w:p w14:paraId="61C651C8" w14:textId="103C4245" w:rsidR="00600A9F" w:rsidRDefault="00600A9F">
      <w:pPr>
        <w:rPr>
          <w:rFonts w:ascii="Arial" w:hAnsi="Arial" w:cs="Arial"/>
        </w:rPr>
      </w:pPr>
    </w:p>
    <w:p w14:paraId="72C71805" w14:textId="5AF1788B" w:rsidR="00600A9F" w:rsidRDefault="00600A9F">
      <w:pPr>
        <w:rPr>
          <w:rFonts w:ascii="Arial" w:hAnsi="Arial" w:cs="Arial"/>
        </w:rPr>
      </w:pPr>
    </w:p>
    <w:p w14:paraId="7CAA48BB" w14:textId="2BB51EC7" w:rsidR="00600A9F" w:rsidRDefault="00600A9F">
      <w:pPr>
        <w:rPr>
          <w:rFonts w:ascii="Arial" w:hAnsi="Arial" w:cs="Arial"/>
        </w:rPr>
      </w:pPr>
    </w:p>
    <w:p w14:paraId="5E6A810C" w14:textId="36E59183" w:rsidR="00600A9F" w:rsidRDefault="00600A9F">
      <w:pPr>
        <w:rPr>
          <w:rFonts w:ascii="Arial" w:hAnsi="Arial" w:cs="Arial"/>
        </w:rPr>
      </w:pPr>
    </w:p>
    <w:p w14:paraId="200C1480" w14:textId="0C954645" w:rsidR="00600A9F" w:rsidRPr="00600A9F" w:rsidRDefault="00600A9F">
      <w:pPr>
        <w:rPr>
          <w:rFonts w:ascii="Arial" w:hAnsi="Arial" w:cs="Arial"/>
          <w:b/>
          <w:bCs/>
        </w:rPr>
      </w:pPr>
      <w:r w:rsidRPr="0028147D">
        <w:rPr>
          <w:rFonts w:ascii="Arial" w:hAnsi="Arial" w:cs="Arial"/>
          <w:b/>
          <w:bCs/>
        </w:rPr>
        <w:lastRenderedPageBreak/>
        <w:t xml:space="preserve">Table </w:t>
      </w:r>
      <w:r>
        <w:rPr>
          <w:rFonts w:ascii="Arial" w:hAnsi="Arial" w:cs="Arial"/>
          <w:b/>
          <w:bCs/>
        </w:rPr>
        <w:t>S</w:t>
      </w:r>
      <w:r w:rsidR="00312EFC">
        <w:rPr>
          <w:rFonts w:ascii="Arial" w:hAnsi="Arial" w:cs="Arial"/>
          <w:b/>
          <w:bCs/>
        </w:rPr>
        <w:t>4</w:t>
      </w:r>
      <w:r w:rsidRPr="0028147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R</w:t>
      </w:r>
      <w:r w:rsidRPr="0028147D">
        <w:rPr>
          <w:rFonts w:ascii="Arial" w:hAnsi="Arial" w:cs="Arial"/>
          <w:b/>
          <w:bCs/>
        </w:rPr>
        <w:t xml:space="preserve">isk of </w:t>
      </w:r>
      <w:r>
        <w:rPr>
          <w:rFonts w:ascii="Arial" w:hAnsi="Arial" w:cs="Arial"/>
          <w:b/>
          <w:bCs/>
        </w:rPr>
        <w:t>b</w:t>
      </w:r>
      <w:r w:rsidRPr="0028147D">
        <w:rPr>
          <w:rFonts w:ascii="Arial" w:hAnsi="Arial" w:cs="Arial"/>
          <w:b/>
          <w:bCs/>
        </w:rPr>
        <w:t xml:space="preserve">ias </w:t>
      </w:r>
      <w:r>
        <w:rPr>
          <w:rFonts w:ascii="Arial" w:hAnsi="Arial" w:cs="Arial"/>
          <w:b/>
          <w:bCs/>
        </w:rPr>
        <w:t>a</w:t>
      </w:r>
      <w:r w:rsidRPr="0028147D">
        <w:rPr>
          <w:rFonts w:ascii="Arial" w:hAnsi="Arial" w:cs="Arial"/>
          <w:b/>
          <w:bCs/>
        </w:rPr>
        <w:t xml:space="preserve">ssessment </w:t>
      </w:r>
      <w:r>
        <w:rPr>
          <w:rFonts w:ascii="Arial" w:hAnsi="Arial" w:cs="Arial"/>
          <w:b/>
          <w:bCs/>
        </w:rPr>
        <w:t>per PRISMA guideline</w:t>
      </w:r>
      <w:r w:rsidR="00BE02ED">
        <w:rPr>
          <w:rFonts w:ascii="Arial" w:hAnsi="Arial" w:cs="Arial"/>
          <w:b/>
          <w:bCs/>
        </w:rPr>
        <w:t xml:space="preserve"> (continued)</w:t>
      </w:r>
    </w:p>
    <w:tbl>
      <w:tblPr>
        <w:tblW w:w="15300" w:type="dxa"/>
        <w:jc w:val="center"/>
        <w:tblLook w:val="04A0" w:firstRow="1" w:lastRow="0" w:firstColumn="1" w:lastColumn="0" w:noHBand="0" w:noVBand="1"/>
      </w:tblPr>
      <w:tblGrid>
        <w:gridCol w:w="2528"/>
        <w:gridCol w:w="459"/>
        <w:gridCol w:w="459"/>
        <w:gridCol w:w="459"/>
        <w:gridCol w:w="559"/>
        <w:gridCol w:w="459"/>
        <w:gridCol w:w="459"/>
        <w:gridCol w:w="459"/>
        <w:gridCol w:w="582"/>
        <w:gridCol w:w="459"/>
        <w:gridCol w:w="459"/>
        <w:gridCol w:w="459"/>
        <w:gridCol w:w="459"/>
        <w:gridCol w:w="459"/>
        <w:gridCol w:w="1569"/>
        <w:gridCol w:w="371"/>
        <w:gridCol w:w="371"/>
        <w:gridCol w:w="371"/>
        <w:gridCol w:w="371"/>
        <w:gridCol w:w="371"/>
        <w:gridCol w:w="371"/>
        <w:gridCol w:w="371"/>
        <w:gridCol w:w="385"/>
        <w:gridCol w:w="363"/>
        <w:gridCol w:w="417"/>
        <w:gridCol w:w="417"/>
        <w:gridCol w:w="417"/>
        <w:gridCol w:w="417"/>
      </w:tblGrid>
      <w:tr w:rsidR="00600A9F" w:rsidRPr="00DA1FDF" w14:paraId="08757D3C" w14:textId="77777777" w:rsidTr="00600A9F">
        <w:trPr>
          <w:trHeight w:val="2490"/>
          <w:jc w:val="center"/>
        </w:trPr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B50409C" w14:textId="77777777" w:rsidR="00C13DFA" w:rsidRPr="00456818" w:rsidRDefault="00C13DFA" w:rsidP="00F8382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00CB9E8E" w14:textId="6979E274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13D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Leymarie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1E8E670F" w14:textId="3133DF8F" w:rsidR="00C13DFA" w:rsidRPr="00DA1FDF" w:rsidRDefault="00A72BE8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B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58146A23" w14:textId="2E34EFC3" w:rsidR="00C13DFA" w:rsidRPr="00DA1FDF" w:rsidRDefault="00A72BE8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B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2009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2238B531" w14:textId="3BE8CD8A" w:rsidR="00C13DFA" w:rsidRPr="00DA1FDF" w:rsidRDefault="005920DB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920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Bermúdez</w:t>
            </w:r>
            <w:proofErr w:type="spellEnd"/>
            <w:r w:rsidRPr="005920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León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748BED51" w14:textId="61F98326" w:rsidR="00C13DFA" w:rsidRPr="00DA1FDF" w:rsidRDefault="005920DB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20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Hosseini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71C386F" w14:textId="506DC0D9" w:rsidR="00C13DFA" w:rsidRPr="00DA1FDF" w:rsidRDefault="005920DB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20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50ADC57A" w14:textId="7C3340CB" w:rsidR="00C13DFA" w:rsidRPr="00DA1FDF" w:rsidRDefault="001D7435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Fumagalli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57DBA47" w14:textId="10794F19" w:rsidR="00C13DFA" w:rsidRPr="00DA1FDF" w:rsidRDefault="001D7435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Morales-</w:t>
            </w:r>
            <w:proofErr w:type="spellStart"/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Nebreda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3601148" w14:textId="68163732" w:rsidR="00C13DFA" w:rsidRPr="00DA1FDF" w:rsidRDefault="001D7435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Schaefer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0783C8AF" w14:textId="67ED1B8F" w:rsidR="00C13DFA" w:rsidRPr="00DA1FDF" w:rsidRDefault="001D7435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Haddad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5B686A9" w14:textId="034023A0" w:rsidR="00C13DFA" w:rsidRPr="00DA1FDF" w:rsidRDefault="001D7435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74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Watanabe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658FE3A" w14:textId="0474CF01" w:rsidR="00C13DFA" w:rsidRPr="00DA1FDF" w:rsidRDefault="00BF391C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9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F1DC213" w14:textId="5771FA1F" w:rsidR="00C13DFA" w:rsidRPr="00DA1FDF" w:rsidRDefault="00BF391C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9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Hayward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3AB25EC" w14:textId="137B561C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7DAB278" w14:textId="29D9616D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BFD5013" w14:textId="6E7F6F2F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FF5E8BA" w14:textId="238CE023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7EE2347" w14:textId="222293CD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5CC3070" w14:textId="6B2FC196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56B03C4" w14:textId="178F2FF6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57C5032" w14:textId="18588912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D1D476A" w14:textId="762F86F0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749584B" w14:textId="4666F0C5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3CD0439" w14:textId="0789A40B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3B27C36B" w14:textId="51DF88A3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F80A8FF" w14:textId="6599A1C2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5E049A2" w14:textId="2B332EDD" w:rsidR="00C13DFA" w:rsidRPr="00DA1FDF" w:rsidRDefault="00C13DFA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0A9F" w:rsidRPr="0028147D" w14:paraId="52F5F581" w14:textId="77777777" w:rsidTr="00600A9F">
        <w:trPr>
          <w:gridAfter w:val="14"/>
          <w:wAfter w:w="6582" w:type="dxa"/>
          <w:trHeight w:val="30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0ED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Random Sequence Generation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D0EF4E3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1D5929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9647FF3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F8D3463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71FB32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627A187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96C75C9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0EF6D4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C3FD452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7C128F9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84DDAD5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DD0F950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4F96D66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4F8AE835" w14:textId="77777777" w:rsidTr="00600A9F">
        <w:trPr>
          <w:gridAfter w:val="14"/>
          <w:wAfter w:w="6582" w:type="dxa"/>
          <w:trHeight w:val="512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33C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Allocation concealment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1461714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8F03B4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31FB51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721A94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E726BA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6995909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3F986E9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6B96DEA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2BA789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6B1C0E7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C423BA7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F7586C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3081081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7EEFEE0C" w14:textId="77777777" w:rsidTr="00600A9F">
        <w:trPr>
          <w:gridAfter w:val="14"/>
          <w:wAfter w:w="6582" w:type="dxa"/>
          <w:trHeight w:val="35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2334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participants and personnel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382559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A1A313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9DEB6AA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0126DA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E04731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BC0C6CD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D9760D7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36B050D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BADA19B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F1DA80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C2E908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372BA5D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3644F2F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64301060" w14:textId="77777777" w:rsidTr="00600A9F">
        <w:trPr>
          <w:gridAfter w:val="14"/>
          <w:wAfter w:w="6582" w:type="dxa"/>
          <w:trHeight w:val="575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C3AC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Blinding of outcome assessment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FB76D81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AF0FB2E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9E0DD5D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29927D4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899D132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FFB5B8F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8F4421D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D98F8C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08BA9A8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8F8459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7923DC5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5883D6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EC67757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546FFC6C" w14:textId="77777777" w:rsidTr="00600A9F">
        <w:trPr>
          <w:gridAfter w:val="14"/>
          <w:wAfter w:w="6582" w:type="dxa"/>
          <w:trHeight w:val="620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1602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Incomplete outcome data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5E60A1E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51EEE0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E9D4C50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385A2DA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8C586E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7CD4E93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0F03BDA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D8F34B1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9E5244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6AE41B8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61BD59B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4DE8A20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865E043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00A9F" w:rsidRPr="0028147D" w14:paraId="1BA3F212" w14:textId="77777777" w:rsidTr="00600A9F">
        <w:trPr>
          <w:gridAfter w:val="14"/>
          <w:wAfter w:w="6582" w:type="dxa"/>
          <w:trHeight w:val="494"/>
          <w:jc w:val="center"/>
        </w:trPr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AE79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147D">
              <w:rPr>
                <w:rFonts w:ascii="Arial" w:eastAsia="Times New Roman" w:hAnsi="Arial" w:cs="Arial"/>
                <w:b/>
                <w:bCs/>
                <w:color w:val="000000"/>
              </w:rPr>
              <w:t>Selective reporting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4B93FB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1CED8BB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5D31B5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5D48DA4C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EEB84E1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C557B7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66E41E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EE2DAD6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FF22C1F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9355B7" w14:textId="77777777" w:rsidR="00600A9F" w:rsidRPr="0028147D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47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74C06A7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7FED8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E89DEE" w14:textId="77777777" w:rsidR="00600A9F" w:rsidRPr="00657BFB" w:rsidRDefault="00600A9F" w:rsidP="00F838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D07B24E" w14:textId="5E877A54" w:rsidR="00C13DFA" w:rsidRDefault="00C13DFA">
      <w:pPr>
        <w:rPr>
          <w:rFonts w:ascii="Arial" w:hAnsi="Arial" w:cs="Arial"/>
        </w:rPr>
      </w:pPr>
    </w:p>
    <w:p w14:paraId="3FA4B704" w14:textId="1436B485" w:rsidR="00600A9F" w:rsidRPr="00600A9F" w:rsidRDefault="00600A9F" w:rsidP="00600A9F">
      <w:pPr>
        <w:rPr>
          <w:rFonts w:ascii="Arial" w:hAnsi="Arial" w:cs="Arial"/>
        </w:rPr>
      </w:pPr>
      <w:r w:rsidRPr="00600A9F">
        <w:rPr>
          <w:rFonts w:ascii="Arial" w:hAnsi="Arial" w:cs="Arial"/>
        </w:rPr>
        <w:t xml:space="preserve">Risk of bias assessment via ‘Cochrane’s Handbook for Systematic Reviews of Interventions’ (Higgins et al, 2019) for </w:t>
      </w:r>
      <w:r w:rsidR="00BE02ED">
        <w:rPr>
          <w:rFonts w:ascii="Arial" w:hAnsi="Arial" w:cs="Arial"/>
        </w:rPr>
        <w:t>66</w:t>
      </w:r>
      <w:r w:rsidR="00566F21">
        <w:rPr>
          <w:rFonts w:ascii="Arial" w:hAnsi="Arial" w:cs="Arial"/>
        </w:rPr>
        <w:t xml:space="preserve"> </w:t>
      </w:r>
      <w:r w:rsidR="004538A4">
        <w:rPr>
          <w:rFonts w:ascii="Arial" w:hAnsi="Arial" w:cs="Arial"/>
        </w:rPr>
        <w:t>COVID</w:t>
      </w:r>
      <w:r w:rsidRPr="00600A9F">
        <w:rPr>
          <w:rFonts w:ascii="Arial" w:hAnsi="Arial" w:cs="Arial"/>
        </w:rPr>
        <w:t xml:space="preserve"> manually selected articles confirming viral involvement with influenza/SARS from PubMed</w:t>
      </w:r>
      <w:r w:rsidR="00F9753B">
        <w:rPr>
          <w:rFonts w:ascii="Arial" w:hAnsi="Arial" w:cs="Arial"/>
        </w:rPr>
        <w:t xml:space="preserve">, </w:t>
      </w:r>
      <w:proofErr w:type="spellStart"/>
      <w:r w:rsidR="00F9753B">
        <w:rPr>
          <w:rFonts w:ascii="Arial" w:hAnsi="Arial" w:cs="Arial"/>
        </w:rPr>
        <w:t>DisGeNET</w:t>
      </w:r>
      <w:proofErr w:type="spellEnd"/>
      <w:r w:rsidR="00F9753B">
        <w:rPr>
          <w:rFonts w:ascii="Arial" w:hAnsi="Arial" w:cs="Arial"/>
        </w:rPr>
        <w:t>, Influenza Research Database, and conventional Google searches</w:t>
      </w:r>
      <w:r w:rsidRPr="00600A9F">
        <w:rPr>
          <w:rFonts w:ascii="Arial" w:hAnsi="Arial" w:cs="Arial"/>
        </w:rPr>
        <w:t xml:space="preserve"> where boxes in green depict low risk of bias, yellow depicts some risk of bias,</w:t>
      </w:r>
      <w:r w:rsidR="00BE02ED">
        <w:rPr>
          <w:rFonts w:ascii="Arial" w:hAnsi="Arial" w:cs="Arial"/>
        </w:rPr>
        <w:t xml:space="preserve"> and</w:t>
      </w:r>
      <w:r w:rsidRPr="00600A9F">
        <w:rPr>
          <w:rFonts w:ascii="Arial" w:hAnsi="Arial" w:cs="Arial"/>
        </w:rPr>
        <w:t xml:space="preserve"> red depicts high risk of bias.</w:t>
      </w:r>
      <w:r w:rsidR="00BE02ED">
        <w:rPr>
          <w:rFonts w:ascii="Arial" w:hAnsi="Arial" w:cs="Arial"/>
        </w:rPr>
        <w:t xml:space="preserve"> Any text considered </w:t>
      </w:r>
      <w:r w:rsidR="00A835A9">
        <w:rPr>
          <w:rFonts w:ascii="Arial" w:hAnsi="Arial" w:cs="Arial"/>
        </w:rPr>
        <w:t>“</w:t>
      </w:r>
      <w:r w:rsidR="00BE02ED">
        <w:rPr>
          <w:rFonts w:ascii="Arial" w:hAnsi="Arial" w:cs="Arial"/>
        </w:rPr>
        <w:t>abstract-only</w:t>
      </w:r>
      <w:r w:rsidR="00A835A9">
        <w:rPr>
          <w:rFonts w:ascii="Arial" w:hAnsi="Arial" w:cs="Arial"/>
        </w:rPr>
        <w:t>”</w:t>
      </w:r>
      <w:r w:rsidR="00BE02ED">
        <w:rPr>
          <w:rFonts w:ascii="Arial" w:hAnsi="Arial" w:cs="Arial"/>
        </w:rPr>
        <w:t xml:space="preserve"> or preprints were considered to have some concern of bias.</w:t>
      </w:r>
      <w:r w:rsidRPr="00600A9F">
        <w:rPr>
          <w:rFonts w:ascii="Arial" w:hAnsi="Arial" w:cs="Arial"/>
        </w:rPr>
        <w:t xml:space="preserve"> </w:t>
      </w:r>
      <w:r w:rsidR="00566F21">
        <w:rPr>
          <w:rFonts w:ascii="Arial" w:hAnsi="Arial" w:cs="Arial"/>
        </w:rPr>
        <w:t>One</w:t>
      </w:r>
      <w:r w:rsidRPr="00600A9F">
        <w:rPr>
          <w:rFonts w:ascii="Arial" w:hAnsi="Arial" w:cs="Arial"/>
        </w:rPr>
        <w:t xml:space="preserve"> study was found to be at high risk for bias due to the full text being inaccessible, with the abstract only available to display results. </w:t>
      </w:r>
    </w:p>
    <w:p w14:paraId="0E6CCCC6" w14:textId="730A52FF" w:rsidR="00600A9F" w:rsidRPr="0028147D" w:rsidRDefault="00600A9F">
      <w:pPr>
        <w:rPr>
          <w:rFonts w:ascii="Arial" w:hAnsi="Arial" w:cs="Arial"/>
        </w:rPr>
      </w:pPr>
    </w:p>
    <w:sectPr w:rsidR="00600A9F" w:rsidRPr="0028147D" w:rsidSect="00600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90"/>
    <w:rsid w:val="00024159"/>
    <w:rsid w:val="0004643B"/>
    <w:rsid w:val="00052ABC"/>
    <w:rsid w:val="000F2273"/>
    <w:rsid w:val="001670AB"/>
    <w:rsid w:val="00170F46"/>
    <w:rsid w:val="001C032B"/>
    <w:rsid w:val="001C74EC"/>
    <w:rsid w:val="001D7435"/>
    <w:rsid w:val="0025596B"/>
    <w:rsid w:val="0028147D"/>
    <w:rsid w:val="002F0304"/>
    <w:rsid w:val="00312EFC"/>
    <w:rsid w:val="0033093A"/>
    <w:rsid w:val="00353D47"/>
    <w:rsid w:val="003E7D90"/>
    <w:rsid w:val="004538A4"/>
    <w:rsid w:val="00456818"/>
    <w:rsid w:val="0047343F"/>
    <w:rsid w:val="004E1416"/>
    <w:rsid w:val="00566F21"/>
    <w:rsid w:val="0057701B"/>
    <w:rsid w:val="005920DB"/>
    <w:rsid w:val="00600A9F"/>
    <w:rsid w:val="00657BFB"/>
    <w:rsid w:val="006712A4"/>
    <w:rsid w:val="006B1C98"/>
    <w:rsid w:val="00761D40"/>
    <w:rsid w:val="00763A45"/>
    <w:rsid w:val="007D1726"/>
    <w:rsid w:val="00807497"/>
    <w:rsid w:val="00821A95"/>
    <w:rsid w:val="008444B2"/>
    <w:rsid w:val="00864C27"/>
    <w:rsid w:val="00865D8B"/>
    <w:rsid w:val="0086645F"/>
    <w:rsid w:val="0088052C"/>
    <w:rsid w:val="008C730F"/>
    <w:rsid w:val="00922C5B"/>
    <w:rsid w:val="009508CF"/>
    <w:rsid w:val="00982A8C"/>
    <w:rsid w:val="00A25B32"/>
    <w:rsid w:val="00A72BE8"/>
    <w:rsid w:val="00A835A9"/>
    <w:rsid w:val="00A91F52"/>
    <w:rsid w:val="00AF3897"/>
    <w:rsid w:val="00AF65CE"/>
    <w:rsid w:val="00AF765C"/>
    <w:rsid w:val="00B24287"/>
    <w:rsid w:val="00BB3341"/>
    <w:rsid w:val="00BC30CA"/>
    <w:rsid w:val="00BE02ED"/>
    <w:rsid w:val="00BF391C"/>
    <w:rsid w:val="00C13DFA"/>
    <w:rsid w:val="00C24CB1"/>
    <w:rsid w:val="00C3661A"/>
    <w:rsid w:val="00C809CC"/>
    <w:rsid w:val="00C94EDC"/>
    <w:rsid w:val="00CC1DAC"/>
    <w:rsid w:val="00CC301B"/>
    <w:rsid w:val="00D01267"/>
    <w:rsid w:val="00D36091"/>
    <w:rsid w:val="00DA1FDF"/>
    <w:rsid w:val="00DA45D3"/>
    <w:rsid w:val="00DB61A0"/>
    <w:rsid w:val="00E03C99"/>
    <w:rsid w:val="00E13E13"/>
    <w:rsid w:val="00E51F23"/>
    <w:rsid w:val="00EB16F6"/>
    <w:rsid w:val="00EF1A13"/>
    <w:rsid w:val="00EF2C67"/>
    <w:rsid w:val="00F22150"/>
    <w:rsid w:val="00F560B1"/>
    <w:rsid w:val="00F9753B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33AF"/>
  <w15:chartTrackingRefBased/>
  <w15:docId w15:val="{A6D96CBE-0015-4E93-B4E8-DECD6FB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Micaela</dc:creator>
  <cp:keywords/>
  <dc:description/>
  <cp:lastModifiedBy>Beckman, Micaela</cp:lastModifiedBy>
  <cp:revision>2</cp:revision>
  <dcterms:created xsi:type="dcterms:W3CDTF">2020-09-10T12:59:00Z</dcterms:created>
  <dcterms:modified xsi:type="dcterms:W3CDTF">2020-09-10T12:59:00Z</dcterms:modified>
</cp:coreProperties>
</file>