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74" w:rsidRPr="00030A86" w:rsidRDefault="00414B74" w:rsidP="00414B74">
      <w:pPr>
        <w:jc w:val="both"/>
        <w:rPr>
          <w:b/>
        </w:rPr>
      </w:pPr>
      <w:r>
        <w:rPr>
          <w:b/>
        </w:rPr>
        <w:t>Supplemental Table 1</w:t>
      </w:r>
      <w:r w:rsidRPr="00030A86">
        <w:rPr>
          <w:b/>
        </w:rPr>
        <w:t>. Fibrocyte value change over time.</w:t>
      </w:r>
    </w:p>
    <w:tbl>
      <w:tblPr>
        <w:tblW w:w="5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960"/>
        <w:gridCol w:w="976"/>
        <w:gridCol w:w="960"/>
        <w:gridCol w:w="960"/>
      </w:tblGrid>
      <w:tr w:rsidR="00414B74" w:rsidRPr="00CC7A3C" w:rsidTr="002C512F">
        <w:trPr>
          <w:trHeight w:val="227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F</w:t>
            </w: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ibrocyte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SD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p-value</w:t>
            </w:r>
          </w:p>
        </w:tc>
      </w:tr>
      <w:tr w:rsidR="00414B74" w:rsidRPr="00CC7A3C" w:rsidTr="002C512F">
        <w:trPr>
          <w:trHeight w:val="227"/>
        </w:trPr>
        <w:tc>
          <w:tcPr>
            <w:tcW w:w="15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  <w:tc>
          <w:tcPr>
            <w:tcW w:w="9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6.64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5.77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414B74" w:rsidRPr="00CC7A3C" w:rsidTr="002C512F">
        <w:trPr>
          <w:trHeight w:val="227"/>
        </w:trPr>
        <w:tc>
          <w:tcPr>
            <w:tcW w:w="152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6 month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5.99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5.16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414B74" w:rsidRPr="00CC7A3C" w:rsidTr="002C512F">
        <w:trPr>
          <w:trHeight w:val="227"/>
        </w:trPr>
        <w:tc>
          <w:tcPr>
            <w:tcW w:w="15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difference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0.65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0.75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0.38</w:t>
            </w:r>
          </w:p>
        </w:tc>
      </w:tr>
    </w:tbl>
    <w:p w:rsidR="00414B74" w:rsidRDefault="00414B74" w:rsidP="00414B74">
      <w:pPr>
        <w:spacing w:after="0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Paired t-test indicated no significant difference between baseline and 6 month values. Repeated measures ANOVA with Greenhouse-Geisser effect correction F (1,48) = 1.48; p=0.18.</w:t>
      </w:r>
    </w:p>
    <w:p w:rsidR="00414B74" w:rsidRDefault="00414B74" w:rsidP="00414B74">
      <w:pPr>
        <w:jc w:val="both"/>
        <w:rPr>
          <w:b/>
        </w:rPr>
      </w:pPr>
    </w:p>
    <w:p w:rsidR="00414B74" w:rsidRPr="00030A86" w:rsidRDefault="00414B74" w:rsidP="00414B74">
      <w:pPr>
        <w:jc w:val="both"/>
        <w:rPr>
          <w:b/>
        </w:rPr>
      </w:pPr>
      <w:r>
        <w:rPr>
          <w:b/>
        </w:rPr>
        <w:t>Supplemental Table 2</w:t>
      </w:r>
      <w:r w:rsidRPr="00030A86">
        <w:rPr>
          <w:b/>
        </w:rPr>
        <w:t xml:space="preserve">. </w:t>
      </w:r>
      <w:r>
        <w:rPr>
          <w:b/>
        </w:rPr>
        <w:t>Demographic representation in</w:t>
      </w:r>
      <w:r w:rsidRPr="00030A86">
        <w:rPr>
          <w:b/>
        </w:rPr>
        <w:t xml:space="preserve"> PROFILE</w:t>
      </w:r>
    </w:p>
    <w:tbl>
      <w:tblPr>
        <w:tblW w:w="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260"/>
        <w:gridCol w:w="1260"/>
        <w:gridCol w:w="960"/>
      </w:tblGrid>
      <w:tr w:rsidR="00414B74" w:rsidRPr="00CC7A3C" w:rsidTr="002C512F">
        <w:trPr>
          <w:trHeight w:val="227"/>
        </w:trPr>
        <w:tc>
          <w:tcPr>
            <w:tcW w:w="20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Unsampled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Sampled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414B74" w:rsidRPr="00CC7A3C" w:rsidTr="002C512F">
        <w:trPr>
          <w:trHeight w:val="227"/>
        </w:trPr>
        <w:tc>
          <w:tcPr>
            <w:tcW w:w="20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462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119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-value</w:t>
            </w:r>
          </w:p>
        </w:tc>
      </w:tr>
      <w:tr w:rsidR="00414B74" w:rsidRPr="00CC7A3C" w:rsidTr="002C512F">
        <w:trPr>
          <w:trHeight w:val="227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Age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(IQR)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72 (66-77)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73 (67-78)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0.821</w:t>
            </w:r>
          </w:p>
        </w:tc>
      </w:tr>
      <w:tr w:rsidR="00414B74" w:rsidRPr="00CC7A3C" w:rsidTr="002C512F">
        <w:trPr>
          <w:trHeight w:val="227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78.14%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74.79%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0.436</w:t>
            </w:r>
          </w:p>
        </w:tc>
      </w:tr>
      <w:tr w:rsidR="00414B74" w:rsidRPr="00CC7A3C" w:rsidTr="002C512F">
        <w:trPr>
          <w:trHeight w:val="227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Smoker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67.61%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75.63%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0.091</w:t>
            </w:r>
          </w:p>
        </w:tc>
      </w:tr>
      <w:tr w:rsidR="00414B74" w:rsidRPr="00CC7A3C" w:rsidTr="002C512F">
        <w:trPr>
          <w:trHeight w:val="227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FVC %pred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(SD)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76.7 (19.6)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82.7 (20.0)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0.004</w:t>
            </w:r>
          </w:p>
        </w:tc>
      </w:tr>
      <w:tr w:rsidR="00414B74" w:rsidRPr="00CC7A3C" w:rsidTr="002C512F">
        <w:trPr>
          <w:trHeight w:val="227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DLCO %pred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(SD)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42.9 (15.7)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48.7 (16.3)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14B74" w:rsidRPr="00CC7A3C" w:rsidRDefault="00414B74" w:rsidP="002C512F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7A3C">
              <w:rPr>
                <w:rFonts w:ascii="Calibri" w:eastAsia="Times New Roman" w:hAnsi="Calibri" w:cs="Calibri"/>
                <w:color w:val="000000"/>
                <w:lang w:eastAsia="en-GB"/>
              </w:rPr>
              <w:t>0.001</w:t>
            </w:r>
          </w:p>
        </w:tc>
      </w:tr>
    </w:tbl>
    <w:p w:rsidR="00414B74" w:rsidRDefault="00414B74" w:rsidP="00414B74">
      <w:pPr>
        <w:spacing w:after="0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Non-normally distributed data presented as median and interquartile range (IQR) and assessed by Mann-Whitney, normally distributed data presented as mean and standard deviation (SD) and assessed by unpaired t-test. Numbers in groups assessed by chi-squared.  </w:t>
      </w:r>
    </w:p>
    <w:p w:rsidR="00414B74" w:rsidRPr="002C218F" w:rsidRDefault="00414B74" w:rsidP="00414B74">
      <w:pPr>
        <w:jc w:val="both"/>
        <w:rPr>
          <w:i/>
        </w:rPr>
      </w:pPr>
    </w:p>
    <w:p w:rsidR="00414B74" w:rsidRPr="002C273E" w:rsidRDefault="00414B74" w:rsidP="00414B74">
      <w:pPr>
        <w:spacing w:line="240" w:lineRule="auto"/>
        <w:jc w:val="both"/>
        <w:rPr>
          <w:b/>
        </w:rPr>
      </w:pPr>
      <w:r>
        <w:rPr>
          <w:b/>
        </w:rPr>
        <w:t>Supplemental Table 3. Risk of overall mortality at optimal threshold of circulating fibrocytes in IPF: pooled analysis.</w:t>
      </w:r>
    </w:p>
    <w:tbl>
      <w:tblPr>
        <w:tblW w:w="6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60"/>
        <w:gridCol w:w="574"/>
        <w:gridCol w:w="574"/>
        <w:gridCol w:w="1134"/>
        <w:gridCol w:w="709"/>
        <w:gridCol w:w="580"/>
        <w:gridCol w:w="1120"/>
        <w:gridCol w:w="770"/>
      </w:tblGrid>
      <w:tr w:rsidR="00414B74" w:rsidRPr="002C273E" w:rsidTr="002C512F">
        <w:trPr>
          <w:trHeight w:val="227"/>
        </w:trPr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Study</w:t>
            </w: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B74" w:rsidRPr="002C273E" w:rsidRDefault="00414B74" w:rsidP="002C5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died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HR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95%CI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-value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HR*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95%CI*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-value</w:t>
            </w: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*</w:t>
            </w:r>
          </w:p>
        </w:tc>
      </w:tr>
      <w:tr w:rsidR="00414B74" w:rsidRPr="002C273E" w:rsidTr="002C512F">
        <w:trPr>
          <w:trHeight w:val="227"/>
        </w:trPr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Moeller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60</w:t>
            </w:r>
          </w:p>
        </w:tc>
        <w:tc>
          <w:tcPr>
            <w:tcW w:w="574" w:type="dxa"/>
            <w:tcBorders>
              <w:top w:val="single" w:sz="4" w:space="0" w:color="auto"/>
              <w:right w:val="single" w:sz="4" w:space="0" w:color="auto"/>
            </w:tcBorders>
          </w:tcPr>
          <w:p w:rsidR="00414B74" w:rsidRDefault="00414B74" w:rsidP="002C5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3.93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(1.27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12.21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0.018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2.33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0.74</w:t>
            </w: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7.35</w:t>
            </w: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0.148</w:t>
            </w:r>
          </w:p>
        </w:tc>
      </w:tr>
      <w:tr w:rsidR="00414B74" w:rsidRPr="002C273E" w:rsidTr="002C512F">
        <w:trPr>
          <w:trHeight w:val="227"/>
        </w:trPr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PROFILE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102</w:t>
            </w:r>
          </w:p>
        </w:tc>
        <w:tc>
          <w:tcPr>
            <w:tcW w:w="574" w:type="dxa"/>
            <w:tcBorders>
              <w:right w:val="single" w:sz="4" w:space="0" w:color="auto"/>
            </w:tcBorders>
          </w:tcPr>
          <w:p w:rsidR="00414B74" w:rsidRDefault="00414B74" w:rsidP="002C5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38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2.38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(1.09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5.21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0.030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2.80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(1.</w:t>
            </w: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21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6.49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0.017</w:t>
            </w:r>
          </w:p>
        </w:tc>
      </w:tr>
      <w:tr w:rsidR="00414B74" w:rsidRPr="002C273E" w:rsidTr="002C512F">
        <w:trPr>
          <w:trHeight w:val="227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C273E">
              <w:rPr>
                <w:rFonts w:ascii="Calibri" w:eastAsia="Times New Roman" w:hAnsi="Calibri" w:cs="Calibri"/>
                <w:color w:val="000000"/>
                <w:lang w:eastAsia="en-GB"/>
              </w:rPr>
              <w:t>Overall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2C273E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162</w:t>
            </w:r>
          </w:p>
        </w:tc>
        <w:tc>
          <w:tcPr>
            <w:tcW w:w="574" w:type="dxa"/>
            <w:tcBorders>
              <w:bottom w:val="single" w:sz="4" w:space="0" w:color="auto"/>
              <w:right w:val="single" w:sz="4" w:space="0" w:color="auto"/>
            </w:tcBorders>
          </w:tcPr>
          <w:p w:rsidR="00414B74" w:rsidRPr="002C273E" w:rsidRDefault="00414B74" w:rsidP="002C51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54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2.70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(1.6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5-</w:t>
            </w: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4.42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&lt;0.001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2.50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(</w:t>
            </w: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2.37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2.64</w:t>
            </w:r>
            <w:r w:rsidRPr="001750BD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4B74" w:rsidRPr="001750BD" w:rsidRDefault="00414B74" w:rsidP="002C512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&lt;0.001</w:t>
            </w:r>
          </w:p>
        </w:tc>
      </w:tr>
    </w:tbl>
    <w:p w:rsidR="00414B74" w:rsidRDefault="00414B74" w:rsidP="00414B74">
      <w:pPr>
        <w:spacing w:after="0" w:line="240" w:lineRule="auto"/>
        <w:jc w:val="both"/>
        <w:rPr>
          <w:b/>
        </w:rPr>
      </w:pPr>
      <w:r w:rsidRPr="003B4A0D">
        <w:rPr>
          <w:rFonts w:asciiTheme="minorHAnsi" w:hAnsiTheme="minorHAnsi" w:cstheme="minorHAnsi"/>
          <w:i/>
        </w:rPr>
        <w:t>*</w:t>
      </w:r>
      <w:r>
        <w:rPr>
          <w:rFonts w:asciiTheme="minorHAnsi" w:hAnsiTheme="minorHAnsi" w:cstheme="minorHAnsi"/>
          <w:i/>
        </w:rPr>
        <w:t>Hazard ratio (HR) for 2.22% threshold of circulating fibrocyte level adjusted for gender, age, percent predicted FVC and steroid immunosuppression in multilevel mixed-effects model with random intercept for St</w:t>
      </w:r>
      <w:r w:rsidRPr="003358EF">
        <w:rPr>
          <w:rFonts w:asciiTheme="minorHAnsi" w:hAnsiTheme="minorHAnsi" w:cstheme="minorHAnsi"/>
          <w:i/>
        </w:rPr>
        <w:t xml:space="preserve">udy. </w:t>
      </w:r>
      <w:r>
        <w:rPr>
          <w:rFonts w:asciiTheme="minorHAnsi" w:hAnsiTheme="minorHAnsi" w:cstheme="minorHAnsi"/>
          <w:i/>
        </w:rPr>
        <w:t>Significant estimates in bold.</w:t>
      </w:r>
    </w:p>
    <w:p w:rsidR="00414B74" w:rsidRDefault="00414B74" w:rsidP="00414B74">
      <w:pPr>
        <w:jc w:val="both"/>
        <w:rPr>
          <w:b/>
        </w:rPr>
      </w:pPr>
    </w:p>
    <w:p w:rsidR="00414B74" w:rsidRDefault="00414B74" w:rsidP="00414B74">
      <w:pPr>
        <w:rPr>
          <w:b/>
        </w:rPr>
      </w:pPr>
      <w:r>
        <w:rPr>
          <w:b/>
        </w:rPr>
        <w:br w:type="page"/>
      </w:r>
    </w:p>
    <w:p w:rsidR="00414B74" w:rsidRPr="00C2587E" w:rsidRDefault="00414B74" w:rsidP="00414B74">
      <w:pPr>
        <w:jc w:val="both"/>
        <w:rPr>
          <w:b/>
        </w:rPr>
      </w:pPr>
      <w:r w:rsidRPr="00C2587E">
        <w:rPr>
          <w:b/>
        </w:rPr>
        <w:lastRenderedPageBreak/>
        <w:t>Supplemental Figure 1. Area under ROC of fibrocyte for overall mortality</w:t>
      </w:r>
    </w:p>
    <w:p w:rsidR="00414B74" w:rsidRDefault="00414B74" w:rsidP="00414B74">
      <w:r>
        <w:rPr>
          <w:noProof/>
          <w:lang w:eastAsia="en-GB"/>
        </w:rPr>
        <w:drawing>
          <wp:inline distT="0" distB="0" distL="0" distR="0" wp14:anchorId="5C840A65" wp14:editId="508FB2E9">
            <wp:extent cx="4766552" cy="3466391"/>
            <wp:effectExtent l="19050" t="19050" r="1524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_Fig_AUROCfib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78" cy="3473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4B74" w:rsidRDefault="00414B74" w:rsidP="00414B74">
      <w:pPr>
        <w:jc w:val="both"/>
        <w:rPr>
          <w:rFonts w:asciiTheme="minorHAnsi" w:hAnsiTheme="minorHAnsi" w:cstheme="minorHAnsi"/>
          <w:i/>
        </w:rPr>
      </w:pPr>
      <w:r w:rsidRPr="00C2587E">
        <w:rPr>
          <w:rFonts w:asciiTheme="minorHAnsi" w:hAnsiTheme="minorHAnsi" w:cstheme="minorHAnsi"/>
          <w:i/>
        </w:rPr>
        <w:t>Area under Recevier Operator C</w:t>
      </w:r>
      <w:r>
        <w:rPr>
          <w:rFonts w:asciiTheme="minorHAnsi" w:hAnsiTheme="minorHAnsi" w:cstheme="minorHAnsi"/>
          <w:i/>
        </w:rPr>
        <w:t>haracteristic c</w:t>
      </w:r>
      <w:r w:rsidRPr="00C2587E">
        <w:rPr>
          <w:rFonts w:asciiTheme="minorHAnsi" w:hAnsiTheme="minorHAnsi" w:cstheme="minorHAnsi"/>
          <w:i/>
        </w:rPr>
        <w:t>urve for % circulating fibrocytes as a continuous variable</w:t>
      </w:r>
      <w:r>
        <w:rPr>
          <w:rFonts w:asciiTheme="minorHAnsi" w:hAnsiTheme="minorHAnsi" w:cstheme="minorHAnsi"/>
          <w:i/>
        </w:rPr>
        <w:t xml:space="preserve"> (AUROC 0.59 95%CI 0.48;0.71)</w:t>
      </w:r>
      <w:r w:rsidRPr="00C2587E">
        <w:rPr>
          <w:rFonts w:asciiTheme="minorHAnsi" w:hAnsiTheme="minorHAnsi" w:cstheme="minorHAnsi"/>
          <w:i/>
        </w:rPr>
        <w:t xml:space="preserve"> and dichotomised at thresholds of 5.00% </w:t>
      </w:r>
      <w:r>
        <w:rPr>
          <w:rFonts w:asciiTheme="minorHAnsi" w:hAnsiTheme="minorHAnsi" w:cstheme="minorHAnsi"/>
          <w:i/>
        </w:rPr>
        <w:t xml:space="preserve">(AUROC 0.57 95%CI 0.56;0.67) </w:t>
      </w:r>
      <w:r w:rsidRPr="00C2587E">
        <w:rPr>
          <w:rFonts w:asciiTheme="minorHAnsi" w:hAnsiTheme="minorHAnsi" w:cstheme="minorHAnsi"/>
          <w:i/>
        </w:rPr>
        <w:t>and 2.22%</w:t>
      </w:r>
      <w:r>
        <w:rPr>
          <w:rFonts w:asciiTheme="minorHAnsi" w:hAnsiTheme="minorHAnsi" w:cstheme="minorHAnsi"/>
          <w:i/>
        </w:rPr>
        <w:t xml:space="preserve"> (AUROC 0.61 95%CI 0.52;0.70)</w:t>
      </w:r>
      <w:r w:rsidRPr="00C2587E">
        <w:rPr>
          <w:rFonts w:asciiTheme="minorHAnsi" w:hAnsiTheme="minorHAnsi" w:cstheme="minorHAnsi"/>
          <w:i/>
        </w:rPr>
        <w:t>.</w:t>
      </w:r>
      <w:r>
        <w:rPr>
          <w:rFonts w:asciiTheme="minorHAnsi" w:hAnsiTheme="minorHAnsi" w:cstheme="minorHAnsi"/>
          <w:i/>
        </w:rPr>
        <w:t xml:space="preserve"> Sensitivity and specificity at 2.22% threshold 0.79 and 0.42, respectively.</w:t>
      </w:r>
    </w:p>
    <w:p w:rsidR="00414B74" w:rsidRDefault="00414B74" w:rsidP="00414B74">
      <w:pPr>
        <w:jc w:val="both"/>
        <w:rPr>
          <w:rFonts w:asciiTheme="minorHAnsi" w:hAnsiTheme="minorHAnsi" w:cstheme="minorHAnsi"/>
          <w:i/>
        </w:rPr>
      </w:pPr>
    </w:p>
    <w:p w:rsidR="00414B74" w:rsidRPr="00C2587E" w:rsidRDefault="00414B74" w:rsidP="00414B74">
      <w:pPr>
        <w:jc w:val="both"/>
        <w:rPr>
          <w:rFonts w:asciiTheme="minorHAnsi" w:hAnsiTheme="minorHAnsi" w:cstheme="minorHAnsi"/>
          <w:i/>
        </w:rPr>
      </w:pPr>
    </w:p>
    <w:p w:rsidR="00205720" w:rsidRDefault="00414B74" w:rsidP="00863E2F">
      <w:bookmarkStart w:id="0" w:name="_GoBack"/>
      <w:bookmarkEnd w:id="0"/>
    </w:p>
    <w:sectPr w:rsidR="00205720" w:rsidSect="00414B74">
      <w:footerReference w:type="default" r:id="rId6"/>
      <w:pgSz w:w="11906" w:h="16838"/>
      <w:pgMar w:top="851" w:right="1440" w:bottom="1440" w:left="144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9384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E24" w:rsidRDefault="00414B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7E24" w:rsidRDefault="00414B74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74"/>
    <w:rsid w:val="00334069"/>
    <w:rsid w:val="003A5207"/>
    <w:rsid w:val="00414B74"/>
    <w:rsid w:val="00705A6A"/>
    <w:rsid w:val="0074105A"/>
    <w:rsid w:val="007E625B"/>
    <w:rsid w:val="00863E2F"/>
    <w:rsid w:val="008846D6"/>
    <w:rsid w:val="00BA4A05"/>
    <w:rsid w:val="00CB76BB"/>
    <w:rsid w:val="00F067E3"/>
    <w:rsid w:val="00F4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CE6C10-7F26-4740-8457-8C4D8F92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74"/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14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B74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D0FE1-294B-4011-B2A4-71002B19A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Stewart</dc:creator>
  <cp:keywords/>
  <dc:description/>
  <cp:lastModifiedBy>Iain Stewart</cp:lastModifiedBy>
  <cp:revision>1</cp:revision>
  <dcterms:created xsi:type="dcterms:W3CDTF">2020-09-25T18:01:00Z</dcterms:created>
  <dcterms:modified xsi:type="dcterms:W3CDTF">2020-09-25T18:01:00Z</dcterms:modified>
</cp:coreProperties>
</file>